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1C3C67">
      <w:pPr>
        <w:spacing w:line="360" w:lineRule="auto"/>
        <w:jc w:val="center"/>
        <w:rPr>
          <w:rFonts w:hint="eastAsia" w:ascii="宋体"/>
          <w:b/>
          <w:color w:val="auto"/>
          <w:sz w:val="52"/>
          <w:szCs w:val="56"/>
          <w:highlight w:val="none"/>
          <w:lang w:eastAsia="zh-CN"/>
        </w:rPr>
      </w:pPr>
    </w:p>
    <w:p w14:paraId="521D881E">
      <w:pPr>
        <w:spacing w:line="360" w:lineRule="auto"/>
        <w:jc w:val="center"/>
        <w:rPr>
          <w:rFonts w:hint="eastAsia" w:ascii="宋体" w:eastAsia="宋体"/>
          <w:b/>
          <w:color w:val="auto"/>
          <w:sz w:val="28"/>
          <w:szCs w:val="32"/>
          <w:highlight w:val="none"/>
          <w:lang w:eastAsia="zh-CN"/>
        </w:rPr>
      </w:pPr>
      <w:r>
        <w:rPr>
          <w:rFonts w:hint="eastAsia" w:ascii="宋体"/>
          <w:b/>
          <w:color w:val="auto"/>
          <w:sz w:val="52"/>
          <w:szCs w:val="56"/>
          <w:highlight w:val="none"/>
          <w:lang w:eastAsia="zh-CN"/>
        </w:rPr>
        <w:t>红河县后山二台水库除险加固工程</w:t>
      </w:r>
    </w:p>
    <w:p w14:paraId="01135AA8">
      <w:pPr>
        <w:spacing w:line="360" w:lineRule="auto"/>
        <w:jc w:val="center"/>
        <w:rPr>
          <w:rFonts w:ascii="宋体"/>
          <w:b/>
          <w:color w:val="auto"/>
          <w:sz w:val="32"/>
          <w:szCs w:val="30"/>
          <w:highlight w:val="none"/>
        </w:rPr>
      </w:pPr>
    </w:p>
    <w:p w14:paraId="6B30D1D3">
      <w:pPr>
        <w:spacing w:line="360" w:lineRule="auto"/>
        <w:jc w:val="center"/>
        <w:rPr>
          <w:rFonts w:ascii="宋体"/>
          <w:b/>
          <w:color w:val="auto"/>
          <w:sz w:val="32"/>
          <w:szCs w:val="30"/>
          <w:highlight w:val="none"/>
        </w:rPr>
      </w:pPr>
    </w:p>
    <w:p w14:paraId="1F4B5F4D">
      <w:pPr>
        <w:spacing w:line="360" w:lineRule="auto"/>
        <w:jc w:val="center"/>
        <w:rPr>
          <w:rFonts w:ascii="宋体"/>
          <w:b/>
          <w:color w:val="auto"/>
          <w:sz w:val="32"/>
          <w:szCs w:val="30"/>
          <w:highlight w:val="none"/>
        </w:rPr>
      </w:pPr>
    </w:p>
    <w:p w14:paraId="6AD1CFB5">
      <w:pPr>
        <w:pStyle w:val="11"/>
        <w:rPr>
          <w:color w:val="auto"/>
          <w:highlight w:val="none"/>
        </w:rPr>
      </w:pPr>
    </w:p>
    <w:p w14:paraId="4A1ACA80">
      <w:pPr>
        <w:pStyle w:val="11"/>
        <w:rPr>
          <w:color w:val="auto"/>
          <w:highlight w:val="none"/>
        </w:rPr>
      </w:pPr>
    </w:p>
    <w:p w14:paraId="2A075EC7">
      <w:pPr>
        <w:spacing w:line="360" w:lineRule="auto"/>
        <w:jc w:val="center"/>
        <w:rPr>
          <w:rFonts w:hint="eastAsia" w:ascii="宋体" w:eastAsia="宋体"/>
          <w:b/>
          <w:color w:val="auto"/>
          <w:sz w:val="72"/>
          <w:szCs w:val="56"/>
          <w:highlight w:val="none"/>
          <w:lang w:eastAsia="zh-CN"/>
        </w:rPr>
      </w:pPr>
      <w:r>
        <w:rPr>
          <w:rFonts w:hint="eastAsia" w:ascii="宋体"/>
          <w:b/>
          <w:color w:val="auto"/>
          <w:sz w:val="72"/>
          <w:szCs w:val="56"/>
          <w:highlight w:val="none"/>
          <w:lang w:eastAsia="zh-CN"/>
        </w:rPr>
        <w:t>竞争性磋商文件</w:t>
      </w:r>
    </w:p>
    <w:p w14:paraId="63D1A96E">
      <w:pPr>
        <w:pStyle w:val="30"/>
        <w:ind w:firstLine="0" w:firstLineChars="0"/>
        <w:jc w:val="center"/>
        <w:rPr>
          <w:rFonts w:hint="eastAsia" w:ascii="黑体" w:hAnsi="宋体" w:eastAsia="宋体"/>
          <w:color w:val="auto"/>
          <w:kern w:val="0"/>
          <w:sz w:val="52"/>
          <w:szCs w:val="21"/>
          <w:highlight w:val="none"/>
          <w:lang w:val="en-US" w:eastAsia="zh-CN"/>
        </w:rPr>
      </w:pPr>
      <w:r>
        <w:rPr>
          <w:rFonts w:hint="eastAsia" w:ascii="宋体" w:hAnsi="宋体" w:eastAsia="宋体" w:cs="宋体"/>
          <w:b/>
          <w:color w:val="auto"/>
          <w:sz w:val="28"/>
          <w:szCs w:val="28"/>
          <w:highlight w:val="none"/>
          <w:lang w:val="en-US" w:eastAsia="zh-CN"/>
        </w:rPr>
        <w:t>项目编号：</w:t>
      </w:r>
      <w:r>
        <w:rPr>
          <w:rFonts w:hint="eastAsia" w:ascii="宋体" w:hAnsi="宋体" w:eastAsia="宋体" w:cs="宋体"/>
          <w:b w:val="0"/>
          <w:bCs w:val="0"/>
          <w:color w:val="auto"/>
          <w:sz w:val="28"/>
          <w:szCs w:val="28"/>
          <w:highlight w:val="none"/>
          <w:lang w:eastAsia="zh-CN"/>
        </w:rPr>
        <w:t>HHZC2026-C2-02255-YNJR-0014</w:t>
      </w:r>
    </w:p>
    <w:p w14:paraId="3D5798C0">
      <w:pPr>
        <w:pStyle w:val="30"/>
        <w:ind w:firstLine="0" w:firstLineChars="0"/>
        <w:jc w:val="center"/>
        <w:rPr>
          <w:color w:val="auto"/>
          <w:highlight w:val="none"/>
          <w:lang w:eastAsia="zh-CN"/>
        </w:rPr>
      </w:pPr>
      <w:r>
        <w:rPr>
          <w:rFonts w:hint="eastAsia" w:ascii="黑体" w:hAnsi="宋体" w:eastAsia="黑体"/>
          <w:color w:val="auto"/>
          <w:kern w:val="0"/>
          <w:sz w:val="52"/>
          <w:szCs w:val="21"/>
          <w:highlight w:val="none"/>
        </w:rPr>
        <w:drawing>
          <wp:inline distT="0" distB="0" distL="114300" distR="114300">
            <wp:extent cx="1579245" cy="1572895"/>
            <wp:effectExtent l="0" t="0" r="190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1579245" cy="1572895"/>
                    </a:xfrm>
                    <a:prstGeom prst="rect">
                      <a:avLst/>
                    </a:prstGeom>
                    <a:noFill/>
                    <a:ln>
                      <a:noFill/>
                    </a:ln>
                  </pic:spPr>
                </pic:pic>
              </a:graphicData>
            </a:graphic>
          </wp:inline>
        </w:drawing>
      </w:r>
    </w:p>
    <w:p w14:paraId="3DBDB0E7">
      <w:pPr>
        <w:spacing w:line="360" w:lineRule="auto"/>
        <w:rPr>
          <w:rFonts w:ascii="宋体"/>
          <w:b/>
          <w:color w:val="auto"/>
          <w:sz w:val="32"/>
          <w:szCs w:val="30"/>
          <w:highlight w:val="none"/>
        </w:rPr>
      </w:pPr>
    </w:p>
    <w:p w14:paraId="3D7BAB4E">
      <w:pPr>
        <w:pStyle w:val="30"/>
        <w:ind w:firstLine="221"/>
        <w:rPr>
          <w:color w:val="auto"/>
          <w:highlight w:val="none"/>
          <w:lang w:eastAsia="zh-CN"/>
        </w:rPr>
      </w:pPr>
    </w:p>
    <w:p w14:paraId="0327FDB8">
      <w:pPr>
        <w:pStyle w:val="11"/>
        <w:rPr>
          <w:color w:val="auto"/>
          <w:highlight w:val="none"/>
        </w:rPr>
      </w:pPr>
    </w:p>
    <w:p w14:paraId="5B18EB8A">
      <w:pPr>
        <w:rPr>
          <w:color w:val="auto"/>
          <w:highlight w:val="none"/>
        </w:rPr>
      </w:pPr>
    </w:p>
    <w:p w14:paraId="646553AC">
      <w:pPr>
        <w:keepNext w:val="0"/>
        <w:keepLines w:val="0"/>
        <w:pageBreakBefore w:val="0"/>
        <w:widowControl w:val="0"/>
        <w:kinsoku/>
        <w:wordWrap/>
        <w:overflowPunct/>
        <w:topLinePunct w:val="0"/>
        <w:autoSpaceDE/>
        <w:autoSpaceDN/>
        <w:bidi w:val="0"/>
        <w:adjustRightInd/>
        <w:snapToGrid/>
        <w:spacing w:line="720" w:lineRule="auto"/>
        <w:ind w:left="0" w:leftChars="0" w:firstLine="643" w:firstLineChars="200"/>
        <w:textAlignment w:val="auto"/>
        <w:rPr>
          <w:rFonts w:hint="eastAsia" w:ascii="宋体" w:eastAsia="宋体"/>
          <w:b/>
          <w:color w:val="auto"/>
          <w:sz w:val="32"/>
          <w:szCs w:val="28"/>
          <w:highlight w:val="none"/>
          <w:lang w:eastAsia="zh-CN"/>
        </w:rPr>
      </w:pPr>
      <w:r>
        <w:rPr>
          <w:rFonts w:hint="eastAsia" w:ascii="宋体"/>
          <w:b/>
          <w:color w:val="auto"/>
          <w:sz w:val="32"/>
          <w:szCs w:val="28"/>
          <w:highlight w:val="none"/>
        </w:rPr>
        <w:t>采 购 人：</w:t>
      </w:r>
      <w:r>
        <w:rPr>
          <w:rFonts w:hint="eastAsia" w:ascii="宋体"/>
          <w:b/>
          <w:color w:val="auto"/>
          <w:sz w:val="32"/>
          <w:szCs w:val="28"/>
          <w:highlight w:val="none"/>
          <w:lang w:eastAsia="zh-CN"/>
        </w:rPr>
        <w:t>红河县水务局</w:t>
      </w:r>
    </w:p>
    <w:p w14:paraId="4C892764">
      <w:pPr>
        <w:keepNext w:val="0"/>
        <w:keepLines w:val="0"/>
        <w:pageBreakBefore w:val="0"/>
        <w:widowControl w:val="0"/>
        <w:kinsoku/>
        <w:wordWrap/>
        <w:overflowPunct/>
        <w:topLinePunct w:val="0"/>
        <w:autoSpaceDE/>
        <w:autoSpaceDN/>
        <w:bidi w:val="0"/>
        <w:adjustRightInd/>
        <w:snapToGrid/>
        <w:spacing w:line="720" w:lineRule="auto"/>
        <w:ind w:left="0" w:leftChars="0" w:firstLine="630" w:firstLineChars="196"/>
        <w:textAlignment w:val="auto"/>
        <w:rPr>
          <w:rFonts w:ascii="宋体"/>
          <w:b/>
          <w:color w:val="auto"/>
          <w:sz w:val="32"/>
          <w:szCs w:val="30"/>
          <w:highlight w:val="none"/>
        </w:rPr>
      </w:pPr>
      <w:r>
        <w:rPr>
          <w:rFonts w:hint="eastAsia" w:ascii="宋体"/>
          <w:b/>
          <w:color w:val="auto"/>
          <w:sz w:val="32"/>
          <w:szCs w:val="30"/>
          <w:highlight w:val="none"/>
        </w:rPr>
        <w:t>代理机构：云南嘉融建设工程管理有限责任公司</w:t>
      </w:r>
    </w:p>
    <w:p w14:paraId="49E0C1A0">
      <w:pPr>
        <w:keepNext w:val="0"/>
        <w:keepLines w:val="0"/>
        <w:pageBreakBefore w:val="0"/>
        <w:widowControl w:val="0"/>
        <w:kinsoku/>
        <w:wordWrap/>
        <w:overflowPunct/>
        <w:topLinePunct w:val="0"/>
        <w:autoSpaceDE/>
        <w:autoSpaceDN/>
        <w:bidi w:val="0"/>
        <w:adjustRightInd/>
        <w:snapToGrid/>
        <w:spacing w:line="720" w:lineRule="auto"/>
        <w:ind w:left="0" w:leftChars="0" w:firstLine="630" w:firstLineChars="196"/>
        <w:textAlignment w:val="auto"/>
        <w:rPr>
          <w:rFonts w:hint="eastAsia" w:ascii="宋体"/>
          <w:b/>
          <w:color w:val="auto"/>
          <w:sz w:val="32"/>
          <w:szCs w:val="30"/>
          <w:highlight w:val="none"/>
        </w:rPr>
      </w:pPr>
      <w:r>
        <w:rPr>
          <w:rFonts w:hint="eastAsia" w:ascii="宋体"/>
          <w:b/>
          <w:color w:val="auto"/>
          <w:sz w:val="32"/>
          <w:szCs w:val="30"/>
          <w:highlight w:val="none"/>
        </w:rPr>
        <w:t>日    期：</w:t>
      </w:r>
      <w:r>
        <w:rPr>
          <w:rFonts w:hint="eastAsia" w:ascii="宋体"/>
          <w:b/>
          <w:color w:val="auto"/>
          <w:sz w:val="32"/>
          <w:szCs w:val="30"/>
          <w:highlight w:val="none"/>
          <w:lang w:eastAsia="zh-CN"/>
        </w:rPr>
        <w:t>2026年</w:t>
      </w:r>
      <w:r>
        <w:rPr>
          <w:rFonts w:hint="eastAsia" w:ascii="宋体"/>
          <w:b/>
          <w:color w:val="auto"/>
          <w:sz w:val="32"/>
          <w:szCs w:val="30"/>
          <w:highlight w:val="none"/>
          <w:lang w:val="en-US" w:eastAsia="zh-CN"/>
        </w:rPr>
        <w:t>9</w:t>
      </w:r>
      <w:r>
        <w:rPr>
          <w:rFonts w:hint="eastAsia" w:ascii="宋体"/>
          <w:b/>
          <w:color w:val="auto"/>
          <w:sz w:val="32"/>
          <w:szCs w:val="30"/>
          <w:highlight w:val="none"/>
        </w:rPr>
        <w:t>月</w:t>
      </w:r>
    </w:p>
    <w:p w14:paraId="0E21C336">
      <w:pPr>
        <w:rPr>
          <w:color w:val="auto"/>
          <w:highlight w:val="none"/>
        </w:rPr>
      </w:pPr>
      <w:r>
        <w:rPr>
          <w:color w:val="auto"/>
          <w:highlight w:val="none"/>
        </w:rPr>
        <w:br w:type="page"/>
      </w:r>
    </w:p>
    <w:p w14:paraId="269F119B">
      <w:pPr>
        <w:sectPr>
          <w:headerReference r:id="rId5" w:type="first"/>
          <w:footerReference r:id="rId7" w:type="first"/>
          <w:headerReference r:id="rId3" w:type="default"/>
          <w:headerReference r:id="rId4" w:type="even"/>
          <w:footerReference r:id="rId6" w:type="even"/>
          <w:pgSz w:w="11906" w:h="16838"/>
          <w:pgMar w:top="1247" w:right="1253" w:bottom="1247" w:left="1293" w:header="720" w:footer="833" w:gutter="0"/>
          <w:pgBorders>
            <w:top w:val="none" w:sz="0" w:space="0"/>
            <w:left w:val="none" w:sz="0" w:space="0"/>
            <w:bottom w:val="none" w:sz="0" w:space="0"/>
            <w:right w:val="none" w:sz="0" w:space="0"/>
          </w:pgBorders>
          <w:pgNumType w:fmt="upperRoman" w:start="1"/>
          <w:cols w:space="0" w:num="1"/>
          <w:rtlGutter w:val="0"/>
          <w:docGrid w:type="lines" w:linePitch="312" w:charSpace="0"/>
        </w:sectPr>
      </w:pPr>
    </w:p>
    <w:sdt>
      <w:sdtPr>
        <w:rPr>
          <w:rFonts w:ascii="宋体" w:hAnsi="宋体" w:eastAsia="宋体" w:cs="Times New Roman"/>
          <w:kern w:val="2"/>
          <w:sz w:val="21"/>
          <w:szCs w:val="22"/>
          <w:lang w:val="en-US" w:eastAsia="zh-CN" w:bidi="ar-SA"/>
        </w:rPr>
        <w:id w:val="147457367"/>
        <w15:color w:val="DBDBDB"/>
        <w:docPartObj>
          <w:docPartGallery w:val="Table of Contents"/>
          <w:docPartUnique/>
        </w:docPartObj>
      </w:sdtPr>
      <w:sdtEndPr>
        <w:rPr>
          <w:rFonts w:ascii="Calibri" w:hAnsi="Calibri" w:eastAsia="宋体" w:cs="Times New Roman"/>
          <w:kern w:val="2"/>
          <w:sz w:val="21"/>
          <w:szCs w:val="22"/>
          <w:lang w:val="en-US" w:eastAsia="zh-CN" w:bidi="ar-SA"/>
        </w:rPr>
      </w:sdtEndPr>
      <w:sdtContent>
        <w:p w14:paraId="0FC60FAE">
          <w:pPr>
            <w:spacing w:before="0" w:beforeLines="0" w:after="0" w:afterLines="0" w:line="240" w:lineRule="auto"/>
            <w:ind w:left="0" w:leftChars="0" w:right="0" w:rightChars="0" w:firstLine="0" w:firstLineChars="0"/>
            <w:jc w:val="center"/>
          </w:pPr>
          <w:r>
            <w:rPr>
              <w:rFonts w:ascii="宋体" w:hAnsi="宋体" w:eastAsia="宋体"/>
              <w:b/>
              <w:bCs/>
              <w:sz w:val="52"/>
              <w:szCs w:val="52"/>
            </w:rPr>
            <w:t>目</w:t>
          </w:r>
          <w:r>
            <w:rPr>
              <w:rFonts w:hint="eastAsia" w:ascii="宋体" w:hAnsi="宋体" w:eastAsia="宋体"/>
              <w:b/>
              <w:bCs/>
              <w:sz w:val="52"/>
              <w:szCs w:val="52"/>
              <w:lang w:val="en-US" w:eastAsia="zh-CN"/>
            </w:rPr>
            <w:t xml:space="preserve"> </w:t>
          </w:r>
          <w:r>
            <w:rPr>
              <w:rFonts w:ascii="宋体" w:hAnsi="宋体" w:eastAsia="宋体"/>
              <w:b/>
              <w:bCs/>
              <w:sz w:val="52"/>
              <w:szCs w:val="52"/>
            </w:rPr>
            <w:t>录</w:t>
          </w:r>
        </w:p>
        <w:p w14:paraId="55B42C9F">
          <w:pPr>
            <w:pStyle w:val="22"/>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 w:val="21"/>
              <w:szCs w:val="22"/>
              <w:lang w:val="en-US" w:eastAsia="zh-CN" w:bidi="ar-SA"/>
            </w:rPr>
            <w:fldChar w:fldCharType="begin"/>
          </w:r>
          <w:r>
            <w:rPr>
              <w:rFonts w:ascii="Calibri" w:hAnsi="Calibri" w:eastAsia="宋体" w:cs="Times New Roman"/>
              <w:kern w:val="2"/>
              <w:sz w:val="21"/>
              <w:szCs w:val="22"/>
              <w:lang w:val="en-US" w:eastAsia="zh-CN" w:bidi="ar-SA"/>
            </w:rPr>
            <w:instrText xml:space="preserve">TOC \o "1-2" \h \u </w:instrText>
          </w:r>
          <w:r>
            <w:rPr>
              <w:rFonts w:ascii="Calibri" w:hAnsi="Calibri" w:eastAsia="宋体" w:cs="Times New Roman"/>
              <w:kern w:val="2"/>
              <w:sz w:val="21"/>
              <w:szCs w:val="22"/>
              <w:lang w:val="en-US" w:eastAsia="zh-CN" w:bidi="ar-SA"/>
            </w:rPr>
            <w:fldChar w:fldCharType="separate"/>
          </w: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_Toc18755 </w:instrText>
          </w:r>
          <w:r>
            <w:rPr>
              <w:rFonts w:ascii="Calibri" w:hAnsi="Calibri" w:eastAsia="宋体" w:cs="Times New Roman"/>
              <w:kern w:val="2"/>
              <w:szCs w:val="22"/>
              <w:lang w:val="en-US" w:eastAsia="zh-CN" w:bidi="ar-SA"/>
            </w:rPr>
            <w:fldChar w:fldCharType="separate"/>
          </w:r>
          <w:r>
            <w:rPr>
              <w:rFonts w:hint="eastAsia" w:ascii="黑体" w:hAnsi="黑体" w:eastAsia="黑体" w:cs="黑体"/>
              <w:szCs w:val="36"/>
              <w:highlight w:val="none"/>
            </w:rPr>
            <w:t>第一章 竞争性磋商公告</w:t>
          </w:r>
          <w:r>
            <w:tab/>
          </w:r>
          <w:r>
            <w:fldChar w:fldCharType="begin"/>
          </w:r>
          <w:r>
            <w:instrText xml:space="preserve"> PAGEREF _Toc18755 \h </w:instrText>
          </w:r>
          <w:r>
            <w:fldChar w:fldCharType="separate"/>
          </w:r>
          <w:r>
            <w:t>1</w:t>
          </w:r>
          <w:r>
            <w:fldChar w:fldCharType="end"/>
          </w:r>
          <w:r>
            <w:rPr>
              <w:rFonts w:ascii="Calibri" w:hAnsi="Calibri" w:eastAsia="宋体" w:cs="Times New Roman"/>
              <w:kern w:val="2"/>
              <w:szCs w:val="22"/>
              <w:lang w:val="en-US" w:eastAsia="zh-CN" w:bidi="ar-SA"/>
            </w:rPr>
            <w:fldChar w:fldCharType="end"/>
          </w:r>
        </w:p>
        <w:p w14:paraId="780635A0">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_Toc31750 </w:instrText>
          </w:r>
          <w:r>
            <w:rPr>
              <w:rFonts w:ascii="Calibri" w:hAnsi="Calibri" w:eastAsia="宋体" w:cs="Times New Roman"/>
              <w:kern w:val="2"/>
              <w:szCs w:val="22"/>
              <w:lang w:val="en-US" w:eastAsia="zh-CN" w:bidi="ar-SA"/>
            </w:rPr>
            <w:fldChar w:fldCharType="separate"/>
          </w:r>
          <w:r>
            <w:rPr>
              <w:rFonts w:hint="eastAsia"/>
              <w:szCs w:val="24"/>
              <w:highlight w:val="none"/>
            </w:rPr>
            <w:t>一、项目基本情况</w:t>
          </w:r>
          <w:r>
            <w:tab/>
          </w:r>
          <w:r>
            <w:fldChar w:fldCharType="begin"/>
          </w:r>
          <w:r>
            <w:instrText xml:space="preserve"> PAGEREF _Toc31750 \h </w:instrText>
          </w:r>
          <w:r>
            <w:fldChar w:fldCharType="separate"/>
          </w:r>
          <w:r>
            <w:t>1</w:t>
          </w:r>
          <w:r>
            <w:fldChar w:fldCharType="end"/>
          </w:r>
          <w:r>
            <w:rPr>
              <w:rFonts w:ascii="Calibri" w:hAnsi="Calibri" w:eastAsia="宋体" w:cs="Times New Roman"/>
              <w:kern w:val="2"/>
              <w:szCs w:val="22"/>
              <w:lang w:val="en-US" w:eastAsia="zh-CN" w:bidi="ar-SA"/>
            </w:rPr>
            <w:fldChar w:fldCharType="end"/>
          </w:r>
        </w:p>
        <w:p w14:paraId="28FFC5C5">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_Toc20653 </w:instrText>
          </w:r>
          <w:r>
            <w:rPr>
              <w:rFonts w:ascii="Calibri" w:hAnsi="Calibri" w:eastAsia="宋体" w:cs="Times New Roman"/>
              <w:kern w:val="2"/>
              <w:szCs w:val="22"/>
              <w:lang w:val="en-US" w:eastAsia="zh-CN" w:bidi="ar-SA"/>
            </w:rPr>
            <w:fldChar w:fldCharType="separate"/>
          </w:r>
          <w:r>
            <w:rPr>
              <w:rFonts w:hint="eastAsia"/>
              <w:szCs w:val="24"/>
              <w:highlight w:val="none"/>
            </w:rPr>
            <w:t>二、</w:t>
          </w:r>
          <w:r>
            <w:rPr>
              <w:rFonts w:hint="eastAsia"/>
              <w:szCs w:val="24"/>
              <w:highlight w:val="none"/>
              <w:lang w:val="en-US" w:eastAsia="zh-CN"/>
            </w:rPr>
            <w:t>供应商</w:t>
          </w:r>
          <w:r>
            <w:rPr>
              <w:rFonts w:hint="eastAsia"/>
              <w:szCs w:val="24"/>
              <w:highlight w:val="none"/>
            </w:rPr>
            <w:t>的资格要求</w:t>
          </w:r>
          <w:r>
            <w:tab/>
          </w:r>
          <w:r>
            <w:fldChar w:fldCharType="begin"/>
          </w:r>
          <w:r>
            <w:instrText xml:space="preserve"> PAGEREF _Toc20653 \h </w:instrText>
          </w:r>
          <w:r>
            <w:fldChar w:fldCharType="separate"/>
          </w:r>
          <w:r>
            <w:t>1</w:t>
          </w:r>
          <w:r>
            <w:fldChar w:fldCharType="end"/>
          </w:r>
          <w:r>
            <w:rPr>
              <w:rFonts w:ascii="Calibri" w:hAnsi="Calibri" w:eastAsia="宋体" w:cs="Times New Roman"/>
              <w:kern w:val="2"/>
              <w:szCs w:val="22"/>
              <w:lang w:val="en-US" w:eastAsia="zh-CN" w:bidi="ar-SA"/>
            </w:rPr>
            <w:fldChar w:fldCharType="end"/>
          </w:r>
        </w:p>
        <w:p w14:paraId="584877D6">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_Toc16786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三、获取</w:t>
          </w:r>
          <w:r>
            <w:rPr>
              <w:rFonts w:hint="eastAsia" w:ascii="宋体" w:hAnsi="宋体" w:eastAsia="宋体" w:cs="宋体"/>
              <w:szCs w:val="21"/>
              <w:highlight w:val="none"/>
              <w:lang w:val="en-US" w:eastAsia="zh-CN"/>
            </w:rPr>
            <w:t>采购</w:t>
          </w:r>
          <w:r>
            <w:rPr>
              <w:rFonts w:hint="eastAsia" w:ascii="宋体" w:hAnsi="宋体" w:eastAsia="宋体" w:cs="宋体"/>
              <w:szCs w:val="21"/>
              <w:highlight w:val="none"/>
              <w:lang w:eastAsia="zh-CN"/>
            </w:rPr>
            <w:t>文件</w:t>
          </w:r>
          <w:r>
            <w:tab/>
          </w:r>
          <w:r>
            <w:fldChar w:fldCharType="begin"/>
          </w:r>
          <w:r>
            <w:instrText xml:space="preserve"> PAGEREF _Toc16786 \h </w:instrText>
          </w:r>
          <w:r>
            <w:fldChar w:fldCharType="separate"/>
          </w:r>
          <w:r>
            <w:t>4</w:t>
          </w:r>
          <w:r>
            <w:fldChar w:fldCharType="end"/>
          </w:r>
          <w:r>
            <w:rPr>
              <w:rFonts w:ascii="Calibri" w:hAnsi="Calibri" w:eastAsia="宋体" w:cs="Times New Roman"/>
              <w:kern w:val="2"/>
              <w:szCs w:val="22"/>
              <w:lang w:val="en-US" w:eastAsia="zh-CN" w:bidi="ar-SA"/>
            </w:rPr>
            <w:fldChar w:fldCharType="end"/>
          </w:r>
        </w:p>
        <w:p w14:paraId="6CEE2A6E">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_Toc16708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四、</w:t>
          </w:r>
          <w:r>
            <w:rPr>
              <w:rFonts w:hint="eastAsia" w:ascii="宋体" w:hAnsi="宋体" w:eastAsia="宋体" w:cs="宋体"/>
              <w:szCs w:val="21"/>
              <w:highlight w:val="none"/>
              <w:lang w:eastAsia="zh-CN"/>
            </w:rPr>
            <w:t>响应文件</w:t>
          </w:r>
          <w:r>
            <w:rPr>
              <w:rFonts w:hint="eastAsia" w:ascii="宋体" w:hAnsi="宋体" w:eastAsia="宋体" w:cs="宋体"/>
              <w:szCs w:val="21"/>
              <w:highlight w:val="none"/>
            </w:rPr>
            <w:t>提交</w:t>
          </w:r>
          <w:r>
            <w:tab/>
          </w:r>
          <w:r>
            <w:fldChar w:fldCharType="begin"/>
          </w:r>
          <w:r>
            <w:instrText xml:space="preserve"> PAGEREF _Toc16708 \h </w:instrText>
          </w:r>
          <w:r>
            <w:fldChar w:fldCharType="separate"/>
          </w:r>
          <w:r>
            <w:t>4</w:t>
          </w:r>
          <w:r>
            <w:fldChar w:fldCharType="end"/>
          </w:r>
          <w:r>
            <w:rPr>
              <w:rFonts w:ascii="Calibri" w:hAnsi="Calibri" w:eastAsia="宋体" w:cs="Times New Roman"/>
              <w:kern w:val="2"/>
              <w:szCs w:val="22"/>
              <w:lang w:val="en-US" w:eastAsia="zh-CN" w:bidi="ar-SA"/>
            </w:rPr>
            <w:fldChar w:fldCharType="end"/>
          </w:r>
        </w:p>
        <w:p w14:paraId="7311E541">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_Toc11839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五、</w:t>
          </w:r>
          <w:r>
            <w:rPr>
              <w:rFonts w:hint="eastAsia" w:ascii="宋体" w:hAnsi="宋体" w:eastAsia="宋体" w:cs="宋体"/>
              <w:szCs w:val="21"/>
              <w:highlight w:val="none"/>
              <w:lang w:eastAsia="zh-CN"/>
            </w:rPr>
            <w:t>响应文件</w:t>
          </w:r>
          <w:r>
            <w:rPr>
              <w:rFonts w:hint="eastAsia" w:ascii="宋体" w:hAnsi="宋体" w:eastAsia="宋体" w:cs="宋体"/>
              <w:szCs w:val="21"/>
              <w:highlight w:val="none"/>
            </w:rPr>
            <w:t>开启</w:t>
          </w:r>
          <w:r>
            <w:tab/>
          </w:r>
          <w:r>
            <w:fldChar w:fldCharType="begin"/>
          </w:r>
          <w:r>
            <w:instrText xml:space="preserve"> PAGEREF _Toc11839 \h </w:instrText>
          </w:r>
          <w:r>
            <w:fldChar w:fldCharType="separate"/>
          </w:r>
          <w:r>
            <w:t>4</w:t>
          </w:r>
          <w:r>
            <w:fldChar w:fldCharType="end"/>
          </w:r>
          <w:r>
            <w:rPr>
              <w:rFonts w:ascii="Calibri" w:hAnsi="Calibri" w:eastAsia="宋体" w:cs="Times New Roman"/>
              <w:kern w:val="2"/>
              <w:szCs w:val="22"/>
              <w:lang w:val="en-US" w:eastAsia="zh-CN" w:bidi="ar-SA"/>
            </w:rPr>
            <w:fldChar w:fldCharType="end"/>
          </w:r>
        </w:p>
        <w:p w14:paraId="2FFF54DC">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_Toc14727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六、公告期限</w:t>
          </w:r>
          <w:r>
            <w:tab/>
          </w:r>
          <w:r>
            <w:fldChar w:fldCharType="begin"/>
          </w:r>
          <w:r>
            <w:instrText xml:space="preserve"> PAGEREF _Toc14727 \h </w:instrText>
          </w:r>
          <w:r>
            <w:fldChar w:fldCharType="separate"/>
          </w:r>
          <w:r>
            <w:t>4</w:t>
          </w:r>
          <w:r>
            <w:fldChar w:fldCharType="end"/>
          </w:r>
          <w:r>
            <w:rPr>
              <w:rFonts w:ascii="Calibri" w:hAnsi="Calibri" w:eastAsia="宋体" w:cs="Times New Roman"/>
              <w:kern w:val="2"/>
              <w:szCs w:val="22"/>
              <w:lang w:val="en-US" w:eastAsia="zh-CN" w:bidi="ar-SA"/>
            </w:rPr>
            <w:fldChar w:fldCharType="end"/>
          </w:r>
        </w:p>
        <w:p w14:paraId="68B97CE7">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_Toc7608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七、其他补充事宜</w:t>
          </w:r>
          <w:r>
            <w:tab/>
          </w:r>
          <w:r>
            <w:fldChar w:fldCharType="begin"/>
          </w:r>
          <w:r>
            <w:instrText xml:space="preserve"> PAGEREF _Toc7608 \h </w:instrText>
          </w:r>
          <w:r>
            <w:fldChar w:fldCharType="separate"/>
          </w:r>
          <w:r>
            <w:t>4</w:t>
          </w:r>
          <w:r>
            <w:fldChar w:fldCharType="end"/>
          </w:r>
          <w:r>
            <w:rPr>
              <w:rFonts w:ascii="Calibri" w:hAnsi="Calibri" w:eastAsia="宋体" w:cs="Times New Roman"/>
              <w:kern w:val="2"/>
              <w:szCs w:val="22"/>
              <w:lang w:val="en-US" w:eastAsia="zh-CN" w:bidi="ar-SA"/>
            </w:rPr>
            <w:fldChar w:fldCharType="end"/>
          </w:r>
        </w:p>
        <w:p w14:paraId="7DEF1BCC">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_Toc10487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八、对本次</w:t>
          </w:r>
          <w:r>
            <w:rPr>
              <w:rFonts w:hint="eastAsia" w:ascii="宋体" w:hAnsi="宋体" w:eastAsia="宋体" w:cs="宋体"/>
              <w:szCs w:val="21"/>
              <w:highlight w:val="none"/>
              <w:lang w:val="en-US" w:eastAsia="zh-CN"/>
            </w:rPr>
            <w:t>采购</w:t>
          </w:r>
          <w:r>
            <w:rPr>
              <w:rFonts w:hint="eastAsia" w:ascii="宋体" w:hAnsi="宋体" w:eastAsia="宋体" w:cs="宋体"/>
              <w:szCs w:val="21"/>
              <w:highlight w:val="none"/>
            </w:rPr>
            <w:t>提出询问，请按以下方式联系</w:t>
          </w:r>
          <w:r>
            <w:tab/>
          </w:r>
          <w:r>
            <w:fldChar w:fldCharType="begin"/>
          </w:r>
          <w:r>
            <w:instrText xml:space="preserve"> PAGEREF _Toc10487 \h </w:instrText>
          </w:r>
          <w:r>
            <w:fldChar w:fldCharType="separate"/>
          </w:r>
          <w:r>
            <w:t>5</w:t>
          </w:r>
          <w:r>
            <w:fldChar w:fldCharType="end"/>
          </w:r>
          <w:r>
            <w:rPr>
              <w:rFonts w:ascii="Calibri" w:hAnsi="Calibri" w:eastAsia="宋体" w:cs="Times New Roman"/>
              <w:kern w:val="2"/>
              <w:szCs w:val="22"/>
              <w:lang w:val="en-US" w:eastAsia="zh-CN" w:bidi="ar-SA"/>
            </w:rPr>
            <w:fldChar w:fldCharType="end"/>
          </w:r>
        </w:p>
        <w:p w14:paraId="5AF070ED">
          <w:pPr>
            <w:pStyle w:val="22"/>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_Toc16883 </w:instrText>
          </w:r>
          <w:r>
            <w:rPr>
              <w:rFonts w:ascii="Calibri" w:hAnsi="Calibri" w:eastAsia="宋体" w:cs="Times New Roman"/>
              <w:kern w:val="2"/>
              <w:szCs w:val="22"/>
              <w:lang w:val="en-US" w:eastAsia="zh-CN" w:bidi="ar-SA"/>
            </w:rPr>
            <w:fldChar w:fldCharType="separate"/>
          </w:r>
          <w:r>
            <w:rPr>
              <w:rFonts w:hint="eastAsia" w:ascii="黑体" w:hAnsi="黑体" w:eastAsia="黑体" w:cs="黑体"/>
              <w:szCs w:val="36"/>
              <w:highlight w:val="none"/>
            </w:rPr>
            <w:t xml:space="preserve">第二章 </w:t>
          </w:r>
          <w:r>
            <w:rPr>
              <w:rFonts w:hint="eastAsia" w:ascii="黑体" w:hAnsi="黑体" w:eastAsia="黑体" w:cs="黑体"/>
              <w:szCs w:val="36"/>
              <w:highlight w:val="none"/>
              <w:lang w:eastAsia="zh-CN"/>
            </w:rPr>
            <w:t>供应商</w:t>
          </w:r>
          <w:r>
            <w:rPr>
              <w:rFonts w:hint="eastAsia" w:ascii="黑体" w:hAnsi="黑体" w:eastAsia="黑体" w:cs="黑体"/>
              <w:szCs w:val="36"/>
              <w:highlight w:val="none"/>
            </w:rPr>
            <w:t>须知</w:t>
          </w:r>
          <w:r>
            <w:tab/>
          </w:r>
          <w:r>
            <w:fldChar w:fldCharType="begin"/>
          </w:r>
          <w:r>
            <w:instrText xml:space="preserve"> PAGEREF _Toc16883 \h </w:instrText>
          </w:r>
          <w:r>
            <w:fldChar w:fldCharType="separate"/>
          </w:r>
          <w:r>
            <w:t>6</w:t>
          </w:r>
          <w:r>
            <w:fldChar w:fldCharType="end"/>
          </w:r>
          <w:r>
            <w:rPr>
              <w:rFonts w:ascii="Calibri" w:hAnsi="Calibri" w:eastAsia="宋体" w:cs="Times New Roman"/>
              <w:kern w:val="2"/>
              <w:szCs w:val="22"/>
              <w:lang w:val="en-US" w:eastAsia="zh-CN" w:bidi="ar-SA"/>
            </w:rPr>
            <w:fldChar w:fldCharType="end"/>
          </w:r>
        </w:p>
        <w:p w14:paraId="579901B0">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_Toc24649 </w:instrText>
          </w:r>
          <w:r>
            <w:rPr>
              <w:rFonts w:ascii="Calibri" w:hAnsi="Calibri" w:eastAsia="宋体" w:cs="Times New Roman"/>
              <w:kern w:val="2"/>
              <w:szCs w:val="22"/>
              <w:lang w:val="en-US" w:eastAsia="zh-CN" w:bidi="ar-SA"/>
            </w:rPr>
            <w:fldChar w:fldCharType="separate"/>
          </w:r>
          <w:r>
            <w:rPr>
              <w:rFonts w:hint="eastAsia" w:ascii="宋体" w:hAnsi="宋体" w:eastAsia="宋体" w:cs="宋体"/>
              <w:highlight w:val="none"/>
              <w:lang w:eastAsia="zh-CN"/>
            </w:rPr>
            <w:t>供应商</w:t>
          </w:r>
          <w:r>
            <w:rPr>
              <w:rFonts w:hint="eastAsia" w:ascii="宋体" w:hAnsi="宋体" w:eastAsia="宋体" w:cs="宋体"/>
              <w:highlight w:val="none"/>
            </w:rPr>
            <w:t>须知前附表</w:t>
          </w:r>
          <w:r>
            <w:tab/>
          </w:r>
          <w:r>
            <w:fldChar w:fldCharType="begin"/>
          </w:r>
          <w:r>
            <w:instrText xml:space="preserve"> PAGEREF _Toc24649 \h </w:instrText>
          </w:r>
          <w:r>
            <w:fldChar w:fldCharType="separate"/>
          </w:r>
          <w:r>
            <w:t>6</w:t>
          </w:r>
          <w:r>
            <w:fldChar w:fldCharType="end"/>
          </w:r>
          <w:r>
            <w:rPr>
              <w:rFonts w:ascii="Calibri" w:hAnsi="Calibri" w:eastAsia="宋体" w:cs="Times New Roman"/>
              <w:kern w:val="2"/>
              <w:szCs w:val="22"/>
              <w:lang w:val="en-US" w:eastAsia="zh-CN" w:bidi="ar-SA"/>
            </w:rPr>
            <w:fldChar w:fldCharType="end"/>
          </w:r>
        </w:p>
        <w:p w14:paraId="19F483F2">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_Toc15642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8"/>
              <w:highlight w:val="none"/>
              <w:lang w:eastAsia="zh-CN"/>
            </w:rPr>
            <w:t>供应商</w:t>
          </w:r>
          <w:r>
            <w:rPr>
              <w:rFonts w:hint="eastAsia" w:ascii="宋体" w:hAnsi="宋体" w:eastAsia="宋体" w:cs="宋体"/>
              <w:szCs w:val="28"/>
              <w:highlight w:val="none"/>
            </w:rPr>
            <w:t>须知正文部分</w:t>
          </w:r>
          <w:r>
            <w:tab/>
          </w:r>
          <w:r>
            <w:fldChar w:fldCharType="begin"/>
          </w:r>
          <w:r>
            <w:instrText xml:space="preserve"> PAGEREF _Toc15642 \h </w:instrText>
          </w:r>
          <w:r>
            <w:fldChar w:fldCharType="separate"/>
          </w:r>
          <w:r>
            <w:t>17</w:t>
          </w:r>
          <w:r>
            <w:fldChar w:fldCharType="end"/>
          </w:r>
          <w:r>
            <w:rPr>
              <w:rFonts w:ascii="Calibri" w:hAnsi="Calibri" w:eastAsia="宋体" w:cs="Times New Roman"/>
              <w:kern w:val="2"/>
              <w:szCs w:val="22"/>
              <w:lang w:val="en-US" w:eastAsia="zh-CN" w:bidi="ar-SA"/>
            </w:rPr>
            <w:fldChar w:fldCharType="end"/>
          </w:r>
        </w:p>
        <w:p w14:paraId="18AA207B">
          <w:pPr>
            <w:pStyle w:val="22"/>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_Toc25626 </w:instrText>
          </w:r>
          <w:r>
            <w:rPr>
              <w:rFonts w:ascii="Calibri" w:hAnsi="Calibri" w:eastAsia="宋体" w:cs="Times New Roman"/>
              <w:kern w:val="2"/>
              <w:szCs w:val="22"/>
              <w:lang w:val="en-US" w:eastAsia="zh-CN" w:bidi="ar-SA"/>
            </w:rPr>
            <w:fldChar w:fldCharType="separate"/>
          </w:r>
          <w:r>
            <w:rPr>
              <w:rFonts w:hint="eastAsia" w:ascii="黑体" w:hAnsi="黑体" w:eastAsia="黑体" w:cs="黑体"/>
              <w:szCs w:val="36"/>
              <w:highlight w:val="none"/>
            </w:rPr>
            <w:t>第三章 采购需求</w:t>
          </w:r>
          <w:r>
            <w:tab/>
          </w:r>
          <w:r>
            <w:fldChar w:fldCharType="begin"/>
          </w:r>
          <w:r>
            <w:instrText xml:space="preserve"> PAGEREF _Toc25626 \h </w:instrText>
          </w:r>
          <w:r>
            <w:fldChar w:fldCharType="separate"/>
          </w:r>
          <w:r>
            <w:t>32</w:t>
          </w:r>
          <w:r>
            <w:fldChar w:fldCharType="end"/>
          </w:r>
          <w:r>
            <w:rPr>
              <w:rFonts w:ascii="Calibri" w:hAnsi="Calibri" w:eastAsia="宋体" w:cs="Times New Roman"/>
              <w:kern w:val="2"/>
              <w:szCs w:val="22"/>
              <w:lang w:val="en-US" w:eastAsia="zh-CN" w:bidi="ar-SA"/>
            </w:rPr>
            <w:fldChar w:fldCharType="end"/>
          </w:r>
        </w:p>
        <w:p w14:paraId="3089E57D">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_Toc18418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rPr>
            <w:t>一、项目基本情况</w:t>
          </w:r>
          <w:r>
            <w:tab/>
          </w:r>
          <w:r>
            <w:fldChar w:fldCharType="begin"/>
          </w:r>
          <w:r>
            <w:instrText xml:space="preserve"> PAGEREF _Toc18418 \h </w:instrText>
          </w:r>
          <w:r>
            <w:fldChar w:fldCharType="separate"/>
          </w:r>
          <w:r>
            <w:t>32</w:t>
          </w:r>
          <w:r>
            <w:fldChar w:fldCharType="end"/>
          </w:r>
          <w:r>
            <w:rPr>
              <w:rFonts w:ascii="Calibri" w:hAnsi="Calibri" w:eastAsia="宋体" w:cs="Times New Roman"/>
              <w:kern w:val="2"/>
              <w:szCs w:val="22"/>
              <w:lang w:val="en-US" w:eastAsia="zh-CN" w:bidi="ar-SA"/>
            </w:rPr>
            <w:fldChar w:fldCharType="end"/>
          </w:r>
        </w:p>
        <w:p w14:paraId="4621C917">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_Toc7762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lang w:val="en-US" w:eastAsia="zh-CN"/>
            </w:rPr>
            <w:t>二、</w:t>
          </w:r>
          <w:r>
            <w:rPr>
              <w:rFonts w:hint="eastAsia" w:ascii="宋体" w:hAnsi="宋体" w:eastAsia="宋体" w:cs="宋体"/>
              <w:szCs w:val="21"/>
              <w:highlight w:val="none"/>
              <w:lang w:eastAsia="zh-CN"/>
            </w:rPr>
            <w:t>技术标准和要求</w:t>
          </w:r>
          <w:r>
            <w:tab/>
          </w:r>
          <w:r>
            <w:fldChar w:fldCharType="begin"/>
          </w:r>
          <w:r>
            <w:instrText xml:space="preserve"> PAGEREF _Toc7762 \h </w:instrText>
          </w:r>
          <w:r>
            <w:fldChar w:fldCharType="separate"/>
          </w:r>
          <w:r>
            <w:t>32</w:t>
          </w:r>
          <w:r>
            <w:fldChar w:fldCharType="end"/>
          </w:r>
          <w:r>
            <w:rPr>
              <w:rFonts w:ascii="Calibri" w:hAnsi="Calibri" w:eastAsia="宋体" w:cs="Times New Roman"/>
              <w:kern w:val="2"/>
              <w:szCs w:val="22"/>
              <w:lang w:val="en-US" w:eastAsia="zh-CN" w:bidi="ar-SA"/>
            </w:rPr>
            <w:fldChar w:fldCharType="end"/>
          </w:r>
        </w:p>
        <w:p w14:paraId="45D8D092">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_Toc12333 </w:instrText>
          </w:r>
          <w:r>
            <w:rPr>
              <w:rFonts w:ascii="Calibri" w:hAnsi="Calibri" w:eastAsia="宋体" w:cs="Times New Roman"/>
              <w:kern w:val="2"/>
              <w:szCs w:val="22"/>
              <w:lang w:val="en-US" w:eastAsia="zh-CN" w:bidi="ar-SA"/>
            </w:rPr>
            <w:fldChar w:fldCharType="separate"/>
          </w:r>
          <w:r>
            <w:rPr>
              <w:rFonts w:hint="eastAsia" w:ascii="宋体" w:hAnsi="宋体" w:eastAsia="宋体" w:cs="宋体"/>
              <w:bCs/>
              <w:kern w:val="2"/>
              <w:szCs w:val="21"/>
              <w:highlight w:val="none"/>
              <w:lang w:val="en-US" w:eastAsia="zh-CN" w:bidi="ar-SA"/>
            </w:rPr>
            <w:t>三、图纸</w:t>
          </w:r>
          <w:r>
            <w:tab/>
          </w:r>
          <w:r>
            <w:fldChar w:fldCharType="begin"/>
          </w:r>
          <w:r>
            <w:instrText xml:space="preserve"> PAGEREF _Toc12333 \h </w:instrText>
          </w:r>
          <w:r>
            <w:fldChar w:fldCharType="separate"/>
          </w:r>
          <w:r>
            <w:t>38</w:t>
          </w:r>
          <w:r>
            <w:fldChar w:fldCharType="end"/>
          </w:r>
          <w:r>
            <w:rPr>
              <w:rFonts w:ascii="Calibri" w:hAnsi="Calibri" w:eastAsia="宋体" w:cs="Times New Roman"/>
              <w:kern w:val="2"/>
              <w:szCs w:val="22"/>
              <w:lang w:val="en-US" w:eastAsia="zh-CN" w:bidi="ar-SA"/>
            </w:rPr>
            <w:fldChar w:fldCharType="end"/>
          </w:r>
        </w:p>
        <w:p w14:paraId="489F686F">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_Toc11163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1"/>
              <w:highlight w:val="none"/>
              <w:lang w:val="en-US" w:eastAsia="zh-CN"/>
            </w:rPr>
            <w:t>四</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工程量清单</w:t>
          </w:r>
          <w:r>
            <w:tab/>
          </w:r>
          <w:r>
            <w:fldChar w:fldCharType="begin"/>
          </w:r>
          <w:r>
            <w:instrText xml:space="preserve"> PAGEREF _Toc11163 \h </w:instrText>
          </w:r>
          <w:r>
            <w:fldChar w:fldCharType="separate"/>
          </w:r>
          <w:r>
            <w:t>38</w:t>
          </w:r>
          <w:r>
            <w:fldChar w:fldCharType="end"/>
          </w:r>
          <w:r>
            <w:rPr>
              <w:rFonts w:ascii="Calibri" w:hAnsi="Calibri" w:eastAsia="宋体" w:cs="Times New Roman"/>
              <w:kern w:val="2"/>
              <w:szCs w:val="22"/>
              <w:lang w:val="en-US" w:eastAsia="zh-CN" w:bidi="ar-SA"/>
            </w:rPr>
            <w:fldChar w:fldCharType="end"/>
          </w:r>
        </w:p>
        <w:p w14:paraId="0235640B">
          <w:pPr>
            <w:pStyle w:val="22"/>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_Toc5765 </w:instrText>
          </w:r>
          <w:r>
            <w:rPr>
              <w:rFonts w:ascii="Calibri" w:hAnsi="Calibri" w:eastAsia="宋体" w:cs="Times New Roman"/>
              <w:kern w:val="2"/>
              <w:szCs w:val="22"/>
              <w:lang w:val="en-US" w:eastAsia="zh-CN" w:bidi="ar-SA"/>
            </w:rPr>
            <w:fldChar w:fldCharType="separate"/>
          </w:r>
          <w:r>
            <w:rPr>
              <w:rFonts w:hint="eastAsia" w:ascii="黑体" w:hAnsi="黑体" w:eastAsia="黑体" w:cs="黑体"/>
              <w:szCs w:val="36"/>
              <w:highlight w:val="none"/>
            </w:rPr>
            <w:t xml:space="preserve">第四章 </w:t>
          </w:r>
          <w:r>
            <w:rPr>
              <w:rFonts w:hint="eastAsia" w:ascii="黑体" w:hAnsi="黑体" w:eastAsia="黑体" w:cs="黑体"/>
              <w:szCs w:val="36"/>
              <w:highlight w:val="none"/>
              <w:lang w:eastAsia="zh-CN"/>
            </w:rPr>
            <w:t>评审办法（</w:t>
          </w:r>
          <w:r>
            <w:rPr>
              <w:rFonts w:hint="eastAsia" w:ascii="黑体" w:hAnsi="黑体" w:eastAsia="黑体" w:cs="黑体"/>
              <w:szCs w:val="36"/>
              <w:highlight w:val="none"/>
              <w:lang w:val="en-US" w:eastAsia="zh-CN"/>
            </w:rPr>
            <w:t>综合评分法</w:t>
          </w:r>
          <w:r>
            <w:rPr>
              <w:rFonts w:hint="eastAsia" w:ascii="黑体" w:hAnsi="黑体" w:eastAsia="黑体" w:cs="黑体"/>
              <w:szCs w:val="36"/>
              <w:highlight w:val="none"/>
              <w:lang w:eastAsia="zh-CN"/>
            </w:rPr>
            <w:t>）</w:t>
          </w:r>
          <w:r>
            <w:tab/>
          </w:r>
          <w:r>
            <w:fldChar w:fldCharType="begin"/>
          </w:r>
          <w:r>
            <w:instrText xml:space="preserve"> PAGEREF _Toc5765 \h </w:instrText>
          </w:r>
          <w:r>
            <w:fldChar w:fldCharType="separate"/>
          </w:r>
          <w:r>
            <w:t>57</w:t>
          </w:r>
          <w:r>
            <w:fldChar w:fldCharType="end"/>
          </w:r>
          <w:r>
            <w:rPr>
              <w:rFonts w:ascii="Calibri" w:hAnsi="Calibri" w:eastAsia="宋体" w:cs="Times New Roman"/>
              <w:kern w:val="2"/>
              <w:szCs w:val="22"/>
              <w:lang w:val="en-US" w:eastAsia="zh-CN" w:bidi="ar-SA"/>
            </w:rPr>
            <w:fldChar w:fldCharType="end"/>
          </w:r>
        </w:p>
        <w:p w14:paraId="67961F93">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_Toc11670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8"/>
              <w:highlight w:val="none"/>
              <w:lang w:eastAsia="zh-CN"/>
            </w:rPr>
            <w:t>评审办法前附表</w:t>
          </w:r>
          <w:r>
            <w:tab/>
          </w:r>
          <w:r>
            <w:fldChar w:fldCharType="begin"/>
          </w:r>
          <w:r>
            <w:instrText xml:space="preserve"> PAGEREF _Toc11670 \h </w:instrText>
          </w:r>
          <w:r>
            <w:fldChar w:fldCharType="separate"/>
          </w:r>
          <w:r>
            <w:t>57</w:t>
          </w:r>
          <w:r>
            <w:fldChar w:fldCharType="end"/>
          </w:r>
          <w:r>
            <w:rPr>
              <w:rFonts w:ascii="Calibri" w:hAnsi="Calibri" w:eastAsia="宋体" w:cs="Times New Roman"/>
              <w:kern w:val="2"/>
              <w:szCs w:val="22"/>
              <w:lang w:val="en-US" w:eastAsia="zh-CN" w:bidi="ar-SA"/>
            </w:rPr>
            <w:fldChar w:fldCharType="end"/>
          </w:r>
        </w:p>
        <w:p w14:paraId="2AB197CA">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_Toc21153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8"/>
              <w:highlight w:val="none"/>
              <w:lang w:eastAsia="zh-CN"/>
            </w:rPr>
            <w:t>评审办法正文</w:t>
          </w:r>
          <w:r>
            <w:tab/>
          </w:r>
          <w:r>
            <w:fldChar w:fldCharType="begin"/>
          </w:r>
          <w:r>
            <w:instrText xml:space="preserve"> PAGEREF _Toc21153 \h </w:instrText>
          </w:r>
          <w:r>
            <w:fldChar w:fldCharType="separate"/>
          </w:r>
          <w:r>
            <w:t>65</w:t>
          </w:r>
          <w:r>
            <w:fldChar w:fldCharType="end"/>
          </w:r>
          <w:r>
            <w:rPr>
              <w:rFonts w:ascii="Calibri" w:hAnsi="Calibri" w:eastAsia="宋体" w:cs="Times New Roman"/>
              <w:kern w:val="2"/>
              <w:szCs w:val="22"/>
              <w:lang w:val="en-US" w:eastAsia="zh-CN" w:bidi="ar-SA"/>
            </w:rPr>
            <w:fldChar w:fldCharType="end"/>
          </w:r>
        </w:p>
        <w:p w14:paraId="1CD96DA7">
          <w:pPr>
            <w:pStyle w:val="22"/>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_Toc4023 </w:instrText>
          </w:r>
          <w:r>
            <w:rPr>
              <w:rFonts w:ascii="Calibri" w:hAnsi="Calibri" w:eastAsia="宋体" w:cs="Times New Roman"/>
              <w:kern w:val="2"/>
              <w:szCs w:val="22"/>
              <w:lang w:val="en-US" w:eastAsia="zh-CN" w:bidi="ar-SA"/>
            </w:rPr>
            <w:fldChar w:fldCharType="separate"/>
          </w:r>
          <w:r>
            <w:rPr>
              <w:rFonts w:hint="eastAsia" w:ascii="黑体" w:hAnsi="黑体" w:eastAsia="黑体" w:cs="黑体"/>
              <w:szCs w:val="36"/>
              <w:highlight w:val="none"/>
            </w:rPr>
            <w:t>第五章 合同主要条款</w:t>
          </w:r>
          <w:r>
            <w:tab/>
          </w:r>
          <w:r>
            <w:fldChar w:fldCharType="begin"/>
          </w:r>
          <w:r>
            <w:instrText xml:space="preserve"> PAGEREF _Toc4023 \h </w:instrText>
          </w:r>
          <w:r>
            <w:fldChar w:fldCharType="separate"/>
          </w:r>
          <w:r>
            <w:t>73</w:t>
          </w:r>
          <w:r>
            <w:fldChar w:fldCharType="end"/>
          </w:r>
          <w:r>
            <w:rPr>
              <w:rFonts w:ascii="Calibri" w:hAnsi="Calibri" w:eastAsia="宋体" w:cs="Times New Roman"/>
              <w:kern w:val="2"/>
              <w:szCs w:val="22"/>
              <w:lang w:val="en-US" w:eastAsia="zh-CN" w:bidi="ar-SA"/>
            </w:rPr>
            <w:fldChar w:fldCharType="end"/>
          </w:r>
        </w:p>
        <w:p w14:paraId="3A39C6AF">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_Toc21251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8"/>
              <w:highlight w:val="none"/>
              <w:lang w:eastAsia="zh-CN"/>
            </w:rPr>
            <w:t>第一节 通用合同条款</w:t>
          </w:r>
          <w:r>
            <w:tab/>
          </w:r>
          <w:r>
            <w:fldChar w:fldCharType="begin"/>
          </w:r>
          <w:r>
            <w:instrText xml:space="preserve"> PAGEREF _Toc21251 \h </w:instrText>
          </w:r>
          <w:r>
            <w:fldChar w:fldCharType="separate"/>
          </w:r>
          <w:r>
            <w:t>75</w:t>
          </w:r>
          <w:r>
            <w:fldChar w:fldCharType="end"/>
          </w:r>
          <w:r>
            <w:rPr>
              <w:rFonts w:ascii="Calibri" w:hAnsi="Calibri" w:eastAsia="宋体" w:cs="Times New Roman"/>
              <w:kern w:val="2"/>
              <w:szCs w:val="22"/>
              <w:lang w:val="en-US" w:eastAsia="zh-CN" w:bidi="ar-SA"/>
            </w:rPr>
            <w:fldChar w:fldCharType="end"/>
          </w:r>
        </w:p>
        <w:p w14:paraId="7845C291">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_Toc23527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8"/>
              <w:highlight w:val="none"/>
              <w:lang w:eastAsia="zh-CN"/>
            </w:rPr>
            <w:t>第二节 专用合同条款</w:t>
          </w:r>
          <w:r>
            <w:tab/>
          </w:r>
          <w:r>
            <w:fldChar w:fldCharType="begin"/>
          </w:r>
          <w:r>
            <w:instrText xml:space="preserve"> PAGEREF _Toc23527 \h </w:instrText>
          </w:r>
          <w:r>
            <w:fldChar w:fldCharType="separate"/>
          </w:r>
          <w:r>
            <w:t>120</w:t>
          </w:r>
          <w:r>
            <w:fldChar w:fldCharType="end"/>
          </w:r>
          <w:r>
            <w:rPr>
              <w:rFonts w:ascii="Calibri" w:hAnsi="Calibri" w:eastAsia="宋体" w:cs="Times New Roman"/>
              <w:kern w:val="2"/>
              <w:szCs w:val="22"/>
              <w:lang w:val="en-US" w:eastAsia="zh-CN" w:bidi="ar-SA"/>
            </w:rPr>
            <w:fldChar w:fldCharType="end"/>
          </w:r>
        </w:p>
        <w:p w14:paraId="55320218">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_Toc16790 </w:instrText>
          </w:r>
          <w:r>
            <w:rPr>
              <w:rFonts w:ascii="Calibri" w:hAnsi="Calibri" w:eastAsia="宋体" w:cs="Times New Roman"/>
              <w:kern w:val="2"/>
              <w:szCs w:val="22"/>
              <w:lang w:val="en-US" w:eastAsia="zh-CN" w:bidi="ar-SA"/>
            </w:rPr>
            <w:fldChar w:fldCharType="separate"/>
          </w:r>
          <w:r>
            <w:rPr>
              <w:rFonts w:hint="eastAsia" w:ascii="宋体" w:hAnsi="宋体" w:eastAsia="宋体" w:cs="宋体"/>
              <w:szCs w:val="28"/>
              <w:highlight w:val="none"/>
              <w:lang w:eastAsia="zh-CN"/>
            </w:rPr>
            <w:t>第三节 合同附件格式</w:t>
          </w:r>
          <w:r>
            <w:tab/>
          </w:r>
          <w:r>
            <w:fldChar w:fldCharType="begin"/>
          </w:r>
          <w:r>
            <w:instrText xml:space="preserve"> PAGEREF _Toc16790 \h </w:instrText>
          </w:r>
          <w:r>
            <w:fldChar w:fldCharType="separate"/>
          </w:r>
          <w:r>
            <w:t>129</w:t>
          </w:r>
          <w:r>
            <w:fldChar w:fldCharType="end"/>
          </w:r>
          <w:r>
            <w:rPr>
              <w:rFonts w:ascii="Calibri" w:hAnsi="Calibri" w:eastAsia="宋体" w:cs="Times New Roman"/>
              <w:kern w:val="2"/>
              <w:szCs w:val="22"/>
              <w:lang w:val="en-US" w:eastAsia="zh-CN" w:bidi="ar-SA"/>
            </w:rPr>
            <w:fldChar w:fldCharType="end"/>
          </w:r>
        </w:p>
        <w:p w14:paraId="57325CEF">
          <w:pPr>
            <w:pStyle w:val="22"/>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_Toc25955 </w:instrText>
          </w:r>
          <w:r>
            <w:rPr>
              <w:rFonts w:ascii="Calibri" w:hAnsi="Calibri" w:eastAsia="宋体" w:cs="Times New Roman"/>
              <w:kern w:val="2"/>
              <w:szCs w:val="22"/>
              <w:lang w:val="en-US" w:eastAsia="zh-CN" w:bidi="ar-SA"/>
            </w:rPr>
            <w:fldChar w:fldCharType="separate"/>
          </w:r>
          <w:r>
            <w:rPr>
              <w:rFonts w:hint="eastAsia" w:ascii="黑体" w:hAnsi="黑体" w:eastAsia="黑体" w:cs="黑体"/>
              <w:szCs w:val="36"/>
              <w:highlight w:val="none"/>
            </w:rPr>
            <w:t>第</w:t>
          </w:r>
          <w:r>
            <w:rPr>
              <w:rFonts w:hint="eastAsia" w:ascii="黑体" w:hAnsi="黑体" w:eastAsia="黑体" w:cs="黑体"/>
              <w:szCs w:val="36"/>
              <w:highlight w:val="none"/>
              <w:lang w:val="en-US" w:eastAsia="zh-CN"/>
            </w:rPr>
            <w:t>六</w:t>
          </w:r>
          <w:r>
            <w:rPr>
              <w:rFonts w:hint="eastAsia" w:ascii="黑体" w:hAnsi="黑体" w:eastAsia="黑体" w:cs="黑体"/>
              <w:szCs w:val="36"/>
              <w:highlight w:val="none"/>
            </w:rPr>
            <w:t xml:space="preserve">章 </w:t>
          </w:r>
          <w:r>
            <w:rPr>
              <w:rFonts w:hint="eastAsia" w:ascii="黑体" w:hAnsi="黑体" w:eastAsia="黑体" w:cs="黑体"/>
              <w:szCs w:val="36"/>
              <w:highlight w:val="none"/>
              <w:lang w:eastAsia="zh-CN"/>
            </w:rPr>
            <w:t>响应文件</w:t>
          </w:r>
          <w:r>
            <w:rPr>
              <w:rFonts w:hint="eastAsia" w:ascii="黑体" w:hAnsi="黑体" w:eastAsia="黑体" w:cs="黑体"/>
              <w:szCs w:val="36"/>
              <w:highlight w:val="none"/>
            </w:rPr>
            <w:t>格式</w:t>
          </w:r>
          <w:r>
            <w:tab/>
          </w:r>
          <w:r>
            <w:fldChar w:fldCharType="begin"/>
          </w:r>
          <w:r>
            <w:instrText xml:space="preserve"> PAGEREF _Toc25955 \h </w:instrText>
          </w:r>
          <w:r>
            <w:fldChar w:fldCharType="separate"/>
          </w:r>
          <w:r>
            <w:t>132</w:t>
          </w:r>
          <w:r>
            <w:fldChar w:fldCharType="end"/>
          </w:r>
          <w:r>
            <w:rPr>
              <w:rFonts w:ascii="Calibri" w:hAnsi="Calibri" w:eastAsia="宋体" w:cs="Times New Roman"/>
              <w:kern w:val="2"/>
              <w:szCs w:val="22"/>
              <w:lang w:val="en-US" w:eastAsia="zh-CN" w:bidi="ar-SA"/>
            </w:rPr>
            <w:fldChar w:fldCharType="end"/>
          </w:r>
        </w:p>
        <w:p w14:paraId="7841B1B1">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_Toc14751 </w:instrText>
          </w:r>
          <w:r>
            <w:rPr>
              <w:rFonts w:ascii="Calibri" w:hAnsi="Calibri" w:eastAsia="宋体" w:cs="Times New Roman"/>
              <w:kern w:val="2"/>
              <w:szCs w:val="22"/>
              <w:lang w:val="en-US" w:eastAsia="zh-CN" w:bidi="ar-SA"/>
            </w:rPr>
            <w:fldChar w:fldCharType="separate"/>
          </w:r>
          <w:r>
            <w:rPr>
              <w:rFonts w:ascii="宋体" w:hAnsi="宋体" w:cs="宋体"/>
              <w:szCs w:val="28"/>
              <w:highlight w:val="none"/>
            </w:rPr>
            <w:t>目录</w:t>
          </w:r>
          <w:r>
            <w:tab/>
          </w:r>
          <w:r>
            <w:fldChar w:fldCharType="begin"/>
          </w:r>
          <w:r>
            <w:instrText xml:space="preserve"> PAGEREF _Toc14751 \h </w:instrText>
          </w:r>
          <w:r>
            <w:fldChar w:fldCharType="separate"/>
          </w:r>
          <w:r>
            <w:t>133</w:t>
          </w:r>
          <w:r>
            <w:fldChar w:fldCharType="end"/>
          </w:r>
          <w:r>
            <w:rPr>
              <w:rFonts w:ascii="Calibri" w:hAnsi="Calibri" w:eastAsia="宋体" w:cs="Times New Roman"/>
              <w:kern w:val="2"/>
              <w:szCs w:val="22"/>
              <w:lang w:val="en-US" w:eastAsia="zh-CN" w:bidi="ar-SA"/>
            </w:rPr>
            <w:fldChar w:fldCharType="end"/>
          </w:r>
        </w:p>
        <w:p w14:paraId="1571B545">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_Toc884 </w:instrText>
          </w:r>
          <w:r>
            <w:rPr>
              <w:rFonts w:ascii="Calibri" w:hAnsi="Calibri" w:eastAsia="宋体" w:cs="Times New Roman"/>
              <w:kern w:val="2"/>
              <w:szCs w:val="22"/>
              <w:lang w:val="en-US" w:eastAsia="zh-CN" w:bidi="ar-SA"/>
            </w:rPr>
            <w:fldChar w:fldCharType="separate"/>
          </w:r>
          <w:r>
            <w:rPr>
              <w:rFonts w:hint="eastAsia"/>
              <w:highlight w:val="none"/>
            </w:rPr>
            <w:t>一、</w:t>
          </w:r>
          <w:r>
            <w:rPr>
              <w:rFonts w:hint="eastAsia"/>
              <w:highlight w:val="none"/>
              <w:lang w:val="en-US" w:eastAsia="zh-CN"/>
            </w:rPr>
            <w:t>磋商申请</w:t>
          </w:r>
          <w:r>
            <w:rPr>
              <w:rFonts w:hint="eastAsia"/>
              <w:highlight w:val="none"/>
            </w:rPr>
            <w:t>函</w:t>
          </w:r>
          <w:r>
            <w:tab/>
          </w:r>
          <w:r>
            <w:fldChar w:fldCharType="begin"/>
          </w:r>
          <w:r>
            <w:instrText xml:space="preserve"> PAGEREF _Toc884 \h </w:instrText>
          </w:r>
          <w:r>
            <w:fldChar w:fldCharType="separate"/>
          </w:r>
          <w:r>
            <w:t>134</w:t>
          </w:r>
          <w:r>
            <w:fldChar w:fldCharType="end"/>
          </w:r>
          <w:r>
            <w:rPr>
              <w:rFonts w:ascii="Calibri" w:hAnsi="Calibri" w:eastAsia="宋体" w:cs="Times New Roman"/>
              <w:kern w:val="2"/>
              <w:szCs w:val="22"/>
              <w:lang w:val="en-US" w:eastAsia="zh-CN" w:bidi="ar-SA"/>
            </w:rPr>
            <w:fldChar w:fldCharType="end"/>
          </w:r>
        </w:p>
        <w:p w14:paraId="28CB20C3">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_Toc525 </w:instrText>
          </w:r>
          <w:r>
            <w:rPr>
              <w:rFonts w:ascii="Calibri" w:hAnsi="Calibri" w:eastAsia="宋体" w:cs="Times New Roman"/>
              <w:kern w:val="2"/>
              <w:szCs w:val="22"/>
              <w:lang w:val="en-US" w:eastAsia="zh-CN" w:bidi="ar-SA"/>
            </w:rPr>
            <w:fldChar w:fldCharType="separate"/>
          </w:r>
          <w:r>
            <w:rPr>
              <w:rFonts w:hint="eastAsia"/>
              <w:highlight w:val="none"/>
            </w:rPr>
            <w:t>二、</w:t>
          </w:r>
          <w:r>
            <w:rPr>
              <w:rFonts w:hint="eastAsia"/>
              <w:highlight w:val="none"/>
              <w:lang w:val="en-US" w:eastAsia="zh-CN"/>
            </w:rPr>
            <w:t>磋商</w:t>
          </w:r>
          <w:r>
            <w:rPr>
              <w:rFonts w:hint="eastAsia"/>
              <w:highlight w:val="none"/>
            </w:rPr>
            <w:t>报价表</w:t>
          </w:r>
          <w:r>
            <w:rPr>
              <w:rFonts w:hint="eastAsia"/>
              <w:highlight w:val="none"/>
              <w:lang w:eastAsia="zh-CN"/>
            </w:rPr>
            <w:t>（</w:t>
          </w:r>
          <w:r>
            <w:rPr>
              <w:rFonts w:hint="eastAsia"/>
              <w:highlight w:val="none"/>
              <w:lang w:val="en-US" w:eastAsia="zh-CN"/>
            </w:rPr>
            <w:t>一次报价</w:t>
          </w:r>
          <w:r>
            <w:rPr>
              <w:rFonts w:hint="eastAsia"/>
              <w:highlight w:val="none"/>
              <w:lang w:eastAsia="zh-CN"/>
            </w:rPr>
            <w:t>）</w:t>
          </w:r>
          <w:r>
            <w:tab/>
          </w:r>
          <w:r>
            <w:fldChar w:fldCharType="begin"/>
          </w:r>
          <w:r>
            <w:instrText xml:space="preserve"> PAGEREF _Toc525 \h </w:instrText>
          </w:r>
          <w:r>
            <w:fldChar w:fldCharType="separate"/>
          </w:r>
          <w:r>
            <w:t>135</w:t>
          </w:r>
          <w:r>
            <w:fldChar w:fldCharType="end"/>
          </w:r>
          <w:r>
            <w:rPr>
              <w:rFonts w:ascii="Calibri" w:hAnsi="Calibri" w:eastAsia="宋体" w:cs="Times New Roman"/>
              <w:kern w:val="2"/>
              <w:szCs w:val="22"/>
              <w:lang w:val="en-US" w:eastAsia="zh-CN" w:bidi="ar-SA"/>
            </w:rPr>
            <w:fldChar w:fldCharType="end"/>
          </w:r>
        </w:p>
        <w:p w14:paraId="66E96364">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_Toc8939 </w:instrText>
          </w:r>
          <w:r>
            <w:rPr>
              <w:rFonts w:ascii="Calibri" w:hAnsi="Calibri" w:eastAsia="宋体" w:cs="Times New Roman"/>
              <w:kern w:val="2"/>
              <w:szCs w:val="22"/>
              <w:lang w:val="en-US" w:eastAsia="zh-CN" w:bidi="ar-SA"/>
            </w:rPr>
            <w:fldChar w:fldCharType="separate"/>
          </w:r>
          <w:r>
            <w:rPr>
              <w:rFonts w:hint="eastAsia"/>
              <w:highlight w:val="none"/>
            </w:rPr>
            <w:t>三、法定代表人身份证明和法定代表人授权委托书</w:t>
          </w:r>
          <w:r>
            <w:tab/>
          </w:r>
          <w:r>
            <w:fldChar w:fldCharType="begin"/>
          </w:r>
          <w:r>
            <w:instrText xml:space="preserve"> PAGEREF _Toc8939 \h </w:instrText>
          </w:r>
          <w:r>
            <w:fldChar w:fldCharType="separate"/>
          </w:r>
          <w:r>
            <w:t>137</w:t>
          </w:r>
          <w:r>
            <w:fldChar w:fldCharType="end"/>
          </w:r>
          <w:r>
            <w:rPr>
              <w:rFonts w:ascii="Calibri" w:hAnsi="Calibri" w:eastAsia="宋体" w:cs="Times New Roman"/>
              <w:kern w:val="2"/>
              <w:szCs w:val="22"/>
              <w:lang w:val="en-US" w:eastAsia="zh-CN" w:bidi="ar-SA"/>
            </w:rPr>
            <w:fldChar w:fldCharType="end"/>
          </w:r>
        </w:p>
        <w:p w14:paraId="46EC3E3B">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_Toc6020 </w:instrText>
          </w:r>
          <w:r>
            <w:rPr>
              <w:rFonts w:ascii="Calibri" w:hAnsi="Calibri" w:eastAsia="宋体" w:cs="Times New Roman"/>
              <w:kern w:val="2"/>
              <w:szCs w:val="22"/>
              <w:lang w:val="en-US" w:eastAsia="zh-CN" w:bidi="ar-SA"/>
            </w:rPr>
            <w:fldChar w:fldCharType="separate"/>
          </w:r>
          <w:r>
            <w:rPr>
              <w:rFonts w:hint="eastAsia"/>
              <w:highlight w:val="none"/>
              <w:lang w:val="en-US" w:eastAsia="zh-CN"/>
            </w:rPr>
            <w:t>四</w:t>
          </w:r>
          <w:r>
            <w:rPr>
              <w:rFonts w:hint="eastAsia"/>
              <w:highlight w:val="none"/>
            </w:rPr>
            <w:t>、中小企业声明函</w:t>
          </w:r>
          <w:r>
            <w:tab/>
          </w:r>
          <w:r>
            <w:fldChar w:fldCharType="begin"/>
          </w:r>
          <w:r>
            <w:instrText xml:space="preserve"> PAGEREF _Toc6020 \h </w:instrText>
          </w:r>
          <w:r>
            <w:fldChar w:fldCharType="separate"/>
          </w:r>
          <w:r>
            <w:t>139</w:t>
          </w:r>
          <w:r>
            <w:fldChar w:fldCharType="end"/>
          </w:r>
          <w:r>
            <w:rPr>
              <w:rFonts w:ascii="Calibri" w:hAnsi="Calibri" w:eastAsia="宋体" w:cs="Times New Roman"/>
              <w:kern w:val="2"/>
              <w:szCs w:val="22"/>
              <w:lang w:val="en-US" w:eastAsia="zh-CN" w:bidi="ar-SA"/>
            </w:rPr>
            <w:fldChar w:fldCharType="end"/>
          </w:r>
        </w:p>
        <w:p w14:paraId="3675383B">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_Toc27791 </w:instrText>
          </w:r>
          <w:r>
            <w:rPr>
              <w:rFonts w:ascii="Calibri" w:hAnsi="Calibri" w:eastAsia="宋体" w:cs="Times New Roman"/>
              <w:kern w:val="2"/>
              <w:szCs w:val="22"/>
              <w:lang w:val="en-US" w:eastAsia="zh-CN" w:bidi="ar-SA"/>
            </w:rPr>
            <w:fldChar w:fldCharType="separate"/>
          </w:r>
          <w:r>
            <w:rPr>
              <w:rFonts w:hint="eastAsia"/>
              <w:highlight w:val="none"/>
              <w:lang w:val="en-US" w:eastAsia="zh-CN"/>
            </w:rPr>
            <w:t>五</w:t>
          </w:r>
          <w:r>
            <w:rPr>
              <w:rFonts w:hint="eastAsia"/>
              <w:highlight w:val="none"/>
            </w:rPr>
            <w:t>、</w:t>
          </w:r>
          <w:r>
            <w:rPr>
              <w:rFonts w:hint="eastAsia"/>
              <w:highlight w:val="none"/>
              <w:lang w:val="en-US" w:eastAsia="zh-CN"/>
            </w:rPr>
            <w:t>资格审查资料</w:t>
          </w:r>
          <w:r>
            <w:tab/>
          </w:r>
          <w:r>
            <w:fldChar w:fldCharType="begin"/>
          </w:r>
          <w:r>
            <w:instrText xml:space="preserve"> PAGEREF _Toc27791 \h </w:instrText>
          </w:r>
          <w:r>
            <w:fldChar w:fldCharType="separate"/>
          </w:r>
          <w:r>
            <w:t>142</w:t>
          </w:r>
          <w:r>
            <w:fldChar w:fldCharType="end"/>
          </w:r>
          <w:r>
            <w:rPr>
              <w:rFonts w:ascii="Calibri" w:hAnsi="Calibri" w:eastAsia="宋体" w:cs="Times New Roman"/>
              <w:kern w:val="2"/>
              <w:szCs w:val="22"/>
              <w:lang w:val="en-US" w:eastAsia="zh-CN" w:bidi="ar-SA"/>
            </w:rPr>
            <w:fldChar w:fldCharType="end"/>
          </w:r>
        </w:p>
        <w:p w14:paraId="316A9A43">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_Toc27548 </w:instrText>
          </w:r>
          <w:r>
            <w:rPr>
              <w:rFonts w:ascii="Calibri" w:hAnsi="Calibri" w:eastAsia="宋体" w:cs="Times New Roman"/>
              <w:kern w:val="2"/>
              <w:szCs w:val="22"/>
              <w:lang w:val="en-US" w:eastAsia="zh-CN" w:bidi="ar-SA"/>
            </w:rPr>
            <w:fldChar w:fldCharType="separate"/>
          </w:r>
          <w:r>
            <w:rPr>
              <w:rFonts w:hint="eastAsia"/>
              <w:highlight w:val="none"/>
              <w:lang w:val="en-US" w:eastAsia="zh-CN"/>
            </w:rPr>
            <w:t>六、项目管理机构</w:t>
          </w:r>
          <w:r>
            <w:tab/>
          </w:r>
          <w:r>
            <w:fldChar w:fldCharType="begin"/>
          </w:r>
          <w:r>
            <w:instrText xml:space="preserve"> PAGEREF _Toc27548 \h </w:instrText>
          </w:r>
          <w:r>
            <w:fldChar w:fldCharType="separate"/>
          </w:r>
          <w:r>
            <w:t>148</w:t>
          </w:r>
          <w:r>
            <w:fldChar w:fldCharType="end"/>
          </w:r>
          <w:r>
            <w:rPr>
              <w:rFonts w:ascii="Calibri" w:hAnsi="Calibri" w:eastAsia="宋体" w:cs="Times New Roman"/>
              <w:kern w:val="2"/>
              <w:szCs w:val="22"/>
              <w:lang w:val="en-US" w:eastAsia="zh-CN" w:bidi="ar-SA"/>
            </w:rPr>
            <w:fldChar w:fldCharType="end"/>
          </w:r>
        </w:p>
        <w:p w14:paraId="2DAA6131">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_Toc28633 </w:instrText>
          </w:r>
          <w:r>
            <w:rPr>
              <w:rFonts w:ascii="Calibri" w:hAnsi="Calibri" w:eastAsia="宋体" w:cs="Times New Roman"/>
              <w:kern w:val="2"/>
              <w:szCs w:val="22"/>
              <w:lang w:val="en-US" w:eastAsia="zh-CN" w:bidi="ar-SA"/>
            </w:rPr>
            <w:fldChar w:fldCharType="separate"/>
          </w:r>
          <w:r>
            <w:rPr>
              <w:rFonts w:hint="eastAsia"/>
              <w:highlight w:val="none"/>
              <w:lang w:val="en-US" w:eastAsia="zh-CN"/>
            </w:rPr>
            <w:t>七、类似项目情况表</w:t>
          </w:r>
          <w:r>
            <w:tab/>
          </w:r>
          <w:r>
            <w:fldChar w:fldCharType="begin"/>
          </w:r>
          <w:r>
            <w:instrText xml:space="preserve"> PAGEREF _Toc28633 \h </w:instrText>
          </w:r>
          <w:r>
            <w:fldChar w:fldCharType="separate"/>
          </w:r>
          <w:r>
            <w:t>152</w:t>
          </w:r>
          <w:r>
            <w:fldChar w:fldCharType="end"/>
          </w:r>
          <w:r>
            <w:rPr>
              <w:rFonts w:ascii="Calibri" w:hAnsi="Calibri" w:eastAsia="宋体" w:cs="Times New Roman"/>
              <w:kern w:val="2"/>
              <w:szCs w:val="22"/>
              <w:lang w:val="en-US" w:eastAsia="zh-CN" w:bidi="ar-SA"/>
            </w:rPr>
            <w:fldChar w:fldCharType="end"/>
          </w:r>
        </w:p>
        <w:p w14:paraId="7EA7988A">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_Toc11044 </w:instrText>
          </w:r>
          <w:r>
            <w:rPr>
              <w:rFonts w:ascii="Calibri" w:hAnsi="Calibri" w:eastAsia="宋体" w:cs="Times New Roman"/>
              <w:kern w:val="2"/>
              <w:szCs w:val="22"/>
              <w:lang w:val="en-US" w:eastAsia="zh-CN" w:bidi="ar-SA"/>
            </w:rPr>
            <w:fldChar w:fldCharType="separate"/>
          </w:r>
          <w:r>
            <w:rPr>
              <w:rFonts w:hint="eastAsia"/>
              <w:highlight w:val="none"/>
              <w:lang w:val="en-US" w:eastAsia="zh-CN"/>
            </w:rPr>
            <w:t>八</w:t>
          </w:r>
          <w:r>
            <w:rPr>
              <w:rFonts w:hint="eastAsia"/>
              <w:highlight w:val="none"/>
            </w:rPr>
            <w:t>、技术部分</w:t>
          </w:r>
          <w:r>
            <w:tab/>
          </w:r>
          <w:r>
            <w:fldChar w:fldCharType="begin"/>
          </w:r>
          <w:r>
            <w:instrText xml:space="preserve"> PAGEREF _Toc11044 \h </w:instrText>
          </w:r>
          <w:r>
            <w:fldChar w:fldCharType="separate"/>
          </w:r>
          <w:r>
            <w:t>154</w:t>
          </w:r>
          <w:r>
            <w:fldChar w:fldCharType="end"/>
          </w:r>
          <w:r>
            <w:rPr>
              <w:rFonts w:ascii="Calibri" w:hAnsi="Calibri" w:eastAsia="宋体" w:cs="Times New Roman"/>
              <w:kern w:val="2"/>
              <w:szCs w:val="22"/>
              <w:lang w:val="en-US" w:eastAsia="zh-CN" w:bidi="ar-SA"/>
            </w:rPr>
            <w:fldChar w:fldCharType="end"/>
          </w:r>
        </w:p>
        <w:p w14:paraId="4E1F4CC3">
          <w:pPr>
            <w:pStyle w:val="26"/>
            <w:keepNext w:val="0"/>
            <w:keepLines w:val="0"/>
            <w:pageBreakBefore w:val="0"/>
            <w:widowControl w:val="0"/>
            <w:tabs>
              <w:tab w:val="right" w:leader="dot" w:pos="9360"/>
            </w:tabs>
            <w:kinsoku/>
            <w:wordWrap/>
            <w:overflowPunct/>
            <w:topLinePunct w:val="0"/>
            <w:autoSpaceDE/>
            <w:autoSpaceDN/>
            <w:bidi w:val="0"/>
            <w:adjustRightInd/>
            <w:snapToGrid/>
            <w:spacing w:line="360" w:lineRule="auto"/>
            <w:textAlignment w:val="auto"/>
          </w:pPr>
          <w:r>
            <w:rPr>
              <w:rFonts w:ascii="Calibri" w:hAnsi="Calibri" w:eastAsia="宋体" w:cs="Times New Roman"/>
              <w:kern w:val="2"/>
              <w:szCs w:val="22"/>
              <w:lang w:val="en-US" w:eastAsia="zh-CN" w:bidi="ar-SA"/>
            </w:rPr>
            <w:fldChar w:fldCharType="begin"/>
          </w:r>
          <w:r>
            <w:rPr>
              <w:rFonts w:ascii="Calibri" w:hAnsi="Calibri" w:eastAsia="宋体" w:cs="Times New Roman"/>
              <w:kern w:val="2"/>
              <w:szCs w:val="22"/>
              <w:lang w:val="en-US" w:eastAsia="zh-CN" w:bidi="ar-SA"/>
            </w:rPr>
            <w:instrText xml:space="preserve"> HYPERLINK \l _Toc31923 </w:instrText>
          </w:r>
          <w:r>
            <w:rPr>
              <w:rFonts w:ascii="Calibri" w:hAnsi="Calibri" w:eastAsia="宋体" w:cs="Times New Roman"/>
              <w:kern w:val="2"/>
              <w:szCs w:val="22"/>
              <w:lang w:val="en-US" w:eastAsia="zh-CN" w:bidi="ar-SA"/>
            </w:rPr>
            <w:fldChar w:fldCharType="separate"/>
          </w:r>
          <w:r>
            <w:rPr>
              <w:rFonts w:hint="eastAsia"/>
              <w:highlight w:val="none"/>
              <w:lang w:val="en-US" w:eastAsia="zh-CN"/>
            </w:rPr>
            <w:t>九</w:t>
          </w:r>
          <w:r>
            <w:rPr>
              <w:rFonts w:hint="eastAsia"/>
              <w:highlight w:val="none"/>
            </w:rPr>
            <w:t>、其他资料</w:t>
          </w:r>
          <w:r>
            <w:tab/>
          </w:r>
          <w:r>
            <w:fldChar w:fldCharType="begin"/>
          </w:r>
          <w:r>
            <w:instrText xml:space="preserve"> PAGEREF _Toc31923 \h </w:instrText>
          </w:r>
          <w:r>
            <w:fldChar w:fldCharType="separate"/>
          </w:r>
          <w:r>
            <w:t>155</w:t>
          </w:r>
          <w:r>
            <w:fldChar w:fldCharType="end"/>
          </w:r>
          <w:r>
            <w:rPr>
              <w:rFonts w:ascii="Calibri" w:hAnsi="Calibri" w:eastAsia="宋体" w:cs="Times New Roman"/>
              <w:kern w:val="2"/>
              <w:szCs w:val="22"/>
              <w:lang w:val="en-US" w:eastAsia="zh-CN" w:bidi="ar-SA"/>
            </w:rPr>
            <w:fldChar w:fldCharType="end"/>
          </w:r>
        </w:p>
        <w:p w14:paraId="200A6B3A">
          <w:pPr>
            <w:rPr>
              <w:rFonts w:ascii="Calibri" w:hAnsi="Calibri" w:eastAsia="宋体" w:cs="Times New Roman"/>
              <w:kern w:val="2"/>
              <w:sz w:val="21"/>
              <w:szCs w:val="22"/>
              <w:lang w:val="en-US" w:eastAsia="zh-CN" w:bidi="ar-SA"/>
            </w:rPr>
          </w:pPr>
          <w:r>
            <w:rPr>
              <w:rFonts w:ascii="Calibri" w:hAnsi="Calibri" w:eastAsia="宋体" w:cs="Times New Roman"/>
              <w:kern w:val="2"/>
              <w:szCs w:val="22"/>
              <w:lang w:val="en-US" w:eastAsia="zh-CN" w:bidi="ar-SA"/>
            </w:rPr>
            <w:fldChar w:fldCharType="end"/>
          </w:r>
        </w:p>
      </w:sdtContent>
    </w:sdt>
    <w:p w14:paraId="42B81D7E">
      <w:pPr>
        <w:rPr>
          <w:rFonts w:ascii="Calibri" w:hAnsi="Calibri" w:eastAsia="宋体" w:cs="Times New Roman"/>
          <w:kern w:val="2"/>
          <w:sz w:val="21"/>
          <w:szCs w:val="22"/>
          <w:lang w:val="en-US" w:eastAsia="zh-CN" w:bidi="ar-SA"/>
        </w:rPr>
      </w:pPr>
    </w:p>
    <w:p w14:paraId="1E5ED874">
      <w:pPr>
        <w:pStyle w:val="2"/>
        <w:bidi w:val="0"/>
        <w:jc w:val="center"/>
        <w:rPr>
          <w:rFonts w:hint="eastAsia" w:ascii="黑体" w:hAnsi="黑体" w:eastAsia="黑体" w:cs="黑体"/>
          <w:color w:val="auto"/>
          <w:sz w:val="36"/>
          <w:szCs w:val="36"/>
          <w:highlight w:val="none"/>
        </w:rPr>
        <w:sectPr>
          <w:footerReference r:id="rId10" w:type="first"/>
          <w:headerReference r:id="rId8" w:type="default"/>
          <w:footerReference r:id="rId9" w:type="default"/>
          <w:pgSz w:w="11906" w:h="16838"/>
          <w:pgMar w:top="1247" w:right="1253" w:bottom="1247" w:left="1293" w:header="720" w:footer="833" w:gutter="0"/>
          <w:pgBorders>
            <w:top w:val="none" w:sz="0" w:space="0"/>
            <w:left w:val="none" w:sz="0" w:space="0"/>
            <w:bottom w:val="none" w:sz="0" w:space="0"/>
            <w:right w:val="none" w:sz="0" w:space="0"/>
          </w:pgBorders>
          <w:pgNumType w:fmt="decimal" w:start="1"/>
          <w:cols w:space="0" w:num="1"/>
          <w:titlePg/>
          <w:rtlGutter w:val="0"/>
          <w:docGrid w:type="lines" w:linePitch="312" w:charSpace="0"/>
        </w:sectPr>
      </w:pPr>
      <w:bookmarkStart w:id="0" w:name="_Toc31869"/>
    </w:p>
    <w:p w14:paraId="364036FA">
      <w:pPr>
        <w:pStyle w:val="2"/>
        <w:bidi w:val="0"/>
        <w:jc w:val="center"/>
        <w:rPr>
          <w:rFonts w:hint="eastAsia" w:ascii="黑体" w:hAnsi="黑体" w:eastAsia="黑体" w:cs="黑体"/>
          <w:color w:val="auto"/>
          <w:sz w:val="36"/>
          <w:szCs w:val="36"/>
          <w:highlight w:val="none"/>
        </w:rPr>
      </w:pPr>
      <w:bookmarkStart w:id="1" w:name="_Toc27783"/>
      <w:bookmarkStart w:id="2" w:name="_Toc18755"/>
      <w:r>
        <w:rPr>
          <w:rFonts w:hint="eastAsia" w:ascii="黑体" w:hAnsi="黑体" w:eastAsia="黑体" w:cs="黑体"/>
          <w:color w:val="auto"/>
          <w:sz w:val="36"/>
          <w:szCs w:val="36"/>
          <w:highlight w:val="none"/>
        </w:rPr>
        <w:t>第一章 竞争性磋商公告</w:t>
      </w:r>
      <w:bookmarkEnd w:id="0"/>
      <w:bookmarkEnd w:id="1"/>
      <w:bookmarkEnd w:id="2"/>
    </w:p>
    <w:p w14:paraId="784D59DD">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项目概况</w:t>
      </w:r>
    </w:p>
    <w:p w14:paraId="3DE42167">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auto"/>
          <w:sz w:val="21"/>
          <w:szCs w:val="21"/>
          <w:highlight w:val="none"/>
          <w:u w:val="none"/>
        </w:rPr>
      </w:pPr>
      <w:r>
        <w:rPr>
          <w:rFonts w:hint="eastAsia" w:ascii="宋体" w:hAnsi="宋体" w:cs="宋体"/>
          <w:color w:val="auto"/>
          <w:sz w:val="21"/>
          <w:szCs w:val="21"/>
          <w:highlight w:val="none"/>
          <w:u w:val="single"/>
          <w:lang w:eastAsia="zh-CN"/>
        </w:rPr>
        <w:t>红河县后山二台水库除险加固工程</w:t>
      </w:r>
      <w:r>
        <w:rPr>
          <w:rFonts w:hint="eastAsia" w:ascii="宋体" w:hAnsi="宋体" w:cs="宋体"/>
          <w:color w:val="auto"/>
          <w:sz w:val="21"/>
          <w:szCs w:val="21"/>
          <w:highlight w:val="none"/>
          <w:u w:val="none"/>
        </w:rPr>
        <w:t>采购项目的潜在供应商应在</w:t>
      </w:r>
      <w:r>
        <w:rPr>
          <w:rFonts w:hint="eastAsia" w:ascii="宋体" w:hAnsi="宋体" w:cs="宋体"/>
          <w:color w:val="auto"/>
          <w:sz w:val="21"/>
          <w:szCs w:val="21"/>
          <w:highlight w:val="none"/>
          <w:u w:val="single"/>
        </w:rPr>
        <w:t>云南省政府采购电子交易平台</w:t>
      </w:r>
      <w:r>
        <w:rPr>
          <w:rFonts w:hint="eastAsia" w:ascii="宋体" w:hAnsi="宋体" w:cs="宋体"/>
          <w:color w:val="auto"/>
          <w:sz w:val="21"/>
          <w:szCs w:val="21"/>
          <w:highlight w:val="none"/>
          <w:u w:val="single"/>
          <w:lang w:eastAsia="zh-CN"/>
        </w:rPr>
        <w:t>（www.zcygov.cn）</w:t>
      </w:r>
      <w:r>
        <w:rPr>
          <w:rFonts w:hint="eastAsia" w:ascii="宋体" w:hAnsi="宋体" w:cs="宋体"/>
          <w:color w:val="auto"/>
          <w:sz w:val="21"/>
          <w:szCs w:val="21"/>
          <w:highlight w:val="none"/>
          <w:u w:val="none"/>
        </w:rPr>
        <w:t>获取采购文件，并于</w:t>
      </w:r>
      <w:r>
        <w:rPr>
          <w:rFonts w:hint="eastAsia" w:ascii="宋体" w:hAnsi="宋体" w:eastAsia="宋体" w:cs="宋体"/>
          <w:color w:val="auto"/>
          <w:sz w:val="21"/>
          <w:szCs w:val="21"/>
          <w:highlight w:val="none"/>
          <w:u w:val="none"/>
        </w:rPr>
        <w:t>202</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年</w:t>
      </w:r>
      <w:r>
        <w:rPr>
          <w:rFonts w:hint="eastAsia" w:ascii="宋体" w:hAnsi="宋体" w:cs="宋体"/>
          <w:color w:val="auto"/>
          <w:sz w:val="21"/>
          <w:szCs w:val="21"/>
          <w:highlight w:val="none"/>
          <w:u w:val="none"/>
          <w:lang w:val="en-US" w:eastAsia="zh-CN"/>
        </w:rPr>
        <w:t>10</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rPr>
        <w:t>日</w:t>
      </w:r>
      <w:r>
        <w:rPr>
          <w:rFonts w:hint="eastAsia" w:ascii="宋体" w:hAnsi="宋体"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lang w:val="en-US" w:eastAsia="zh-CN"/>
        </w:rPr>
        <w:t>时</w:t>
      </w:r>
      <w:r>
        <w:rPr>
          <w:rFonts w:hint="eastAsia" w:ascii="宋体" w:hAnsi="宋体" w:cs="宋体"/>
          <w:color w:val="auto"/>
          <w:sz w:val="21"/>
          <w:szCs w:val="21"/>
          <w:highlight w:val="none"/>
          <w:u w:val="none"/>
          <w:lang w:val="en-US" w:eastAsia="zh-CN"/>
        </w:rPr>
        <w:t>30</w:t>
      </w:r>
      <w:r>
        <w:rPr>
          <w:rFonts w:hint="eastAsia" w:ascii="宋体" w:hAnsi="宋体" w:eastAsia="宋体" w:cs="宋体"/>
          <w:color w:val="auto"/>
          <w:sz w:val="21"/>
          <w:szCs w:val="21"/>
          <w:highlight w:val="none"/>
          <w:u w:val="none"/>
        </w:rPr>
        <w:t>分</w:t>
      </w:r>
      <w:r>
        <w:rPr>
          <w:rFonts w:hint="eastAsia" w:ascii="宋体" w:hAnsi="宋体" w:eastAsia="宋体" w:cs="宋体"/>
          <w:bCs/>
          <w:color w:val="auto"/>
          <w:sz w:val="21"/>
          <w:szCs w:val="21"/>
          <w:highlight w:val="none"/>
          <w:u w:val="none"/>
        </w:rPr>
        <w:t>（</w:t>
      </w:r>
      <w:r>
        <w:rPr>
          <w:rFonts w:hint="eastAsia" w:ascii="宋体" w:hAnsi="宋体" w:eastAsia="宋体" w:cs="宋体"/>
          <w:bCs/>
          <w:color w:val="auto"/>
          <w:sz w:val="21"/>
          <w:szCs w:val="21"/>
          <w:highlight w:val="none"/>
        </w:rPr>
        <w:t>北京时间）</w:t>
      </w:r>
      <w:r>
        <w:rPr>
          <w:rFonts w:hint="eastAsia" w:ascii="宋体" w:hAnsi="宋体" w:cs="宋体"/>
          <w:color w:val="auto"/>
          <w:sz w:val="21"/>
          <w:szCs w:val="21"/>
          <w:highlight w:val="none"/>
          <w:u w:val="none"/>
        </w:rPr>
        <w:t>前提交响应文件。</w:t>
      </w:r>
    </w:p>
    <w:p w14:paraId="6478BFB1">
      <w:pPr>
        <w:pStyle w:val="3"/>
        <w:bidi w:val="0"/>
        <w:spacing w:line="360" w:lineRule="auto"/>
        <w:jc w:val="left"/>
        <w:rPr>
          <w:rFonts w:hint="eastAsia"/>
          <w:color w:val="auto"/>
          <w:sz w:val="24"/>
          <w:szCs w:val="24"/>
          <w:highlight w:val="none"/>
        </w:rPr>
      </w:pPr>
      <w:bookmarkStart w:id="3" w:name="_Toc30234"/>
      <w:bookmarkStart w:id="4" w:name="_Toc26848"/>
      <w:bookmarkStart w:id="5" w:name="_Toc31750"/>
      <w:bookmarkStart w:id="6" w:name="_Toc19856"/>
      <w:bookmarkStart w:id="7" w:name="_Toc437"/>
      <w:bookmarkStart w:id="8" w:name="_Toc122026371"/>
      <w:bookmarkStart w:id="9" w:name="_Toc20135"/>
      <w:r>
        <w:rPr>
          <w:rFonts w:hint="eastAsia"/>
          <w:color w:val="auto"/>
          <w:sz w:val="24"/>
          <w:szCs w:val="24"/>
          <w:highlight w:val="none"/>
        </w:rPr>
        <w:t>一、项目基本情况</w:t>
      </w:r>
      <w:bookmarkEnd w:id="3"/>
      <w:bookmarkEnd w:id="4"/>
      <w:bookmarkEnd w:id="5"/>
      <w:bookmarkEnd w:id="6"/>
      <w:bookmarkEnd w:id="7"/>
      <w:bookmarkEnd w:id="8"/>
      <w:bookmarkEnd w:id="9"/>
    </w:p>
    <w:p w14:paraId="541F5FFD">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项目编号：</w:t>
      </w:r>
      <w:r>
        <w:rPr>
          <w:rFonts w:hint="eastAsia" w:ascii="宋体" w:hAnsi="宋体" w:cs="宋体"/>
          <w:b w:val="0"/>
          <w:bCs w:val="0"/>
          <w:color w:val="auto"/>
          <w:sz w:val="21"/>
          <w:szCs w:val="21"/>
          <w:highlight w:val="none"/>
          <w:lang w:eastAsia="zh-CN"/>
        </w:rPr>
        <w:t>HHZC2026-C2-02255-YNJR-0014</w:t>
      </w:r>
    </w:p>
    <w:p w14:paraId="233BB9B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项目名称：</w:t>
      </w:r>
      <w:r>
        <w:rPr>
          <w:rFonts w:hint="eastAsia" w:ascii="宋体" w:hAnsi="宋体" w:cs="宋体"/>
          <w:b w:val="0"/>
          <w:bCs w:val="0"/>
          <w:color w:val="auto"/>
          <w:sz w:val="21"/>
          <w:szCs w:val="21"/>
          <w:highlight w:val="none"/>
          <w:lang w:eastAsia="zh-CN"/>
        </w:rPr>
        <w:t>红河县后山二台水库除险加固工程</w:t>
      </w:r>
    </w:p>
    <w:p w14:paraId="5A3A9DBC">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采购方式：竞争性磋商</w:t>
      </w:r>
    </w:p>
    <w:p w14:paraId="52C43D3B">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预算金额：</w:t>
      </w:r>
      <w:r>
        <w:rPr>
          <w:rFonts w:hint="eastAsia" w:ascii="宋体" w:hAnsi="宋体" w:cs="宋体"/>
          <w:b w:val="0"/>
          <w:bCs w:val="0"/>
          <w:color w:val="auto"/>
          <w:sz w:val="21"/>
          <w:szCs w:val="21"/>
          <w:highlight w:val="none"/>
          <w:lang w:val="en-US" w:eastAsia="zh-CN"/>
        </w:rPr>
        <w:t>95</w:t>
      </w:r>
      <w:r>
        <w:rPr>
          <w:rFonts w:hint="eastAsia" w:ascii="宋体" w:hAnsi="宋体" w:eastAsia="宋体" w:cs="宋体"/>
          <w:b w:val="0"/>
          <w:bCs w:val="0"/>
          <w:color w:val="auto"/>
          <w:sz w:val="21"/>
          <w:szCs w:val="21"/>
          <w:highlight w:val="none"/>
        </w:rPr>
        <w:t>万元</w:t>
      </w:r>
    </w:p>
    <w:p w14:paraId="7F4D145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最高限价：85</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651305</w:t>
      </w:r>
      <w:r>
        <w:rPr>
          <w:rFonts w:hint="eastAsia" w:ascii="宋体" w:hAnsi="宋体" w:eastAsia="宋体" w:cs="宋体"/>
          <w:b w:val="0"/>
          <w:bCs w:val="0"/>
          <w:color w:val="auto"/>
          <w:sz w:val="21"/>
          <w:szCs w:val="21"/>
          <w:highlight w:val="none"/>
          <w:lang w:val="en-US" w:eastAsia="zh-CN"/>
        </w:rPr>
        <w:t>万元</w:t>
      </w:r>
    </w:p>
    <w:p w14:paraId="5059AE1F">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u w:val="wave"/>
        </w:rPr>
      </w:pPr>
      <w:r>
        <w:rPr>
          <w:rFonts w:hint="eastAsia" w:ascii="宋体" w:hAnsi="宋体" w:eastAsia="宋体" w:cs="宋体"/>
          <w:b w:val="0"/>
          <w:bCs w:val="0"/>
          <w:color w:val="auto"/>
          <w:sz w:val="21"/>
          <w:szCs w:val="21"/>
          <w:highlight w:val="none"/>
        </w:rPr>
        <w:t>采购需求：</w:t>
      </w:r>
      <w:r>
        <w:rPr>
          <w:rFonts w:hint="eastAsia" w:ascii="宋体" w:hAnsi="宋体" w:cs="宋体"/>
          <w:b w:val="0"/>
          <w:bCs w:val="0"/>
          <w:color w:val="auto"/>
          <w:sz w:val="21"/>
          <w:szCs w:val="21"/>
          <w:highlight w:val="none"/>
          <w:lang w:eastAsia="zh-CN"/>
        </w:rPr>
        <w:t>红河县后山二台水库除险加固工程施工，建设内容为：拆除浆砌石防浪墙，新建钢筋砼防浪墙；坝体、坝基进行帷幕灌浆处理；修复溢洪道泄槽Ⅱ段、陡槽段及消力池；增设上游水位尺、下游总排水沟增设量水堰</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（详见</w:t>
      </w:r>
      <w:r>
        <w:rPr>
          <w:rFonts w:hint="eastAsia" w:ascii="宋体" w:hAnsi="宋体" w:eastAsia="宋体" w:cs="宋体"/>
          <w:b w:val="0"/>
          <w:bCs w:val="0"/>
          <w:color w:val="auto"/>
          <w:sz w:val="21"/>
          <w:szCs w:val="21"/>
          <w:highlight w:val="none"/>
          <w:lang w:eastAsia="zh-CN"/>
        </w:rPr>
        <w:t>竞争性磋商文件</w:t>
      </w:r>
      <w:r>
        <w:rPr>
          <w:rFonts w:hint="eastAsia" w:ascii="宋体" w:hAnsi="宋体" w:eastAsia="宋体" w:cs="宋体"/>
          <w:b w:val="0"/>
          <w:bCs w:val="0"/>
          <w:color w:val="auto"/>
          <w:sz w:val="21"/>
          <w:szCs w:val="21"/>
          <w:highlight w:val="none"/>
        </w:rPr>
        <w:t>第三章采购需求）。</w:t>
      </w:r>
    </w:p>
    <w:p w14:paraId="064149A5">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C00000"/>
          <w:sz w:val="21"/>
          <w:szCs w:val="21"/>
          <w:highlight w:val="none"/>
        </w:rPr>
      </w:pPr>
      <w:r>
        <w:rPr>
          <w:rFonts w:hint="eastAsia" w:ascii="宋体" w:hAnsi="宋体" w:eastAsia="宋体" w:cs="宋体"/>
          <w:b w:val="0"/>
          <w:bCs w:val="0"/>
          <w:color w:val="auto"/>
          <w:sz w:val="21"/>
          <w:szCs w:val="21"/>
          <w:highlight w:val="none"/>
        </w:rPr>
        <w:t>合同履行期限：</w:t>
      </w:r>
      <w:r>
        <w:rPr>
          <w:rFonts w:hint="eastAsia" w:ascii="宋体" w:hAnsi="宋体" w:cs="宋体"/>
          <w:b w:val="0"/>
          <w:bCs w:val="0"/>
          <w:color w:val="auto"/>
          <w:sz w:val="21"/>
          <w:szCs w:val="21"/>
          <w:highlight w:val="none"/>
          <w:lang w:eastAsia="zh-CN"/>
        </w:rPr>
        <w:t>总工期7个月</w:t>
      </w:r>
      <w:r>
        <w:rPr>
          <w:rFonts w:hint="eastAsia" w:ascii="宋体" w:hAnsi="宋体" w:eastAsia="宋体" w:cs="宋体"/>
          <w:b w:val="0"/>
          <w:bCs w:val="0"/>
          <w:color w:val="auto"/>
          <w:sz w:val="21"/>
          <w:szCs w:val="21"/>
          <w:highlight w:val="none"/>
          <w:lang w:eastAsia="zh-CN"/>
        </w:rPr>
        <w:t>。</w:t>
      </w:r>
    </w:p>
    <w:p w14:paraId="0148A3B2">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质量要求：</w:t>
      </w:r>
      <w:r>
        <w:rPr>
          <w:rFonts w:hint="eastAsia" w:ascii="宋体" w:hAnsi="宋体" w:cs="宋体"/>
          <w:b w:val="0"/>
          <w:bCs w:val="0"/>
          <w:color w:val="auto"/>
          <w:sz w:val="21"/>
          <w:szCs w:val="21"/>
          <w:highlight w:val="none"/>
          <w:lang w:eastAsia="zh-CN"/>
        </w:rPr>
        <w:t>施工质量符合国家及行业相关标准、规范、规程要求，达到一次性验收合格</w:t>
      </w:r>
      <w:r>
        <w:rPr>
          <w:rFonts w:hint="eastAsia" w:ascii="宋体" w:hAnsi="宋体" w:eastAsia="宋体" w:cs="宋体"/>
          <w:b w:val="0"/>
          <w:bCs w:val="0"/>
          <w:color w:val="auto"/>
          <w:sz w:val="21"/>
          <w:szCs w:val="21"/>
          <w:highlight w:val="none"/>
        </w:rPr>
        <w:t>。</w:t>
      </w:r>
    </w:p>
    <w:p w14:paraId="06F3EA43">
      <w:pPr>
        <w:pStyle w:val="11"/>
        <w:pageBreakBefore w:val="0"/>
        <w:widowControl w:val="0"/>
        <w:kinsoku/>
        <w:wordWrap/>
        <w:overflowPunct/>
        <w:topLinePunct w:val="0"/>
        <w:autoSpaceDE/>
        <w:autoSpaceDN/>
        <w:bidi w:val="0"/>
        <w:adjustRightInd/>
        <w:snapToGrid/>
        <w:spacing w:before="0" w:line="360" w:lineRule="auto"/>
        <w:ind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本项目不接受联合体</w:t>
      </w:r>
      <w:r>
        <w:rPr>
          <w:rFonts w:hint="eastAsia" w:ascii="宋体" w:hAnsi="宋体" w:cs="宋体"/>
          <w:b w:val="0"/>
          <w:bCs w:val="0"/>
          <w:color w:val="auto"/>
          <w:sz w:val="21"/>
          <w:szCs w:val="21"/>
          <w:highlight w:val="none"/>
          <w:lang w:val="en-US" w:eastAsia="zh-CN"/>
        </w:rPr>
        <w:t>磋商</w:t>
      </w:r>
      <w:r>
        <w:rPr>
          <w:rFonts w:hint="eastAsia" w:ascii="宋体" w:hAnsi="宋体" w:cs="宋体"/>
          <w:b w:val="0"/>
          <w:bCs w:val="0"/>
          <w:color w:val="auto"/>
          <w:sz w:val="21"/>
          <w:szCs w:val="21"/>
          <w:highlight w:val="none"/>
          <w:lang w:eastAsia="zh-CN"/>
        </w:rPr>
        <w:t>。</w:t>
      </w:r>
    </w:p>
    <w:p w14:paraId="4550BCC2">
      <w:pPr>
        <w:pStyle w:val="3"/>
        <w:bidi w:val="0"/>
        <w:spacing w:line="360" w:lineRule="auto"/>
        <w:jc w:val="left"/>
        <w:rPr>
          <w:rFonts w:hint="eastAsia"/>
          <w:color w:val="auto"/>
          <w:sz w:val="24"/>
          <w:szCs w:val="24"/>
          <w:highlight w:val="none"/>
        </w:rPr>
      </w:pPr>
      <w:bookmarkStart w:id="10" w:name="_Toc20653"/>
      <w:bookmarkStart w:id="11" w:name="_Toc35393799"/>
      <w:bookmarkStart w:id="12" w:name="_Toc23508"/>
      <w:bookmarkStart w:id="13" w:name="_Toc35393630"/>
      <w:bookmarkStart w:id="14" w:name="_Toc31297"/>
      <w:bookmarkStart w:id="15" w:name="_Toc16177"/>
      <w:bookmarkStart w:id="16" w:name="_Toc28359090"/>
      <w:bookmarkStart w:id="17" w:name="_Toc13"/>
      <w:bookmarkStart w:id="18" w:name="_Toc24692"/>
      <w:bookmarkStart w:id="19" w:name="_Toc28359013"/>
      <w:bookmarkStart w:id="20" w:name="_Toc122026372"/>
      <w:r>
        <w:rPr>
          <w:rFonts w:hint="eastAsia"/>
          <w:color w:val="auto"/>
          <w:sz w:val="24"/>
          <w:szCs w:val="24"/>
          <w:highlight w:val="none"/>
        </w:rPr>
        <w:t>二、</w:t>
      </w:r>
      <w:r>
        <w:rPr>
          <w:rFonts w:hint="eastAsia"/>
          <w:color w:val="auto"/>
          <w:sz w:val="24"/>
          <w:szCs w:val="24"/>
          <w:highlight w:val="none"/>
          <w:lang w:val="en-US" w:eastAsia="zh-CN"/>
        </w:rPr>
        <w:t>供应商</w:t>
      </w:r>
      <w:r>
        <w:rPr>
          <w:rFonts w:hint="eastAsia"/>
          <w:color w:val="auto"/>
          <w:sz w:val="24"/>
          <w:szCs w:val="24"/>
          <w:highlight w:val="none"/>
        </w:rPr>
        <w:t>的资格要求</w:t>
      </w:r>
      <w:bookmarkEnd w:id="10"/>
      <w:bookmarkEnd w:id="11"/>
      <w:bookmarkEnd w:id="12"/>
      <w:bookmarkEnd w:id="13"/>
      <w:bookmarkEnd w:id="14"/>
      <w:bookmarkEnd w:id="15"/>
      <w:bookmarkEnd w:id="16"/>
      <w:bookmarkEnd w:id="17"/>
      <w:bookmarkEnd w:id="18"/>
      <w:bookmarkEnd w:id="19"/>
      <w:bookmarkEnd w:id="20"/>
    </w:p>
    <w:p w14:paraId="0DAF7DD1">
      <w:pPr>
        <w:keepNext w:val="0"/>
        <w:keepLines w:val="0"/>
        <w:pageBreakBefore w:val="0"/>
        <w:widowControl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bookmarkStart w:id="21" w:name="_Toc28359091"/>
      <w:bookmarkStart w:id="22" w:name="_Toc28359014"/>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满足《中华人民共和国政府采购法》第二十二条规定：</w:t>
      </w:r>
    </w:p>
    <w:p w14:paraId="512A18ED">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eastAsia="zh-CN"/>
        </w:rPr>
      </w:pPr>
      <w:bookmarkStart w:id="23" w:name="_Toc122026373"/>
      <w:bookmarkStart w:id="24" w:name="_Toc35393631"/>
      <w:bookmarkStart w:id="25" w:name="_Toc35393800"/>
      <w:r>
        <w:rPr>
          <w:rFonts w:hint="eastAsia" w:ascii="宋体" w:hAnsi="宋体" w:eastAsia="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rPr>
        <w:t>具有独立承担民事责任的能力：</w:t>
      </w:r>
      <w:r>
        <w:rPr>
          <w:rFonts w:hint="eastAsia" w:ascii="宋体" w:hAnsi="宋体" w:eastAsia="宋体" w:cs="宋体"/>
          <w:color w:val="auto"/>
          <w:sz w:val="21"/>
          <w:szCs w:val="21"/>
          <w:highlight w:val="none"/>
        </w:rPr>
        <w:t>提供有效的营业执照或事业单位法人证书或其他类似的法定证明文件</w:t>
      </w:r>
      <w:r>
        <w:rPr>
          <w:rFonts w:hint="eastAsia" w:ascii="宋体" w:hAnsi="宋体" w:eastAsia="宋体" w:cs="宋体"/>
          <w:color w:val="auto"/>
          <w:sz w:val="21"/>
          <w:szCs w:val="21"/>
          <w:highlight w:val="none"/>
          <w:lang w:eastAsia="zh-CN"/>
        </w:rPr>
        <w:t>。</w:t>
      </w:r>
    </w:p>
    <w:p w14:paraId="707F60D1">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1.2具有良好的商业信誉和健全的财务会计制度：</w:t>
      </w:r>
      <w:r>
        <w:rPr>
          <w:rFonts w:hint="eastAsia" w:ascii="宋体" w:hAnsi="宋体" w:cs="宋体"/>
          <w:color w:val="auto"/>
          <w:sz w:val="21"/>
          <w:szCs w:val="21"/>
          <w:highlight w:val="none"/>
          <w:lang w:eastAsia="zh-CN"/>
        </w:rPr>
        <w:t>提供2023年至2025年经会计师事务所或审计机构审计的财务会计报表或审计报告（事业单位可提供2023年至2025年自行编制并加盖单位公章的财务报表或部门决算报告）；成立不足三年的，提供本单位成立至今经会计师事务所或审计机构审计的财务会计报表或审计报告（事业单位可提供成立至今自行编制并加盖单位公章的财务报表或部门决算报告）；成立不足一年的，提供本单位的财务报表（事业单位可提供成立至今自行编制并加盖单位公章的财务报表或部门决算报告）；或提供自响应文件提交截止时间前三个月内基本开户银行出具的资信证明；或提供财政部门认可的政府采购专业担保机构出具的投标担保函（需同时提供专业担保机构经财政部门认可的证明文件）</w:t>
      </w:r>
      <w:r>
        <w:rPr>
          <w:rFonts w:hint="eastAsia" w:ascii="宋体" w:hAnsi="宋体" w:eastAsia="宋体" w:cs="宋体"/>
          <w:color w:val="auto"/>
          <w:sz w:val="21"/>
          <w:szCs w:val="21"/>
          <w:highlight w:val="none"/>
        </w:rPr>
        <w:t>。</w:t>
      </w:r>
    </w:p>
    <w:p w14:paraId="0DA91AC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注：根据《关于加强审计报告查验工作的通知》（财会〔2023〕15号）和《云南省财政厅 云南省人民政府国有资产监督管理委员会 国家金融监督管理总局云南监管局关于进一步加强审计报告报备和查验工作的通知》（云财会〔2026〕23号）的要求，供应商提供的审计报告应有财政部注册会计师行业统一监管平台的赋码。</w:t>
      </w:r>
    </w:p>
    <w:p w14:paraId="35C8FC7B">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lang w:val="en-US" w:eastAsia="zh-CN"/>
        </w:rPr>
        <w:t>1.3具有履行合同所必需的设备和专业技术能力：</w:t>
      </w:r>
      <w:r>
        <w:rPr>
          <w:rFonts w:hint="eastAsia" w:ascii="宋体" w:hAnsi="宋体" w:eastAsia="宋体" w:cs="宋体"/>
          <w:color w:val="auto"/>
          <w:sz w:val="21"/>
          <w:szCs w:val="21"/>
          <w:highlight w:val="none"/>
          <w:lang w:eastAsia="zh-CN"/>
        </w:rPr>
        <w:t>提供具有履行合同所必需的设备和专业技术能力的证明资料或提供具有履行合同所必需的设备和专业技术能力的承诺书。</w:t>
      </w:r>
    </w:p>
    <w:p w14:paraId="1C26D47C">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1.4具有依法缴纳税收和社会保障资金的良好记录：</w:t>
      </w:r>
    </w:p>
    <w:p w14:paraId="6097F0C9">
      <w:pPr>
        <w:keepNext w:val="0"/>
        <w:keepLines w:val="0"/>
        <w:pageBreakBefore w:val="0"/>
        <w:widowControl w:val="0"/>
        <w:tabs>
          <w:tab w:val="left" w:pos="720"/>
          <w:tab w:val="left" w:pos="8295"/>
        </w:tabs>
        <w:kinsoku/>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1.4.1提供缴税所属时间为递交响应文件截止日前</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个月内任意</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月的税务局税收通用缴款书复印件或银行电子缴税（费）凭证复印件或税务局出具纳税情况的相关证明复印件，成立未满3个月的提供成立以来的纳税证明材料，依法免税的应提供依法免税的相关证明文件；新成立不足对应期限，暂未产生税款缴纳记录的提交</w:t>
      </w:r>
      <w:r>
        <w:rPr>
          <w:rFonts w:hint="eastAsia" w:ascii="宋体" w:hAnsi="宋体" w:eastAsia="宋体" w:cs="宋体"/>
          <w:color w:val="auto"/>
          <w:sz w:val="21"/>
          <w:szCs w:val="21"/>
          <w:highlight w:val="none"/>
          <w:lang w:val="en-US" w:eastAsia="zh-CN"/>
        </w:rPr>
        <w:t>承诺书</w:t>
      </w:r>
      <w:r>
        <w:rPr>
          <w:rFonts w:hint="eastAsia" w:ascii="宋体" w:hAnsi="宋体" w:eastAsia="宋体" w:cs="宋体"/>
          <w:color w:val="auto"/>
          <w:sz w:val="21"/>
          <w:szCs w:val="21"/>
          <w:highlight w:val="none"/>
        </w:rPr>
        <w:t>和相关说明</w:t>
      </w:r>
      <w:r>
        <w:rPr>
          <w:rFonts w:hint="eastAsia" w:ascii="宋体" w:hAnsi="宋体" w:eastAsia="宋体" w:cs="宋体"/>
          <w:color w:val="auto"/>
          <w:sz w:val="21"/>
          <w:szCs w:val="21"/>
          <w:highlight w:val="none"/>
          <w:lang w:eastAsia="zh-CN"/>
        </w:rPr>
        <w:t>；</w:t>
      </w:r>
    </w:p>
    <w:p w14:paraId="3F4D41BF">
      <w:pPr>
        <w:keepNext w:val="0"/>
        <w:keepLines w:val="0"/>
        <w:pageBreakBefore w:val="0"/>
        <w:widowControl w:val="0"/>
        <w:tabs>
          <w:tab w:val="left" w:pos="720"/>
          <w:tab w:val="left" w:pos="8295"/>
        </w:tabs>
        <w:kinsoku/>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1.4.2提供缴费所属时间为递交响应文件截止日前12个月内任意3个月的社会保险费缴款书复印件或银行电子缴税（费）凭证复印件或社保管理部门出具的有效的缴款证明复印件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依法免缴的应提供依法免缴的相关证明文件。新成立不足对应期限，暂无从业人员依法无需缴纳社会保障资金的提交</w:t>
      </w:r>
      <w:r>
        <w:rPr>
          <w:rFonts w:hint="eastAsia" w:ascii="宋体" w:hAnsi="宋体" w:eastAsia="宋体" w:cs="宋体"/>
          <w:color w:val="auto"/>
          <w:sz w:val="21"/>
          <w:szCs w:val="21"/>
          <w:highlight w:val="none"/>
          <w:lang w:val="en-US" w:eastAsia="zh-CN"/>
        </w:rPr>
        <w:t>承诺书</w:t>
      </w:r>
      <w:r>
        <w:rPr>
          <w:rFonts w:hint="eastAsia" w:ascii="宋体" w:hAnsi="宋体" w:eastAsia="宋体" w:cs="宋体"/>
          <w:color w:val="auto"/>
          <w:sz w:val="21"/>
          <w:szCs w:val="21"/>
          <w:highlight w:val="none"/>
        </w:rPr>
        <w:t>和相关说明</w:t>
      </w:r>
      <w:r>
        <w:rPr>
          <w:rFonts w:hint="eastAsia" w:ascii="宋体" w:hAnsi="宋体" w:eastAsia="宋体" w:cs="宋体"/>
          <w:color w:val="auto"/>
          <w:sz w:val="21"/>
          <w:szCs w:val="21"/>
          <w:highlight w:val="none"/>
          <w:lang w:eastAsia="zh-CN"/>
        </w:rPr>
        <w:t>。</w:t>
      </w:r>
    </w:p>
    <w:p w14:paraId="3B7FBF69">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lang w:val="en-US" w:eastAsia="zh-CN"/>
        </w:rPr>
        <w:t>1.5参加政府采购活动前三年内，在经营活动中没有重大违法记录：</w:t>
      </w:r>
      <w:r>
        <w:rPr>
          <w:rFonts w:hint="eastAsia" w:ascii="宋体" w:hAnsi="宋体" w:eastAsia="宋体" w:cs="宋体"/>
          <w:sz w:val="21"/>
          <w:szCs w:val="21"/>
          <w:lang w:eastAsia="zh-CN"/>
        </w:rPr>
        <w:t>提供参加政府采购活动前三年内，在经营活动中没有重大违法记录的书面声明，新成立的公司按实际成立年份提供书面声明（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本项目采购活动，须提供加盖公章的情况说明和相关证明材料。</w:t>
      </w:r>
    </w:p>
    <w:p w14:paraId="4B71682D">
      <w:pPr>
        <w:keepNext w:val="0"/>
        <w:keepLines w:val="0"/>
        <w:pageBreakBefore w:val="0"/>
        <w:widowControl w:val="0"/>
        <w:tabs>
          <w:tab w:val="left" w:pos="720"/>
          <w:tab w:val="left" w:pos="8295"/>
        </w:tabs>
        <w:kinsoku/>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1.6法律、行政法规规定的其他条件：</w:t>
      </w:r>
      <w:r>
        <w:rPr>
          <w:rFonts w:hint="eastAsia" w:ascii="宋体" w:hAnsi="宋体" w:eastAsia="宋体" w:cs="宋体"/>
          <w:sz w:val="21"/>
          <w:szCs w:val="21"/>
          <w:lang w:val="en-US" w:eastAsia="zh-CN"/>
        </w:rPr>
        <w:t>提供加盖公章的承诺书或相关证明材料。</w:t>
      </w:r>
    </w:p>
    <w:p w14:paraId="566A17B9">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落实政府采购政策需满足的资格要求：</w:t>
      </w:r>
    </w:p>
    <w:p w14:paraId="0E428E14">
      <w:pPr>
        <w:pStyle w:val="61"/>
        <w:spacing w:line="360" w:lineRule="auto"/>
        <w:ind w:firstLine="480"/>
        <w:rPr>
          <w:rFonts w:hint="eastAsia" w:ascii="宋体" w:hAnsi="宋体" w:eastAsia="宋体" w:cs="宋体"/>
          <w:color w:val="auto"/>
          <w:sz w:val="21"/>
          <w:szCs w:val="21"/>
          <w:highlight w:val="none"/>
        </w:rPr>
      </w:pPr>
      <w:r>
        <w:rPr>
          <w:rFonts w:hint="eastAsia" w:ascii="宋体" w:hAnsi="宋体" w:cs="宋体"/>
          <w:b w:val="0"/>
          <w:bCs w:val="0"/>
          <w:color w:val="auto"/>
          <w:szCs w:val="21"/>
          <w:highlight w:val="none"/>
          <w:u w:val="none"/>
          <w:lang w:val="en-US" w:eastAsia="zh-CN"/>
        </w:rPr>
        <w:t>2.1</w:t>
      </w:r>
      <w:r>
        <w:rPr>
          <w:rFonts w:hint="eastAsia" w:ascii="宋体" w:hAnsi="宋体" w:eastAsia="宋体" w:cs="宋体"/>
          <w:color w:val="auto"/>
          <w:sz w:val="21"/>
          <w:szCs w:val="21"/>
          <w:highlight w:val="none"/>
          <w:lang w:eastAsia="zh-CN"/>
        </w:rPr>
        <w:t>本项目</w:t>
      </w:r>
      <w:r>
        <w:rPr>
          <w:rFonts w:hint="eastAsia" w:ascii="宋体" w:hAnsi="宋体" w:eastAsia="宋体" w:cs="宋体"/>
          <w:b/>
          <w:bCs/>
          <w:color w:val="auto"/>
          <w:sz w:val="21"/>
          <w:szCs w:val="21"/>
          <w:highlight w:val="none"/>
          <w:lang w:eastAsia="zh-CN"/>
        </w:rPr>
        <w:t>非专门面向中小企业采购</w:t>
      </w:r>
      <w:r>
        <w:rPr>
          <w:rFonts w:hint="eastAsia" w:hAnsi="宋体" w:cs="宋体"/>
          <w:color w:val="auto"/>
          <w:sz w:val="21"/>
          <w:szCs w:val="21"/>
          <w:highlight w:val="none"/>
          <w:lang w:eastAsia="zh-CN"/>
        </w:rPr>
        <w:t>，评审时，符合条件的小型、微型企业承建的工程，其</w:t>
      </w:r>
      <w:r>
        <w:rPr>
          <w:rFonts w:hint="eastAsia" w:hAnsi="宋体" w:cs="宋体"/>
          <w:color w:val="auto"/>
          <w:sz w:val="21"/>
          <w:szCs w:val="21"/>
          <w:highlight w:val="none"/>
          <w:lang w:val="en-US" w:eastAsia="zh-CN"/>
        </w:rPr>
        <w:t>响应</w:t>
      </w:r>
      <w:r>
        <w:rPr>
          <w:rFonts w:hint="eastAsia" w:hAnsi="宋体" w:cs="宋体"/>
          <w:color w:val="auto"/>
          <w:sz w:val="21"/>
          <w:szCs w:val="21"/>
          <w:highlight w:val="none"/>
          <w:lang w:eastAsia="zh-CN"/>
        </w:rPr>
        <w:t>报价给予</w:t>
      </w:r>
      <w:r>
        <w:rPr>
          <w:rFonts w:hint="eastAsia" w:hAnsi="宋体" w:cs="宋体"/>
          <w:color w:val="auto"/>
          <w:sz w:val="21"/>
          <w:szCs w:val="21"/>
          <w:highlight w:val="none"/>
          <w:lang w:val="en-US" w:eastAsia="zh-CN"/>
        </w:rPr>
        <w:t>3%</w:t>
      </w:r>
      <w:r>
        <w:rPr>
          <w:rFonts w:hint="eastAsia" w:hAnsi="宋体" w:cs="宋体"/>
          <w:color w:val="auto"/>
          <w:sz w:val="21"/>
          <w:szCs w:val="21"/>
          <w:highlight w:val="none"/>
          <w:lang w:eastAsia="zh-CN"/>
        </w:rPr>
        <w:t>的价格扣除，用扣除后的价格参与评审</w:t>
      </w:r>
      <w:r>
        <w:rPr>
          <w:rFonts w:hint="eastAsia" w:ascii="宋体" w:hAnsi="宋体" w:eastAsia="宋体" w:cs="宋体"/>
          <w:color w:val="auto"/>
          <w:sz w:val="21"/>
          <w:szCs w:val="21"/>
          <w:highlight w:val="none"/>
          <w:lang w:eastAsia="zh-CN"/>
        </w:rPr>
        <w:t>。监狱企业、残疾人福利性单位视同小型和微型企业，同等享受上述价格扣除优惠</w:t>
      </w:r>
      <w:r>
        <w:rPr>
          <w:rFonts w:hint="eastAsia" w:ascii="宋体" w:hAnsi="宋体" w:eastAsia="宋体" w:cs="宋体"/>
          <w:color w:val="auto"/>
          <w:sz w:val="21"/>
          <w:szCs w:val="21"/>
          <w:highlight w:val="none"/>
        </w:rPr>
        <w:t>。</w:t>
      </w:r>
    </w:p>
    <w:p w14:paraId="6531973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2.2根据《财政部 工业和信息化部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根据《云南省财政厅云南省工业和信息化厅关于落实政府采购促进中小企业发展政策意见的通知》（云财规〔2022〕13号）的规定，工程由中小企业承建，即工程施工单位为中小企业，经主管预算单位统筹后不属于专门面向中小企业采购的项目，执行价格评审优惠政策，用扣除后的价格参加评审。</w:t>
      </w:r>
    </w:p>
    <w:p w14:paraId="4F4C958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根据《财政部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司法部关于政府采购支持监狱企业发展有关问题的通知》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财库</w:t>
      </w:r>
      <w:r>
        <w:rPr>
          <w:rFonts w:hint="eastAsia" w:ascii="宋体" w:hAnsi="宋体" w:cs="宋体"/>
          <w:color w:val="auto"/>
          <w:sz w:val="21"/>
          <w:szCs w:val="21"/>
          <w:highlight w:val="none"/>
          <w:lang w:eastAsia="zh-CN"/>
        </w:rPr>
        <w:t>〔2014〕68号）</w:t>
      </w:r>
      <w:r>
        <w:rPr>
          <w:rFonts w:hint="eastAsia" w:ascii="宋体" w:hAnsi="宋体" w:eastAsia="宋体" w:cs="宋体"/>
          <w:color w:val="auto"/>
          <w:sz w:val="21"/>
          <w:szCs w:val="21"/>
          <w:highlight w:val="none"/>
          <w:lang w:val="en-US" w:eastAsia="zh-CN"/>
        </w:rPr>
        <w:t>的规定</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在政府采购活动中，监狱企业视同小型、微型企业，享受预留份额、评审中价格扣除等政府采购促进中小企业发展的政府采购政策。</w:t>
      </w:r>
    </w:p>
    <w:p w14:paraId="1AF8B54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根据《</w:t>
      </w:r>
      <w:r>
        <w:rPr>
          <w:rFonts w:hint="eastAsia" w:ascii="宋体" w:hAnsi="宋体" w:eastAsia="宋体" w:cs="宋体"/>
          <w:color w:val="auto"/>
          <w:kern w:val="0"/>
          <w:sz w:val="21"/>
          <w:szCs w:val="21"/>
          <w:highlight w:val="none"/>
        </w:rPr>
        <w:t>财政部</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民政部</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中国残疾人联合会关于促进残疾人就业政府采购政策的通知》（财库〔2017〕141号）</w:t>
      </w:r>
      <w:r>
        <w:rPr>
          <w:rFonts w:hint="eastAsia" w:ascii="宋体" w:hAnsi="宋体" w:eastAsia="宋体" w:cs="宋体"/>
          <w:color w:val="auto"/>
          <w:kern w:val="0"/>
          <w:sz w:val="21"/>
          <w:szCs w:val="21"/>
          <w:highlight w:val="none"/>
          <w:lang w:val="en-US" w:eastAsia="zh-CN"/>
        </w:rPr>
        <w:t>的规定，</w:t>
      </w:r>
      <w:r>
        <w:rPr>
          <w:rFonts w:hint="eastAsia" w:ascii="宋体" w:hAnsi="宋体" w:eastAsia="宋体" w:cs="宋体"/>
          <w:color w:val="auto"/>
          <w:sz w:val="21"/>
          <w:szCs w:val="21"/>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19B66928">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本项目的特定资格要求：</w:t>
      </w:r>
    </w:p>
    <w:p w14:paraId="0B54B752">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3.1资质要求：</w:t>
      </w:r>
      <w:r>
        <w:rPr>
          <w:rFonts w:hint="eastAsia" w:ascii="宋体" w:hAnsi="宋体" w:eastAsia="宋体" w:cs="宋体"/>
          <w:color w:val="auto"/>
          <w:sz w:val="21"/>
          <w:szCs w:val="21"/>
          <w:highlight w:val="none"/>
          <w:lang w:val="en-US" w:eastAsia="zh-CN"/>
        </w:rPr>
        <w:t>供应商须为法人或其他组织，具备水利水电工程施工总承包叁级及以上资质，具备有效的安全生产许可证，并在人员、设备、资金等方面具备相应的施工能力</w:t>
      </w:r>
      <w:r>
        <w:rPr>
          <w:rFonts w:hint="eastAsia" w:ascii="宋体" w:hAnsi="宋体" w:eastAsia="宋体" w:cs="宋体"/>
          <w:color w:val="auto"/>
          <w:sz w:val="21"/>
          <w:szCs w:val="21"/>
          <w:highlight w:val="none"/>
          <w:lang w:eastAsia="zh-CN"/>
        </w:rPr>
        <w:t>。</w:t>
      </w:r>
    </w:p>
    <w:p w14:paraId="4BC96168">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3.2信誉要求：</w:t>
      </w:r>
      <w:r>
        <w:rPr>
          <w:rFonts w:hint="eastAsia" w:ascii="宋体" w:hAnsi="宋体" w:eastAsia="宋体" w:cs="宋体"/>
          <w:color w:val="auto"/>
          <w:sz w:val="21"/>
          <w:szCs w:val="21"/>
          <w:highlight w:val="none"/>
          <w:lang w:val="en-US" w:eastAsia="zh-CN"/>
        </w:rPr>
        <w:t>供应商在“信用中国”网站（</w:t>
      </w:r>
      <w:r>
        <w:rPr>
          <w:rFonts w:hint="eastAsia" w:ascii="宋体" w:hAnsi="宋体" w:cs="宋体"/>
          <w:color w:val="auto"/>
          <w:sz w:val="21"/>
          <w:szCs w:val="21"/>
          <w:highlight w:val="none"/>
          <w:lang w:val="en-US" w:eastAsia="zh-CN"/>
        </w:rPr>
        <w:t>https://www.creditchina.gov.cn/</w:t>
      </w:r>
      <w:r>
        <w:rPr>
          <w:rFonts w:hint="eastAsia" w:ascii="宋体" w:hAnsi="宋体" w:eastAsia="宋体" w:cs="宋体"/>
          <w:color w:val="auto"/>
          <w:sz w:val="21"/>
          <w:szCs w:val="21"/>
          <w:highlight w:val="none"/>
          <w:lang w:val="en-US" w:eastAsia="zh-CN"/>
        </w:rPr>
        <w:t>）未被列入</w:t>
      </w:r>
      <w:r>
        <w:rPr>
          <w:rFonts w:hint="eastAsia" w:ascii="宋体" w:hAnsi="宋体" w:cs="宋体"/>
          <w:color w:val="auto"/>
          <w:sz w:val="21"/>
          <w:szCs w:val="21"/>
          <w:highlight w:val="none"/>
          <w:lang w:val="en-US" w:eastAsia="zh-CN"/>
        </w:rPr>
        <w:t>失信被执行人、</w:t>
      </w:r>
      <w:r>
        <w:rPr>
          <w:rFonts w:hint="eastAsia" w:ascii="宋体" w:hAnsi="宋体" w:eastAsia="宋体" w:cs="宋体"/>
          <w:color w:val="auto"/>
          <w:sz w:val="21"/>
          <w:szCs w:val="21"/>
          <w:highlight w:val="none"/>
          <w:lang w:val="en-US" w:eastAsia="zh-CN"/>
        </w:rPr>
        <w:t>重大税收违法失信主体名单</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在中国政府采购网（</w:t>
      </w:r>
      <w:r>
        <w:rPr>
          <w:rFonts w:hint="eastAsia" w:ascii="宋体" w:hAnsi="宋体" w:cs="宋体"/>
          <w:color w:val="auto"/>
          <w:sz w:val="21"/>
          <w:szCs w:val="21"/>
          <w:highlight w:val="none"/>
          <w:lang w:val="en-US" w:eastAsia="zh-CN"/>
        </w:rPr>
        <w:t>http://www.ccgp.gov.cn/</w:t>
      </w:r>
      <w:r>
        <w:rPr>
          <w:rFonts w:hint="eastAsia" w:ascii="宋体" w:hAnsi="宋体" w:eastAsia="宋体" w:cs="宋体"/>
          <w:color w:val="auto"/>
          <w:sz w:val="21"/>
          <w:szCs w:val="21"/>
          <w:highlight w:val="none"/>
          <w:lang w:val="en-US" w:eastAsia="zh-CN"/>
        </w:rPr>
        <w:t>）没有政府采购严重违法失信行为记录（被禁止在一定期限内参加政府采购活动但在递交响应文件截止时间届满的除外）。供应商以上渠道信誉状况信息以采购人或者采购代理机构在递交响应文件截止之日查询数据为准，对列入失信被执行人、重大税收违法失信主体名单、政府采购严重违法失信行为记录名单的供应商，</w:t>
      </w:r>
      <w:r>
        <w:rPr>
          <w:rFonts w:hint="eastAsia" w:ascii="宋体" w:hAnsi="宋体" w:eastAsia="宋体" w:cs="宋体"/>
          <w:sz w:val="21"/>
          <w:szCs w:val="21"/>
          <w:lang w:eastAsia="zh-CN"/>
        </w:rPr>
        <w:t>其响应文件按无效响应处理</w:t>
      </w:r>
      <w:r>
        <w:rPr>
          <w:rFonts w:hint="eastAsia" w:ascii="宋体" w:hAnsi="宋体" w:eastAsia="宋体" w:cs="宋体"/>
          <w:color w:val="auto"/>
          <w:sz w:val="21"/>
          <w:szCs w:val="21"/>
          <w:highlight w:val="none"/>
          <w:lang w:val="en-US" w:eastAsia="zh-CN"/>
        </w:rPr>
        <w:t>。</w:t>
      </w:r>
    </w:p>
    <w:p w14:paraId="425C7F34">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3.3</w:t>
      </w:r>
      <w:r>
        <w:rPr>
          <w:rFonts w:hint="eastAsia" w:ascii="宋体" w:hAnsi="宋体" w:eastAsia="宋体" w:cs="宋体"/>
          <w:b/>
          <w:bCs/>
          <w:color w:val="auto"/>
          <w:sz w:val="21"/>
          <w:szCs w:val="21"/>
          <w:highlight w:val="none"/>
          <w:lang w:eastAsia="zh-CN"/>
        </w:rPr>
        <w:t>项目经理资格：</w:t>
      </w:r>
      <w:r>
        <w:rPr>
          <w:rFonts w:hint="eastAsia" w:ascii="宋体" w:hAnsi="宋体" w:eastAsia="宋体" w:cs="宋体"/>
          <w:color w:val="auto"/>
          <w:sz w:val="21"/>
          <w:szCs w:val="21"/>
          <w:highlight w:val="none"/>
          <w:lang w:eastAsia="zh-CN"/>
        </w:rPr>
        <w:t>拟派项目经理须为水利水电工程专业二级及以上注册建造师，具备水行政主管部门颁发的有效的水利水电工程施工企业项目负责人安全生产考核合格证（B证），且未担任其他在建项目的项目经理或项目负责人。</w:t>
      </w:r>
    </w:p>
    <w:p w14:paraId="366A42D5">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3.4</w:t>
      </w:r>
      <w:r>
        <w:rPr>
          <w:rFonts w:hint="eastAsia" w:ascii="宋体" w:hAnsi="宋体" w:eastAsia="宋体" w:cs="宋体"/>
          <w:b/>
          <w:bCs/>
          <w:color w:val="auto"/>
          <w:sz w:val="21"/>
          <w:szCs w:val="21"/>
          <w:highlight w:val="none"/>
          <w:lang w:eastAsia="zh-CN"/>
        </w:rPr>
        <w:t>技术负责人资格：</w:t>
      </w:r>
      <w:r>
        <w:rPr>
          <w:rFonts w:hint="eastAsia" w:ascii="宋体" w:hAnsi="宋体" w:eastAsia="宋体" w:cs="宋体"/>
          <w:color w:val="auto"/>
          <w:sz w:val="21"/>
          <w:szCs w:val="21"/>
          <w:highlight w:val="none"/>
          <w:lang w:val="en-US" w:eastAsia="zh-TW"/>
        </w:rPr>
        <w:t>拟派项目技术负责人应具有水利水电相关专业</w:t>
      </w:r>
      <w:r>
        <w:rPr>
          <w:rFonts w:hint="eastAsia" w:ascii="宋体" w:hAnsi="宋体" w:eastAsia="宋体" w:cs="宋体"/>
          <w:color w:val="auto"/>
          <w:sz w:val="21"/>
          <w:szCs w:val="21"/>
          <w:highlight w:val="none"/>
          <w:lang w:val="en-US" w:eastAsia="zh-CN"/>
        </w:rPr>
        <w:t>工程师及以上职称</w:t>
      </w:r>
      <w:r>
        <w:rPr>
          <w:rFonts w:hint="eastAsia" w:ascii="宋体" w:hAnsi="宋体" w:eastAsia="宋体" w:cs="宋体"/>
          <w:color w:val="auto"/>
          <w:sz w:val="21"/>
          <w:szCs w:val="21"/>
          <w:highlight w:val="none"/>
          <w:lang w:eastAsia="zh-CN"/>
        </w:rPr>
        <w:t>。</w:t>
      </w:r>
    </w:p>
    <w:p w14:paraId="4C7441BF">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3.5其他</w:t>
      </w:r>
      <w:r>
        <w:rPr>
          <w:rFonts w:hint="eastAsia" w:ascii="宋体" w:hAnsi="宋体" w:eastAsia="宋体" w:cs="宋体"/>
          <w:b/>
          <w:bCs/>
          <w:color w:val="auto"/>
          <w:sz w:val="21"/>
          <w:szCs w:val="21"/>
          <w:highlight w:val="none"/>
          <w:lang w:eastAsia="zh-CN"/>
        </w:rPr>
        <w:t>要求：</w:t>
      </w:r>
    </w:p>
    <w:p w14:paraId="6B61A5C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3.5.1供应商主要负责人须具备水行政主管部门颁发的有效的水利水电工程施工企业主要负责人安全生产考核合格证（A证）、拟派专职安全生产管理人员须具备水行政主管部门颁发的有效的水利水电工程施工企业专职安全生产管理人员安全生产考核合格证（C证）。</w:t>
      </w:r>
    </w:p>
    <w:p w14:paraId="3F1F27A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3.5.2</w:t>
      </w:r>
      <w:r>
        <w:rPr>
          <w:rFonts w:hint="eastAsia" w:ascii="宋体" w:hAnsi="宋体" w:cs="宋体"/>
          <w:color w:val="auto"/>
          <w:sz w:val="21"/>
          <w:szCs w:val="21"/>
          <w:highlight w:val="none"/>
          <w:lang w:val="en-US" w:eastAsia="zh-CN"/>
        </w:rPr>
        <w:t>拟投入本项目的主要人员（项目经理、技术负责人、施工现场管理人员等）须为供应商在职员工，并提供公告发布之日起至递交响应文件截止时间前的社会保险部门或机构出具的上述人员参加社保的有效证明材料，须有社保部门或机构盖章。若因退休人员（包括提前退休人员）无法提供社保证明，供应商可以提供退休证及聘用合同等证明材料</w:t>
      </w:r>
      <w:r>
        <w:rPr>
          <w:rFonts w:hint="eastAsia" w:ascii="宋体" w:hAnsi="宋体" w:eastAsia="宋体" w:cs="宋体"/>
          <w:color w:val="auto"/>
          <w:sz w:val="21"/>
          <w:szCs w:val="21"/>
          <w:highlight w:val="none"/>
          <w:lang w:val="en-US" w:eastAsia="zh-CN"/>
        </w:rPr>
        <w:t>。</w:t>
      </w:r>
    </w:p>
    <w:p w14:paraId="7929CBA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3.5.3单位负责人为同一人或者存在直接控股、管理关系的不同供应商，不得同时参加本项目的采购活动；为本项目提供整体设计、规范编制或者项目管理、监理、检测等服务的供应商，不得参与本项目采购活动（提供承诺书）。</w:t>
      </w:r>
    </w:p>
    <w:p w14:paraId="5F46D2E0">
      <w:pPr>
        <w:pStyle w:val="3"/>
        <w:bidi w:val="0"/>
        <w:spacing w:line="360" w:lineRule="auto"/>
        <w:jc w:val="left"/>
        <w:rPr>
          <w:rFonts w:hint="eastAsia" w:ascii="宋体" w:hAnsi="宋体" w:eastAsia="宋体" w:cs="宋体"/>
          <w:color w:val="auto"/>
          <w:sz w:val="21"/>
          <w:szCs w:val="21"/>
          <w:highlight w:val="none"/>
          <w:lang w:eastAsia="zh-CN"/>
        </w:rPr>
      </w:pPr>
      <w:bookmarkStart w:id="26" w:name="_Toc32478"/>
      <w:bookmarkStart w:id="27" w:name="_Toc26897"/>
      <w:bookmarkStart w:id="28" w:name="_Toc1637"/>
      <w:bookmarkStart w:id="29" w:name="_Toc18198"/>
      <w:bookmarkStart w:id="30" w:name="_Toc16129"/>
      <w:bookmarkStart w:id="31" w:name="_Toc16786"/>
      <w:r>
        <w:rPr>
          <w:rFonts w:hint="eastAsia" w:ascii="宋体" w:hAnsi="宋体" w:eastAsia="宋体" w:cs="宋体"/>
          <w:color w:val="auto"/>
          <w:sz w:val="21"/>
          <w:szCs w:val="21"/>
          <w:highlight w:val="none"/>
        </w:rPr>
        <w:t>三、</w:t>
      </w:r>
      <w:bookmarkEnd w:id="21"/>
      <w:bookmarkEnd w:id="22"/>
      <w:bookmarkEnd w:id="23"/>
      <w:bookmarkEnd w:id="24"/>
      <w:bookmarkEnd w:id="25"/>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文件</w:t>
      </w:r>
      <w:bookmarkEnd w:id="26"/>
      <w:bookmarkEnd w:id="27"/>
      <w:bookmarkEnd w:id="28"/>
      <w:bookmarkEnd w:id="29"/>
      <w:bookmarkEnd w:id="30"/>
      <w:bookmarkEnd w:id="31"/>
    </w:p>
    <w:p w14:paraId="05DFC2F4">
      <w:pPr>
        <w:pageBreakBefore w:val="0"/>
        <w:kinsoku/>
        <w:overflowPunct/>
        <w:bidi w:val="0"/>
        <w:spacing w:line="360" w:lineRule="auto"/>
        <w:ind w:left="0" w:leftChars="0" w:firstLine="420" w:firstLineChars="200"/>
        <w:jc w:val="left"/>
        <w:rPr>
          <w:rFonts w:hint="eastAsia" w:ascii="宋体" w:hAnsi="宋体" w:eastAsia="宋体" w:cs="宋体"/>
          <w:color w:val="auto"/>
          <w:sz w:val="21"/>
          <w:szCs w:val="21"/>
          <w:highlight w:val="none"/>
          <w:lang w:eastAsia="zh-CN"/>
        </w:rPr>
      </w:pPr>
      <w:bookmarkStart w:id="32" w:name="_Toc28359092"/>
      <w:bookmarkStart w:id="33" w:name="_Toc35393632"/>
      <w:bookmarkStart w:id="34" w:name="_Toc35393801"/>
      <w:bookmarkStart w:id="35" w:name="_Toc28359015"/>
      <w:bookmarkStart w:id="36" w:name="_Toc122026374"/>
      <w:r>
        <w:rPr>
          <w:rFonts w:hint="eastAsia" w:ascii="宋体" w:hAnsi="宋体" w:eastAsia="宋体" w:cs="宋体"/>
          <w:color w:val="auto"/>
          <w:sz w:val="21"/>
          <w:szCs w:val="21"/>
          <w:highlight w:val="none"/>
        </w:rPr>
        <w:t>1.时间：202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24</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59</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（北京时间，法定节假日除外）</w:t>
      </w:r>
      <w:r>
        <w:rPr>
          <w:rFonts w:hint="eastAsia" w:ascii="宋体" w:hAnsi="宋体" w:eastAsia="宋体" w:cs="宋体"/>
          <w:color w:val="auto"/>
          <w:sz w:val="21"/>
          <w:szCs w:val="21"/>
          <w:highlight w:val="none"/>
          <w:lang w:eastAsia="zh-CN"/>
        </w:rPr>
        <w:t>；</w:t>
      </w:r>
    </w:p>
    <w:p w14:paraId="039A0950">
      <w:pPr>
        <w:pageBreakBefore w:val="0"/>
        <w:kinsoku/>
        <w:wordWrap w:val="0"/>
        <w:overflowPunct/>
        <w:bidi w:val="0"/>
        <w:spacing w:line="360" w:lineRule="auto"/>
        <w:ind w:left="0" w:leftChars="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地点</w:t>
      </w:r>
      <w:r>
        <w:rPr>
          <w:rFonts w:hint="eastAsia" w:ascii="宋体" w:hAnsi="宋体" w:eastAsia="宋体" w:cs="宋体"/>
          <w:color w:val="auto"/>
          <w:sz w:val="21"/>
          <w:szCs w:val="21"/>
          <w:highlight w:val="none"/>
        </w:rPr>
        <w:t>：云南省政府采购电子交易平台（政采云https://www.zcygov.cn/）</w:t>
      </w:r>
      <w:r>
        <w:rPr>
          <w:rFonts w:hint="eastAsia" w:ascii="宋体" w:hAnsi="宋体" w:eastAsia="宋体" w:cs="宋体"/>
          <w:color w:val="auto"/>
          <w:sz w:val="21"/>
          <w:szCs w:val="21"/>
          <w:highlight w:val="none"/>
          <w:lang w:eastAsia="zh-CN"/>
        </w:rPr>
        <w:t>。</w:t>
      </w:r>
    </w:p>
    <w:p w14:paraId="719800A8">
      <w:pPr>
        <w:pageBreakBefore w:val="0"/>
        <w:kinsoku/>
        <w:wordWrap w:val="0"/>
        <w:overflowPunct/>
        <w:bidi w:val="0"/>
        <w:spacing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3.方式：（1）凡有意参加投标者，须持与云南省政府采购电子交易平台（政采云）兼容的数字证书（</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），在平台绑定后，线上获取采购文件及其它采购资料。</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申领链接：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"https://middle.zcygov.cn/ca/apply/list?_app_=zcy.sys"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https://middle.zcygov.cn/</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/apply/list?_app_=zcy.sys</w:t>
      </w:r>
      <w:r>
        <w:rPr>
          <w:rFonts w:hint="eastAsia" w:ascii="宋体" w:hAnsi="宋体" w:eastAsia="宋体" w:cs="宋体"/>
          <w:color w:val="auto"/>
          <w:sz w:val="21"/>
          <w:szCs w:val="21"/>
          <w:highlight w:val="none"/>
        </w:rPr>
        <w:fldChar w:fldCharType="end"/>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按上述要求获取文件的供应商视为合法获取了本项目采购文件，具备本项目</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资格。</w:t>
      </w:r>
    </w:p>
    <w:p w14:paraId="0D68E7A1">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4.售价：0.00元。</w:t>
      </w:r>
    </w:p>
    <w:p w14:paraId="7FBEDFC9">
      <w:pPr>
        <w:pStyle w:val="3"/>
        <w:bidi w:val="0"/>
        <w:spacing w:line="360" w:lineRule="auto"/>
        <w:jc w:val="left"/>
        <w:rPr>
          <w:rFonts w:hint="eastAsia" w:ascii="宋体" w:hAnsi="宋体" w:eastAsia="宋体" w:cs="宋体"/>
          <w:color w:val="auto"/>
          <w:sz w:val="21"/>
          <w:szCs w:val="21"/>
          <w:highlight w:val="none"/>
        </w:rPr>
      </w:pPr>
      <w:bookmarkStart w:id="37" w:name="_Toc16708"/>
      <w:bookmarkStart w:id="38" w:name="_Toc14940"/>
      <w:bookmarkStart w:id="39" w:name="_Toc20048"/>
      <w:bookmarkStart w:id="40" w:name="_Toc8610"/>
      <w:bookmarkStart w:id="41" w:name="_Toc29777"/>
      <w:bookmarkStart w:id="42" w:name="_Toc12536"/>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提交</w:t>
      </w:r>
      <w:bookmarkEnd w:id="32"/>
      <w:bookmarkEnd w:id="33"/>
      <w:bookmarkEnd w:id="34"/>
      <w:bookmarkEnd w:id="35"/>
      <w:bookmarkEnd w:id="36"/>
      <w:bookmarkEnd w:id="37"/>
      <w:bookmarkEnd w:id="38"/>
      <w:bookmarkEnd w:id="39"/>
      <w:bookmarkEnd w:id="40"/>
      <w:bookmarkEnd w:id="41"/>
      <w:bookmarkEnd w:id="42"/>
    </w:p>
    <w:p w14:paraId="12A5A780">
      <w:pPr>
        <w:pageBreakBefore w:val="0"/>
        <w:kinsoku/>
        <w:overflowPunct/>
        <w:bidi w:val="0"/>
        <w:spacing w:line="360" w:lineRule="auto"/>
        <w:ind w:left="0" w:leftChars="0" w:firstLine="420" w:firstLineChars="200"/>
        <w:jc w:val="left"/>
        <w:rPr>
          <w:rFonts w:hint="eastAsia" w:ascii="宋体" w:hAnsi="宋体" w:eastAsia="宋体" w:cs="宋体"/>
          <w:bCs/>
          <w:color w:val="auto"/>
          <w:sz w:val="21"/>
          <w:szCs w:val="21"/>
          <w:highlight w:val="none"/>
          <w:lang w:eastAsia="zh-CN"/>
        </w:rPr>
      </w:pPr>
      <w:bookmarkStart w:id="43" w:name="_Toc28359016"/>
      <w:bookmarkStart w:id="44" w:name="_Toc35393802"/>
      <w:bookmarkStart w:id="45" w:name="_Toc35393633"/>
      <w:bookmarkStart w:id="46" w:name="_Toc122026375"/>
      <w:bookmarkStart w:id="47" w:name="_Toc28359093"/>
      <w:r>
        <w:rPr>
          <w:rFonts w:hint="eastAsia" w:ascii="宋体" w:hAnsi="宋体" w:eastAsia="宋体" w:cs="宋体"/>
          <w:color w:val="auto"/>
          <w:sz w:val="21"/>
          <w:szCs w:val="21"/>
          <w:highlight w:val="none"/>
        </w:rPr>
        <w:t>1.截止时间：202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分（北京时间，以系统时间为准）</w:t>
      </w:r>
      <w:r>
        <w:rPr>
          <w:rFonts w:hint="eastAsia" w:ascii="宋体" w:hAnsi="宋体" w:eastAsia="宋体" w:cs="宋体"/>
          <w:color w:val="auto"/>
          <w:sz w:val="21"/>
          <w:szCs w:val="21"/>
          <w:highlight w:val="none"/>
          <w:lang w:eastAsia="zh-CN"/>
        </w:rPr>
        <w:t>。</w:t>
      </w:r>
    </w:p>
    <w:p w14:paraId="458287F7">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2.地点：供应商应按照本项目采购文件和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政采云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平台的要求编制、加密后在响应文件提交截止时间前上传至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政采云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平台，响应文件提交截止时间前未完成响应文件上传的，视为撤回响应文件。供应商在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政采云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平台提交电子版响应文件时，请填写参加远程采购活动经办人联系方式。</w:t>
      </w:r>
    </w:p>
    <w:p w14:paraId="40423F81">
      <w:pPr>
        <w:pStyle w:val="3"/>
        <w:bidi w:val="0"/>
        <w:spacing w:line="360" w:lineRule="auto"/>
        <w:jc w:val="left"/>
        <w:rPr>
          <w:rFonts w:hint="eastAsia" w:ascii="宋体" w:hAnsi="宋体" w:eastAsia="宋体" w:cs="宋体"/>
          <w:color w:val="auto"/>
          <w:sz w:val="21"/>
          <w:szCs w:val="21"/>
          <w:highlight w:val="none"/>
        </w:rPr>
      </w:pPr>
      <w:bookmarkStart w:id="48" w:name="_Toc32223"/>
      <w:bookmarkStart w:id="49" w:name="_Toc31762"/>
      <w:bookmarkStart w:id="50" w:name="_Toc21692"/>
      <w:bookmarkStart w:id="51" w:name="_Toc11839"/>
      <w:bookmarkStart w:id="52" w:name="_Toc30276"/>
      <w:bookmarkStart w:id="53" w:name="_Toc31498"/>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开启</w:t>
      </w:r>
      <w:bookmarkEnd w:id="43"/>
      <w:bookmarkEnd w:id="44"/>
      <w:bookmarkEnd w:id="45"/>
      <w:bookmarkEnd w:id="46"/>
      <w:bookmarkEnd w:id="47"/>
      <w:bookmarkEnd w:id="48"/>
      <w:bookmarkEnd w:id="49"/>
      <w:bookmarkEnd w:id="50"/>
      <w:bookmarkEnd w:id="51"/>
      <w:bookmarkEnd w:id="52"/>
      <w:bookmarkEnd w:id="53"/>
    </w:p>
    <w:p w14:paraId="39D9C21A">
      <w:pPr>
        <w:wordWrap w:val="0"/>
        <w:spacing w:line="360" w:lineRule="auto"/>
        <w:ind w:firstLine="420" w:firstLineChars="200"/>
        <w:jc w:val="left"/>
        <w:rPr>
          <w:rFonts w:hint="eastAsia" w:ascii="宋体" w:hAnsi="宋体" w:eastAsia="宋体" w:cs="宋体"/>
          <w:color w:val="auto"/>
          <w:sz w:val="21"/>
          <w:szCs w:val="21"/>
          <w:highlight w:val="none"/>
        </w:rPr>
      </w:pPr>
      <w:bookmarkStart w:id="54" w:name="_Toc122026376"/>
      <w:bookmarkStart w:id="55" w:name="_Toc35393634"/>
      <w:bookmarkStart w:id="56" w:name="_Toc28359017"/>
      <w:bookmarkStart w:id="57" w:name="_Toc35393803"/>
      <w:bookmarkStart w:id="58" w:name="_Toc28359094"/>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开启时间：202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分（北京时间，以系统时间为准）。</w:t>
      </w:r>
    </w:p>
    <w:p w14:paraId="4D3114B1">
      <w:pPr>
        <w:wordWrap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地点：云南省昆明市五华区陈家营路香树花城B栋13楼开标室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供应商无需到达开标地点，须在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政采云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平台进行远程解密电子版响应文件</w:t>
      </w:r>
      <w:r>
        <w:rPr>
          <w:rFonts w:hint="eastAsia" w:ascii="宋体" w:hAnsi="宋体" w:eastAsia="宋体" w:cs="宋体"/>
          <w:color w:val="auto"/>
          <w:sz w:val="21"/>
          <w:szCs w:val="21"/>
          <w:highlight w:val="none"/>
          <w:lang w:eastAsia="zh-CN"/>
        </w:rPr>
        <w:t>。</w:t>
      </w:r>
    </w:p>
    <w:p w14:paraId="31490A21">
      <w:pPr>
        <w:pStyle w:val="3"/>
        <w:bidi w:val="0"/>
        <w:spacing w:line="360" w:lineRule="auto"/>
        <w:jc w:val="left"/>
        <w:rPr>
          <w:rFonts w:hint="eastAsia" w:ascii="宋体" w:hAnsi="宋体" w:eastAsia="宋体" w:cs="宋体"/>
          <w:color w:val="auto"/>
          <w:sz w:val="21"/>
          <w:szCs w:val="21"/>
          <w:highlight w:val="none"/>
        </w:rPr>
      </w:pPr>
      <w:bookmarkStart w:id="59" w:name="_Toc29914"/>
      <w:bookmarkStart w:id="60" w:name="_Toc22670"/>
      <w:bookmarkStart w:id="61" w:name="_Toc14727"/>
      <w:bookmarkStart w:id="62" w:name="_Toc26958"/>
      <w:bookmarkStart w:id="63" w:name="_Toc2026"/>
      <w:bookmarkStart w:id="64" w:name="_Toc21737"/>
      <w:r>
        <w:rPr>
          <w:rFonts w:hint="eastAsia" w:ascii="宋体" w:hAnsi="宋体" w:eastAsia="宋体" w:cs="宋体"/>
          <w:color w:val="auto"/>
          <w:sz w:val="21"/>
          <w:szCs w:val="21"/>
          <w:highlight w:val="none"/>
        </w:rPr>
        <w:t>六、公告期限</w:t>
      </w:r>
      <w:bookmarkEnd w:id="54"/>
      <w:bookmarkEnd w:id="55"/>
      <w:bookmarkEnd w:id="56"/>
      <w:bookmarkEnd w:id="57"/>
      <w:bookmarkEnd w:id="58"/>
      <w:bookmarkEnd w:id="59"/>
      <w:bookmarkEnd w:id="60"/>
      <w:bookmarkEnd w:id="61"/>
      <w:bookmarkEnd w:id="62"/>
      <w:bookmarkEnd w:id="63"/>
      <w:bookmarkEnd w:id="64"/>
    </w:p>
    <w:p w14:paraId="7E1F964A">
      <w:pPr>
        <w:spacing w:line="360" w:lineRule="auto"/>
        <w:ind w:firstLine="420" w:firstLineChars="200"/>
        <w:rPr>
          <w:rFonts w:hint="eastAsia" w:ascii="宋体" w:hAnsi="宋体" w:eastAsia="宋体" w:cs="宋体"/>
          <w:color w:val="auto"/>
          <w:sz w:val="21"/>
          <w:szCs w:val="21"/>
          <w:highlight w:val="none"/>
        </w:rPr>
      </w:pPr>
      <w:bookmarkStart w:id="65" w:name="_Toc18107"/>
      <w:bookmarkStart w:id="66" w:name="_Toc122026377"/>
      <w:bookmarkStart w:id="67" w:name="_Toc35393804"/>
      <w:bookmarkStart w:id="68" w:name="_Toc35393635"/>
      <w:r>
        <w:rPr>
          <w:rFonts w:hint="eastAsia" w:ascii="宋体" w:hAnsi="宋体" w:eastAsia="宋体" w:cs="宋体"/>
          <w:color w:val="auto"/>
          <w:sz w:val="21"/>
          <w:szCs w:val="21"/>
          <w:highlight w:val="none"/>
        </w:rPr>
        <w:t>自本公告发布之日起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个工作日。</w:t>
      </w:r>
    </w:p>
    <w:p w14:paraId="4093B10C">
      <w:pPr>
        <w:pStyle w:val="3"/>
        <w:bidi w:val="0"/>
        <w:spacing w:line="360" w:lineRule="auto"/>
        <w:jc w:val="left"/>
        <w:rPr>
          <w:rFonts w:hint="eastAsia" w:ascii="宋体" w:hAnsi="宋体" w:eastAsia="宋体" w:cs="宋体"/>
          <w:color w:val="auto"/>
          <w:sz w:val="21"/>
          <w:szCs w:val="21"/>
          <w:highlight w:val="none"/>
        </w:rPr>
      </w:pPr>
      <w:bookmarkStart w:id="69" w:name="_Toc20516"/>
      <w:bookmarkStart w:id="70" w:name="_Toc14019"/>
      <w:bookmarkStart w:id="71" w:name="_Toc10717"/>
      <w:bookmarkStart w:id="72" w:name="_Toc29668"/>
      <w:bookmarkStart w:id="73" w:name="_Toc7608"/>
      <w:r>
        <w:rPr>
          <w:rFonts w:hint="eastAsia" w:ascii="宋体" w:hAnsi="宋体" w:eastAsia="宋体" w:cs="宋体"/>
          <w:color w:val="auto"/>
          <w:sz w:val="21"/>
          <w:szCs w:val="21"/>
          <w:highlight w:val="none"/>
        </w:rPr>
        <w:t>七、其他补充事宜</w:t>
      </w:r>
      <w:bookmarkEnd w:id="65"/>
      <w:bookmarkEnd w:id="66"/>
      <w:bookmarkEnd w:id="67"/>
      <w:bookmarkEnd w:id="68"/>
      <w:bookmarkEnd w:id="69"/>
      <w:bookmarkEnd w:id="70"/>
      <w:bookmarkEnd w:id="71"/>
      <w:bookmarkEnd w:id="72"/>
      <w:bookmarkEnd w:id="73"/>
    </w:p>
    <w:p w14:paraId="22059C74">
      <w:pPr>
        <w:wordWrap w:val="0"/>
        <w:spacing w:line="360" w:lineRule="auto"/>
        <w:ind w:firstLine="420" w:firstLineChars="200"/>
        <w:jc w:val="left"/>
        <w:rPr>
          <w:rFonts w:hint="eastAsia" w:ascii="宋体" w:hAnsi="宋体" w:eastAsia="宋体" w:cs="宋体"/>
          <w:color w:val="auto"/>
          <w:sz w:val="21"/>
          <w:szCs w:val="21"/>
          <w:highlight w:val="none"/>
          <w:lang w:eastAsia="zh-CN"/>
        </w:rPr>
      </w:pPr>
      <w:bookmarkStart w:id="74" w:name="_Toc28359095"/>
      <w:bookmarkStart w:id="75" w:name="_Toc35393805"/>
      <w:bookmarkStart w:id="76" w:name="_Toc28359018"/>
      <w:bookmarkStart w:id="77" w:name="_Toc122026378"/>
      <w:bookmarkStart w:id="78" w:name="_Toc35393636"/>
      <w:r>
        <w:rPr>
          <w:rFonts w:hint="eastAsia" w:ascii="宋体" w:hAnsi="宋体" w:eastAsia="宋体" w:cs="宋体"/>
          <w:color w:val="auto"/>
          <w:sz w:val="21"/>
          <w:szCs w:val="21"/>
          <w:highlight w:val="none"/>
        </w:rPr>
        <w:t>开标方式：网上开标</w:t>
      </w:r>
      <w:r>
        <w:rPr>
          <w:rFonts w:hint="eastAsia" w:ascii="宋体" w:hAnsi="宋体" w:eastAsia="宋体" w:cs="宋体"/>
          <w:color w:val="auto"/>
          <w:sz w:val="21"/>
          <w:szCs w:val="21"/>
          <w:highlight w:val="none"/>
          <w:lang w:eastAsia="zh-CN"/>
        </w:rPr>
        <w:t>。</w:t>
      </w:r>
    </w:p>
    <w:p w14:paraId="1D154B9D">
      <w:pPr>
        <w:wordWrap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是否需要缴纳</w:t>
      </w:r>
      <w:r>
        <w:rPr>
          <w:rFonts w:hint="eastAsia" w:ascii="宋体" w:hAnsi="宋体" w:eastAsia="宋体" w:cs="宋体"/>
          <w:color w:val="auto"/>
          <w:sz w:val="21"/>
          <w:szCs w:val="21"/>
          <w:highlight w:val="none"/>
          <w:lang w:eastAsia="zh-CN"/>
        </w:rPr>
        <w:t>磋商保证金</w:t>
      </w: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p>
    <w:p w14:paraId="5A24E11D">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本项目公告在“云南省政府采购网（http://www.yngp.com/）、云南省政府采购电子交易平台（政采云https://www.zcygov.cn/）”上发布，其他网站或媒体转载的公告</w:t>
      </w:r>
      <w:r>
        <w:rPr>
          <w:rFonts w:hint="eastAsia" w:ascii="宋体" w:hAnsi="宋体" w:eastAsia="宋体" w:cs="宋体"/>
          <w:color w:val="auto"/>
          <w:sz w:val="21"/>
          <w:szCs w:val="21"/>
          <w:highlight w:val="none"/>
          <w:lang w:val="en-US" w:eastAsia="zh-CN"/>
        </w:rPr>
        <w:t>和</w:t>
      </w:r>
      <w:r>
        <w:rPr>
          <w:rFonts w:hint="eastAsia" w:ascii="宋体" w:hAnsi="宋体" w:eastAsia="宋体" w:cs="宋体"/>
          <w:color w:val="auto"/>
          <w:sz w:val="21"/>
          <w:szCs w:val="21"/>
          <w:highlight w:val="none"/>
        </w:rPr>
        <w:t>公告内容采购人及代理机构不承担任何责任。</w:t>
      </w:r>
    </w:p>
    <w:p w14:paraId="7E0B6D73">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kern w:val="2"/>
          <w:sz w:val="21"/>
          <w:szCs w:val="21"/>
          <w:highlight w:val="none"/>
          <w:lang w:val="en-US" w:eastAsia="zh-CN" w:bidi="ar-SA"/>
        </w:rPr>
        <w:t>1.本次采购公告在云南省政府采购网上发布。请各位供应商在递交响应文件前随时查看，以获取最新的消息。2.本次项目采用全流程电子化采购方式，各供应商应认真学习云南省政府采购电子交易平台（政采云）发布的相关操作手册。操作手册查询链接：</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"https://helpcenter.zcygov.cn/document/" \l "/document/dashboard?siteCode=yunnan"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https://helpcenter.zcygov.cn/document/#/document/dashboard?siteCode=yunnan</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。如有疑问，请联系客服热线 95763。（1）供应商注册。供应商须在云南省政府采购电子交易平台注册完成后，方可参与本项目。操作路径：云南省政府采购电子交易平台－业务支持－用户注册－供应商模块。（2）</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 xml:space="preserve">数字证书办理。供应商须办理有效的 </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数字证书。申领链接：</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"https://middle.zcygov.cn/ca/apply/choose"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https://middle.zcygov.cn/</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/apply/choose</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数字证书绑定。供应商完成</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绑定操作。操作路径：云南省政府采购电子交易平台－我的工作台－系统管理－</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管理－</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 xml:space="preserve">绑定。（4）采购文件获取。供应商须在采购公告规定的文件获取期限内，使用账号密码或 </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数字证书登录平台获取采购文件。操作路径：云南省政府采购电子交易平台－我的工作台－项目采购－获取采购文件。请务必在规定期限内获取采购文件，逾期将无法获取。（5）响应文件编制与递交。供应商须下载政采云客户端，通过客户端编制响应文件并完成线上递交。客户端下载路径：</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"https://market.zcygov.cn/application-market/" \l "/download/list"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https://market.zcygov.cn/appli</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tion-market/#/download/list</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 xml:space="preserve">。（6）开评审。供应商须在项目指定的开标时间前登录政府采购电子交易平台，并在规定时限内完成响应文件解密。如因供应商自身原因无法在规定时间内完成解密的，由此产生的全部后果由供应商自行承担（包含但不限于设备故障、浏览器故障、未安装对应驱动程序、网络故障、加密 </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 xml:space="preserve">与解密 </w:t>
      </w:r>
      <w:r>
        <w:rPr>
          <w:rFonts w:hint="eastAsia" w:ascii="宋体" w:hAnsi="宋体" w:cs="宋体"/>
          <w:color w:val="auto"/>
          <w:kern w:val="2"/>
          <w:sz w:val="21"/>
          <w:szCs w:val="21"/>
          <w:highlight w:val="none"/>
          <w:lang w:val="en-US" w:eastAsia="zh-CN" w:bidi="ar-SA"/>
        </w:rPr>
        <w:t>CA</w:t>
      </w:r>
      <w:r>
        <w:rPr>
          <w:rFonts w:hint="eastAsia" w:ascii="宋体" w:hAnsi="宋体" w:eastAsia="宋体" w:cs="宋体"/>
          <w:color w:val="auto"/>
          <w:kern w:val="2"/>
          <w:sz w:val="21"/>
          <w:szCs w:val="21"/>
          <w:highlight w:val="none"/>
          <w:lang w:val="en-US" w:eastAsia="zh-CN" w:bidi="ar-SA"/>
        </w:rPr>
        <w:t>不一致等情形）。操作路径：云南省政府采购电子交易平台－我的工作台－项目采购－开标评审－进入开标大厅。</w:t>
      </w:r>
    </w:p>
    <w:p w14:paraId="4B4A09DB">
      <w:pPr>
        <w:pStyle w:val="3"/>
        <w:bidi w:val="0"/>
        <w:spacing w:line="360" w:lineRule="auto"/>
        <w:jc w:val="left"/>
        <w:rPr>
          <w:rFonts w:hint="eastAsia" w:ascii="宋体" w:hAnsi="宋体" w:eastAsia="宋体" w:cs="宋体"/>
          <w:color w:val="auto"/>
          <w:sz w:val="21"/>
          <w:szCs w:val="21"/>
          <w:highlight w:val="none"/>
        </w:rPr>
      </w:pPr>
      <w:bookmarkStart w:id="79" w:name="_Toc32238"/>
      <w:bookmarkStart w:id="80" w:name="_Toc28829"/>
      <w:bookmarkStart w:id="81" w:name="_Toc24947"/>
      <w:bookmarkStart w:id="82" w:name="_Toc23561"/>
      <w:bookmarkStart w:id="83" w:name="_Toc15915"/>
      <w:bookmarkStart w:id="84" w:name="_Toc10487"/>
      <w:r>
        <w:rPr>
          <w:rFonts w:hint="eastAsia" w:ascii="宋体" w:hAnsi="宋体" w:eastAsia="宋体" w:cs="宋体"/>
          <w:color w:val="auto"/>
          <w:sz w:val="21"/>
          <w:szCs w:val="21"/>
          <w:highlight w:val="none"/>
        </w:rPr>
        <w:t>八、</w:t>
      </w:r>
      <w:bookmarkEnd w:id="74"/>
      <w:bookmarkEnd w:id="75"/>
      <w:bookmarkEnd w:id="76"/>
      <w:bookmarkEnd w:id="77"/>
      <w:bookmarkEnd w:id="78"/>
      <w:r>
        <w:rPr>
          <w:rFonts w:hint="eastAsia" w:ascii="宋体" w:hAnsi="宋体" w:eastAsia="宋体" w:cs="宋体"/>
          <w:color w:val="auto"/>
          <w:sz w:val="21"/>
          <w:szCs w:val="21"/>
          <w:highlight w:val="none"/>
        </w:rPr>
        <w:t>对本次</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提出询问，请按以下方式联系</w:t>
      </w:r>
      <w:bookmarkEnd w:id="79"/>
      <w:bookmarkEnd w:id="80"/>
      <w:bookmarkEnd w:id="81"/>
      <w:bookmarkEnd w:id="82"/>
      <w:bookmarkEnd w:id="83"/>
      <w:bookmarkEnd w:id="84"/>
    </w:p>
    <w:p w14:paraId="34B20F3D">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采购人信息</w:t>
      </w:r>
    </w:p>
    <w:p w14:paraId="6AA47D44">
      <w:pPr>
        <w:spacing w:line="360" w:lineRule="auto"/>
        <w:ind w:firstLine="420" w:firstLineChars="200"/>
        <w:jc w:val="left"/>
        <w:rPr>
          <w:rFonts w:hint="eastAsia" w:ascii="宋体" w:hAnsi="宋体" w:cs="宋体"/>
          <w:color w:val="auto"/>
          <w:sz w:val="21"/>
          <w:szCs w:val="21"/>
          <w:highlight w:val="none"/>
          <w:lang w:eastAsia="zh-CN"/>
        </w:rPr>
      </w:pPr>
      <w:bookmarkStart w:id="85" w:name="_Toc28359086"/>
      <w:bookmarkStart w:id="86" w:name="_Toc28359009"/>
      <w:r>
        <w:rPr>
          <w:rFonts w:hint="eastAsia" w:ascii="宋体" w:hAnsi="宋体" w:eastAsia="宋体" w:cs="宋体"/>
          <w:color w:val="auto"/>
          <w:sz w:val="21"/>
          <w:szCs w:val="21"/>
          <w:highlight w:val="none"/>
        </w:rPr>
        <w:t>名称：</w:t>
      </w:r>
      <w:r>
        <w:rPr>
          <w:rFonts w:hint="eastAsia" w:ascii="宋体" w:hAnsi="宋体" w:cs="宋体"/>
          <w:color w:val="auto"/>
          <w:sz w:val="21"/>
          <w:szCs w:val="21"/>
          <w:highlight w:val="none"/>
          <w:lang w:eastAsia="zh-CN"/>
        </w:rPr>
        <w:t>红河县水务局</w:t>
      </w:r>
    </w:p>
    <w:p w14:paraId="5BAA36FF">
      <w:pPr>
        <w:spacing w:line="360" w:lineRule="auto"/>
        <w:ind w:firstLine="420" w:firstLineChars="200"/>
        <w:jc w:val="lef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地址：</w:t>
      </w:r>
      <w:r>
        <w:rPr>
          <w:rFonts w:hint="eastAsia" w:ascii="宋体" w:hAnsi="宋体" w:cs="宋体"/>
          <w:color w:val="auto"/>
          <w:sz w:val="21"/>
          <w:szCs w:val="21"/>
          <w:highlight w:val="none"/>
          <w:lang w:val="en-US" w:eastAsia="zh-CN"/>
        </w:rPr>
        <w:t>红河县迤萨镇莲花大道</w:t>
      </w:r>
    </w:p>
    <w:p w14:paraId="3AF3C74D">
      <w:p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联系人：</w:t>
      </w:r>
      <w:r>
        <w:rPr>
          <w:rFonts w:hint="eastAsia" w:hAnsi="宋体" w:cs="宋体"/>
          <w:color w:val="auto"/>
          <w:sz w:val="21"/>
          <w:szCs w:val="21"/>
          <w:highlight w:val="none"/>
          <w:lang w:val="en-US" w:eastAsia="zh-CN"/>
        </w:rPr>
        <w:t>唐铁辉</w:t>
      </w:r>
    </w:p>
    <w:p w14:paraId="140BD7EB">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联系方式：13649614205</w:t>
      </w:r>
    </w:p>
    <w:p w14:paraId="427C97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代理机构信息</w:t>
      </w:r>
      <w:bookmarkEnd w:id="85"/>
      <w:bookmarkEnd w:id="86"/>
    </w:p>
    <w:p w14:paraId="7D8A071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名称：云南嘉融建设工程管理有限责任公司</w:t>
      </w:r>
    </w:p>
    <w:p w14:paraId="0BFCEEC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地址：昆明市五华区陈家营路香树花城B栋13楼</w:t>
      </w:r>
    </w:p>
    <w:p w14:paraId="4F559C6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联系人：普</w:t>
      </w:r>
      <w:r>
        <w:rPr>
          <w:rFonts w:hint="eastAsia" w:ascii="宋体" w:hAnsi="宋体" w:eastAsia="宋体" w:cs="宋体"/>
          <w:color w:val="auto"/>
          <w:sz w:val="21"/>
          <w:szCs w:val="21"/>
          <w:highlight w:val="none"/>
          <w:lang w:val="en-US" w:eastAsia="zh-CN"/>
        </w:rPr>
        <w:t>忠波</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李云文</w:t>
      </w:r>
    </w:p>
    <w:p w14:paraId="2CAD9B7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bookmarkStart w:id="87" w:name="_Toc28359087"/>
      <w:bookmarkStart w:id="88" w:name="_Toc28359010"/>
      <w:r>
        <w:rPr>
          <w:rFonts w:hint="eastAsia" w:ascii="宋体" w:hAnsi="宋体" w:eastAsia="宋体" w:cs="宋体"/>
          <w:color w:val="auto"/>
          <w:sz w:val="21"/>
          <w:szCs w:val="21"/>
          <w:highlight w:val="none"/>
        </w:rPr>
        <w:t>0871-68217769</w:t>
      </w:r>
    </w:p>
    <w:p w14:paraId="0F20919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6025DF51">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项目联系人：普</w:t>
      </w:r>
      <w:r>
        <w:rPr>
          <w:rFonts w:hint="eastAsia" w:ascii="宋体" w:hAnsi="宋体" w:eastAsia="宋体" w:cs="宋体"/>
          <w:color w:val="auto"/>
          <w:sz w:val="21"/>
          <w:szCs w:val="21"/>
          <w:highlight w:val="none"/>
          <w:lang w:val="en-US" w:eastAsia="zh-CN"/>
        </w:rPr>
        <w:t>忠波</w:t>
      </w:r>
    </w:p>
    <w:p w14:paraId="2B198F6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0871-68217769</w:t>
      </w:r>
    </w:p>
    <w:p w14:paraId="03E9A07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bookmarkEnd w:id="87"/>
    <w:bookmarkEnd w:id="88"/>
    <w:p w14:paraId="5821E1FA">
      <w:pPr>
        <w:pStyle w:val="2"/>
        <w:bidi w:val="0"/>
        <w:jc w:val="center"/>
        <w:rPr>
          <w:rFonts w:hint="eastAsia" w:ascii="黑体" w:hAnsi="黑体" w:eastAsia="黑体" w:cs="黑体"/>
          <w:color w:val="auto"/>
          <w:sz w:val="36"/>
          <w:szCs w:val="36"/>
          <w:highlight w:val="none"/>
        </w:rPr>
      </w:pPr>
      <w:bookmarkStart w:id="89" w:name="_Toc229583198"/>
      <w:bookmarkStart w:id="90" w:name="_Toc16883"/>
      <w:bookmarkStart w:id="91" w:name="_Toc28046"/>
      <w:bookmarkStart w:id="92" w:name="_Toc15362"/>
      <w:bookmarkStart w:id="93" w:name="_Toc303639507"/>
      <w:bookmarkStart w:id="94" w:name="_Toc15029"/>
      <w:bookmarkStart w:id="95" w:name="_Toc27492"/>
      <w:bookmarkStart w:id="96" w:name="_Toc1617"/>
      <w:bookmarkStart w:id="97" w:name="_Toc488773045"/>
      <w:bookmarkStart w:id="98" w:name="_Toc303639374"/>
      <w:bookmarkStart w:id="99" w:name="_Toc9375"/>
      <w:r>
        <w:rPr>
          <w:rFonts w:hint="eastAsia" w:ascii="黑体" w:hAnsi="黑体" w:eastAsia="黑体" w:cs="黑体"/>
          <w:color w:val="auto"/>
          <w:sz w:val="36"/>
          <w:szCs w:val="36"/>
          <w:highlight w:val="none"/>
        </w:rPr>
        <w:t xml:space="preserve">第二章 </w:t>
      </w:r>
      <w:r>
        <w:rPr>
          <w:rFonts w:hint="eastAsia" w:ascii="黑体" w:hAnsi="黑体" w:eastAsia="黑体" w:cs="黑体"/>
          <w:color w:val="auto"/>
          <w:sz w:val="36"/>
          <w:szCs w:val="36"/>
          <w:highlight w:val="none"/>
          <w:lang w:eastAsia="zh-CN"/>
        </w:rPr>
        <w:t>供应商</w:t>
      </w:r>
      <w:r>
        <w:rPr>
          <w:rFonts w:hint="eastAsia" w:ascii="黑体" w:hAnsi="黑体" w:eastAsia="黑体" w:cs="黑体"/>
          <w:color w:val="auto"/>
          <w:sz w:val="36"/>
          <w:szCs w:val="36"/>
          <w:highlight w:val="none"/>
        </w:rPr>
        <w:t>须知</w:t>
      </w:r>
      <w:bookmarkEnd w:id="89"/>
      <w:bookmarkEnd w:id="90"/>
      <w:bookmarkEnd w:id="91"/>
      <w:bookmarkEnd w:id="92"/>
      <w:bookmarkEnd w:id="93"/>
      <w:bookmarkEnd w:id="94"/>
      <w:bookmarkEnd w:id="95"/>
      <w:bookmarkEnd w:id="96"/>
      <w:bookmarkEnd w:id="97"/>
      <w:bookmarkEnd w:id="98"/>
      <w:bookmarkEnd w:id="99"/>
    </w:p>
    <w:p w14:paraId="0EA4D8F3">
      <w:pPr>
        <w:pStyle w:val="3"/>
        <w:spacing w:line="360" w:lineRule="auto"/>
        <w:jc w:val="center"/>
        <w:rPr>
          <w:rFonts w:ascii="宋体" w:hAnsi="宋体" w:eastAsia="宋体" w:cs="宋体"/>
          <w:color w:val="auto"/>
          <w:highlight w:val="none"/>
        </w:rPr>
      </w:pPr>
      <w:bookmarkStart w:id="100" w:name="_Toc20700"/>
      <w:bookmarkStart w:id="101" w:name="_Toc23438"/>
      <w:bookmarkStart w:id="102" w:name="_Toc7252731"/>
      <w:bookmarkStart w:id="103" w:name="_Toc24649"/>
      <w:bookmarkStart w:id="104" w:name="_Toc86124039"/>
      <w:bookmarkStart w:id="105" w:name="_Toc119421967"/>
      <w:bookmarkStart w:id="106" w:name="_Toc23435"/>
      <w:bookmarkStart w:id="107" w:name="_Toc27113"/>
      <w:bookmarkStart w:id="108" w:name="_Toc22736"/>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须知前附表</w:t>
      </w:r>
      <w:bookmarkEnd w:id="100"/>
      <w:bookmarkEnd w:id="101"/>
      <w:bookmarkEnd w:id="102"/>
      <w:bookmarkEnd w:id="103"/>
      <w:bookmarkEnd w:id="104"/>
      <w:bookmarkEnd w:id="105"/>
      <w:bookmarkEnd w:id="106"/>
      <w:bookmarkEnd w:id="107"/>
      <w:bookmarkEnd w:id="108"/>
    </w:p>
    <w:tbl>
      <w:tblPr>
        <w:tblStyle w:val="32"/>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1999"/>
        <w:gridCol w:w="6711"/>
      </w:tblGrid>
      <w:tr w14:paraId="054E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E87096B">
            <w:pPr>
              <w:spacing w:line="360" w:lineRule="auto"/>
              <w:jc w:val="center"/>
              <w:rPr>
                <w:rFonts w:hint="eastAsia" w:ascii="宋体" w:hAnsi="宋体" w:eastAsia="宋体" w:cs="宋体"/>
                <w:b/>
                <w:color w:val="auto"/>
                <w:sz w:val="21"/>
                <w:szCs w:val="21"/>
                <w:highlight w:val="none"/>
              </w:rPr>
            </w:pPr>
            <w:bookmarkStart w:id="109" w:name="_Toc86124040"/>
            <w:bookmarkStart w:id="110" w:name="_Toc7252732"/>
            <w:r>
              <w:rPr>
                <w:rFonts w:hint="eastAsia" w:ascii="宋体" w:hAnsi="宋体" w:eastAsia="宋体" w:cs="宋体"/>
                <w:b/>
                <w:color w:val="auto"/>
                <w:sz w:val="21"/>
                <w:szCs w:val="21"/>
                <w:highlight w:val="none"/>
              </w:rPr>
              <w:t>条款号</w:t>
            </w:r>
          </w:p>
        </w:tc>
        <w:tc>
          <w:tcPr>
            <w:tcW w:w="1999" w:type="dxa"/>
            <w:tcBorders>
              <w:top w:val="single" w:color="auto" w:sz="4" w:space="0"/>
              <w:left w:val="single" w:color="auto" w:sz="4" w:space="0"/>
              <w:bottom w:val="single" w:color="auto" w:sz="4" w:space="0"/>
              <w:right w:val="single" w:color="auto" w:sz="4" w:space="0"/>
            </w:tcBorders>
            <w:vAlign w:val="center"/>
          </w:tcPr>
          <w:p w14:paraId="225BB7E7">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6711" w:type="dxa"/>
            <w:tcBorders>
              <w:top w:val="single" w:color="auto" w:sz="4" w:space="0"/>
              <w:left w:val="single" w:color="auto" w:sz="4" w:space="0"/>
              <w:bottom w:val="single" w:color="auto" w:sz="4" w:space="0"/>
              <w:right w:val="single" w:color="auto" w:sz="4" w:space="0"/>
            </w:tcBorders>
            <w:vAlign w:val="center"/>
          </w:tcPr>
          <w:p w14:paraId="7A6F445A">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1DD3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050B934">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999" w:type="dxa"/>
            <w:tcBorders>
              <w:top w:val="single" w:color="auto" w:sz="4" w:space="0"/>
              <w:left w:val="single" w:color="auto" w:sz="4" w:space="0"/>
              <w:bottom w:val="single" w:color="auto" w:sz="4" w:space="0"/>
              <w:right w:val="single" w:color="auto" w:sz="4" w:space="0"/>
            </w:tcBorders>
            <w:vAlign w:val="center"/>
          </w:tcPr>
          <w:p w14:paraId="198B25D0">
            <w:pPr>
              <w:pStyle w:val="18"/>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711" w:type="dxa"/>
            <w:tcBorders>
              <w:top w:val="single" w:color="auto" w:sz="4" w:space="0"/>
              <w:left w:val="single" w:color="auto" w:sz="4" w:space="0"/>
              <w:bottom w:val="single" w:color="auto" w:sz="4" w:space="0"/>
              <w:right w:val="single" w:color="auto" w:sz="4" w:space="0"/>
            </w:tcBorders>
            <w:vAlign w:val="center"/>
          </w:tcPr>
          <w:p w14:paraId="6D18FF39">
            <w:pPr>
              <w:spacing w:line="360" w:lineRule="auto"/>
              <w:jc w:val="lef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cs="宋体"/>
                <w:color w:val="auto"/>
                <w:sz w:val="21"/>
                <w:szCs w:val="21"/>
                <w:highlight w:val="none"/>
                <w:lang w:eastAsia="zh-CN"/>
              </w:rPr>
              <w:t>红河县水务局</w:t>
            </w:r>
          </w:p>
          <w:p w14:paraId="46C0D5AB">
            <w:pPr>
              <w:spacing w:line="360" w:lineRule="auto"/>
              <w:jc w:val="lef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地址：</w:t>
            </w:r>
            <w:r>
              <w:rPr>
                <w:rFonts w:hint="eastAsia" w:ascii="宋体" w:hAnsi="宋体" w:cs="宋体"/>
                <w:color w:val="auto"/>
                <w:sz w:val="21"/>
                <w:szCs w:val="21"/>
                <w:highlight w:val="none"/>
                <w:lang w:val="en-US" w:eastAsia="zh-CN"/>
              </w:rPr>
              <w:t>红河县迤萨镇莲花大道</w:t>
            </w:r>
          </w:p>
          <w:p w14:paraId="40E05176">
            <w:pPr>
              <w:spacing w:line="36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联系人：</w:t>
            </w:r>
            <w:r>
              <w:rPr>
                <w:rFonts w:hint="eastAsia" w:hAnsi="宋体" w:cs="宋体"/>
                <w:color w:val="auto"/>
                <w:sz w:val="21"/>
                <w:szCs w:val="21"/>
                <w:highlight w:val="none"/>
                <w:lang w:val="en-US" w:eastAsia="zh-CN"/>
              </w:rPr>
              <w:t>唐铁辉</w:t>
            </w:r>
          </w:p>
          <w:p w14:paraId="23D8497D">
            <w:pPr>
              <w:pStyle w:val="18"/>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联系方式：13649614205</w:t>
            </w:r>
          </w:p>
        </w:tc>
      </w:tr>
      <w:tr w14:paraId="4273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A731784">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1999" w:type="dxa"/>
            <w:tcBorders>
              <w:top w:val="single" w:color="auto" w:sz="4" w:space="0"/>
              <w:left w:val="single" w:color="auto" w:sz="4" w:space="0"/>
              <w:bottom w:val="single" w:color="auto" w:sz="4" w:space="0"/>
              <w:right w:val="single" w:color="auto" w:sz="4" w:space="0"/>
            </w:tcBorders>
            <w:vAlign w:val="center"/>
          </w:tcPr>
          <w:p w14:paraId="339F3A00">
            <w:pPr>
              <w:pStyle w:val="18"/>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711" w:type="dxa"/>
            <w:tcBorders>
              <w:top w:val="single" w:color="auto" w:sz="4" w:space="0"/>
              <w:left w:val="single" w:color="auto" w:sz="4" w:space="0"/>
              <w:bottom w:val="single" w:color="auto" w:sz="4" w:space="0"/>
              <w:right w:val="single" w:color="auto" w:sz="4" w:space="0"/>
            </w:tcBorders>
            <w:vAlign w:val="center"/>
          </w:tcPr>
          <w:p w14:paraId="73D652E1">
            <w:pPr>
              <w:wordWrap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称：云南嘉融建设工程管理有限责任公司</w:t>
            </w:r>
          </w:p>
          <w:p w14:paraId="03E3E2F9">
            <w:pPr>
              <w:wordWrap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地址：昆明市五华区陈家营路香树花城B栋13楼</w:t>
            </w:r>
          </w:p>
          <w:p w14:paraId="09C9E8BE">
            <w:pPr>
              <w:wordWrap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联系人：普</w:t>
            </w:r>
            <w:r>
              <w:rPr>
                <w:rFonts w:hint="eastAsia" w:ascii="宋体" w:hAnsi="宋体" w:eastAsia="宋体" w:cs="宋体"/>
                <w:color w:val="auto"/>
                <w:sz w:val="21"/>
                <w:szCs w:val="21"/>
                <w:highlight w:val="none"/>
                <w:lang w:val="en-US" w:eastAsia="zh-CN"/>
              </w:rPr>
              <w:t>忠波</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李云文</w:t>
            </w:r>
          </w:p>
          <w:p w14:paraId="0AC8715A">
            <w:pPr>
              <w:pStyle w:val="1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联系方式：0871-68217769</w:t>
            </w:r>
          </w:p>
        </w:tc>
      </w:tr>
      <w:tr w14:paraId="13AC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84A913B">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1999" w:type="dxa"/>
            <w:tcBorders>
              <w:top w:val="single" w:color="auto" w:sz="4" w:space="0"/>
              <w:left w:val="single" w:color="auto" w:sz="4" w:space="0"/>
              <w:bottom w:val="single" w:color="auto" w:sz="4" w:space="0"/>
              <w:right w:val="single" w:color="auto" w:sz="4" w:space="0"/>
            </w:tcBorders>
            <w:vAlign w:val="center"/>
          </w:tcPr>
          <w:p w14:paraId="78A8164B">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项目名称、项目编号</w:t>
            </w:r>
          </w:p>
        </w:tc>
        <w:tc>
          <w:tcPr>
            <w:tcW w:w="6711" w:type="dxa"/>
            <w:tcBorders>
              <w:top w:val="single" w:color="auto" w:sz="4" w:space="0"/>
              <w:left w:val="single" w:color="auto" w:sz="4" w:space="0"/>
              <w:bottom w:val="single" w:color="auto" w:sz="4" w:space="0"/>
              <w:right w:val="single" w:color="auto" w:sz="4" w:space="0"/>
            </w:tcBorders>
            <w:vAlign w:val="center"/>
          </w:tcPr>
          <w:p w14:paraId="561CCCCF">
            <w:pPr>
              <w:pStyle w:val="18"/>
              <w:spacing w:line="360" w:lineRule="auto"/>
              <w:ind w:left="29" w:hanging="25" w:hangingChars="12"/>
              <w:rPr>
                <w:rFonts w:hint="eastAsia" w:ascii="宋体" w:hAnsi="宋体" w:eastAsia="宋体" w:cs="宋体"/>
                <w:color w:val="auto"/>
                <w:kern w:val="0"/>
                <w:sz w:val="21"/>
                <w:szCs w:val="21"/>
                <w:highlight w:val="none"/>
                <w:lang w:eastAsia="zh-CN" w:bidi="en-US"/>
              </w:rPr>
            </w:pPr>
            <w:r>
              <w:rPr>
                <w:rFonts w:hint="eastAsia" w:ascii="宋体" w:hAnsi="宋体" w:eastAsia="宋体" w:cs="宋体"/>
                <w:color w:val="auto"/>
                <w:kern w:val="0"/>
                <w:sz w:val="21"/>
                <w:szCs w:val="21"/>
                <w:highlight w:val="none"/>
                <w:lang w:bidi="en-US"/>
              </w:rPr>
              <w:t>项目名称：</w:t>
            </w:r>
            <w:r>
              <w:rPr>
                <w:rFonts w:hint="eastAsia" w:hAnsi="宋体" w:cs="宋体"/>
                <w:color w:val="auto"/>
                <w:sz w:val="21"/>
                <w:szCs w:val="21"/>
                <w:highlight w:val="none"/>
                <w:lang w:eastAsia="zh-CN"/>
              </w:rPr>
              <w:t>红河县后山二台水库除险加固工程</w:t>
            </w:r>
          </w:p>
          <w:p w14:paraId="5E837376">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bidi="en-US"/>
              </w:rPr>
              <w:t>项目编号：</w:t>
            </w:r>
            <w:r>
              <w:rPr>
                <w:rFonts w:hint="eastAsia" w:ascii="宋体" w:hAnsi="宋体" w:cs="宋体"/>
                <w:color w:val="auto"/>
                <w:kern w:val="0"/>
                <w:sz w:val="21"/>
                <w:szCs w:val="21"/>
                <w:highlight w:val="none"/>
                <w:lang w:eastAsia="zh-CN" w:bidi="en-US"/>
              </w:rPr>
              <w:t>HHZC2026-C2-02255-YNJR-0014</w:t>
            </w:r>
          </w:p>
        </w:tc>
      </w:tr>
      <w:tr w14:paraId="4F62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2D2C6A1">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1999" w:type="dxa"/>
            <w:tcBorders>
              <w:top w:val="single" w:color="auto" w:sz="4" w:space="0"/>
              <w:left w:val="single" w:color="auto" w:sz="4" w:space="0"/>
              <w:bottom w:val="single" w:color="auto" w:sz="4" w:space="0"/>
              <w:right w:val="single" w:color="auto" w:sz="4" w:space="0"/>
            </w:tcBorders>
            <w:vAlign w:val="center"/>
          </w:tcPr>
          <w:p w14:paraId="570C5192">
            <w:pPr>
              <w:pStyle w:val="18"/>
              <w:spacing w:line="360" w:lineRule="auto"/>
              <w:jc w:val="center"/>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项目</w:t>
            </w:r>
            <w:r>
              <w:rPr>
                <w:rFonts w:hint="eastAsia" w:ascii="宋体" w:hAnsi="宋体" w:eastAsia="宋体" w:cs="宋体"/>
                <w:color w:val="auto"/>
                <w:sz w:val="21"/>
                <w:szCs w:val="21"/>
                <w:highlight w:val="none"/>
              </w:rPr>
              <w:t>地点</w:t>
            </w:r>
          </w:p>
        </w:tc>
        <w:tc>
          <w:tcPr>
            <w:tcW w:w="6711" w:type="dxa"/>
            <w:tcBorders>
              <w:top w:val="single" w:color="auto" w:sz="4" w:space="0"/>
              <w:left w:val="single" w:color="auto" w:sz="4" w:space="0"/>
              <w:bottom w:val="single" w:color="auto" w:sz="4" w:space="0"/>
              <w:right w:val="single" w:color="auto" w:sz="4" w:space="0"/>
            </w:tcBorders>
            <w:vAlign w:val="center"/>
          </w:tcPr>
          <w:p w14:paraId="6991AE5E">
            <w:pPr>
              <w:spacing w:line="360" w:lineRule="auto"/>
              <w:jc w:val="left"/>
              <w:rPr>
                <w:rFonts w:hint="default" w:ascii="宋体" w:hAnsi="宋体" w:eastAsia="宋体" w:cs="宋体"/>
                <w:color w:val="auto"/>
                <w:kern w:val="0"/>
                <w:sz w:val="21"/>
                <w:szCs w:val="21"/>
                <w:highlight w:val="none"/>
                <w:lang w:val="en-US" w:eastAsia="zh-CN" w:bidi="en-US"/>
              </w:rPr>
            </w:pPr>
            <w:r>
              <w:rPr>
                <w:rFonts w:hint="eastAsia" w:ascii="宋体" w:hAnsi="宋体" w:cs="宋体"/>
                <w:b w:val="0"/>
                <w:bCs w:val="0"/>
                <w:color w:val="auto"/>
                <w:sz w:val="21"/>
                <w:szCs w:val="21"/>
                <w:highlight w:val="none"/>
                <w:lang w:eastAsia="zh-CN"/>
              </w:rPr>
              <w:t>红河县</w:t>
            </w:r>
            <w:r>
              <w:rPr>
                <w:rFonts w:hint="eastAsia" w:ascii="宋体" w:hAnsi="宋体" w:eastAsia="宋体" w:cs="宋体"/>
                <w:color w:val="auto"/>
                <w:sz w:val="21"/>
                <w:szCs w:val="21"/>
                <w:highlight w:val="none"/>
                <w:lang w:val="en-US" w:eastAsia="zh-CN"/>
              </w:rPr>
              <w:t>阿扎河乡</w:t>
            </w:r>
          </w:p>
        </w:tc>
      </w:tr>
      <w:tr w14:paraId="3270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4E65FE4">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999" w:type="dxa"/>
            <w:tcBorders>
              <w:top w:val="single" w:color="auto" w:sz="4" w:space="0"/>
              <w:left w:val="single" w:color="auto" w:sz="4" w:space="0"/>
              <w:bottom w:val="single" w:color="auto" w:sz="4" w:space="0"/>
              <w:right w:val="single" w:color="auto" w:sz="4" w:space="0"/>
            </w:tcBorders>
            <w:vAlign w:val="center"/>
          </w:tcPr>
          <w:p w14:paraId="2BF8A6B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711" w:type="dxa"/>
            <w:tcBorders>
              <w:top w:val="single" w:color="auto" w:sz="4" w:space="0"/>
              <w:left w:val="single" w:color="auto" w:sz="4" w:space="0"/>
              <w:bottom w:val="single" w:color="auto" w:sz="4" w:space="0"/>
              <w:right w:val="single" w:color="auto" w:sz="4" w:space="0"/>
            </w:tcBorders>
            <w:vAlign w:val="center"/>
          </w:tcPr>
          <w:p w14:paraId="44A80300">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财政资金</w:t>
            </w:r>
          </w:p>
        </w:tc>
      </w:tr>
      <w:tr w14:paraId="35EA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E1BA34B">
            <w:pPr>
              <w:pStyle w:val="18"/>
              <w:spacing w:line="360" w:lineRule="auto"/>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1.2.2</w:t>
            </w:r>
          </w:p>
        </w:tc>
        <w:tc>
          <w:tcPr>
            <w:tcW w:w="1999" w:type="dxa"/>
            <w:tcBorders>
              <w:top w:val="single" w:color="auto" w:sz="4" w:space="0"/>
              <w:left w:val="single" w:color="auto" w:sz="4" w:space="0"/>
              <w:bottom w:val="single" w:color="auto" w:sz="4" w:space="0"/>
              <w:right w:val="single" w:color="auto" w:sz="4" w:space="0"/>
            </w:tcBorders>
            <w:vAlign w:val="center"/>
          </w:tcPr>
          <w:p w14:paraId="6323B128">
            <w:pPr>
              <w:pStyle w:val="18"/>
              <w:spacing w:line="360" w:lineRule="auto"/>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出资比例</w:t>
            </w:r>
          </w:p>
        </w:tc>
        <w:tc>
          <w:tcPr>
            <w:tcW w:w="6711" w:type="dxa"/>
            <w:tcBorders>
              <w:top w:val="single" w:color="auto" w:sz="4" w:space="0"/>
              <w:left w:val="single" w:color="auto" w:sz="4" w:space="0"/>
              <w:bottom w:val="single" w:color="auto" w:sz="4" w:space="0"/>
              <w:right w:val="single" w:color="auto" w:sz="4" w:space="0"/>
            </w:tcBorders>
            <w:vAlign w:val="center"/>
          </w:tcPr>
          <w:p w14:paraId="5F3082F1">
            <w:pP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100%</w:t>
            </w:r>
          </w:p>
        </w:tc>
      </w:tr>
      <w:tr w14:paraId="5D76E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1A16218">
            <w:pPr>
              <w:pStyle w:val="18"/>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1.2.</w:t>
            </w:r>
            <w:r>
              <w:rPr>
                <w:rFonts w:hint="eastAsia" w:hAnsi="宋体" w:cs="宋体"/>
                <w:color w:val="auto"/>
                <w:sz w:val="21"/>
                <w:szCs w:val="21"/>
                <w:highlight w:val="none"/>
                <w:lang w:val="en-US" w:eastAsia="zh-CN"/>
              </w:rPr>
              <w:t>3</w:t>
            </w:r>
          </w:p>
        </w:tc>
        <w:tc>
          <w:tcPr>
            <w:tcW w:w="1999" w:type="dxa"/>
            <w:tcBorders>
              <w:top w:val="single" w:color="auto" w:sz="4" w:space="0"/>
              <w:left w:val="single" w:color="auto" w:sz="4" w:space="0"/>
              <w:bottom w:val="single" w:color="auto" w:sz="4" w:space="0"/>
              <w:right w:val="single" w:color="auto" w:sz="4" w:space="0"/>
            </w:tcBorders>
            <w:vAlign w:val="center"/>
          </w:tcPr>
          <w:p w14:paraId="68BF7DF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711" w:type="dxa"/>
            <w:tcBorders>
              <w:top w:val="single" w:color="auto" w:sz="4" w:space="0"/>
              <w:left w:val="single" w:color="auto" w:sz="4" w:space="0"/>
              <w:bottom w:val="single" w:color="auto" w:sz="4" w:space="0"/>
              <w:right w:val="single" w:color="auto" w:sz="4" w:space="0"/>
            </w:tcBorders>
            <w:vAlign w:val="center"/>
          </w:tcPr>
          <w:p w14:paraId="288B55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2A77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86EE0E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1999" w:type="dxa"/>
            <w:tcBorders>
              <w:top w:val="single" w:color="auto" w:sz="4" w:space="0"/>
              <w:left w:val="single" w:color="auto" w:sz="4" w:space="0"/>
              <w:bottom w:val="single" w:color="auto" w:sz="4" w:space="0"/>
              <w:right w:val="single" w:color="auto" w:sz="4" w:space="0"/>
            </w:tcBorders>
            <w:vAlign w:val="center"/>
          </w:tcPr>
          <w:p w14:paraId="4A6D2521">
            <w:pPr>
              <w:pStyle w:val="18"/>
              <w:spacing w:line="360" w:lineRule="auto"/>
              <w:jc w:val="center"/>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范围</w:t>
            </w:r>
          </w:p>
        </w:tc>
        <w:tc>
          <w:tcPr>
            <w:tcW w:w="6711" w:type="dxa"/>
            <w:tcBorders>
              <w:top w:val="single" w:color="auto" w:sz="4" w:space="0"/>
              <w:left w:val="single" w:color="auto" w:sz="4" w:space="0"/>
              <w:bottom w:val="single" w:color="auto" w:sz="4" w:space="0"/>
              <w:right w:val="single" w:color="auto" w:sz="4" w:space="0"/>
            </w:tcBorders>
            <w:vAlign w:val="center"/>
          </w:tcPr>
          <w:p w14:paraId="31ECEC38">
            <w:pPr>
              <w:pStyle w:val="18"/>
              <w:spacing w:line="360" w:lineRule="auto"/>
              <w:rPr>
                <w:rFonts w:hint="eastAsia" w:ascii="宋体" w:hAnsi="宋体" w:eastAsia="宋体" w:cs="宋体"/>
                <w:color w:val="auto"/>
                <w:sz w:val="21"/>
                <w:szCs w:val="21"/>
                <w:highlight w:val="none"/>
              </w:rPr>
            </w:pPr>
            <w:r>
              <w:rPr>
                <w:rFonts w:hint="eastAsia" w:hAnsi="宋体" w:cs="宋体"/>
                <w:b w:val="0"/>
                <w:bCs w:val="0"/>
                <w:color w:val="auto"/>
                <w:sz w:val="21"/>
                <w:szCs w:val="21"/>
                <w:highlight w:val="none"/>
                <w:lang w:eastAsia="zh-CN"/>
              </w:rPr>
              <w:t>红河县后山二台水库除险加固工程施工，建设内容为：拆除浆砌石防浪墙，新建钢筋砼防浪墙；坝体、坝基进行帷幕灌浆处理；修复溢洪道泄槽Ⅱ段、陡槽段及消力池；增设上游水位尺、下游总排水沟增设量水堰</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（详见</w:t>
            </w:r>
            <w:r>
              <w:rPr>
                <w:rFonts w:hint="eastAsia" w:ascii="宋体" w:hAnsi="宋体" w:eastAsia="宋体" w:cs="宋体"/>
                <w:b w:val="0"/>
                <w:bCs w:val="0"/>
                <w:color w:val="auto"/>
                <w:sz w:val="21"/>
                <w:szCs w:val="21"/>
                <w:highlight w:val="none"/>
                <w:lang w:eastAsia="zh-CN"/>
              </w:rPr>
              <w:t>竞争性磋商文件</w:t>
            </w:r>
            <w:r>
              <w:rPr>
                <w:rFonts w:hint="eastAsia" w:ascii="宋体" w:hAnsi="宋体" w:eastAsia="宋体" w:cs="宋体"/>
                <w:b w:val="0"/>
                <w:bCs w:val="0"/>
                <w:color w:val="auto"/>
                <w:sz w:val="21"/>
                <w:szCs w:val="21"/>
                <w:highlight w:val="none"/>
              </w:rPr>
              <w:t>第三章采购需求）。</w:t>
            </w:r>
          </w:p>
        </w:tc>
      </w:tr>
      <w:tr w14:paraId="6F90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038C6FB">
            <w:pPr>
              <w:pStyle w:val="18"/>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2</w:t>
            </w:r>
          </w:p>
        </w:tc>
        <w:tc>
          <w:tcPr>
            <w:tcW w:w="1999" w:type="dxa"/>
            <w:tcBorders>
              <w:top w:val="single" w:color="auto" w:sz="4" w:space="0"/>
              <w:left w:val="single" w:color="auto" w:sz="4" w:space="0"/>
              <w:bottom w:val="single" w:color="auto" w:sz="4" w:space="0"/>
              <w:right w:val="single" w:color="auto" w:sz="4" w:space="0"/>
            </w:tcBorders>
            <w:vAlign w:val="center"/>
          </w:tcPr>
          <w:p w14:paraId="26891CE1">
            <w:pPr>
              <w:pStyle w:val="18"/>
              <w:spacing w:line="360" w:lineRule="auto"/>
              <w:jc w:val="center"/>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合同履行期限</w:t>
            </w:r>
          </w:p>
        </w:tc>
        <w:tc>
          <w:tcPr>
            <w:tcW w:w="6711" w:type="dxa"/>
            <w:tcBorders>
              <w:top w:val="single" w:color="auto" w:sz="4" w:space="0"/>
              <w:left w:val="single" w:color="auto" w:sz="4" w:space="0"/>
              <w:bottom w:val="single" w:color="auto" w:sz="4" w:space="0"/>
              <w:right w:val="single" w:color="auto" w:sz="4" w:space="0"/>
            </w:tcBorders>
            <w:vAlign w:val="center"/>
          </w:tcPr>
          <w:p w14:paraId="30A025D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cs="宋体"/>
                <w:color w:val="auto"/>
                <w:kern w:val="2"/>
                <w:sz w:val="21"/>
                <w:szCs w:val="21"/>
                <w:highlight w:val="none"/>
                <w:lang w:val="en-US" w:eastAsia="zh-CN" w:bidi="ar-SA"/>
              </w:rPr>
              <w:t>总工期7个月</w:t>
            </w:r>
            <w:r>
              <w:rPr>
                <w:rFonts w:hint="eastAsia" w:ascii="宋体" w:hAnsi="宋体" w:eastAsia="宋体" w:cs="宋体"/>
                <w:color w:val="auto"/>
                <w:kern w:val="2"/>
                <w:sz w:val="21"/>
                <w:szCs w:val="21"/>
                <w:highlight w:val="none"/>
                <w:lang w:val="en-US" w:eastAsia="zh-CN" w:bidi="ar-SA"/>
              </w:rPr>
              <w:t>。</w:t>
            </w:r>
          </w:p>
        </w:tc>
      </w:tr>
      <w:tr w14:paraId="32DF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5399FD9">
            <w:pPr>
              <w:pStyle w:val="18"/>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3</w:t>
            </w:r>
          </w:p>
        </w:tc>
        <w:tc>
          <w:tcPr>
            <w:tcW w:w="1999" w:type="dxa"/>
            <w:tcBorders>
              <w:top w:val="single" w:color="auto" w:sz="4" w:space="0"/>
              <w:left w:val="single" w:color="auto" w:sz="4" w:space="0"/>
              <w:bottom w:val="single" w:color="auto" w:sz="4" w:space="0"/>
              <w:right w:val="single" w:color="auto" w:sz="4" w:space="0"/>
            </w:tcBorders>
            <w:vAlign w:val="center"/>
          </w:tcPr>
          <w:p w14:paraId="67076E6E">
            <w:pPr>
              <w:pStyle w:val="18"/>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val="en-US" w:eastAsia="zh-CN"/>
              </w:rPr>
              <w:t>要求</w:t>
            </w:r>
          </w:p>
        </w:tc>
        <w:tc>
          <w:tcPr>
            <w:tcW w:w="6711" w:type="dxa"/>
            <w:tcBorders>
              <w:top w:val="single" w:color="auto" w:sz="4" w:space="0"/>
              <w:left w:val="single" w:color="auto" w:sz="4" w:space="0"/>
              <w:bottom w:val="single" w:color="auto" w:sz="4" w:space="0"/>
              <w:right w:val="single" w:color="auto" w:sz="4" w:space="0"/>
            </w:tcBorders>
            <w:vAlign w:val="center"/>
          </w:tcPr>
          <w:p w14:paraId="0CBCAB01">
            <w:pPr>
              <w:pStyle w:val="18"/>
              <w:spacing w:line="360" w:lineRule="auto"/>
              <w:ind w:left="29" w:hanging="25" w:hangingChars="12"/>
              <w:rPr>
                <w:rFonts w:hint="eastAsia" w:ascii="宋体" w:hAnsi="宋体" w:eastAsia="宋体" w:cs="宋体"/>
                <w:color w:val="auto"/>
                <w:sz w:val="21"/>
                <w:szCs w:val="21"/>
                <w:highlight w:val="none"/>
                <w:lang w:eastAsia="zh-CN"/>
              </w:rPr>
            </w:pPr>
            <w:r>
              <w:rPr>
                <w:rFonts w:hint="eastAsia" w:hAnsi="宋体" w:cs="宋体"/>
                <w:color w:val="auto"/>
                <w:kern w:val="0"/>
                <w:sz w:val="21"/>
                <w:szCs w:val="21"/>
                <w:highlight w:val="none"/>
                <w:lang w:eastAsia="zh-CN"/>
              </w:rPr>
              <w:t>施工质量符合国家及行业相关标准、规范、规程要求，达到一次性验收合格。</w:t>
            </w:r>
          </w:p>
        </w:tc>
      </w:tr>
      <w:tr w14:paraId="135C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4CE747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999" w:type="dxa"/>
            <w:tcBorders>
              <w:top w:val="single" w:color="auto" w:sz="4" w:space="0"/>
              <w:left w:val="single" w:color="auto" w:sz="4" w:space="0"/>
              <w:bottom w:val="single" w:color="auto" w:sz="4" w:space="0"/>
              <w:right w:val="single" w:color="auto" w:sz="4" w:space="0"/>
            </w:tcBorders>
            <w:vAlign w:val="center"/>
          </w:tcPr>
          <w:p w14:paraId="1CFC229B">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资格要求</w:t>
            </w:r>
          </w:p>
        </w:tc>
        <w:tc>
          <w:tcPr>
            <w:tcW w:w="6711" w:type="dxa"/>
            <w:tcBorders>
              <w:top w:val="single" w:color="auto" w:sz="4" w:space="0"/>
              <w:left w:val="single" w:color="auto" w:sz="4" w:space="0"/>
              <w:bottom w:val="single" w:color="auto" w:sz="4" w:space="0"/>
              <w:right w:val="single" w:color="auto" w:sz="4" w:space="0"/>
            </w:tcBorders>
            <w:vAlign w:val="center"/>
          </w:tcPr>
          <w:p w14:paraId="068BA0AF">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满足《中华人民共和国政府采购法》第二十二条规定：</w:t>
            </w:r>
          </w:p>
          <w:p w14:paraId="4310066D">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rPr>
              <w:t>具有独立承担民事责任的能力：</w:t>
            </w:r>
            <w:r>
              <w:rPr>
                <w:rFonts w:hint="eastAsia" w:ascii="宋体" w:hAnsi="宋体" w:cs="宋体"/>
                <w:color w:val="auto"/>
                <w:szCs w:val="21"/>
                <w:highlight w:val="none"/>
              </w:rPr>
              <w:t>提供有效的营业执照或事业单位法人证书或其他类似的法定证明文件</w:t>
            </w:r>
            <w:r>
              <w:rPr>
                <w:rFonts w:hint="eastAsia" w:ascii="宋体" w:hAnsi="宋体" w:cs="宋体"/>
                <w:color w:val="auto"/>
                <w:szCs w:val="21"/>
                <w:highlight w:val="none"/>
                <w:lang w:eastAsia="zh-CN"/>
              </w:rPr>
              <w:t>。</w:t>
            </w:r>
          </w:p>
          <w:p w14:paraId="6AF2FB81">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lang w:val="en-US" w:eastAsia="zh-CN"/>
              </w:rPr>
            </w:pPr>
            <w:r>
              <w:rPr>
                <w:rFonts w:hint="eastAsia" w:ascii="宋体" w:hAnsi="宋体" w:eastAsia="宋体" w:cs="宋体"/>
                <w:b/>
                <w:bCs/>
                <w:color w:val="auto"/>
                <w:sz w:val="21"/>
                <w:szCs w:val="21"/>
                <w:highlight w:val="none"/>
                <w:lang w:val="en-US" w:eastAsia="zh-CN"/>
              </w:rPr>
              <w:t>1.2具有良好的商业信誉和健全的财务会计制度：</w:t>
            </w:r>
            <w:r>
              <w:rPr>
                <w:rFonts w:hint="eastAsia" w:ascii="宋体" w:hAnsi="宋体" w:cs="宋体"/>
                <w:color w:val="auto"/>
                <w:sz w:val="21"/>
                <w:szCs w:val="21"/>
                <w:highlight w:val="none"/>
                <w:lang w:eastAsia="zh-CN"/>
              </w:rPr>
              <w:t>提供2023年至2025年经会计师事务所或审计机构审计的财务会计报表或审计报告（事业单位可提供2023年至2025年自行编制并加盖单位公章的财务报表或部门决算报告）；成立不足三年的，提供本单位成立至今经会计师事务所或审计机构审计的财务会计报表或审计报告（事业单位可提供成立至今自行编制并加盖单位公章的财务报表或部门决算报告）；成立不足一年的，提供本单位的财务报表（事业单位可提供成立至今自行编制并加盖单位公章的财务报表或部门决算报告）；或提供自响应文件提交截止时间前三个月内基本开户银行出具的资信证明；或提供财政部门认可的政府采购专业担保机构出具的投标担保函（需同时提供专业担保机构经财政部门认可的证明文件）</w:t>
            </w:r>
            <w:r>
              <w:rPr>
                <w:rFonts w:hint="eastAsia" w:ascii="宋体" w:hAnsi="宋体" w:cs="宋体"/>
                <w:color w:val="auto"/>
                <w:szCs w:val="21"/>
                <w:highlight w:val="none"/>
              </w:rPr>
              <w:t>。</w:t>
            </w:r>
          </w:p>
          <w:p w14:paraId="68481705">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注：根据《关于加强审计报告查验工作的通知》（财会〔2023〕15号）和《云南省财政厅 云南省人民政府国有资产监督管理委员会 国家金融监督管理总局云南监管局关于进一步加强审计报告报备和查验工作的通知》（云财会〔2026〕23号）的要求，供应商提供的审计报告应有财政部注册会计师行业统一监管平台的赋码。</w:t>
            </w:r>
          </w:p>
          <w:p w14:paraId="7D3D03C5">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lang w:val="en-US" w:eastAsia="zh-CN"/>
              </w:rPr>
              <w:t>1.3具有履行合同所必需的设备和专业技术能力：</w:t>
            </w:r>
            <w:r>
              <w:rPr>
                <w:rFonts w:hint="eastAsia" w:ascii="宋体" w:hAnsi="宋体" w:cs="宋体"/>
                <w:color w:val="auto"/>
                <w:szCs w:val="21"/>
                <w:highlight w:val="none"/>
                <w:lang w:eastAsia="zh-CN"/>
              </w:rPr>
              <w:t>提供具有履行合同所必需的设备和专业技术能力的证明资料或提供具有履行合同所必需的设备和专业技术能力的承诺书。</w:t>
            </w:r>
          </w:p>
          <w:p w14:paraId="47B1136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1.4具有依法缴纳税收和社会保障资金的良好记录：</w:t>
            </w:r>
          </w:p>
          <w:p w14:paraId="6DE32388">
            <w:pPr>
              <w:keepNext w:val="0"/>
              <w:keepLines w:val="0"/>
              <w:pageBreakBefore w:val="0"/>
              <w:widowControl w:val="0"/>
              <w:tabs>
                <w:tab w:val="left" w:pos="720"/>
                <w:tab w:val="left" w:pos="8295"/>
              </w:tabs>
              <w:kinsoku/>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1.4.1提供缴税所属时间为递交响应文件截止日前</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个月内任意</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税务局税收通用缴款书复印件或银行电子缴税（费）凭证复印件或税务局出具纳税情况的相关证明复印件，成立未满3个月的提供成立以来的纳税证明材料，依法免税的应提供依法免税的相关证明文件；新成立不足对应期限，暂未产生税款缴纳记录的提交</w:t>
            </w:r>
            <w:r>
              <w:rPr>
                <w:rFonts w:hint="eastAsia" w:ascii="宋体" w:hAnsi="宋体" w:cs="宋体"/>
                <w:color w:val="auto"/>
                <w:szCs w:val="21"/>
                <w:highlight w:val="none"/>
                <w:lang w:val="en-US" w:eastAsia="zh-CN"/>
              </w:rPr>
              <w:t>承诺书</w:t>
            </w:r>
            <w:r>
              <w:rPr>
                <w:rFonts w:hint="eastAsia" w:ascii="宋体" w:hAnsi="宋体" w:cs="宋体"/>
                <w:color w:val="auto"/>
                <w:szCs w:val="21"/>
                <w:highlight w:val="none"/>
              </w:rPr>
              <w:t>和相关说明</w:t>
            </w:r>
            <w:r>
              <w:rPr>
                <w:rFonts w:hint="eastAsia" w:ascii="宋体" w:hAnsi="宋体" w:cs="宋体"/>
                <w:color w:val="auto"/>
                <w:szCs w:val="21"/>
                <w:highlight w:val="none"/>
                <w:lang w:eastAsia="zh-CN"/>
              </w:rPr>
              <w:t>；</w:t>
            </w:r>
          </w:p>
          <w:p w14:paraId="66A08C1C">
            <w:pPr>
              <w:keepNext w:val="0"/>
              <w:keepLines w:val="0"/>
              <w:pageBreakBefore w:val="0"/>
              <w:widowControl w:val="0"/>
              <w:tabs>
                <w:tab w:val="left" w:pos="720"/>
                <w:tab w:val="left" w:pos="8295"/>
              </w:tabs>
              <w:kinsoku/>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Cs w:val="21"/>
                <w:highlight w:val="none"/>
              </w:rPr>
              <w:t>1.4.2提供缴费所属时间为递交响应文件截止日前12个月内任意3个月的社会保险费缴款书复印件或银行电子缴税（费）凭证复印件或社保管理部门出具的有效的缴款证明复印件</w:t>
            </w:r>
            <w:r>
              <w:rPr>
                <w:rFonts w:hint="eastAsia" w:ascii="宋体" w:hAnsi="宋体" w:cs="宋体"/>
                <w:color w:val="auto"/>
                <w:szCs w:val="21"/>
                <w:highlight w:val="none"/>
                <w:lang w:eastAsia="zh-CN"/>
              </w:rPr>
              <w:t>，</w:t>
            </w:r>
            <w:r>
              <w:rPr>
                <w:rFonts w:hint="eastAsia" w:ascii="宋体" w:hAnsi="宋体" w:cs="宋体"/>
                <w:color w:val="auto"/>
                <w:szCs w:val="21"/>
                <w:highlight w:val="none"/>
              </w:rPr>
              <w:t>依法免缴的应提供依法免缴的相关证明文件。新成立不足对应期限，暂无从业人员依法无需缴纳社会保障资金的提交</w:t>
            </w:r>
            <w:r>
              <w:rPr>
                <w:rFonts w:hint="eastAsia" w:ascii="宋体" w:hAnsi="宋体" w:cs="宋体"/>
                <w:color w:val="auto"/>
                <w:szCs w:val="21"/>
                <w:highlight w:val="none"/>
                <w:lang w:val="en-US" w:eastAsia="zh-CN"/>
              </w:rPr>
              <w:t>承诺书</w:t>
            </w:r>
            <w:r>
              <w:rPr>
                <w:rFonts w:hint="eastAsia" w:ascii="宋体" w:hAnsi="宋体" w:cs="宋体"/>
                <w:color w:val="auto"/>
                <w:szCs w:val="21"/>
                <w:highlight w:val="none"/>
              </w:rPr>
              <w:t>和相关说明</w:t>
            </w:r>
            <w:r>
              <w:rPr>
                <w:rFonts w:hint="eastAsia" w:ascii="宋体" w:hAnsi="宋体" w:cs="宋体"/>
                <w:color w:val="auto"/>
                <w:szCs w:val="21"/>
                <w:highlight w:val="none"/>
                <w:lang w:eastAsia="zh-CN"/>
              </w:rPr>
              <w:t>。</w:t>
            </w:r>
          </w:p>
          <w:p w14:paraId="436D7F5B">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u w:val="single"/>
                <w:lang w:eastAsia="zh-CN"/>
              </w:rPr>
            </w:pP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参加政府采购活动前三年内，在经营活动中没有重大违法记录。</w:t>
            </w:r>
            <w:r>
              <w:rPr>
                <w:rFonts w:hint="eastAsia" w:hAnsi="宋体"/>
                <w:lang w:eastAsia="zh-CN"/>
              </w:rPr>
              <w:t>提供参加政府采购活动前三年内，在经营活动中没有重大违法记录的书面声明，新成立的公司按实际成立年份提供书面声明（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本项目采购活动，须提供加盖公章的情况说明和相关证明材料</w:t>
            </w:r>
            <w:r>
              <w:rPr>
                <w:rFonts w:hint="eastAsia" w:cs="宋体"/>
                <w:lang w:eastAsia="zh-CN"/>
              </w:rPr>
              <w:t>。</w:t>
            </w:r>
          </w:p>
          <w:p w14:paraId="38EBF8D2">
            <w:pPr>
              <w:keepNext w:val="0"/>
              <w:keepLines w:val="0"/>
              <w:pageBreakBefore w:val="0"/>
              <w:widowControl w:val="0"/>
              <w:tabs>
                <w:tab w:val="left" w:pos="720"/>
                <w:tab w:val="left" w:pos="8295"/>
              </w:tabs>
              <w:kinsoku/>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1.6</w:t>
            </w:r>
            <w:r>
              <w:rPr>
                <w:rFonts w:hint="eastAsia" w:ascii="宋体" w:hAnsi="宋体" w:eastAsia="宋体" w:cs="宋体"/>
                <w:b/>
                <w:bCs/>
                <w:color w:val="auto"/>
                <w:sz w:val="21"/>
                <w:szCs w:val="21"/>
                <w:highlight w:val="none"/>
                <w:lang w:val="en-US" w:eastAsia="zh-CN"/>
              </w:rPr>
              <w:t>法律、行政法规规定的其他条件：</w:t>
            </w:r>
            <w:r>
              <w:rPr>
                <w:rFonts w:hint="eastAsia" w:hAnsi="宋体"/>
                <w:lang w:val="en-US" w:eastAsia="zh-CN"/>
              </w:rPr>
              <w:t>提供加盖公章的承诺书或相关证明材料。</w:t>
            </w:r>
          </w:p>
          <w:p w14:paraId="0CB8FEE3">
            <w:pPr>
              <w:keepNext w:val="0"/>
              <w:keepLines w:val="0"/>
              <w:pageBreakBefore w:val="0"/>
              <w:widowControl w:val="0"/>
              <w:numPr>
                <w:ilvl w:val="0"/>
                <w:numId w:val="0"/>
              </w:numPr>
              <w:kinsoku/>
              <w:wordWrap w:val="0"/>
              <w:overflowPunct/>
              <w:topLinePunct w:val="0"/>
              <w:autoSpaceDE/>
              <w:autoSpaceDN/>
              <w:bidi w:val="0"/>
              <w:adjustRightInd/>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sz w:val="21"/>
                <w:szCs w:val="21"/>
                <w:highlight w:val="none"/>
              </w:rPr>
              <w:t>落实政府采购政策需满足的资格要求：</w:t>
            </w:r>
          </w:p>
          <w:p w14:paraId="2B970A02">
            <w:pPr>
              <w:pStyle w:val="61"/>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cs="宋体"/>
                <w:b w:val="0"/>
                <w:bCs w:val="0"/>
                <w:color w:val="auto"/>
                <w:szCs w:val="21"/>
                <w:highlight w:val="none"/>
                <w:u w:val="none"/>
                <w:lang w:val="en-US" w:eastAsia="zh-CN"/>
              </w:rPr>
              <w:t>2.1</w:t>
            </w:r>
            <w:r>
              <w:rPr>
                <w:rFonts w:hint="eastAsia" w:ascii="宋体" w:hAnsi="宋体" w:eastAsia="宋体" w:cs="宋体"/>
                <w:color w:val="auto"/>
                <w:sz w:val="21"/>
                <w:szCs w:val="21"/>
                <w:highlight w:val="none"/>
                <w:lang w:eastAsia="zh-CN"/>
              </w:rPr>
              <w:t>本项目</w:t>
            </w:r>
            <w:r>
              <w:rPr>
                <w:rFonts w:hint="eastAsia" w:ascii="宋体" w:hAnsi="宋体" w:eastAsia="宋体" w:cs="宋体"/>
                <w:b/>
                <w:bCs/>
                <w:color w:val="auto"/>
                <w:sz w:val="21"/>
                <w:szCs w:val="21"/>
                <w:highlight w:val="none"/>
                <w:lang w:eastAsia="zh-CN"/>
              </w:rPr>
              <w:t>非专门面向中小企业采购</w:t>
            </w:r>
            <w:r>
              <w:rPr>
                <w:rFonts w:hint="eastAsia" w:hAnsi="宋体" w:cs="宋体"/>
                <w:color w:val="auto"/>
                <w:sz w:val="21"/>
                <w:szCs w:val="21"/>
                <w:highlight w:val="none"/>
                <w:lang w:eastAsia="zh-CN"/>
              </w:rPr>
              <w:t>，评审时，符合条件的小型、微型企业承建的工程，其</w:t>
            </w:r>
            <w:r>
              <w:rPr>
                <w:rFonts w:hint="eastAsia" w:hAnsi="宋体" w:cs="宋体"/>
                <w:color w:val="auto"/>
                <w:sz w:val="21"/>
                <w:szCs w:val="21"/>
                <w:highlight w:val="none"/>
                <w:lang w:val="en-US" w:eastAsia="zh-CN"/>
              </w:rPr>
              <w:t>响应</w:t>
            </w:r>
            <w:r>
              <w:rPr>
                <w:rFonts w:hint="eastAsia" w:hAnsi="宋体" w:cs="宋体"/>
                <w:color w:val="auto"/>
                <w:sz w:val="21"/>
                <w:szCs w:val="21"/>
                <w:highlight w:val="none"/>
                <w:lang w:eastAsia="zh-CN"/>
              </w:rPr>
              <w:t>报价给予</w:t>
            </w:r>
            <w:r>
              <w:rPr>
                <w:rFonts w:hint="eastAsia" w:hAnsi="宋体" w:cs="宋体"/>
                <w:color w:val="auto"/>
                <w:sz w:val="21"/>
                <w:szCs w:val="21"/>
                <w:highlight w:val="none"/>
                <w:lang w:val="en-US" w:eastAsia="zh-CN"/>
              </w:rPr>
              <w:t>3%</w:t>
            </w:r>
            <w:r>
              <w:rPr>
                <w:rFonts w:hint="eastAsia" w:hAnsi="宋体" w:cs="宋体"/>
                <w:color w:val="auto"/>
                <w:sz w:val="21"/>
                <w:szCs w:val="21"/>
                <w:highlight w:val="none"/>
                <w:lang w:eastAsia="zh-CN"/>
              </w:rPr>
              <w:t>的价格扣除，用扣除后的价格参与评审</w:t>
            </w:r>
            <w:r>
              <w:rPr>
                <w:rFonts w:hint="eastAsia" w:ascii="宋体" w:hAnsi="宋体" w:eastAsia="宋体" w:cs="宋体"/>
                <w:color w:val="auto"/>
                <w:sz w:val="21"/>
                <w:szCs w:val="21"/>
                <w:highlight w:val="none"/>
                <w:lang w:eastAsia="zh-CN"/>
              </w:rPr>
              <w:t>。监狱企业、残疾人福利性单位视同小型和微型企业，同等享受上述价格扣除优惠</w:t>
            </w:r>
            <w:r>
              <w:rPr>
                <w:rFonts w:hint="eastAsia" w:ascii="宋体" w:hAnsi="宋体" w:eastAsia="宋体" w:cs="宋体"/>
                <w:color w:val="auto"/>
                <w:sz w:val="21"/>
                <w:szCs w:val="21"/>
                <w:highlight w:val="none"/>
              </w:rPr>
              <w:t>。</w:t>
            </w:r>
          </w:p>
          <w:p w14:paraId="3E394E7D">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2.2根据《财政部 工业和信息化部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根据《云南省财政厅云南省工业和信息化厅关于落实政府采购促进中小企业发展政策意见的通知》（云财规〔2022〕13号）的规定，工程由中小企业承建，即工程施工单位为中小企业，经主管预算单位统筹后不属于专门面向中小企业采购的项目，执行价格评审优惠政策，用扣除后的价格参加评审。</w:t>
            </w:r>
          </w:p>
          <w:p w14:paraId="6C8B226E">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根据《财政部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司法部关于政府采购支持监狱企业发展有关问题的通知》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财库</w:t>
            </w:r>
            <w:r>
              <w:rPr>
                <w:rFonts w:hint="eastAsia" w:ascii="宋体" w:hAnsi="宋体" w:cs="宋体"/>
                <w:color w:val="auto"/>
                <w:sz w:val="21"/>
                <w:szCs w:val="21"/>
                <w:highlight w:val="none"/>
                <w:lang w:eastAsia="zh-CN"/>
              </w:rPr>
              <w:t>〔2014〕68号）</w:t>
            </w:r>
            <w:r>
              <w:rPr>
                <w:rFonts w:hint="eastAsia" w:ascii="宋体" w:hAnsi="宋体" w:eastAsia="宋体" w:cs="宋体"/>
                <w:color w:val="auto"/>
                <w:sz w:val="21"/>
                <w:szCs w:val="21"/>
                <w:highlight w:val="none"/>
                <w:lang w:val="en-US" w:eastAsia="zh-CN"/>
              </w:rPr>
              <w:t>的规定</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在政府采购活动中，监狱企业视同小型、微型企业，享受预留份额、评审中价格扣除等政府采购促进中小企业发展的政府采购政策。</w:t>
            </w:r>
          </w:p>
          <w:p w14:paraId="51B4956D">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根据《</w:t>
            </w:r>
            <w:r>
              <w:rPr>
                <w:rFonts w:hint="eastAsia" w:ascii="宋体" w:hAnsi="宋体" w:eastAsia="宋体" w:cs="宋体"/>
                <w:color w:val="auto"/>
                <w:kern w:val="0"/>
                <w:sz w:val="21"/>
                <w:szCs w:val="21"/>
                <w:highlight w:val="none"/>
              </w:rPr>
              <w:t>财政部</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民政部</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中国残疾人联合会关于促进残疾人就业政府采购政策的通知》（财库〔2017〕141号）</w:t>
            </w:r>
            <w:r>
              <w:rPr>
                <w:rFonts w:hint="eastAsia" w:ascii="宋体" w:hAnsi="宋体" w:eastAsia="宋体" w:cs="宋体"/>
                <w:color w:val="auto"/>
                <w:kern w:val="0"/>
                <w:sz w:val="21"/>
                <w:szCs w:val="21"/>
                <w:highlight w:val="none"/>
                <w:lang w:val="en-US" w:eastAsia="zh-CN"/>
              </w:rPr>
              <w:t>的规定，</w:t>
            </w:r>
            <w:r>
              <w:rPr>
                <w:rFonts w:hint="eastAsia" w:ascii="宋体" w:hAnsi="宋体" w:eastAsia="宋体" w:cs="宋体"/>
                <w:color w:val="auto"/>
                <w:sz w:val="21"/>
                <w:szCs w:val="21"/>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36669AB6">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3.</w:t>
            </w:r>
            <w:r>
              <w:rPr>
                <w:rFonts w:hint="eastAsia" w:ascii="宋体" w:hAnsi="宋体" w:eastAsia="宋体" w:cs="宋体"/>
                <w:b/>
                <w:bCs/>
                <w:color w:val="auto"/>
                <w:sz w:val="21"/>
                <w:szCs w:val="21"/>
                <w:highlight w:val="none"/>
              </w:rPr>
              <w:t>本项目的特定资格要求：</w:t>
            </w:r>
          </w:p>
          <w:p w14:paraId="27EE4B5F">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3.1资质要求：</w:t>
            </w:r>
            <w:r>
              <w:rPr>
                <w:rFonts w:hint="eastAsia" w:ascii="宋体" w:hAnsi="宋体" w:eastAsia="宋体" w:cs="宋体"/>
                <w:color w:val="auto"/>
                <w:szCs w:val="21"/>
                <w:highlight w:val="none"/>
                <w:lang w:val="en-US" w:eastAsia="zh-CN"/>
              </w:rPr>
              <w:t>供应商须为法人或其他组织，具备水利水电工程施工总承包叁级及以上资质，具备有效的安全生产许可证，并在人员、设备、资金等方面具备相应的施工能力</w:t>
            </w:r>
            <w:r>
              <w:rPr>
                <w:rFonts w:hint="eastAsia" w:ascii="宋体" w:hAnsi="宋体" w:eastAsia="宋体" w:cs="宋体"/>
                <w:color w:val="auto"/>
                <w:szCs w:val="21"/>
                <w:highlight w:val="none"/>
                <w:lang w:eastAsia="zh-CN"/>
              </w:rPr>
              <w:t>。</w:t>
            </w:r>
          </w:p>
          <w:p w14:paraId="5C3FCB85">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3.2信誉要求：</w:t>
            </w:r>
            <w:r>
              <w:rPr>
                <w:rFonts w:hint="eastAsia" w:ascii="宋体" w:hAnsi="宋体" w:cs="宋体"/>
                <w:color w:val="auto"/>
                <w:szCs w:val="21"/>
                <w:highlight w:val="none"/>
                <w:lang w:val="en-US" w:eastAsia="zh-CN"/>
              </w:rPr>
              <w:t>供应商在“信用中国”网站（https://www.creditchina.gov.cn/）未被列入失信被执行人、重大税收违法失信主体名单，在中国政府采购网（http://www.ccgp.gov.cn/）没有政府采购严重违法失信行为记录（被禁止在一定期限内参加政府采购活动但在递交响应文件截止时间届满的除外）。供应商以上渠道信誉状况信息以采购人或者采购代理机构在递交响应文件截止之日查询数据为准，对列入失信被执行人、重大税收违法失信主体名单、政府采购严重违法失信行为记录名单的供应商，其响应文件按无效响应处理。</w:t>
            </w:r>
            <w:r>
              <w:rPr>
                <w:rFonts w:hint="eastAsia" w:ascii="宋体" w:hAnsi="宋体" w:eastAsia="宋体" w:cs="宋体"/>
                <w:color w:val="auto"/>
                <w:szCs w:val="21"/>
                <w:highlight w:val="none"/>
                <w:lang w:val="en-US" w:eastAsia="zh-CN"/>
              </w:rPr>
              <w:t>府采购严重违法失信行为记录名单的供应商，视为不满足本项目资格要求。</w:t>
            </w:r>
          </w:p>
          <w:p w14:paraId="6E178C78">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3.</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eastAsia="zh-CN"/>
              </w:rPr>
              <w:t>项目经理资格：</w:t>
            </w:r>
            <w:r>
              <w:rPr>
                <w:rFonts w:hint="eastAsia" w:ascii="宋体" w:hAnsi="宋体" w:eastAsia="宋体" w:cs="宋体"/>
                <w:color w:val="auto"/>
                <w:szCs w:val="21"/>
                <w:highlight w:val="none"/>
                <w:lang w:eastAsia="zh-CN"/>
              </w:rPr>
              <w:t>拟派项目经理须为水利水电工程专业二级及以上注册建造师，具备水行政主管部门颁发的有效的水利水电工程施工企业项目负责人安全生产考核合格证（B证），且未担任其他在建项目的项目经理或项目负责人。</w:t>
            </w:r>
          </w:p>
          <w:p w14:paraId="744EF4C8">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3.</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eastAsia="zh-CN"/>
              </w:rPr>
              <w:t>技术负责人资格：</w:t>
            </w:r>
            <w:r>
              <w:rPr>
                <w:rFonts w:hint="eastAsia" w:ascii="宋体" w:hAnsi="宋体" w:eastAsia="宋体" w:cs="宋体"/>
                <w:color w:val="auto"/>
                <w:szCs w:val="21"/>
                <w:highlight w:val="none"/>
                <w:lang w:val="en-US" w:eastAsia="zh-TW"/>
              </w:rPr>
              <w:t>拟派项目技术负责人应具有水利水电相关专业</w:t>
            </w:r>
            <w:r>
              <w:rPr>
                <w:rFonts w:hint="eastAsia" w:ascii="宋体" w:hAnsi="宋体" w:cs="宋体"/>
                <w:color w:val="auto"/>
                <w:szCs w:val="21"/>
                <w:highlight w:val="none"/>
                <w:lang w:val="en-US" w:eastAsia="zh-CN"/>
              </w:rPr>
              <w:t>工程师及以上职称</w:t>
            </w:r>
            <w:r>
              <w:rPr>
                <w:rFonts w:hint="eastAsia" w:ascii="宋体" w:hAnsi="宋体" w:eastAsia="宋体" w:cs="宋体"/>
                <w:color w:val="auto"/>
                <w:szCs w:val="21"/>
                <w:highlight w:val="none"/>
                <w:lang w:eastAsia="zh-CN"/>
              </w:rPr>
              <w:t>。</w:t>
            </w:r>
          </w:p>
          <w:p w14:paraId="57165FAF">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3.</w:t>
            </w:r>
            <w:r>
              <w:rPr>
                <w:rFonts w:hint="eastAsia" w:ascii="宋体" w:hAnsi="宋体" w:cs="宋体"/>
                <w:b/>
                <w:bCs/>
                <w:color w:val="auto"/>
                <w:szCs w:val="21"/>
                <w:highlight w:val="none"/>
                <w:lang w:val="en-US" w:eastAsia="zh-CN"/>
              </w:rPr>
              <w:t>5其他</w:t>
            </w:r>
            <w:r>
              <w:rPr>
                <w:rFonts w:hint="eastAsia" w:ascii="宋体" w:hAnsi="宋体" w:eastAsia="宋体" w:cs="宋体"/>
                <w:b/>
                <w:bCs/>
                <w:color w:val="auto"/>
                <w:szCs w:val="21"/>
                <w:highlight w:val="none"/>
                <w:lang w:eastAsia="zh-CN"/>
              </w:rPr>
              <w:t>要求：</w:t>
            </w:r>
          </w:p>
          <w:p w14:paraId="4A4E1B2D">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3.5.1供应商主要负责人须具备水行政主管部门颁发的有效的水利水电工程施工企业主要负责人安全生产考核合格证（A证）、拟派专职安全生产管理人员须具备水行政主管部门颁发的有效的水利水电工程施工企业专职安全生产管理人员安全生产考核合格证（C证</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w:t>
            </w:r>
          </w:p>
          <w:p w14:paraId="6A4CB94A">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3.5.2</w:t>
            </w:r>
            <w:r>
              <w:rPr>
                <w:rFonts w:hint="eastAsia" w:ascii="宋体" w:hAnsi="宋体" w:cs="宋体"/>
                <w:color w:val="auto"/>
                <w:szCs w:val="21"/>
                <w:highlight w:val="none"/>
                <w:lang w:val="en-US" w:eastAsia="zh-CN"/>
              </w:rPr>
              <w:t>拟投入本项目的主要人员（项目经理、技术负责人、施工现场管理人员等）须为供应商在职员工，并提供公告发布之日起至递交响应文件截止时间前的社会保险部门或机构出具的上述人员参加社保的有效证明材料，须有社保部门或机构盖章。若因退休人员（包括提前退休人员）无法提供社保证明，供应商可以提供退休证及聘用合同等证明材料</w:t>
            </w:r>
            <w:r>
              <w:rPr>
                <w:rFonts w:hint="eastAsia" w:ascii="宋体" w:hAnsi="宋体" w:eastAsia="宋体" w:cs="宋体"/>
                <w:color w:val="auto"/>
                <w:szCs w:val="21"/>
                <w:highlight w:val="none"/>
                <w:lang w:val="en-US" w:eastAsia="zh-CN"/>
              </w:rPr>
              <w:t>。</w:t>
            </w:r>
          </w:p>
          <w:p w14:paraId="167E6FB3">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Cs w:val="21"/>
                <w:highlight w:val="none"/>
                <w:lang w:val="en-US" w:eastAsia="zh-CN"/>
              </w:rPr>
              <w:t>3.5.</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单位负责人为同一人或者存在直接控股、管理关系的不同供应商，不得同时参加本项目的采购活动</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为本项目提供整体设计、规范编制或者项目管理、监理、检测等服务的供应商，不得参与本项目采购活动（提供承诺书）。</w:t>
            </w:r>
          </w:p>
        </w:tc>
      </w:tr>
      <w:tr w14:paraId="708AB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1DB700F">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999" w:type="dxa"/>
            <w:tcBorders>
              <w:top w:val="single" w:color="auto" w:sz="4" w:space="0"/>
              <w:left w:val="single" w:color="auto" w:sz="4" w:space="0"/>
              <w:bottom w:val="single" w:color="auto" w:sz="4" w:space="0"/>
              <w:right w:val="single" w:color="auto" w:sz="4" w:space="0"/>
            </w:tcBorders>
            <w:vAlign w:val="center"/>
          </w:tcPr>
          <w:p w14:paraId="64F4267F">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w:t>
            </w:r>
          </w:p>
        </w:tc>
        <w:tc>
          <w:tcPr>
            <w:tcW w:w="6711" w:type="dxa"/>
            <w:tcBorders>
              <w:top w:val="single" w:color="auto" w:sz="4" w:space="0"/>
              <w:left w:val="single" w:color="auto" w:sz="4" w:space="0"/>
              <w:bottom w:val="single" w:color="auto" w:sz="4" w:space="0"/>
              <w:right w:val="single" w:color="auto" w:sz="4" w:space="0"/>
            </w:tcBorders>
            <w:vAlign w:val="center"/>
          </w:tcPr>
          <w:p w14:paraId="60DE6C5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不接受</w:t>
            </w:r>
          </w:p>
        </w:tc>
      </w:tr>
      <w:tr w14:paraId="74E3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07EB5D1D">
            <w:pPr>
              <w:pStyle w:val="18"/>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1.5.</w:t>
            </w:r>
            <w:r>
              <w:rPr>
                <w:rFonts w:hint="eastAsia" w:hAnsi="宋体" w:cs="宋体"/>
                <w:color w:val="auto"/>
                <w:kern w:val="0"/>
                <w:sz w:val="21"/>
                <w:szCs w:val="21"/>
                <w:highlight w:val="none"/>
                <w:lang w:val="en-US" w:eastAsia="zh-CN"/>
              </w:rPr>
              <w:t>2</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0AA0871F">
            <w:pPr>
              <w:pStyle w:val="18"/>
              <w:spacing w:line="360" w:lineRule="auto"/>
              <w:jc w:val="center"/>
              <w:rPr>
                <w:rFonts w:hint="default" w:ascii="宋体" w:hAnsi="宋体" w:eastAsia="宋体" w:cs="宋体"/>
                <w:color w:val="auto"/>
                <w:kern w:val="2"/>
                <w:sz w:val="21"/>
                <w:szCs w:val="21"/>
                <w:highlight w:val="yellow"/>
                <w:lang w:val="en-US" w:eastAsia="zh-CN" w:bidi="ar-SA"/>
              </w:rPr>
            </w:pPr>
            <w:r>
              <w:rPr>
                <w:rFonts w:hint="eastAsia" w:hAnsi="宋体" w:cs="宋体"/>
                <w:color w:val="auto"/>
                <w:sz w:val="21"/>
                <w:szCs w:val="21"/>
                <w:highlight w:val="none"/>
                <w:lang w:val="en-US" w:eastAsia="zh-CN"/>
              </w:rPr>
              <w:t>费用承担</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5333BA90">
            <w:pPr>
              <w:adjustRightInd w:val="0"/>
              <w:snapToGrid w:val="0"/>
              <w:spacing w:line="360" w:lineRule="auto"/>
              <w:rPr>
                <w:rFonts w:hint="eastAsia" w:ascii="宋体" w:hAnsi="宋体" w:eastAsia="宋体" w:cs="宋体"/>
                <w:color w:val="auto"/>
                <w:kern w:val="0"/>
                <w:sz w:val="21"/>
                <w:szCs w:val="21"/>
                <w:highlight w:val="yellow"/>
                <w:lang w:val="en-US" w:eastAsia="zh-CN" w:bidi="ar-SA"/>
              </w:rPr>
            </w:pPr>
            <w:r>
              <w:rPr>
                <w:rFonts w:hint="eastAsia" w:ascii="宋体" w:hAnsi="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rPr>
              <w:t>代理服务费按云南省建设工程招标投标协会关于印发《云南省建设工程招标代理服务收费参考意见》的通知（云建招协〔202</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号）规定</w:t>
            </w:r>
            <w:r>
              <w:rPr>
                <w:rFonts w:hint="eastAsia" w:ascii="宋体" w:hAnsi="宋体" w:cs="宋体"/>
                <w:color w:val="auto"/>
                <w:kern w:val="0"/>
                <w:sz w:val="21"/>
                <w:szCs w:val="21"/>
                <w:highlight w:val="none"/>
                <w:lang w:val="en-US" w:eastAsia="zh-CN"/>
              </w:rPr>
              <w:t>计</w:t>
            </w:r>
            <w:r>
              <w:rPr>
                <w:rFonts w:hint="eastAsia" w:ascii="宋体" w:hAnsi="宋体" w:eastAsia="宋体" w:cs="宋体"/>
                <w:color w:val="auto"/>
                <w:kern w:val="0"/>
                <w:sz w:val="21"/>
                <w:szCs w:val="21"/>
                <w:highlight w:val="none"/>
              </w:rPr>
              <w:t>取</w:t>
            </w:r>
            <w:r>
              <w:rPr>
                <w:rFonts w:hint="eastAsia" w:ascii="宋体" w:hAnsi="宋体" w:cs="宋体"/>
                <w:color w:val="auto"/>
                <w:kern w:val="0"/>
                <w:sz w:val="21"/>
                <w:szCs w:val="21"/>
                <w:highlight w:val="none"/>
                <w:lang w:eastAsia="zh-CN"/>
              </w:rPr>
              <w:t>；</w:t>
            </w:r>
            <w:r>
              <w:rPr>
                <w:rFonts w:hint="eastAsia" w:ascii="宋体" w:hAnsi="宋体" w:eastAsia="宋体" w:cs="宋体"/>
                <w:b w:val="0"/>
                <w:bCs w:val="0"/>
                <w:color w:val="auto"/>
                <w:spacing w:val="6"/>
                <w:sz w:val="21"/>
                <w:szCs w:val="21"/>
                <w:highlight w:val="none"/>
              </w:rPr>
              <w:t>工程量清单及最高限价编制费按《云南省物价局关于调整建设工程造价咨询服务收费标准的通知》（云价综合〔2012〕66号文）</w:t>
            </w:r>
            <w:r>
              <w:rPr>
                <w:rFonts w:hint="eastAsia" w:ascii="宋体" w:hAnsi="宋体" w:cs="宋体"/>
                <w:b w:val="0"/>
                <w:bCs w:val="0"/>
                <w:color w:val="auto"/>
                <w:spacing w:val="6"/>
                <w:sz w:val="21"/>
                <w:szCs w:val="21"/>
                <w:highlight w:val="none"/>
                <w:lang w:val="en-US" w:eastAsia="zh-CN"/>
              </w:rPr>
              <w:t>计取</w:t>
            </w:r>
            <w:r>
              <w:rPr>
                <w:rFonts w:hint="eastAsia" w:ascii="宋体" w:hAnsi="宋体" w:eastAsia="宋体" w:cs="宋体"/>
                <w:b w:val="0"/>
                <w:bCs w:val="0"/>
                <w:color w:val="auto"/>
                <w:spacing w:val="6"/>
                <w:sz w:val="21"/>
                <w:szCs w:val="21"/>
                <w:highlight w:val="none"/>
              </w:rPr>
              <w:t>，</w:t>
            </w:r>
            <w:r>
              <w:rPr>
                <w:rFonts w:hint="eastAsia" w:ascii="宋体" w:hAnsi="宋体" w:eastAsia="宋体" w:cs="宋体"/>
                <w:color w:val="auto"/>
                <w:kern w:val="0"/>
                <w:sz w:val="21"/>
                <w:szCs w:val="21"/>
                <w:highlight w:val="none"/>
              </w:rPr>
              <w:t>由</w:t>
            </w:r>
            <w:r>
              <w:rPr>
                <w:rFonts w:hint="eastAsia" w:ascii="宋体" w:hAnsi="宋体" w:cs="宋体"/>
                <w:color w:val="auto"/>
                <w:kern w:val="0"/>
                <w:sz w:val="21"/>
                <w:szCs w:val="21"/>
                <w:highlight w:val="none"/>
                <w:lang w:val="en-US" w:eastAsia="zh-CN"/>
              </w:rPr>
              <w:t>成交供应商</w:t>
            </w:r>
            <w:r>
              <w:rPr>
                <w:rFonts w:hint="eastAsia" w:ascii="宋体" w:hAnsi="宋体" w:eastAsia="宋体" w:cs="宋体"/>
                <w:color w:val="auto"/>
                <w:kern w:val="0"/>
                <w:sz w:val="21"/>
                <w:szCs w:val="21"/>
                <w:highlight w:val="none"/>
              </w:rPr>
              <w:t>在领取</w:t>
            </w:r>
            <w:r>
              <w:rPr>
                <w:rFonts w:hint="eastAsia" w:ascii="宋体" w:hAnsi="宋体" w:cs="宋体"/>
                <w:color w:val="auto"/>
                <w:kern w:val="0"/>
                <w:sz w:val="21"/>
                <w:szCs w:val="21"/>
                <w:highlight w:val="none"/>
                <w:lang w:eastAsia="zh-CN"/>
              </w:rPr>
              <w:t>成交通知书</w:t>
            </w:r>
            <w:r>
              <w:rPr>
                <w:rFonts w:hint="eastAsia" w:ascii="宋体" w:hAnsi="宋体" w:eastAsia="宋体" w:cs="宋体"/>
                <w:color w:val="auto"/>
                <w:kern w:val="0"/>
                <w:sz w:val="21"/>
                <w:szCs w:val="21"/>
                <w:highlight w:val="none"/>
              </w:rPr>
              <w:t>前一次性付清。</w:t>
            </w:r>
          </w:p>
        </w:tc>
      </w:tr>
      <w:tr w14:paraId="1D71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BFBB80B">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999" w:type="dxa"/>
            <w:tcBorders>
              <w:top w:val="single" w:color="auto" w:sz="4" w:space="0"/>
              <w:left w:val="single" w:color="auto" w:sz="4" w:space="0"/>
              <w:bottom w:val="single" w:color="auto" w:sz="4" w:space="0"/>
              <w:right w:val="single" w:color="auto" w:sz="4" w:space="0"/>
            </w:tcBorders>
            <w:vAlign w:val="center"/>
          </w:tcPr>
          <w:p w14:paraId="193E95BA">
            <w:pPr>
              <w:pageBreakBefore w:val="0"/>
              <w:kinsoku/>
              <w:overflowPunct/>
              <w:bidi w:val="0"/>
              <w:spacing w:line="360" w:lineRule="auto"/>
              <w:ind w:left="0" w:leftChars="0" w:firstLine="105" w:firstLineChars="50"/>
              <w:jc w:val="center"/>
              <w:rPr>
                <w:rFonts w:hint="eastAsia" w:ascii="宋体" w:hAnsi="宋体" w:eastAsia="宋体" w:cs="宋体"/>
                <w:color w:val="auto"/>
                <w:sz w:val="21"/>
                <w:szCs w:val="21"/>
                <w:highlight w:val="none"/>
              </w:rPr>
            </w:pPr>
            <w:r>
              <w:rPr>
                <w:rFonts w:hint="eastAsia" w:ascii="宋体" w:hAnsi="宋体" w:cs="宋体"/>
                <w:color w:val="auto"/>
                <w:szCs w:val="21"/>
                <w:highlight w:val="none"/>
              </w:rPr>
              <w:t>现场考察</w:t>
            </w:r>
          </w:p>
        </w:tc>
        <w:tc>
          <w:tcPr>
            <w:tcW w:w="6711" w:type="dxa"/>
            <w:tcBorders>
              <w:top w:val="single" w:color="auto" w:sz="4" w:space="0"/>
              <w:left w:val="single" w:color="auto" w:sz="4" w:space="0"/>
              <w:bottom w:val="single" w:color="auto" w:sz="4" w:space="0"/>
              <w:right w:val="single" w:color="auto" w:sz="4" w:space="0"/>
            </w:tcBorders>
            <w:vAlign w:val="center"/>
          </w:tcPr>
          <w:p w14:paraId="5254A70B">
            <w:pPr>
              <w:pageBreakBefore w:val="0"/>
              <w:kinsoku/>
              <w:overflowPunct/>
              <w:bidi w:val="0"/>
              <w:spacing w:line="360" w:lineRule="auto"/>
              <w:ind w:left="0" w:leftChars="0"/>
              <w:rPr>
                <w:rFonts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组织</w:t>
            </w:r>
          </w:p>
          <w:p w14:paraId="1AC1864E">
            <w:pPr>
              <w:pageBreakBefore w:val="0"/>
              <w:kinsoku/>
              <w:overflowPunct/>
              <w:bidi w:val="0"/>
              <w:spacing w:line="360" w:lineRule="auto"/>
              <w:ind w:left="0" w:leftChars="0"/>
              <w:rPr>
                <w:rFonts w:hint="eastAsia" w:ascii="宋体" w:hAnsi="宋体" w:eastAsia="宋体" w:cs="宋体"/>
                <w:color w:val="auto"/>
                <w:sz w:val="21"/>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不组织</w:t>
            </w:r>
          </w:p>
        </w:tc>
      </w:tr>
      <w:tr w14:paraId="45CF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87F6B95">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1999" w:type="dxa"/>
            <w:tcBorders>
              <w:top w:val="single" w:color="auto" w:sz="4" w:space="0"/>
              <w:left w:val="single" w:color="auto" w:sz="4" w:space="0"/>
              <w:bottom w:val="single" w:color="auto" w:sz="4" w:space="0"/>
              <w:right w:val="single" w:color="auto" w:sz="4" w:space="0"/>
            </w:tcBorders>
            <w:vAlign w:val="center"/>
          </w:tcPr>
          <w:p w14:paraId="713B3A63">
            <w:pPr>
              <w:pageBreakBefore w:val="0"/>
              <w:kinsoku/>
              <w:overflowPunct/>
              <w:bidi w:val="0"/>
              <w:spacing w:line="360" w:lineRule="auto"/>
              <w:ind w:left="0" w:leftChars="0" w:firstLine="105" w:firstLineChars="50"/>
              <w:jc w:val="center"/>
              <w:rPr>
                <w:rFonts w:hint="eastAsia" w:ascii="宋体" w:hAnsi="宋体" w:eastAsia="宋体" w:cs="宋体"/>
                <w:color w:val="auto"/>
                <w:sz w:val="21"/>
                <w:szCs w:val="21"/>
                <w:highlight w:val="none"/>
              </w:rPr>
            </w:pPr>
            <w:r>
              <w:rPr>
                <w:rFonts w:hint="eastAsia" w:ascii="宋体" w:hAnsi="宋体" w:cs="宋体"/>
                <w:color w:val="auto"/>
                <w:szCs w:val="21"/>
                <w:highlight w:val="none"/>
              </w:rPr>
              <w:t>磋商前答疑会</w:t>
            </w:r>
          </w:p>
        </w:tc>
        <w:tc>
          <w:tcPr>
            <w:tcW w:w="6711" w:type="dxa"/>
            <w:tcBorders>
              <w:top w:val="single" w:color="auto" w:sz="4" w:space="0"/>
              <w:left w:val="single" w:color="auto" w:sz="4" w:space="0"/>
              <w:bottom w:val="single" w:color="auto" w:sz="4" w:space="0"/>
              <w:right w:val="single" w:color="auto" w:sz="4" w:space="0"/>
            </w:tcBorders>
            <w:vAlign w:val="center"/>
          </w:tcPr>
          <w:p w14:paraId="2F3D0CAF">
            <w:pPr>
              <w:pageBreakBefore w:val="0"/>
              <w:kinsoku/>
              <w:overflowPunct/>
              <w:bidi w:val="0"/>
              <w:spacing w:line="360" w:lineRule="auto"/>
              <w:ind w:left="0" w:leftChars="0"/>
              <w:rPr>
                <w:rFonts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组织</w:t>
            </w:r>
          </w:p>
          <w:p w14:paraId="38070207">
            <w:pPr>
              <w:pageBreakBefore w:val="0"/>
              <w:kinsoku/>
              <w:overflowPunct/>
              <w:bidi w:val="0"/>
              <w:spacing w:line="360" w:lineRule="auto"/>
              <w:ind w:left="0" w:leftChars="0"/>
              <w:rPr>
                <w:rFonts w:hint="eastAsia" w:ascii="宋体" w:hAnsi="宋体" w:eastAsia="宋体" w:cs="宋体"/>
                <w:color w:val="auto"/>
                <w:sz w:val="21"/>
                <w:szCs w:val="21"/>
                <w:highlight w:val="none"/>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不组织</w:t>
            </w:r>
          </w:p>
        </w:tc>
      </w:tr>
      <w:tr w14:paraId="7D060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DFB438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1999" w:type="dxa"/>
            <w:tcBorders>
              <w:top w:val="single" w:color="auto" w:sz="4" w:space="0"/>
              <w:left w:val="single" w:color="auto" w:sz="4" w:space="0"/>
              <w:bottom w:val="single" w:color="auto" w:sz="4" w:space="0"/>
              <w:right w:val="single" w:color="auto" w:sz="4" w:space="0"/>
            </w:tcBorders>
            <w:vAlign w:val="center"/>
          </w:tcPr>
          <w:p w14:paraId="2906202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提出问题的截止时间和方法</w:t>
            </w:r>
          </w:p>
        </w:tc>
        <w:tc>
          <w:tcPr>
            <w:tcW w:w="6711" w:type="dxa"/>
            <w:tcBorders>
              <w:top w:val="single" w:color="auto" w:sz="4" w:space="0"/>
              <w:left w:val="single" w:color="auto" w:sz="4" w:space="0"/>
              <w:bottom w:val="single" w:color="auto" w:sz="4" w:space="0"/>
              <w:right w:val="single" w:color="auto" w:sz="4" w:space="0"/>
            </w:tcBorders>
            <w:vAlign w:val="center"/>
          </w:tcPr>
          <w:p w14:paraId="16EAFAC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响应文件递交截止时间前5天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以书面形式向采购人提出</w:t>
            </w:r>
          </w:p>
        </w:tc>
      </w:tr>
      <w:tr w14:paraId="07C7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88BBD4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1999" w:type="dxa"/>
            <w:tcBorders>
              <w:top w:val="single" w:color="auto" w:sz="4" w:space="0"/>
              <w:left w:val="single" w:color="auto" w:sz="4" w:space="0"/>
              <w:bottom w:val="single" w:color="auto" w:sz="4" w:space="0"/>
              <w:right w:val="single" w:color="auto" w:sz="4" w:space="0"/>
            </w:tcBorders>
            <w:vAlign w:val="center"/>
          </w:tcPr>
          <w:p w14:paraId="0151C540">
            <w:pPr>
              <w:pStyle w:val="65"/>
              <w:kinsoku w:val="0"/>
              <w:overflowPunct w:val="0"/>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采购人澄清的时间和方法</w:t>
            </w:r>
          </w:p>
        </w:tc>
        <w:tc>
          <w:tcPr>
            <w:tcW w:w="6711" w:type="dxa"/>
            <w:tcBorders>
              <w:top w:val="single" w:color="auto" w:sz="4" w:space="0"/>
              <w:left w:val="single" w:color="auto" w:sz="4" w:space="0"/>
              <w:bottom w:val="single" w:color="auto" w:sz="4" w:space="0"/>
              <w:right w:val="single" w:color="auto" w:sz="4" w:space="0"/>
            </w:tcBorders>
            <w:vAlign w:val="center"/>
          </w:tcPr>
          <w:p w14:paraId="2897A3A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tc>
      </w:tr>
      <w:tr w14:paraId="6D30A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2D21910">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1999" w:type="dxa"/>
            <w:tcBorders>
              <w:top w:val="single" w:color="auto" w:sz="4" w:space="0"/>
              <w:left w:val="single" w:color="auto" w:sz="4" w:space="0"/>
              <w:bottom w:val="single" w:color="auto" w:sz="4" w:space="0"/>
              <w:right w:val="single" w:color="auto" w:sz="4" w:space="0"/>
            </w:tcBorders>
            <w:vAlign w:val="center"/>
          </w:tcPr>
          <w:p w14:paraId="4B90B689">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711" w:type="dxa"/>
            <w:tcBorders>
              <w:top w:val="single" w:color="auto" w:sz="4" w:space="0"/>
              <w:left w:val="single" w:color="auto" w:sz="4" w:space="0"/>
              <w:bottom w:val="single" w:color="auto" w:sz="4" w:space="0"/>
              <w:right w:val="single" w:color="auto" w:sz="4" w:space="0"/>
            </w:tcBorders>
            <w:vAlign w:val="center"/>
          </w:tcPr>
          <w:p w14:paraId="104F1A8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7CCC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DD7ADAE">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999" w:type="dxa"/>
            <w:tcBorders>
              <w:top w:val="single" w:color="auto" w:sz="4" w:space="0"/>
              <w:left w:val="single" w:color="auto" w:sz="4" w:space="0"/>
              <w:bottom w:val="single" w:color="auto" w:sz="4" w:space="0"/>
              <w:right w:val="single" w:color="auto" w:sz="4" w:space="0"/>
            </w:tcBorders>
            <w:vAlign w:val="center"/>
          </w:tcPr>
          <w:p w14:paraId="3008FC2C">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的其他材料</w:t>
            </w:r>
          </w:p>
        </w:tc>
        <w:tc>
          <w:tcPr>
            <w:tcW w:w="6711" w:type="dxa"/>
            <w:tcBorders>
              <w:top w:val="single" w:color="auto" w:sz="4" w:space="0"/>
              <w:left w:val="single" w:color="auto" w:sz="4" w:space="0"/>
              <w:bottom w:val="single" w:color="auto" w:sz="4" w:space="0"/>
              <w:right w:val="single" w:color="auto" w:sz="4" w:space="0"/>
            </w:tcBorders>
            <w:vAlign w:val="center"/>
          </w:tcPr>
          <w:p w14:paraId="1C8F9C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采购人发布的补遗书（如有）、</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澄清通知（如有）、</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修改通知（如有）、答疑（若有）。</w:t>
            </w:r>
          </w:p>
        </w:tc>
      </w:tr>
      <w:tr w14:paraId="13989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77AA6AB">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999" w:type="dxa"/>
            <w:tcBorders>
              <w:top w:val="single" w:color="auto" w:sz="4" w:space="0"/>
              <w:left w:val="single" w:color="auto" w:sz="4" w:space="0"/>
              <w:bottom w:val="single" w:color="auto" w:sz="4" w:space="0"/>
              <w:right w:val="single" w:color="auto" w:sz="4" w:space="0"/>
            </w:tcBorders>
            <w:vAlign w:val="center"/>
          </w:tcPr>
          <w:p w14:paraId="2655D53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要求澄清</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的截止时间</w:t>
            </w:r>
          </w:p>
        </w:tc>
        <w:tc>
          <w:tcPr>
            <w:tcW w:w="6711" w:type="dxa"/>
            <w:tcBorders>
              <w:top w:val="single" w:color="auto" w:sz="4" w:space="0"/>
              <w:left w:val="single" w:color="auto" w:sz="4" w:space="0"/>
              <w:bottom w:val="single" w:color="auto" w:sz="4" w:space="0"/>
              <w:right w:val="single" w:color="auto" w:sz="4" w:space="0"/>
            </w:tcBorders>
            <w:vAlign w:val="center"/>
          </w:tcPr>
          <w:p w14:paraId="2FCF603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同1.10.2的时间要求</w:t>
            </w:r>
          </w:p>
          <w:p w14:paraId="49A67C6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应仔细阅读和检查</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的全部内容。如发现缺页或附件不全，应及时向采购人或采购代理机构提出，以便补齐。</w:t>
            </w:r>
          </w:p>
        </w:tc>
      </w:tr>
      <w:tr w14:paraId="2874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81F1EE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5559B8BA">
            <w:pPr>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响应文件提交</w:t>
            </w:r>
            <w:r>
              <w:rPr>
                <w:rFonts w:hint="eastAsia" w:ascii="宋体" w:hAnsi="宋体" w:eastAsia="宋体" w:cs="宋体"/>
                <w:color w:val="auto"/>
                <w:sz w:val="21"/>
                <w:szCs w:val="21"/>
                <w:highlight w:val="none"/>
              </w:rPr>
              <w:t>截止时间</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3F2B460D">
            <w:p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r>
      <w:tr w14:paraId="0CCC3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59A6D5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999" w:type="dxa"/>
            <w:tcBorders>
              <w:top w:val="single" w:color="auto" w:sz="4" w:space="0"/>
              <w:left w:val="single" w:color="auto" w:sz="4" w:space="0"/>
              <w:bottom w:val="single" w:color="auto" w:sz="4" w:space="0"/>
              <w:right w:val="single" w:color="auto" w:sz="4" w:space="0"/>
            </w:tcBorders>
            <w:vAlign w:val="center"/>
          </w:tcPr>
          <w:p w14:paraId="3996D0E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确认收到</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澄清的时间</w:t>
            </w:r>
          </w:p>
        </w:tc>
        <w:tc>
          <w:tcPr>
            <w:tcW w:w="6711" w:type="dxa"/>
            <w:tcBorders>
              <w:top w:val="single" w:color="auto" w:sz="4" w:space="0"/>
              <w:left w:val="single" w:color="auto" w:sz="4" w:space="0"/>
              <w:bottom w:val="single" w:color="auto" w:sz="4" w:space="0"/>
              <w:right w:val="single" w:color="auto" w:sz="4" w:space="0"/>
            </w:tcBorders>
            <w:vAlign w:val="center"/>
          </w:tcPr>
          <w:p w14:paraId="191FA9B8">
            <w:pPr>
              <w:spacing w:line="360" w:lineRule="auto"/>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自行登录云南省政府采购网（http://www.yngp.com/）</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政府采购云平台（https://www.zcygov.cn）获取澄清，无须回复确认已收到该澄清。</w:t>
            </w:r>
          </w:p>
        </w:tc>
      </w:tr>
      <w:tr w14:paraId="0E27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8F4609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1999" w:type="dxa"/>
            <w:tcBorders>
              <w:top w:val="single" w:color="auto" w:sz="4" w:space="0"/>
              <w:left w:val="single" w:color="auto" w:sz="4" w:space="0"/>
              <w:bottom w:val="single" w:color="auto" w:sz="4" w:space="0"/>
              <w:right w:val="single" w:color="auto" w:sz="4" w:space="0"/>
            </w:tcBorders>
            <w:vAlign w:val="center"/>
          </w:tcPr>
          <w:p w14:paraId="15DFC3F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确认收到</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修改的时间</w:t>
            </w:r>
          </w:p>
        </w:tc>
        <w:tc>
          <w:tcPr>
            <w:tcW w:w="6711" w:type="dxa"/>
            <w:tcBorders>
              <w:top w:val="single" w:color="auto" w:sz="4" w:space="0"/>
              <w:left w:val="single" w:color="auto" w:sz="4" w:space="0"/>
              <w:bottom w:val="single" w:color="auto" w:sz="4" w:space="0"/>
              <w:right w:val="single" w:color="auto" w:sz="4" w:space="0"/>
            </w:tcBorders>
            <w:vAlign w:val="center"/>
          </w:tcPr>
          <w:p w14:paraId="6FA34DCE">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自行登录云南省政府采购网（http://www.yngp.com/）</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政府采购云平台（https://www.zcygov.cn）获取</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，无须回复确认已收到该</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w:t>
            </w:r>
          </w:p>
        </w:tc>
      </w:tr>
      <w:tr w14:paraId="6E34D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7035E46">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3.2.4</w:t>
            </w:r>
          </w:p>
        </w:tc>
        <w:tc>
          <w:tcPr>
            <w:tcW w:w="1999" w:type="dxa"/>
            <w:tcBorders>
              <w:top w:val="single" w:color="auto" w:sz="4" w:space="0"/>
              <w:left w:val="single" w:color="auto" w:sz="4" w:space="0"/>
              <w:bottom w:val="single" w:color="auto" w:sz="4" w:space="0"/>
              <w:right w:val="single" w:color="auto" w:sz="4" w:space="0"/>
            </w:tcBorders>
            <w:vAlign w:val="center"/>
          </w:tcPr>
          <w:p w14:paraId="53461203">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磋商报价要求</w:t>
            </w:r>
          </w:p>
        </w:tc>
        <w:tc>
          <w:tcPr>
            <w:tcW w:w="6711" w:type="dxa"/>
            <w:tcBorders>
              <w:top w:val="single" w:color="auto" w:sz="4" w:space="0"/>
              <w:left w:val="single" w:color="auto" w:sz="4" w:space="0"/>
              <w:bottom w:val="single" w:color="auto" w:sz="4" w:space="0"/>
              <w:right w:val="single" w:color="auto" w:sz="4" w:space="0"/>
            </w:tcBorders>
            <w:vAlign w:val="center"/>
          </w:tcPr>
          <w:p w14:paraId="040213EE">
            <w:pPr>
              <w:autoSpaceDE w:val="0"/>
              <w:autoSpaceDN w:val="0"/>
              <w:snapToGrid w:val="0"/>
              <w:spacing w:line="360" w:lineRule="auto"/>
              <w:textAlignment w:val="bottom"/>
              <w:rPr>
                <w:rFonts w:hint="eastAsia" w:hAnsi="宋体" w:cs="宋体"/>
                <w:szCs w:val="21"/>
                <w:shd w:val="clear" w:color="auto" w:fill="FFFFFF"/>
                <w:lang w:val="en-US" w:eastAsia="zh-CN"/>
              </w:rPr>
            </w:pPr>
            <w:r>
              <w:rPr>
                <w:rFonts w:hint="eastAsia" w:hAnsi="宋体" w:cs="宋体"/>
                <w:b/>
                <w:bCs/>
                <w:szCs w:val="21"/>
                <w:shd w:val="clear" w:color="auto" w:fill="FFFFFF"/>
                <w:lang w:val="en-US" w:eastAsia="zh-CN"/>
              </w:rPr>
              <w:t>本项目设置两轮报价，第一轮报价为各供应商提交的响应文件中的报价，第二轮报价为磋商时的报价，只有通过初步评审的供应商才能进入磋商程序并进行第二轮报价，第二轮报价为最后报价。</w:t>
            </w:r>
          </w:p>
          <w:p w14:paraId="0B06A16A">
            <w:pPr>
              <w:autoSpaceDE w:val="0"/>
              <w:autoSpaceDN w:val="0"/>
              <w:snapToGrid w:val="0"/>
              <w:spacing w:line="360" w:lineRule="auto"/>
              <w:textAlignment w:val="bottom"/>
              <w:rPr>
                <w:rFonts w:hint="eastAsia" w:ascii="宋体" w:hAnsi="宋体" w:cs="宋体"/>
                <w:color w:val="auto"/>
                <w:sz w:val="21"/>
                <w:szCs w:val="21"/>
                <w:highlight w:val="none"/>
                <w:lang w:eastAsia="zh-CN"/>
              </w:rPr>
            </w:pPr>
            <w:r>
              <w:rPr>
                <w:rFonts w:hint="eastAsia" w:hAnsi="宋体" w:cs="宋体"/>
                <w:b/>
                <w:bCs/>
                <w:szCs w:val="21"/>
                <w:shd w:val="clear" w:color="auto" w:fill="FFFFFF"/>
                <w:lang w:val="en-US" w:eastAsia="zh-CN"/>
              </w:rPr>
              <w:t>注：供应商在二次报价时须同时上传二次报价明细表（已标价工程量清单），单价汇总结果与最终报价一致，各供应商在报价前应提前进行准备。</w:t>
            </w:r>
            <w:r>
              <w:rPr>
                <w:rFonts w:hint="eastAsia" w:hAnsi="宋体" w:cs="宋体"/>
                <w:szCs w:val="21"/>
                <w:shd w:val="clear" w:color="auto" w:fill="FFFFFF"/>
                <w:lang w:val="en-US" w:eastAsia="zh-CN"/>
              </w:rPr>
              <w:t>供应商应按《竞争性磋商文件》规定的格式及要求填报，并按“政采云”操作系统要求在规定的时间内提交。</w:t>
            </w:r>
          </w:p>
        </w:tc>
      </w:tr>
      <w:tr w14:paraId="24B7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E50313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6B6EF059">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最高限价</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231149E8">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szCs w:val="21"/>
                <w:shd w:val="clear" w:color="auto" w:fill="FFFFFF"/>
                <w:lang w:val="en-US" w:eastAsia="zh-CN"/>
              </w:rPr>
              <w:t>¥</w:t>
            </w:r>
            <w:r>
              <w:rPr>
                <w:rFonts w:hint="eastAsia" w:ascii="宋体" w:hAnsi="宋体" w:eastAsia="宋体" w:cs="宋体"/>
                <w:szCs w:val="21"/>
                <w:highlight w:val="none"/>
                <w:shd w:val="clear" w:color="auto" w:fill="FFFFFF"/>
                <w:lang w:val="en-US" w:eastAsia="zh-CN"/>
              </w:rPr>
              <w:t>856513.05元（大写：捌拾伍万陆仟伍佰壹拾叁元零伍分</w:t>
            </w:r>
            <w:r>
              <w:rPr>
                <w:rFonts w:hint="eastAsia" w:hAnsi="宋体" w:eastAsia="宋体" w:cs="宋体"/>
                <w:szCs w:val="21"/>
                <w:highlight w:val="none"/>
                <w:shd w:val="clear" w:color="auto" w:fill="FFFFFF"/>
                <w:lang w:val="en-US" w:eastAsia="zh-CN"/>
              </w:rPr>
              <w:t>）</w:t>
            </w:r>
          </w:p>
        </w:tc>
      </w:tr>
      <w:tr w14:paraId="53CD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52A2BC4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w:t>
            </w:r>
          </w:p>
        </w:tc>
        <w:tc>
          <w:tcPr>
            <w:tcW w:w="1999" w:type="dxa"/>
            <w:tcBorders>
              <w:top w:val="single" w:color="auto" w:sz="4" w:space="0"/>
              <w:left w:val="single" w:color="auto" w:sz="4" w:space="0"/>
              <w:bottom w:val="single" w:color="auto" w:sz="4" w:space="0"/>
              <w:right w:val="single" w:color="auto" w:sz="4" w:space="0"/>
            </w:tcBorders>
            <w:vAlign w:val="center"/>
          </w:tcPr>
          <w:p w14:paraId="46A451A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付款方式</w:t>
            </w:r>
          </w:p>
        </w:tc>
        <w:tc>
          <w:tcPr>
            <w:tcW w:w="6711" w:type="dxa"/>
            <w:tcBorders>
              <w:top w:val="single" w:color="auto" w:sz="4" w:space="0"/>
              <w:left w:val="single" w:color="auto" w:sz="4" w:space="0"/>
              <w:bottom w:val="single" w:color="auto" w:sz="4" w:space="0"/>
              <w:right w:val="single" w:color="auto" w:sz="4" w:space="0"/>
            </w:tcBorders>
            <w:vAlign w:val="center"/>
          </w:tcPr>
          <w:p w14:paraId="1F32D39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采购人与</w:t>
            </w:r>
            <w:r>
              <w:rPr>
                <w:rFonts w:hint="eastAsia" w:ascii="宋体" w:hAnsi="宋体" w:eastAsia="宋体" w:cs="宋体"/>
                <w:color w:val="auto"/>
                <w:sz w:val="21"/>
                <w:szCs w:val="21"/>
                <w:highlight w:val="none"/>
                <w:lang w:val="en-US" w:eastAsia="zh-CN"/>
              </w:rPr>
              <w:t>成交供应商</w:t>
            </w:r>
            <w:r>
              <w:rPr>
                <w:rFonts w:hint="eastAsia" w:ascii="宋体" w:hAnsi="宋体" w:eastAsia="宋体" w:cs="宋体"/>
                <w:color w:val="auto"/>
                <w:sz w:val="21"/>
                <w:szCs w:val="21"/>
                <w:highlight w:val="none"/>
              </w:rPr>
              <w:t>合同中约定。</w:t>
            </w:r>
          </w:p>
        </w:tc>
      </w:tr>
      <w:tr w14:paraId="6ADD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D18B868">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1999" w:type="dxa"/>
            <w:tcBorders>
              <w:top w:val="single" w:color="auto" w:sz="4" w:space="0"/>
              <w:left w:val="single" w:color="auto" w:sz="4" w:space="0"/>
              <w:bottom w:val="single" w:color="auto" w:sz="4" w:space="0"/>
              <w:right w:val="single" w:color="auto" w:sz="4" w:space="0"/>
            </w:tcBorders>
            <w:vAlign w:val="center"/>
          </w:tcPr>
          <w:p w14:paraId="32F4B8C0">
            <w:pPr>
              <w:pStyle w:val="28"/>
              <w:pageBreakBefore w:val="0"/>
              <w:kinsoku/>
              <w:overflowPunct/>
              <w:bidi w:val="0"/>
              <w:spacing w:before="0" w:beforeAutospacing="0" w:after="0" w:afterAutospacing="0" w:line="360" w:lineRule="auto"/>
              <w:ind w:left="0" w:leftChars="0"/>
              <w:jc w:val="center"/>
              <w:rPr>
                <w:rFonts w:hint="eastAsia" w:ascii="宋体" w:hAnsi="宋体" w:eastAsia="宋体" w:cs="宋体"/>
                <w:color w:val="auto"/>
                <w:sz w:val="21"/>
                <w:szCs w:val="21"/>
                <w:highlight w:val="none"/>
              </w:rPr>
            </w:pPr>
            <w:r>
              <w:rPr>
                <w:rFonts w:hint="eastAsia" w:ascii="宋体" w:cs="宋体"/>
                <w:color w:val="auto"/>
                <w:sz w:val="21"/>
                <w:szCs w:val="21"/>
                <w:highlight w:val="none"/>
              </w:rPr>
              <w:t>响应文件有效期</w:t>
            </w:r>
          </w:p>
        </w:tc>
        <w:tc>
          <w:tcPr>
            <w:tcW w:w="6711" w:type="dxa"/>
            <w:tcBorders>
              <w:top w:val="single" w:color="auto" w:sz="4" w:space="0"/>
              <w:left w:val="single" w:color="auto" w:sz="4" w:space="0"/>
              <w:bottom w:val="single" w:color="auto" w:sz="4" w:space="0"/>
              <w:right w:val="single" w:color="auto" w:sz="4" w:space="0"/>
            </w:tcBorders>
            <w:vAlign w:val="center"/>
          </w:tcPr>
          <w:p w14:paraId="6341766C">
            <w:pPr>
              <w:pStyle w:val="28"/>
              <w:pageBreakBefore w:val="0"/>
              <w:kinsoku/>
              <w:overflowPunct/>
              <w:bidi w:val="0"/>
              <w:spacing w:before="0" w:beforeAutospacing="0" w:after="0" w:afterAutospacing="0" w:line="360" w:lineRule="auto"/>
              <w:ind w:left="0" w:leftChars="0"/>
              <w:rPr>
                <w:rFonts w:hint="eastAsia" w:ascii="宋体" w:hAnsi="宋体" w:eastAsia="宋体" w:cs="宋体"/>
                <w:color w:val="auto"/>
                <w:sz w:val="21"/>
                <w:szCs w:val="21"/>
                <w:highlight w:val="none"/>
              </w:rPr>
            </w:pPr>
            <w:r>
              <w:rPr>
                <w:rFonts w:hint="eastAsia" w:ascii="宋体" w:cs="宋体"/>
                <w:color w:val="auto"/>
                <w:sz w:val="21"/>
                <w:szCs w:val="21"/>
                <w:highlight w:val="none"/>
              </w:rPr>
              <w:t>响应文件提交截止之日起90天</w:t>
            </w:r>
          </w:p>
        </w:tc>
      </w:tr>
      <w:tr w14:paraId="7317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3C402B0">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4A8130BC">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6FA87794">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本项目</w:t>
            </w:r>
            <w:r>
              <w:rPr>
                <w:rFonts w:hint="eastAsia" w:ascii="宋体" w:hAnsi="宋体" w:cs="宋体"/>
                <w:color w:val="auto"/>
                <w:sz w:val="21"/>
                <w:szCs w:val="21"/>
                <w:highlight w:val="none"/>
                <w:lang w:val="en-US" w:eastAsia="zh-CN"/>
              </w:rPr>
              <w:t>不收取磋商保证金。</w:t>
            </w:r>
          </w:p>
        </w:tc>
      </w:tr>
      <w:tr w14:paraId="4A96B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48D99E92">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3.5.</w:t>
            </w:r>
            <w:r>
              <w:rPr>
                <w:rFonts w:hint="eastAsia" w:ascii="宋体" w:hAnsi="宋体" w:cs="宋体"/>
                <w:color w:val="auto"/>
                <w:sz w:val="21"/>
                <w:szCs w:val="21"/>
                <w:highlight w:val="none"/>
                <w:lang w:val="en-US" w:eastAsia="zh-CN"/>
              </w:rPr>
              <w:t>1</w:t>
            </w:r>
          </w:p>
        </w:tc>
        <w:tc>
          <w:tcPr>
            <w:tcW w:w="1999" w:type="dxa"/>
            <w:tcBorders>
              <w:top w:val="single" w:color="auto" w:sz="4" w:space="0"/>
              <w:left w:val="single" w:color="auto" w:sz="4" w:space="0"/>
              <w:bottom w:val="single" w:color="auto" w:sz="4" w:space="0"/>
              <w:right w:val="single" w:color="auto" w:sz="4" w:space="0"/>
            </w:tcBorders>
            <w:vAlign w:val="center"/>
          </w:tcPr>
          <w:p w14:paraId="0889798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6711" w:type="dxa"/>
            <w:tcBorders>
              <w:top w:val="single" w:color="auto" w:sz="4" w:space="0"/>
              <w:left w:val="single" w:color="auto" w:sz="4" w:space="0"/>
              <w:bottom w:val="single" w:color="auto" w:sz="4" w:space="0"/>
              <w:right w:val="single" w:color="auto" w:sz="4" w:space="0"/>
            </w:tcBorders>
            <w:vAlign w:val="center"/>
          </w:tcPr>
          <w:p w14:paraId="3C0C7752">
            <w:pPr>
              <w:adjustRightInd w:val="0"/>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至</w:t>
            </w: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eastAsia="zh-CN"/>
              </w:rPr>
              <w:t>。</w:t>
            </w:r>
          </w:p>
        </w:tc>
      </w:tr>
      <w:tr w14:paraId="3D6A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F9F6183">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1999" w:type="dxa"/>
            <w:tcBorders>
              <w:top w:val="single" w:color="auto" w:sz="4" w:space="0"/>
              <w:left w:val="single" w:color="auto" w:sz="4" w:space="0"/>
              <w:bottom w:val="single" w:color="auto" w:sz="4" w:space="0"/>
              <w:right w:val="single" w:color="auto" w:sz="4" w:space="0"/>
            </w:tcBorders>
            <w:vAlign w:val="center"/>
          </w:tcPr>
          <w:p w14:paraId="4951FB0A">
            <w:pPr>
              <w:pStyle w:val="18"/>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w:t>
            </w:r>
            <w:r>
              <w:rPr>
                <w:rFonts w:hint="eastAsia" w:hAnsi="宋体" w:cs="宋体"/>
                <w:color w:val="auto"/>
                <w:sz w:val="21"/>
                <w:szCs w:val="21"/>
                <w:highlight w:val="none"/>
                <w:lang w:val="en-US" w:eastAsia="zh-CN"/>
              </w:rPr>
              <w:t>响应</w:t>
            </w:r>
            <w:r>
              <w:rPr>
                <w:rFonts w:hint="eastAsia" w:ascii="宋体" w:hAnsi="宋体" w:eastAsia="宋体" w:cs="宋体"/>
                <w:color w:val="auto"/>
                <w:sz w:val="21"/>
                <w:szCs w:val="21"/>
                <w:highlight w:val="none"/>
              </w:rPr>
              <w:t>方案</w:t>
            </w:r>
          </w:p>
        </w:tc>
        <w:tc>
          <w:tcPr>
            <w:tcW w:w="6711" w:type="dxa"/>
            <w:tcBorders>
              <w:top w:val="single" w:color="auto" w:sz="4" w:space="0"/>
              <w:left w:val="single" w:color="auto" w:sz="4" w:space="0"/>
              <w:bottom w:val="single" w:color="auto" w:sz="4" w:space="0"/>
              <w:right w:val="single" w:color="auto" w:sz="4" w:space="0"/>
            </w:tcBorders>
            <w:vAlign w:val="center"/>
          </w:tcPr>
          <w:p w14:paraId="72075A0B">
            <w:pP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不允许</w:t>
            </w:r>
          </w:p>
        </w:tc>
      </w:tr>
      <w:tr w14:paraId="6DD34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03E90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w:t>
            </w:r>
          </w:p>
        </w:tc>
        <w:tc>
          <w:tcPr>
            <w:tcW w:w="1999" w:type="dxa"/>
            <w:tcBorders>
              <w:top w:val="single" w:color="auto" w:sz="4" w:space="0"/>
              <w:left w:val="single" w:color="auto" w:sz="4" w:space="0"/>
              <w:bottom w:val="single" w:color="auto" w:sz="4" w:space="0"/>
              <w:right w:val="single" w:color="auto" w:sz="4" w:space="0"/>
            </w:tcBorders>
            <w:vAlign w:val="center"/>
          </w:tcPr>
          <w:p w14:paraId="01E580E3">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格式</w:t>
            </w:r>
          </w:p>
        </w:tc>
        <w:tc>
          <w:tcPr>
            <w:tcW w:w="6711" w:type="dxa"/>
            <w:tcBorders>
              <w:top w:val="single" w:color="auto" w:sz="4" w:space="0"/>
              <w:left w:val="single" w:color="auto" w:sz="4" w:space="0"/>
              <w:bottom w:val="single" w:color="auto" w:sz="4" w:space="0"/>
              <w:right w:val="single" w:color="auto" w:sz="4" w:space="0"/>
            </w:tcBorders>
            <w:vAlign w:val="center"/>
          </w:tcPr>
          <w:p w14:paraId="5AAB444F">
            <w:pPr>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编制电子</w:t>
            </w:r>
            <w:r>
              <w:rPr>
                <w:rFonts w:hint="eastAsia" w:ascii="宋体" w:hAnsi="宋体" w:cs="宋体"/>
                <w:color w:val="auto"/>
                <w:sz w:val="21"/>
                <w:szCs w:val="21"/>
                <w:highlight w:val="none"/>
                <w:lang w:eastAsia="zh-CN"/>
              </w:rPr>
              <w:t>响应文件的供应商</w:t>
            </w:r>
            <w:r>
              <w:rPr>
                <w:rFonts w:hint="eastAsia" w:ascii="宋体" w:hAnsi="宋体" w:eastAsia="宋体" w:cs="宋体"/>
                <w:color w:val="auto"/>
                <w:sz w:val="21"/>
                <w:szCs w:val="21"/>
                <w:highlight w:val="none"/>
              </w:rPr>
              <w:t>应使用电子投标客户端编制并进行线上投标，供应商电子</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需要加密并加盖电子签章，如无法按照要求在电子</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 xml:space="preserve">中加盖电子签章和加密，请及时通过技术支持服务热线联系技术人员。 </w:t>
            </w:r>
          </w:p>
          <w:p w14:paraId="2EE35449">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0" w:firstLineChars="0"/>
              <w:textAlignment w:val="auto"/>
              <w:rPr>
                <w:rFonts w:hint="default" w:ascii="宋体" w:hAnsi="宋体" w:cs="宋体"/>
                <w:color w:val="auto"/>
                <w:kern w:val="0"/>
                <w:szCs w:val="21"/>
                <w:highlight w:val="none"/>
              </w:rPr>
            </w:pPr>
            <w:r>
              <w:rPr>
                <w:rFonts w:hint="eastAsia" w:ascii="宋体" w:hAnsi="宋体"/>
                <w:color w:val="auto"/>
                <w:kern w:val="0"/>
                <w:szCs w:val="21"/>
                <w:highlight w:val="none"/>
              </w:rPr>
              <w:t>特别注意：</w:t>
            </w:r>
          </w:p>
          <w:p w14:paraId="0358C19D">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0" w:firstLineChars="0"/>
              <w:textAlignment w:val="auto"/>
              <w:rPr>
                <w:rFonts w:hint="default" w:ascii="宋体" w:hAnsi="宋体" w:cs="宋体"/>
                <w:color w:val="auto"/>
                <w:kern w:val="0"/>
                <w:szCs w:val="21"/>
                <w:highlight w:val="none"/>
              </w:rPr>
            </w:pPr>
            <w:r>
              <w:rPr>
                <w:rFonts w:hint="eastAsia" w:ascii="宋体" w:hAnsi="宋体" w:cs="宋体"/>
                <w:color w:val="auto"/>
                <w:kern w:val="0"/>
                <w:szCs w:val="21"/>
                <w:highlight w:val="none"/>
                <w:lang w:eastAsia="zh-CN"/>
              </w:rPr>
              <w:t>（1）供应商</w:t>
            </w:r>
            <w:r>
              <w:rPr>
                <w:rFonts w:hint="eastAsia" w:ascii="宋体" w:hAnsi="宋体" w:cs="宋体"/>
                <w:color w:val="auto"/>
                <w:kern w:val="0"/>
                <w:szCs w:val="21"/>
                <w:highlight w:val="none"/>
              </w:rPr>
              <w:t>不得对</w:t>
            </w:r>
            <w:r>
              <w:rPr>
                <w:rFonts w:hint="eastAsia" w:ascii="宋体" w:hAnsi="宋体" w:cs="宋体"/>
                <w:color w:val="auto"/>
                <w:kern w:val="0"/>
                <w:szCs w:val="21"/>
                <w:highlight w:val="none"/>
                <w:lang w:eastAsia="zh-CN"/>
              </w:rPr>
              <w:t>竞争性磋商文件</w:t>
            </w:r>
            <w:r>
              <w:rPr>
                <w:rFonts w:hint="eastAsia" w:ascii="宋体" w:hAnsi="宋体" w:cs="宋体"/>
                <w:color w:val="auto"/>
                <w:kern w:val="0"/>
                <w:szCs w:val="21"/>
                <w:highlight w:val="none"/>
              </w:rPr>
              <w:t>格式中的</w:t>
            </w:r>
            <w:r>
              <w:rPr>
                <w:rFonts w:hint="eastAsia" w:ascii="宋体" w:hAnsi="宋体" w:cs="宋体"/>
                <w:color w:val="auto"/>
                <w:kern w:val="0"/>
                <w:szCs w:val="21"/>
                <w:highlight w:val="none"/>
                <w:lang w:val="en-US" w:eastAsia="zh-CN"/>
              </w:rPr>
              <w:t>实质</w:t>
            </w:r>
            <w:r>
              <w:rPr>
                <w:rFonts w:hint="eastAsia" w:ascii="宋体" w:hAnsi="宋体" w:cs="宋体"/>
                <w:color w:val="auto"/>
                <w:kern w:val="0"/>
                <w:szCs w:val="21"/>
                <w:highlight w:val="none"/>
              </w:rPr>
              <w:t>内容进行删减或修改，</w:t>
            </w:r>
            <w:r>
              <w:rPr>
                <w:rFonts w:hint="eastAsia" w:ascii="宋体" w:hAnsi="宋体" w:cs="宋体"/>
                <w:color w:val="auto"/>
                <w:kern w:val="0"/>
                <w:szCs w:val="21"/>
                <w:highlight w:val="none"/>
                <w:lang w:eastAsia="zh-CN"/>
              </w:rPr>
              <w:t>否则按无效响应处理（</w:t>
            </w:r>
            <w:r>
              <w:rPr>
                <w:rFonts w:hint="eastAsia" w:ascii="宋体" w:hAnsi="宋体" w:cs="宋体"/>
                <w:color w:val="auto"/>
                <w:kern w:val="0"/>
                <w:szCs w:val="21"/>
                <w:highlight w:val="none"/>
                <w:lang w:val="en-US" w:eastAsia="zh-CN"/>
              </w:rPr>
              <w:t>格式自拟部分除外</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w:t>
            </w:r>
          </w:p>
          <w:p w14:paraId="340F112F">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0" w:firstLineChars="0"/>
              <w:textAlignment w:val="auto"/>
              <w:rPr>
                <w:rFonts w:hint="default" w:ascii="宋体" w:hAnsi="宋体" w:cs="宋体"/>
                <w:color w:val="auto"/>
                <w:kern w:val="0"/>
                <w:szCs w:val="21"/>
                <w:highlight w:val="none"/>
              </w:rPr>
            </w:pPr>
            <w:r>
              <w:rPr>
                <w:rFonts w:hint="eastAsia" w:ascii="宋体" w:hAnsi="宋体" w:cs="宋体"/>
                <w:color w:val="auto"/>
                <w:kern w:val="0"/>
                <w:szCs w:val="21"/>
                <w:highlight w:val="none"/>
                <w:lang w:eastAsia="zh-CN"/>
              </w:rPr>
              <w:t>（2）供应商</w:t>
            </w:r>
            <w:r>
              <w:rPr>
                <w:rFonts w:hint="eastAsia" w:ascii="宋体" w:hAnsi="宋体" w:cs="宋体"/>
                <w:color w:val="auto"/>
                <w:kern w:val="0"/>
                <w:szCs w:val="21"/>
                <w:highlight w:val="none"/>
              </w:rPr>
              <w:t>可以在格式内容之外另行说明和增加相关内容，作为</w:t>
            </w:r>
            <w:r>
              <w:rPr>
                <w:rFonts w:hint="eastAsia" w:ascii="宋体" w:hAnsi="宋体" w:cs="宋体"/>
                <w:color w:val="auto"/>
                <w:kern w:val="0"/>
                <w:szCs w:val="21"/>
                <w:highlight w:val="none"/>
                <w:lang w:eastAsia="zh-CN"/>
              </w:rPr>
              <w:t>响应文件</w:t>
            </w:r>
            <w:r>
              <w:rPr>
                <w:rFonts w:hint="eastAsia" w:ascii="宋体" w:hAnsi="宋体" w:cs="宋体"/>
                <w:color w:val="auto"/>
                <w:kern w:val="0"/>
                <w:szCs w:val="21"/>
                <w:highlight w:val="none"/>
              </w:rPr>
              <w:t>的组成部分。另行说明或自行增加的内容</w:t>
            </w:r>
            <w:r>
              <w:rPr>
                <w:rFonts w:hint="eastAsia" w:ascii="宋体" w:hAnsi="宋体" w:cs="宋体"/>
                <w:color w:val="auto"/>
                <w:kern w:val="0"/>
                <w:szCs w:val="21"/>
                <w:highlight w:val="none"/>
                <w:lang w:eastAsia="zh-CN"/>
              </w:rPr>
              <w:t>，以及</w:t>
            </w:r>
            <w:r>
              <w:rPr>
                <w:rFonts w:hint="eastAsia" w:ascii="宋体" w:hAnsi="宋体" w:cs="宋体"/>
                <w:color w:val="auto"/>
                <w:kern w:val="0"/>
                <w:szCs w:val="21"/>
                <w:highlight w:val="none"/>
              </w:rPr>
              <w:t>按</w:t>
            </w:r>
            <w:r>
              <w:rPr>
                <w:rFonts w:hint="eastAsia" w:ascii="宋体" w:hAnsi="宋体" w:cs="宋体"/>
                <w:color w:val="auto"/>
                <w:kern w:val="0"/>
                <w:szCs w:val="21"/>
                <w:highlight w:val="none"/>
                <w:lang w:eastAsia="zh-CN"/>
              </w:rPr>
              <w:t>响应文件</w:t>
            </w:r>
            <w:r>
              <w:rPr>
                <w:rFonts w:hint="eastAsia" w:ascii="宋体" w:hAnsi="宋体" w:cs="宋体"/>
                <w:color w:val="auto"/>
                <w:kern w:val="0"/>
                <w:szCs w:val="21"/>
                <w:highlight w:val="none"/>
              </w:rPr>
              <w:t>格式在空格（下划线）由</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填写的内容，不得与</w:t>
            </w:r>
            <w:r>
              <w:rPr>
                <w:rFonts w:hint="eastAsia" w:ascii="宋体" w:hAnsi="宋体" w:cs="宋体"/>
                <w:color w:val="auto"/>
                <w:kern w:val="0"/>
                <w:szCs w:val="21"/>
                <w:highlight w:val="none"/>
                <w:lang w:eastAsia="zh-CN"/>
              </w:rPr>
              <w:t>竞争性磋商文件</w:t>
            </w:r>
            <w:r>
              <w:rPr>
                <w:rFonts w:hint="eastAsia" w:ascii="宋体" w:hAnsi="宋体" w:cs="宋体"/>
                <w:color w:val="auto"/>
                <w:kern w:val="0"/>
                <w:szCs w:val="21"/>
                <w:highlight w:val="none"/>
              </w:rPr>
              <w:t>的强制性审查标准和禁止性规定相抵触。</w:t>
            </w:r>
          </w:p>
          <w:p w14:paraId="6A05B3EB">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0" w:firstLineChars="0"/>
              <w:textAlignment w:val="auto"/>
              <w:rPr>
                <w:rFonts w:hint="default" w:ascii="宋体" w:hAnsi="宋体" w:cs="宋体"/>
                <w:color w:val="auto"/>
                <w:kern w:val="0"/>
                <w:szCs w:val="21"/>
                <w:highlight w:val="none"/>
              </w:rPr>
            </w:pPr>
            <w:r>
              <w:rPr>
                <w:rFonts w:hint="eastAsia" w:ascii="宋体" w:hAnsi="宋体" w:cs="宋体"/>
                <w:color w:val="auto"/>
                <w:kern w:val="0"/>
                <w:szCs w:val="21"/>
                <w:highlight w:val="none"/>
                <w:lang w:eastAsia="zh-CN"/>
              </w:rPr>
              <w:t>（3）</w:t>
            </w:r>
            <w:r>
              <w:rPr>
                <w:rFonts w:hint="eastAsia" w:ascii="宋体" w:hAnsi="宋体" w:cs="宋体"/>
                <w:color w:val="auto"/>
                <w:kern w:val="0"/>
                <w:szCs w:val="21"/>
                <w:highlight w:val="none"/>
              </w:rPr>
              <w:t>按</w:t>
            </w:r>
            <w:r>
              <w:rPr>
                <w:rFonts w:hint="eastAsia" w:ascii="宋体" w:hAnsi="宋体" w:cs="宋体"/>
                <w:color w:val="auto"/>
                <w:kern w:val="0"/>
                <w:szCs w:val="21"/>
                <w:highlight w:val="none"/>
                <w:lang w:eastAsia="zh-CN"/>
              </w:rPr>
              <w:t>响应文件</w:t>
            </w:r>
            <w:r>
              <w:rPr>
                <w:rFonts w:hint="eastAsia" w:ascii="宋体" w:hAnsi="宋体" w:cs="宋体"/>
                <w:color w:val="auto"/>
                <w:kern w:val="0"/>
                <w:szCs w:val="21"/>
                <w:highlight w:val="none"/>
              </w:rPr>
              <w:t>格式在空格（下划线）由</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填写的内容，确实没有需要填写的，可以在空格中用“/”</w:t>
            </w:r>
            <w:r>
              <w:rPr>
                <w:rFonts w:hint="eastAsia" w:ascii="宋体" w:hAnsi="宋体" w:cs="宋体"/>
                <w:color w:val="auto"/>
                <w:kern w:val="0"/>
                <w:szCs w:val="21"/>
                <w:highlight w:val="none"/>
                <w:lang w:val="en-US" w:eastAsia="zh-CN"/>
              </w:rPr>
              <w:t>或“无”</w:t>
            </w:r>
            <w:r>
              <w:rPr>
                <w:rFonts w:hint="eastAsia" w:ascii="宋体" w:hAnsi="宋体" w:cs="宋体"/>
                <w:color w:val="auto"/>
                <w:kern w:val="0"/>
                <w:szCs w:val="21"/>
                <w:highlight w:val="none"/>
              </w:rPr>
              <w:t>标示，也可以不填（空白）。但</w:t>
            </w:r>
            <w:r>
              <w:rPr>
                <w:rFonts w:hint="eastAsia" w:ascii="宋体" w:hAnsi="宋体" w:cs="宋体"/>
                <w:color w:val="auto"/>
                <w:kern w:val="0"/>
                <w:szCs w:val="21"/>
                <w:highlight w:val="none"/>
                <w:lang w:eastAsia="zh-CN"/>
              </w:rPr>
              <w:t>竞争性磋商文件</w:t>
            </w:r>
            <w:r>
              <w:rPr>
                <w:rFonts w:hint="eastAsia" w:ascii="宋体" w:hAnsi="宋体" w:cs="宋体"/>
                <w:color w:val="auto"/>
                <w:kern w:val="0"/>
                <w:szCs w:val="21"/>
                <w:highlight w:val="none"/>
              </w:rPr>
              <w:t>中另有规定的从其规定。</w:t>
            </w:r>
          </w:p>
          <w:p w14:paraId="5B8DE52A">
            <w:pPr>
              <w:spacing w:line="360" w:lineRule="auto"/>
              <w:rPr>
                <w:rFonts w:hint="eastAsia" w:ascii="宋体" w:hAnsi="宋体" w:eastAsia="宋体" w:cs="宋体"/>
                <w:color w:val="auto"/>
                <w:sz w:val="21"/>
                <w:szCs w:val="21"/>
                <w:highlight w:val="none"/>
              </w:rPr>
            </w:pPr>
            <w:r>
              <w:rPr>
                <w:rFonts w:hint="eastAsia" w:ascii="宋体" w:hAnsi="宋体" w:cs="宋体"/>
                <w:color w:val="auto"/>
                <w:kern w:val="0"/>
                <w:szCs w:val="21"/>
                <w:highlight w:val="none"/>
                <w:lang w:eastAsia="zh-CN"/>
              </w:rPr>
              <w:t>（4）响应文件</w:t>
            </w:r>
            <w:r>
              <w:rPr>
                <w:rFonts w:hint="eastAsia" w:ascii="宋体" w:hAnsi="宋体" w:cs="宋体"/>
                <w:color w:val="auto"/>
                <w:kern w:val="0"/>
                <w:szCs w:val="21"/>
                <w:highlight w:val="none"/>
              </w:rPr>
              <w:t>应对</w:t>
            </w:r>
            <w:r>
              <w:rPr>
                <w:rFonts w:hint="eastAsia" w:ascii="宋体" w:hAnsi="宋体" w:cs="宋体"/>
                <w:color w:val="auto"/>
                <w:kern w:val="0"/>
                <w:szCs w:val="21"/>
                <w:highlight w:val="none"/>
                <w:lang w:eastAsia="zh-CN"/>
              </w:rPr>
              <w:t>竞争性磋商文件</w:t>
            </w:r>
            <w:r>
              <w:rPr>
                <w:rFonts w:hint="eastAsia" w:ascii="宋体" w:hAnsi="宋体" w:cs="宋体"/>
                <w:color w:val="auto"/>
                <w:kern w:val="0"/>
                <w:szCs w:val="21"/>
                <w:highlight w:val="none"/>
              </w:rPr>
              <w:t>提出的所有实质性要求和条件作出实质性响应，并且实质性响应的内容不得互相矛盾。</w:t>
            </w:r>
          </w:p>
        </w:tc>
      </w:tr>
      <w:tr w14:paraId="05F4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4D2BC8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1999" w:type="dxa"/>
            <w:tcBorders>
              <w:top w:val="single" w:color="auto" w:sz="4" w:space="0"/>
              <w:left w:val="single" w:color="auto" w:sz="4" w:space="0"/>
              <w:bottom w:val="single" w:color="auto" w:sz="4" w:space="0"/>
              <w:right w:val="single" w:color="auto" w:sz="4" w:space="0"/>
            </w:tcBorders>
            <w:vAlign w:val="center"/>
          </w:tcPr>
          <w:p w14:paraId="62B08E76">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响应文件的签署</w:t>
            </w:r>
          </w:p>
        </w:tc>
        <w:tc>
          <w:tcPr>
            <w:tcW w:w="6711" w:type="dxa"/>
            <w:tcBorders>
              <w:top w:val="single" w:color="auto" w:sz="4" w:space="0"/>
              <w:left w:val="single" w:color="auto" w:sz="4" w:space="0"/>
              <w:bottom w:val="single" w:color="auto" w:sz="4" w:space="0"/>
              <w:right w:val="single" w:color="auto" w:sz="4" w:space="0"/>
            </w:tcBorders>
            <w:vAlign w:val="center"/>
          </w:tcPr>
          <w:p w14:paraId="011814F1">
            <w:pPr>
              <w:tabs>
                <w:tab w:val="left" w:pos="611"/>
              </w:tabs>
              <w:spacing w:line="360" w:lineRule="auto"/>
              <w:rPr>
                <w:rFonts w:hint="eastAsia" w:ascii="宋体" w:hAnsi="宋体" w:eastAsia="宋体" w:cs="宋体"/>
                <w:color w:val="auto"/>
                <w:sz w:val="21"/>
                <w:szCs w:val="21"/>
                <w:highlight w:val="none"/>
                <w:lang w:bidi="en-US"/>
              </w:rPr>
            </w:pPr>
            <w:r>
              <w:rPr>
                <w:rFonts w:hint="eastAsia" w:ascii="宋体" w:hAnsi="宋体" w:cs="宋体"/>
                <w:color w:val="auto"/>
                <w:sz w:val="21"/>
                <w:szCs w:val="21"/>
                <w:highlight w:val="none"/>
                <w:lang w:eastAsia="zh-CN" w:bidi="en-US"/>
              </w:rPr>
              <w:t>1.</w:t>
            </w:r>
            <w:r>
              <w:rPr>
                <w:rFonts w:hint="eastAsia" w:ascii="宋体" w:hAnsi="宋体" w:eastAsia="宋体" w:cs="宋体"/>
                <w:color w:val="auto"/>
                <w:sz w:val="21"/>
                <w:szCs w:val="21"/>
                <w:highlight w:val="none"/>
                <w:lang w:eastAsia="zh-CN" w:bidi="en-US"/>
              </w:rPr>
              <w:t>响应文件</w:t>
            </w:r>
            <w:r>
              <w:rPr>
                <w:rFonts w:hint="eastAsia" w:ascii="宋体" w:hAnsi="宋体" w:eastAsia="宋体" w:cs="宋体"/>
                <w:color w:val="auto"/>
                <w:sz w:val="21"/>
                <w:szCs w:val="21"/>
                <w:highlight w:val="none"/>
                <w:lang w:bidi="en-US"/>
              </w:rPr>
              <w:t>的盖章要求：</w:t>
            </w:r>
            <w:r>
              <w:rPr>
                <w:rFonts w:hint="eastAsia" w:ascii="宋体" w:hAnsi="宋体" w:eastAsia="宋体" w:cs="宋体"/>
                <w:color w:val="auto"/>
                <w:sz w:val="21"/>
                <w:szCs w:val="21"/>
                <w:highlight w:val="none"/>
                <w:lang w:eastAsia="zh-CN" w:bidi="en-US"/>
              </w:rPr>
              <w:t>响应文件</w:t>
            </w:r>
            <w:r>
              <w:rPr>
                <w:rFonts w:hint="eastAsia" w:ascii="宋体" w:hAnsi="宋体" w:eastAsia="宋体" w:cs="宋体"/>
                <w:color w:val="auto"/>
                <w:sz w:val="21"/>
                <w:szCs w:val="21"/>
                <w:highlight w:val="none"/>
                <w:lang w:bidi="en-US"/>
              </w:rPr>
              <w:t>格式中要求</w:t>
            </w:r>
            <w:r>
              <w:rPr>
                <w:rFonts w:hint="eastAsia" w:ascii="宋体" w:hAnsi="宋体" w:eastAsia="宋体" w:cs="宋体"/>
                <w:color w:val="auto"/>
                <w:sz w:val="21"/>
                <w:szCs w:val="21"/>
                <w:highlight w:val="none"/>
                <w:lang w:eastAsia="zh-CN" w:bidi="en-US"/>
              </w:rPr>
              <w:t>供应商</w:t>
            </w:r>
            <w:r>
              <w:rPr>
                <w:rFonts w:hint="eastAsia" w:ascii="宋体" w:hAnsi="宋体" w:eastAsia="宋体" w:cs="宋体"/>
                <w:color w:val="auto"/>
                <w:sz w:val="21"/>
                <w:szCs w:val="21"/>
                <w:highlight w:val="none"/>
                <w:lang w:bidi="en-US"/>
              </w:rPr>
              <w:t>“加盖公章”的，均指与</w:t>
            </w:r>
            <w:r>
              <w:rPr>
                <w:rFonts w:hint="eastAsia" w:ascii="宋体" w:hAnsi="宋体" w:eastAsia="宋体" w:cs="宋体"/>
                <w:color w:val="auto"/>
                <w:sz w:val="21"/>
                <w:szCs w:val="21"/>
                <w:highlight w:val="none"/>
                <w:lang w:eastAsia="zh-CN" w:bidi="en-US"/>
              </w:rPr>
              <w:t>供应商</w:t>
            </w:r>
            <w:r>
              <w:rPr>
                <w:rFonts w:hint="eastAsia" w:ascii="宋体" w:hAnsi="宋体" w:eastAsia="宋体" w:cs="宋体"/>
                <w:color w:val="auto"/>
                <w:sz w:val="21"/>
                <w:szCs w:val="21"/>
                <w:highlight w:val="none"/>
                <w:lang w:bidi="en-US"/>
              </w:rPr>
              <w:t>名称全称一致的标准公章，不得使用其他形式（如带有“专用章</w:t>
            </w:r>
            <w:r>
              <w:rPr>
                <w:rFonts w:hint="eastAsia" w:ascii="宋体" w:hAnsi="宋体" w:cs="宋体"/>
                <w:color w:val="auto"/>
                <w:sz w:val="21"/>
                <w:szCs w:val="21"/>
                <w:highlight w:val="none"/>
                <w:lang w:eastAsia="zh-CN" w:bidi="en-US"/>
              </w:rPr>
              <w:t>”“</w:t>
            </w:r>
            <w:r>
              <w:rPr>
                <w:rFonts w:hint="eastAsia" w:ascii="宋体" w:hAnsi="宋体" w:eastAsia="宋体" w:cs="宋体"/>
                <w:color w:val="auto"/>
                <w:sz w:val="21"/>
                <w:szCs w:val="21"/>
                <w:highlight w:val="none"/>
                <w:lang w:bidi="en-US"/>
              </w:rPr>
              <w:t>合同章</w:t>
            </w:r>
            <w:r>
              <w:rPr>
                <w:rFonts w:hint="eastAsia" w:ascii="宋体" w:hAnsi="宋体" w:cs="宋体"/>
                <w:color w:val="auto"/>
                <w:sz w:val="21"/>
                <w:szCs w:val="21"/>
                <w:highlight w:val="none"/>
                <w:lang w:eastAsia="zh-CN" w:bidi="en-US"/>
              </w:rPr>
              <w:t>”“</w:t>
            </w:r>
            <w:r>
              <w:rPr>
                <w:rFonts w:hint="eastAsia" w:ascii="宋体" w:hAnsi="宋体" w:eastAsia="宋体" w:cs="宋体"/>
                <w:color w:val="auto"/>
                <w:sz w:val="21"/>
                <w:szCs w:val="21"/>
                <w:highlight w:val="none"/>
                <w:lang w:bidi="en-US"/>
              </w:rPr>
              <w:t>财务章</w:t>
            </w:r>
            <w:r>
              <w:rPr>
                <w:rFonts w:hint="eastAsia" w:ascii="宋体" w:hAnsi="宋体" w:cs="宋体"/>
                <w:color w:val="auto"/>
                <w:sz w:val="21"/>
                <w:szCs w:val="21"/>
                <w:highlight w:val="none"/>
                <w:lang w:eastAsia="zh-CN" w:bidi="en-US"/>
              </w:rPr>
              <w:t>”“</w:t>
            </w:r>
            <w:r>
              <w:rPr>
                <w:rFonts w:hint="eastAsia" w:ascii="宋体" w:hAnsi="宋体" w:eastAsia="宋体" w:cs="宋体"/>
                <w:color w:val="auto"/>
                <w:sz w:val="21"/>
                <w:szCs w:val="21"/>
                <w:highlight w:val="none"/>
                <w:lang w:bidi="en-US"/>
              </w:rPr>
              <w:t>业务章”等）的印章。</w:t>
            </w:r>
          </w:p>
          <w:p w14:paraId="3520AEE3">
            <w:pPr>
              <w:tabs>
                <w:tab w:val="left" w:pos="611"/>
              </w:tabs>
              <w:spacing w:line="360" w:lineRule="auto"/>
              <w:rPr>
                <w:rFonts w:hint="eastAsia" w:ascii="宋体" w:hAnsi="宋体" w:eastAsia="宋体" w:cs="宋体"/>
                <w:color w:val="auto"/>
                <w:sz w:val="21"/>
                <w:szCs w:val="21"/>
                <w:highlight w:val="none"/>
                <w:lang w:bidi="en-US"/>
              </w:rPr>
            </w:pPr>
            <w:r>
              <w:rPr>
                <w:rFonts w:hint="eastAsia" w:ascii="宋体" w:hAnsi="宋体" w:cs="宋体"/>
                <w:color w:val="auto"/>
                <w:sz w:val="21"/>
                <w:szCs w:val="21"/>
                <w:highlight w:val="none"/>
                <w:lang w:eastAsia="zh-CN" w:bidi="en-US"/>
              </w:rPr>
              <w:t>2.</w:t>
            </w:r>
            <w:r>
              <w:rPr>
                <w:rFonts w:hint="eastAsia" w:ascii="宋体" w:hAnsi="宋体" w:eastAsia="宋体" w:cs="宋体"/>
                <w:color w:val="auto"/>
                <w:sz w:val="21"/>
                <w:szCs w:val="21"/>
                <w:highlight w:val="none"/>
                <w:lang w:eastAsia="zh-CN" w:bidi="en-US"/>
              </w:rPr>
              <w:t>响应文件</w:t>
            </w:r>
            <w:r>
              <w:rPr>
                <w:rFonts w:hint="eastAsia" w:ascii="宋体" w:hAnsi="宋体" w:eastAsia="宋体" w:cs="宋体"/>
                <w:color w:val="auto"/>
                <w:sz w:val="21"/>
                <w:szCs w:val="21"/>
                <w:highlight w:val="none"/>
                <w:lang w:bidi="en-US"/>
              </w:rPr>
              <w:t>的签署要求：</w:t>
            </w:r>
            <w:r>
              <w:rPr>
                <w:rFonts w:hint="eastAsia" w:ascii="宋体" w:hAnsi="宋体" w:eastAsia="宋体" w:cs="宋体"/>
                <w:color w:val="auto"/>
                <w:sz w:val="21"/>
                <w:szCs w:val="21"/>
                <w:highlight w:val="none"/>
                <w:lang w:eastAsia="zh-CN" w:bidi="en-US"/>
              </w:rPr>
              <w:t>竞争性磋商文件</w:t>
            </w:r>
            <w:r>
              <w:rPr>
                <w:rFonts w:hint="eastAsia" w:ascii="宋体" w:hAnsi="宋体" w:eastAsia="宋体" w:cs="宋体"/>
                <w:color w:val="auto"/>
                <w:sz w:val="21"/>
                <w:szCs w:val="21"/>
                <w:highlight w:val="none"/>
                <w:lang w:bidi="en-US"/>
              </w:rPr>
              <w:t>要求</w:t>
            </w:r>
            <w:r>
              <w:rPr>
                <w:rFonts w:hint="eastAsia" w:ascii="宋体" w:hAnsi="宋体" w:eastAsia="宋体" w:cs="宋体"/>
                <w:color w:val="auto"/>
                <w:sz w:val="21"/>
                <w:szCs w:val="21"/>
                <w:highlight w:val="none"/>
                <w:lang w:eastAsia="zh-CN" w:bidi="en-US"/>
              </w:rPr>
              <w:t>供应商</w:t>
            </w:r>
            <w:r>
              <w:rPr>
                <w:rFonts w:hint="eastAsia" w:ascii="宋体" w:hAnsi="宋体" w:eastAsia="宋体" w:cs="宋体"/>
                <w:color w:val="auto"/>
                <w:sz w:val="21"/>
                <w:szCs w:val="21"/>
                <w:highlight w:val="none"/>
                <w:lang w:bidi="en-US"/>
              </w:rPr>
              <w:t>法定代表人或其授权代表签字或盖章处应签字或盖章，签字的不得由他人代签。授权代表签字或盖章的，</w:t>
            </w:r>
            <w:r>
              <w:rPr>
                <w:rFonts w:hint="eastAsia" w:ascii="宋体" w:hAnsi="宋体" w:eastAsia="宋体" w:cs="宋体"/>
                <w:color w:val="auto"/>
                <w:sz w:val="21"/>
                <w:szCs w:val="21"/>
                <w:highlight w:val="none"/>
                <w:lang w:eastAsia="zh-CN" w:bidi="en-US"/>
              </w:rPr>
              <w:t>响应文件</w:t>
            </w:r>
            <w:r>
              <w:rPr>
                <w:rFonts w:hint="eastAsia" w:ascii="宋体" w:hAnsi="宋体" w:eastAsia="宋体" w:cs="宋体"/>
                <w:color w:val="auto"/>
                <w:sz w:val="21"/>
                <w:szCs w:val="21"/>
                <w:highlight w:val="none"/>
                <w:lang w:bidi="en-US"/>
              </w:rPr>
              <w:t>应附法定代表人授权委托书。</w:t>
            </w:r>
          </w:p>
          <w:p w14:paraId="2CE5BA3C">
            <w:pPr>
              <w:tabs>
                <w:tab w:val="left" w:pos="611"/>
              </w:tabs>
              <w:spacing w:line="360" w:lineRule="auto"/>
              <w:rPr>
                <w:rFonts w:hint="default" w:ascii="宋体" w:hAnsi="宋体" w:eastAsia="宋体" w:cs="宋体"/>
                <w:color w:val="auto"/>
                <w:sz w:val="21"/>
                <w:szCs w:val="21"/>
                <w:highlight w:val="none"/>
                <w:lang w:val="en-US" w:eastAsia="zh-CN" w:bidi="en-US"/>
              </w:rPr>
            </w:pPr>
            <w:r>
              <w:rPr>
                <w:rFonts w:hint="eastAsia" w:ascii="宋体" w:hAnsi="宋体" w:eastAsia="宋体" w:cs="宋体"/>
                <w:b/>
                <w:bCs/>
                <w:color w:val="auto"/>
                <w:sz w:val="21"/>
                <w:szCs w:val="21"/>
                <w:highlight w:val="none"/>
                <w:lang w:val="en-US" w:eastAsia="zh-CN" w:bidi="en-US"/>
              </w:rPr>
              <w:t>3.</w:t>
            </w:r>
            <w:r>
              <w:rPr>
                <w:rFonts w:hint="eastAsia" w:ascii="宋体" w:hAnsi="宋体" w:cs="宋体"/>
                <w:b/>
                <w:bCs/>
                <w:color w:val="auto"/>
                <w:sz w:val="21"/>
                <w:szCs w:val="21"/>
                <w:highlight w:val="none"/>
                <w:lang w:val="en-US" w:eastAsia="zh-CN" w:bidi="en-US"/>
              </w:rPr>
              <w:t>根据《注册造价工程师管理办法》等相关文件规定，注册造价工程师应当根据执业范围，在本人形成的工程造价成果文件上签字并加盖执业印章，并承担相应的法律责任。本项目已标价工程量清单须由一级注册造价工程师（水利工程）审核、签字（或电子签名）并加盖执业印章（或电子签章）。如果注册造价工程师非供应商本单位人员，响应文件中须附本项目的造价咨询委托合同或协议书、造价咨询单位营业执照及编审人员的执业资格证书，格式自拟。</w:t>
            </w:r>
          </w:p>
          <w:p w14:paraId="4C56AEC2">
            <w:pPr>
              <w:tabs>
                <w:tab w:val="left" w:pos="611"/>
              </w:tabs>
              <w:spacing w:line="360" w:lineRule="auto"/>
              <w:rPr>
                <w:rFonts w:hint="eastAsia" w:ascii="宋体" w:hAnsi="宋体" w:eastAsia="宋体" w:cs="宋体"/>
                <w:color w:val="auto"/>
                <w:sz w:val="21"/>
                <w:szCs w:val="21"/>
                <w:highlight w:val="none"/>
                <w:lang w:bidi="en-US"/>
              </w:rPr>
            </w:pPr>
            <w:r>
              <w:rPr>
                <w:rFonts w:hint="eastAsia" w:ascii="宋体" w:hAnsi="宋体" w:eastAsia="宋体" w:cs="宋体"/>
                <w:color w:val="auto"/>
                <w:sz w:val="21"/>
                <w:szCs w:val="21"/>
                <w:highlight w:val="none"/>
                <w:lang w:bidi="en-US"/>
              </w:rPr>
              <w:t>注：①</w:t>
            </w:r>
            <w:r>
              <w:rPr>
                <w:rFonts w:hint="eastAsia" w:ascii="宋体" w:hAnsi="宋体" w:eastAsia="宋体" w:cs="宋体"/>
                <w:color w:val="auto"/>
                <w:sz w:val="21"/>
                <w:szCs w:val="21"/>
                <w:highlight w:val="none"/>
                <w:lang w:eastAsia="zh-CN" w:bidi="en-US"/>
              </w:rPr>
              <w:t>响应文件</w:t>
            </w:r>
            <w:r>
              <w:rPr>
                <w:rFonts w:hint="eastAsia" w:ascii="宋体" w:hAnsi="宋体" w:eastAsia="宋体" w:cs="宋体"/>
                <w:color w:val="auto"/>
                <w:sz w:val="21"/>
                <w:szCs w:val="21"/>
                <w:highlight w:val="none"/>
                <w:lang w:bidi="en-US"/>
              </w:rPr>
              <w:t>涉及签字、盖章的地方尽量避免遮盖单价、合价等重要内容，</w:t>
            </w:r>
            <w:r>
              <w:rPr>
                <w:rFonts w:hint="eastAsia" w:ascii="宋体" w:hAnsi="宋体" w:eastAsia="宋体" w:cs="宋体"/>
                <w:color w:val="auto"/>
                <w:sz w:val="21"/>
                <w:szCs w:val="21"/>
                <w:highlight w:val="none"/>
                <w:lang w:eastAsia="zh-CN" w:bidi="en-US"/>
              </w:rPr>
              <w:t>响应文件</w:t>
            </w:r>
            <w:r>
              <w:rPr>
                <w:rFonts w:hint="eastAsia" w:ascii="宋体" w:hAnsi="宋体" w:eastAsia="宋体" w:cs="宋体"/>
                <w:color w:val="auto"/>
                <w:sz w:val="21"/>
                <w:szCs w:val="21"/>
                <w:highlight w:val="none"/>
                <w:lang w:bidi="en-US"/>
              </w:rPr>
              <w:t>中相关内容、证件扫描件模糊不清、被签字或盖章遮盖、无法辨认的</w:t>
            </w:r>
            <w:r>
              <w:rPr>
                <w:rFonts w:hint="eastAsia" w:ascii="宋体" w:hAnsi="宋体" w:cs="宋体"/>
                <w:color w:val="auto"/>
                <w:sz w:val="21"/>
                <w:szCs w:val="21"/>
                <w:highlight w:val="none"/>
                <w:lang w:eastAsia="zh-CN" w:bidi="en-US"/>
              </w:rPr>
              <w:t>磋商小组有权对其响应文件作无效响应处理</w:t>
            </w:r>
            <w:r>
              <w:rPr>
                <w:rFonts w:hint="eastAsia" w:ascii="宋体" w:hAnsi="宋体" w:eastAsia="宋体" w:cs="宋体"/>
                <w:color w:val="auto"/>
                <w:sz w:val="21"/>
                <w:szCs w:val="21"/>
                <w:highlight w:val="none"/>
                <w:lang w:bidi="en-US"/>
              </w:rPr>
              <w:t>。</w:t>
            </w:r>
          </w:p>
          <w:p w14:paraId="707BF2B3">
            <w:pPr>
              <w:tabs>
                <w:tab w:val="left" w:pos="611"/>
              </w:tabs>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en-US"/>
              </w:rPr>
              <w:t>②在需要签字或盖章的地方进行签字或盖章，</w:t>
            </w:r>
            <w:r>
              <w:rPr>
                <w:rFonts w:hint="eastAsia" w:ascii="宋体" w:hAnsi="宋体" w:eastAsia="宋体" w:cs="宋体"/>
                <w:color w:val="auto"/>
                <w:sz w:val="21"/>
                <w:szCs w:val="21"/>
                <w:highlight w:val="none"/>
                <w:lang w:val="en-US" w:eastAsia="zh-CN" w:bidi="en-US"/>
              </w:rPr>
              <w:t>无</w:t>
            </w:r>
            <w:r>
              <w:rPr>
                <w:rFonts w:hint="eastAsia" w:ascii="宋体" w:hAnsi="宋体" w:eastAsia="宋体" w:cs="宋体"/>
                <w:color w:val="auto"/>
                <w:sz w:val="21"/>
                <w:szCs w:val="21"/>
                <w:highlight w:val="none"/>
                <w:lang w:bidi="en-US"/>
              </w:rPr>
              <w:t>需逐页</w:t>
            </w:r>
            <w:r>
              <w:rPr>
                <w:rFonts w:hint="eastAsia" w:ascii="宋体" w:hAnsi="宋体" w:eastAsia="宋体" w:cs="宋体"/>
                <w:color w:val="auto"/>
                <w:sz w:val="21"/>
                <w:szCs w:val="21"/>
                <w:highlight w:val="none"/>
                <w:lang w:val="en-US" w:eastAsia="zh-CN" w:bidi="en-US"/>
              </w:rPr>
              <w:t>签章</w:t>
            </w:r>
            <w:r>
              <w:rPr>
                <w:rFonts w:hint="eastAsia" w:ascii="宋体" w:hAnsi="宋体" w:eastAsia="宋体" w:cs="宋体"/>
                <w:color w:val="auto"/>
                <w:sz w:val="21"/>
                <w:szCs w:val="21"/>
                <w:highlight w:val="none"/>
                <w:lang w:bidi="en-US"/>
              </w:rPr>
              <w:t>。</w:t>
            </w:r>
          </w:p>
        </w:tc>
      </w:tr>
      <w:tr w14:paraId="2863F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764BE2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w:t>
            </w:r>
          </w:p>
        </w:tc>
        <w:tc>
          <w:tcPr>
            <w:tcW w:w="1999" w:type="dxa"/>
            <w:tcBorders>
              <w:top w:val="single" w:color="auto" w:sz="4" w:space="0"/>
              <w:left w:val="single" w:color="auto" w:sz="4" w:space="0"/>
              <w:bottom w:val="single" w:color="auto" w:sz="4" w:space="0"/>
              <w:right w:val="single" w:color="auto" w:sz="4" w:space="0"/>
            </w:tcBorders>
            <w:vAlign w:val="center"/>
          </w:tcPr>
          <w:p w14:paraId="4F1D2E5B">
            <w:pPr>
              <w:tabs>
                <w:tab w:val="left" w:pos="611"/>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响应文件</w:t>
            </w:r>
            <w:r>
              <w:rPr>
                <w:rFonts w:hint="eastAsia" w:ascii="宋体" w:hAnsi="宋体" w:eastAsia="宋体" w:cs="宋体"/>
                <w:bCs/>
                <w:color w:val="auto"/>
                <w:sz w:val="21"/>
                <w:szCs w:val="21"/>
                <w:highlight w:val="none"/>
              </w:rPr>
              <w:t>的递交</w:t>
            </w:r>
          </w:p>
        </w:tc>
        <w:tc>
          <w:tcPr>
            <w:tcW w:w="6711" w:type="dxa"/>
            <w:tcBorders>
              <w:top w:val="single" w:color="auto" w:sz="4" w:space="0"/>
              <w:left w:val="single" w:color="auto" w:sz="4" w:space="0"/>
              <w:bottom w:val="single" w:color="auto" w:sz="4" w:space="0"/>
              <w:right w:val="single" w:color="auto" w:sz="4" w:space="0"/>
            </w:tcBorders>
            <w:vAlign w:val="center"/>
          </w:tcPr>
          <w:p w14:paraId="3BF5975C">
            <w:pPr>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首次</w:t>
            </w:r>
            <w:r>
              <w:rPr>
                <w:rFonts w:hint="eastAsia" w:ascii="宋体" w:hAnsi="宋体" w:eastAsia="宋体" w:cs="宋体"/>
                <w:color w:val="auto"/>
                <w:sz w:val="21"/>
                <w:szCs w:val="21"/>
                <w:highlight w:val="none"/>
              </w:rPr>
              <w:t>递交响应文件的截止时间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北京时间，</w:t>
            </w:r>
            <w:r>
              <w:rPr>
                <w:rFonts w:hint="eastAsia" w:ascii="宋体" w:hAnsi="宋体" w:eastAsia="宋体" w:cs="宋体"/>
                <w:color w:val="auto"/>
                <w:sz w:val="21"/>
                <w:szCs w:val="21"/>
                <w:highlight w:val="none"/>
                <w:lang w:val="en-US" w:eastAsia="zh-CN"/>
              </w:rPr>
              <w:t>以系统时间为准）。</w:t>
            </w:r>
          </w:p>
          <w:p w14:paraId="7DA66739">
            <w:pPr>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递交响应文件地点：请登录云南省政府采购电子交易平台（政采云）投标客户端投标。</w:t>
            </w:r>
          </w:p>
          <w:p w14:paraId="1994E715">
            <w:pPr>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注：（1）须在响应文件递交截止时间前完成所有电子响应文件的上传，响应文件递交截止时间前未完成文件上传的，视为撤回响应文件。</w:t>
            </w:r>
          </w:p>
          <w:p w14:paraId="21762C1F">
            <w:pPr>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（2）供应商须下载投标（响应）客户端，通过客户端编制投标（响应）文件，并线上递交。投标客户端下载路径：https://market.zcygov.cn/appli</w:t>
            </w:r>
            <w:r>
              <w:rPr>
                <w:rFonts w:hint="eastAsia" w:ascii="宋体" w:hAnsi="宋体" w:cs="宋体"/>
                <w:color w:val="auto"/>
                <w:sz w:val="21"/>
                <w:szCs w:val="21"/>
                <w:highlight w:val="none"/>
                <w:lang w:val="en-US" w:eastAsia="zh-CN"/>
              </w:rPr>
              <w:t>CA</w:t>
            </w:r>
            <w:r>
              <w:rPr>
                <w:rFonts w:hint="eastAsia" w:ascii="宋体" w:hAnsi="宋体" w:eastAsia="宋体" w:cs="宋体"/>
                <w:color w:val="auto"/>
                <w:sz w:val="21"/>
                <w:szCs w:val="21"/>
                <w:highlight w:val="none"/>
                <w:lang w:val="en-US" w:eastAsia="zh-CN"/>
              </w:rPr>
              <w:t>tion-market/#/download/list。</w:t>
            </w:r>
          </w:p>
          <w:p w14:paraId="4FF2CF58">
            <w:pPr>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（3）开</w:t>
            </w:r>
            <w:r>
              <w:rPr>
                <w:rFonts w:hint="eastAsia" w:ascii="宋体" w:hAnsi="宋体" w:cs="宋体"/>
                <w:color w:val="auto"/>
                <w:sz w:val="21"/>
                <w:szCs w:val="21"/>
                <w:highlight w:val="none"/>
                <w:lang w:val="en-US" w:eastAsia="zh-CN"/>
              </w:rPr>
              <w:t>评审</w:t>
            </w:r>
            <w:r>
              <w:rPr>
                <w:rFonts w:hint="eastAsia" w:ascii="宋体" w:hAnsi="宋体" w:eastAsia="宋体" w:cs="宋体"/>
                <w:color w:val="auto"/>
                <w:sz w:val="21"/>
                <w:szCs w:val="21"/>
                <w:highlight w:val="none"/>
                <w:lang w:val="en-US" w:eastAsia="zh-CN"/>
              </w:rPr>
              <w:t>。供应商须在项目指定的开标时间前登录政府采购电子交易平台，并在规定时间内完成解密。如供应商因自身原因无法在规定时间内解密，自行承担后果（如：设备故障、浏览器故障、未安装相关驱动、网络故障、加密</w:t>
            </w:r>
            <w:r>
              <w:rPr>
                <w:rFonts w:hint="eastAsia" w:ascii="宋体" w:hAnsi="宋体" w:cs="宋体"/>
                <w:color w:val="auto"/>
                <w:sz w:val="21"/>
                <w:szCs w:val="21"/>
                <w:highlight w:val="none"/>
                <w:lang w:val="en-US" w:eastAsia="zh-CN"/>
              </w:rPr>
              <w:t>CA</w:t>
            </w:r>
            <w:r>
              <w:rPr>
                <w:rFonts w:hint="eastAsia" w:ascii="宋体" w:hAnsi="宋体" w:eastAsia="宋体" w:cs="宋体"/>
                <w:color w:val="auto"/>
                <w:sz w:val="21"/>
                <w:szCs w:val="21"/>
                <w:highlight w:val="none"/>
                <w:lang w:val="en-US" w:eastAsia="zh-CN"/>
              </w:rPr>
              <w:t>与解密</w:t>
            </w:r>
            <w:r>
              <w:rPr>
                <w:rFonts w:hint="eastAsia" w:ascii="宋体" w:hAnsi="宋体" w:cs="宋体"/>
                <w:color w:val="auto"/>
                <w:sz w:val="21"/>
                <w:szCs w:val="21"/>
                <w:highlight w:val="none"/>
                <w:lang w:val="en-US" w:eastAsia="zh-CN"/>
              </w:rPr>
              <w:t>CA</w:t>
            </w:r>
            <w:r>
              <w:rPr>
                <w:rFonts w:hint="eastAsia" w:ascii="宋体" w:hAnsi="宋体" w:eastAsia="宋体" w:cs="宋体"/>
                <w:color w:val="auto"/>
                <w:sz w:val="21"/>
                <w:szCs w:val="21"/>
                <w:highlight w:val="none"/>
                <w:lang w:val="en-US" w:eastAsia="zh-CN"/>
              </w:rPr>
              <w:t>不一致等）。操作路径：云南省政府采购电子交易平台－我的工作台－项目采购－开标</w:t>
            </w:r>
            <w:r>
              <w:rPr>
                <w:rFonts w:hint="eastAsia" w:ascii="宋体" w:hAnsi="宋体" w:cs="宋体"/>
                <w:color w:val="auto"/>
                <w:sz w:val="21"/>
                <w:szCs w:val="21"/>
                <w:highlight w:val="none"/>
                <w:lang w:val="en-US" w:eastAsia="zh-CN"/>
              </w:rPr>
              <w:t>评审</w:t>
            </w:r>
            <w:r>
              <w:rPr>
                <w:rFonts w:hint="eastAsia" w:ascii="宋体" w:hAnsi="宋体" w:eastAsia="宋体" w:cs="宋体"/>
                <w:color w:val="auto"/>
                <w:sz w:val="21"/>
                <w:szCs w:val="21"/>
                <w:highlight w:val="none"/>
                <w:lang w:val="en-US" w:eastAsia="zh-CN"/>
              </w:rPr>
              <w:t>－进入开标大厅。</w:t>
            </w:r>
          </w:p>
          <w:p w14:paraId="5B355CEC">
            <w:pPr>
              <w:keepNext w:val="0"/>
              <w:keepLines w:val="0"/>
              <w:pageBreakBefore w:val="0"/>
              <w:widowControl/>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（4）请参与本项目的潜在供应商自行配备政府采购云平台需要的音视频等设备，做好系统的调试工作，避免出现系统不能正常使用的情况。</w:t>
            </w:r>
          </w:p>
        </w:tc>
      </w:tr>
      <w:tr w14:paraId="453E4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692C9E4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3.7.6</w:t>
            </w:r>
          </w:p>
        </w:tc>
        <w:tc>
          <w:tcPr>
            <w:tcW w:w="1999" w:type="dxa"/>
            <w:tcBorders>
              <w:top w:val="single" w:color="auto" w:sz="4" w:space="0"/>
              <w:left w:val="single" w:color="auto" w:sz="4" w:space="0"/>
              <w:bottom w:val="single" w:color="auto" w:sz="4" w:space="0"/>
              <w:right w:val="single" w:color="auto" w:sz="4" w:space="0"/>
            </w:tcBorders>
            <w:vAlign w:val="center"/>
          </w:tcPr>
          <w:p w14:paraId="2FF7554D">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密封要求</w:t>
            </w:r>
          </w:p>
        </w:tc>
        <w:tc>
          <w:tcPr>
            <w:tcW w:w="6711" w:type="dxa"/>
            <w:tcBorders>
              <w:top w:val="single" w:color="auto" w:sz="4" w:space="0"/>
              <w:left w:val="single" w:color="auto" w:sz="4" w:space="0"/>
              <w:bottom w:val="single" w:color="auto" w:sz="4" w:space="0"/>
              <w:right w:val="single" w:color="auto" w:sz="4" w:space="0"/>
            </w:tcBorders>
            <w:vAlign w:val="center"/>
          </w:tcPr>
          <w:p w14:paraId="4CCC1BA3">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政采云电子投标客户端</w:t>
            </w:r>
            <w:r>
              <w:rPr>
                <w:rFonts w:hint="eastAsia" w:ascii="宋体" w:hAnsi="宋体" w:eastAsia="宋体" w:cs="宋体"/>
                <w:color w:val="auto"/>
                <w:sz w:val="21"/>
                <w:szCs w:val="21"/>
                <w:highlight w:val="none"/>
              </w:rPr>
              <w:t>提供数字证书（</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文件进行加密功能。</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对网上递交的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文件应加密，如果</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使用某个数字证书（</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）对</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文件进行了数字证书（</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）加密，需要在开标会上使用该数字证书（</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）进行解密，才能读取或导入</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文件，因供应商自身原因（</w:t>
            </w:r>
            <w:r>
              <w:rPr>
                <w:rFonts w:hint="eastAsia" w:ascii="宋体" w:hAnsi="宋体" w:cs="宋体"/>
                <w:color w:val="auto"/>
                <w:sz w:val="21"/>
                <w:szCs w:val="21"/>
                <w:highlight w:val="none"/>
                <w:lang w:eastAsia="zh-CN"/>
              </w:rPr>
              <w:t>CA</w:t>
            </w:r>
            <w:r>
              <w:rPr>
                <w:rFonts w:hint="eastAsia" w:ascii="宋体" w:hAnsi="宋体" w:eastAsia="宋体" w:cs="宋体"/>
                <w:color w:val="auto"/>
                <w:sz w:val="21"/>
                <w:szCs w:val="21"/>
                <w:highlight w:val="none"/>
              </w:rPr>
              <w:t xml:space="preserve"> 证书错误、过期、设备、网络、操作失误等）造成响应文件未解密的，该响应文件不予受理，不得进入后续评审，由此产</w:t>
            </w:r>
            <w:r>
              <w:rPr>
                <w:rFonts w:hint="eastAsia" w:ascii="宋体" w:hAnsi="宋体" w:cs="宋体"/>
                <w:color w:val="auto"/>
                <w:sz w:val="21"/>
                <w:szCs w:val="21"/>
                <w:highlight w:val="none"/>
                <w:lang w:eastAsia="zh-CN"/>
              </w:rPr>
              <w:t>生的</w:t>
            </w:r>
            <w:r>
              <w:rPr>
                <w:rFonts w:hint="eastAsia" w:ascii="宋体" w:hAnsi="宋体" w:eastAsia="宋体" w:cs="宋体"/>
                <w:color w:val="auto"/>
                <w:sz w:val="21"/>
                <w:szCs w:val="21"/>
                <w:highlight w:val="none"/>
              </w:rPr>
              <w:t>全部后果由供应商自行承担；因电子交易平台系统故障等非供应商原因造成未解密的除外。</w:t>
            </w:r>
          </w:p>
        </w:tc>
      </w:tr>
      <w:tr w14:paraId="6846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6ED686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1999" w:type="dxa"/>
            <w:tcBorders>
              <w:top w:val="single" w:color="auto" w:sz="4" w:space="0"/>
              <w:left w:val="single" w:color="auto" w:sz="4" w:space="0"/>
              <w:bottom w:val="single" w:color="auto" w:sz="4" w:space="0"/>
              <w:right w:val="single" w:color="auto" w:sz="4" w:space="0"/>
            </w:tcBorders>
            <w:vAlign w:val="center"/>
          </w:tcPr>
          <w:p w14:paraId="39CE710B">
            <w:pPr>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sz w:val="21"/>
                <w:szCs w:val="21"/>
                <w:highlight w:val="none"/>
              </w:rPr>
              <w:t>是否退还</w:t>
            </w:r>
            <w:r>
              <w:rPr>
                <w:rFonts w:hint="eastAsia" w:ascii="宋体" w:hAnsi="宋体" w:eastAsia="宋体" w:cs="宋体"/>
                <w:color w:val="auto"/>
                <w:sz w:val="21"/>
                <w:szCs w:val="21"/>
                <w:highlight w:val="none"/>
                <w:lang w:eastAsia="zh-CN"/>
              </w:rPr>
              <w:t>响应文件</w:t>
            </w:r>
          </w:p>
        </w:tc>
        <w:tc>
          <w:tcPr>
            <w:tcW w:w="6711" w:type="dxa"/>
            <w:tcBorders>
              <w:top w:val="single" w:color="auto" w:sz="4" w:space="0"/>
              <w:left w:val="single" w:color="auto" w:sz="4" w:space="0"/>
              <w:bottom w:val="single" w:color="auto" w:sz="4" w:space="0"/>
              <w:right w:val="single" w:color="auto" w:sz="4" w:space="0"/>
            </w:tcBorders>
            <w:vAlign w:val="center"/>
          </w:tcPr>
          <w:p w14:paraId="4D02A13B">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否</w:t>
            </w:r>
          </w:p>
        </w:tc>
      </w:tr>
      <w:tr w14:paraId="5491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3D703AE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1999" w:type="dxa"/>
            <w:tcBorders>
              <w:top w:val="single" w:color="auto" w:sz="4" w:space="0"/>
              <w:left w:val="single" w:color="auto" w:sz="4" w:space="0"/>
              <w:bottom w:val="single" w:color="auto" w:sz="4" w:space="0"/>
              <w:right w:val="single" w:color="auto" w:sz="4" w:space="0"/>
            </w:tcBorders>
            <w:vAlign w:val="center"/>
          </w:tcPr>
          <w:p w14:paraId="7D0832DB">
            <w:pPr>
              <w:pStyle w:val="18"/>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时间和地点</w:t>
            </w:r>
          </w:p>
        </w:tc>
        <w:tc>
          <w:tcPr>
            <w:tcW w:w="6711" w:type="dxa"/>
            <w:tcBorders>
              <w:top w:val="single" w:color="auto" w:sz="4" w:space="0"/>
              <w:left w:val="single" w:color="auto" w:sz="4" w:space="0"/>
              <w:bottom w:val="single" w:color="auto" w:sz="4" w:space="0"/>
              <w:right w:val="single" w:color="auto" w:sz="4" w:space="0"/>
            </w:tcBorders>
            <w:vAlign w:val="center"/>
          </w:tcPr>
          <w:p w14:paraId="25FC8E0A">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lang w:val="en-US" w:eastAsia="zh-CN"/>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北京时间，以系统时间为准</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747F35CD">
            <w:pPr>
              <w:pStyle w:val="39"/>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地点：云南省政府采购电子交易平台（政采云https://www.zcygov.cn/）</w:t>
            </w:r>
          </w:p>
        </w:tc>
      </w:tr>
      <w:tr w14:paraId="4F52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5BE24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1999" w:type="dxa"/>
            <w:tcBorders>
              <w:top w:val="single" w:color="auto" w:sz="4" w:space="0"/>
              <w:left w:val="single" w:color="auto" w:sz="4" w:space="0"/>
              <w:bottom w:val="single" w:color="auto" w:sz="4" w:space="0"/>
              <w:right w:val="single" w:color="auto" w:sz="4" w:space="0"/>
            </w:tcBorders>
            <w:vAlign w:val="center"/>
          </w:tcPr>
          <w:p w14:paraId="46AF10D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程序</w:t>
            </w:r>
          </w:p>
        </w:tc>
        <w:tc>
          <w:tcPr>
            <w:tcW w:w="6711" w:type="dxa"/>
            <w:tcBorders>
              <w:top w:val="single" w:color="auto" w:sz="4" w:space="0"/>
              <w:left w:val="single" w:color="auto" w:sz="4" w:space="0"/>
              <w:bottom w:val="single" w:color="auto" w:sz="4" w:space="0"/>
              <w:right w:val="single" w:color="auto" w:sz="4" w:space="0"/>
            </w:tcBorders>
            <w:vAlign w:val="center"/>
          </w:tcPr>
          <w:p w14:paraId="1429175E">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（1）采购人按本供应商须知中所规定的时间和地点召开竞争性磋商会议，要求所有</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（政府采购云平台</w:t>
            </w:r>
            <w:r>
              <w:rPr>
                <w:rFonts w:hint="eastAsia" w:ascii="宋体" w:hAnsi="宋体" w:eastAsia="宋体" w:cs="宋体"/>
                <w:color w:val="auto"/>
                <w:sz w:val="21"/>
                <w:szCs w:val="21"/>
                <w:highlight w:val="none"/>
                <w:lang w:val="en-US" w:eastAsia="zh-CN"/>
              </w:rPr>
              <w:t>远程异地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参加竞争性磋商会议。</w:t>
            </w:r>
          </w:p>
          <w:p w14:paraId="42AB6F0E">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（2）竞争性磋商会议程序</w:t>
            </w:r>
          </w:p>
          <w:p w14:paraId="2B14A4CB">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A.会议开始主持人宣布开标纪律、介绍参会人员；</w:t>
            </w:r>
          </w:p>
          <w:p w14:paraId="7888981B">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B.进入</w:t>
            </w:r>
            <w:r>
              <w:rPr>
                <w:rFonts w:hint="eastAsia" w:ascii="宋体" w:hAnsi="宋体" w:cs="宋体"/>
                <w:color w:val="auto"/>
                <w:sz w:val="21"/>
                <w:szCs w:val="21"/>
                <w:highlight w:val="none"/>
                <w:lang w:val="en-US" w:eastAsia="zh-CN"/>
              </w:rPr>
              <w:t>评审</w:t>
            </w:r>
            <w:r>
              <w:rPr>
                <w:rFonts w:hint="eastAsia" w:ascii="宋体" w:hAnsi="宋体" w:eastAsia="宋体" w:cs="宋体"/>
                <w:color w:val="auto"/>
                <w:sz w:val="21"/>
                <w:szCs w:val="21"/>
                <w:highlight w:val="none"/>
              </w:rPr>
              <w:t>室，采购人代表介绍本次项目的概况、磋商要求、注意事项；</w:t>
            </w:r>
          </w:p>
          <w:p w14:paraId="2286C7CA">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C</w:t>
            </w:r>
            <w:r>
              <w:rPr>
                <w:rFonts w:hint="eastAsia" w:ascii="宋体" w:hAnsi="宋体" w:eastAsia="宋体" w:cs="宋体"/>
                <w:color w:val="auto"/>
                <w:sz w:val="21"/>
                <w:szCs w:val="21"/>
                <w:highlight w:val="none"/>
              </w:rPr>
              <w:t>.磋商小组对各磋商响应文件进行资格审查及初步评审；</w:t>
            </w:r>
          </w:p>
          <w:p w14:paraId="524F02B5">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D</w:t>
            </w:r>
            <w:r>
              <w:rPr>
                <w:rFonts w:hint="eastAsia" w:ascii="宋体" w:hAnsi="宋体" w:eastAsia="宋体" w:cs="宋体"/>
                <w:color w:val="auto"/>
                <w:sz w:val="21"/>
                <w:szCs w:val="21"/>
                <w:highlight w:val="none"/>
              </w:rPr>
              <w:t>.磋商小组依次与通过资格审查及初步评审的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进行磋商，</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进行二次报价；</w:t>
            </w:r>
          </w:p>
          <w:p w14:paraId="2ABE28C6">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E. 根据</w:t>
            </w:r>
            <w:r>
              <w:rPr>
                <w:rFonts w:hint="eastAsia" w:ascii="宋体" w:hAnsi="宋体" w:eastAsia="宋体" w:cs="宋体"/>
                <w:color w:val="auto"/>
                <w:sz w:val="21"/>
                <w:szCs w:val="21"/>
                <w:highlight w:val="none"/>
              </w:rPr>
              <w:t>磋商需要，</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需对磋商小组提出的问题进行陈述并承诺；</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拒不</w:t>
            </w:r>
            <w:r>
              <w:rPr>
                <w:rFonts w:hint="eastAsia" w:ascii="宋体" w:hAnsi="宋体" w:cs="宋体"/>
                <w:color w:val="auto"/>
                <w:sz w:val="21"/>
                <w:szCs w:val="21"/>
                <w:highlight w:val="none"/>
                <w:lang w:val="en-US" w:eastAsia="zh-CN"/>
              </w:rPr>
              <w:t>陈述</w:t>
            </w:r>
            <w:r>
              <w:rPr>
                <w:rFonts w:hint="eastAsia" w:ascii="宋体" w:hAnsi="宋体" w:eastAsia="宋体" w:cs="宋体"/>
                <w:color w:val="auto"/>
                <w:sz w:val="21"/>
                <w:szCs w:val="21"/>
                <w:highlight w:val="none"/>
              </w:rPr>
              <w:t>的，磋商小组可取消其</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资格。</w:t>
            </w:r>
          </w:p>
          <w:p w14:paraId="5BC276B0">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F</w:t>
            </w:r>
            <w:r>
              <w:rPr>
                <w:rFonts w:hint="eastAsia" w:ascii="宋体" w:hAnsi="宋体" w:eastAsia="宋体" w:cs="宋体"/>
                <w:color w:val="auto"/>
                <w:sz w:val="21"/>
                <w:szCs w:val="21"/>
                <w:highlight w:val="none"/>
              </w:rPr>
              <w:t>.磋商小组依次</w:t>
            </w:r>
            <w:r>
              <w:rPr>
                <w:rFonts w:hint="eastAsia" w:ascii="宋体" w:hAnsi="宋体" w:cs="宋体"/>
                <w:color w:val="auto"/>
                <w:sz w:val="21"/>
                <w:szCs w:val="21"/>
                <w:highlight w:val="none"/>
                <w:lang w:eastAsia="zh-CN"/>
              </w:rPr>
              <w:t>对</w:t>
            </w:r>
            <w:r>
              <w:rPr>
                <w:rFonts w:hint="eastAsia" w:ascii="宋体" w:hAnsi="宋体" w:eastAsia="宋体" w:cs="宋体"/>
                <w:color w:val="auto"/>
                <w:sz w:val="21"/>
                <w:szCs w:val="21"/>
                <w:highlight w:val="none"/>
              </w:rPr>
              <w:t>通过资格审查及初步评审的</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进行详细评审；</w:t>
            </w:r>
          </w:p>
          <w:p w14:paraId="10E58844">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H</w:t>
            </w:r>
            <w:r>
              <w:rPr>
                <w:rFonts w:hint="eastAsia" w:ascii="宋体" w:hAnsi="宋体" w:eastAsia="宋体" w:cs="宋体"/>
                <w:color w:val="auto"/>
                <w:sz w:val="21"/>
                <w:szCs w:val="21"/>
                <w:highlight w:val="none"/>
              </w:rPr>
              <w:t>.磋商小组按照竞争性磋商文件确定的评分办法及评审标准推荐成交候选供应商。</w:t>
            </w:r>
          </w:p>
          <w:p w14:paraId="0AC31FA7">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I</w:t>
            </w:r>
            <w:r>
              <w:rPr>
                <w:rFonts w:hint="eastAsia" w:ascii="宋体" w:hAnsi="宋体" w:eastAsia="宋体" w:cs="宋体"/>
                <w:color w:val="auto"/>
                <w:sz w:val="21"/>
                <w:szCs w:val="21"/>
                <w:highlight w:val="none"/>
              </w:rPr>
              <w:t>.磋商小组出具磋商报告，磋商结束。</w:t>
            </w:r>
          </w:p>
          <w:p w14:paraId="176ECAFE">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（3）代理机构对磋商过程进行记录并由相关人员签字确认，存档备查。</w:t>
            </w:r>
          </w:p>
        </w:tc>
      </w:tr>
      <w:tr w14:paraId="720B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120D35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1999" w:type="dxa"/>
            <w:tcBorders>
              <w:top w:val="single" w:color="auto" w:sz="4" w:space="0"/>
              <w:left w:val="single" w:color="auto" w:sz="4" w:space="0"/>
              <w:bottom w:val="single" w:color="auto" w:sz="4" w:space="0"/>
              <w:right w:val="single" w:color="auto" w:sz="4" w:space="0"/>
            </w:tcBorders>
            <w:vAlign w:val="center"/>
          </w:tcPr>
          <w:p w14:paraId="1EF363E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磋商小组</w:t>
            </w:r>
            <w:r>
              <w:rPr>
                <w:rFonts w:hint="eastAsia" w:ascii="宋体" w:hAnsi="宋体" w:eastAsia="宋体" w:cs="宋体"/>
                <w:color w:val="auto"/>
                <w:sz w:val="21"/>
                <w:szCs w:val="21"/>
                <w:highlight w:val="none"/>
              </w:rPr>
              <w:t>的组建</w:t>
            </w:r>
          </w:p>
        </w:tc>
        <w:tc>
          <w:tcPr>
            <w:tcW w:w="6711" w:type="dxa"/>
            <w:tcBorders>
              <w:top w:val="single" w:color="auto" w:sz="4" w:space="0"/>
              <w:left w:val="single" w:color="auto" w:sz="4" w:space="0"/>
              <w:bottom w:val="single" w:color="auto" w:sz="4" w:space="0"/>
              <w:right w:val="single" w:color="auto" w:sz="4" w:space="0"/>
            </w:tcBorders>
            <w:vAlign w:val="center"/>
          </w:tcPr>
          <w:p w14:paraId="40295E2C">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磋商小组</w:t>
            </w:r>
            <w:r>
              <w:rPr>
                <w:rFonts w:hint="eastAsia" w:ascii="宋体" w:hAnsi="宋体" w:cs="宋体"/>
                <w:b w:val="0"/>
                <w:bCs w:val="0"/>
                <w:color w:val="auto"/>
                <w:sz w:val="21"/>
                <w:szCs w:val="21"/>
                <w:highlight w:val="none"/>
                <w:lang w:val="en-US" w:eastAsia="zh-CN"/>
              </w:rPr>
              <w:t>构成：</w:t>
            </w:r>
            <w:r>
              <w:rPr>
                <w:rFonts w:hint="eastAsia" w:ascii="宋体" w:hAnsi="宋体" w:eastAsia="宋体" w:cs="宋体"/>
                <w:b w:val="0"/>
                <w:bCs w:val="0"/>
                <w:color w:val="auto"/>
                <w:sz w:val="21"/>
                <w:szCs w:val="21"/>
                <w:highlight w:val="none"/>
              </w:rPr>
              <w:t>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19E5574A">
            <w:p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磋商小组</w:t>
            </w:r>
            <w:r>
              <w:rPr>
                <w:rFonts w:hint="eastAsia" w:ascii="宋体" w:hAnsi="宋体" w:eastAsia="宋体" w:cs="宋体"/>
                <w:color w:val="auto"/>
                <w:sz w:val="21"/>
                <w:szCs w:val="21"/>
                <w:highlight w:val="none"/>
              </w:rPr>
              <w:t>确定方式：采购人代表</w:t>
            </w:r>
            <w:r>
              <w:rPr>
                <w:rFonts w:hint="eastAsia" w:ascii="宋体" w:hAnsi="宋体" w:eastAsia="宋体" w:cs="宋体"/>
                <w:color w:val="auto"/>
                <w:sz w:val="21"/>
                <w:szCs w:val="21"/>
                <w:highlight w:val="none"/>
                <w:lang w:val="en-US" w:eastAsia="zh-CN"/>
              </w:rPr>
              <w:t>由采购人授权委派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评审专家</w:t>
            </w:r>
            <w:r>
              <w:rPr>
                <w:rFonts w:hint="eastAsia" w:ascii="宋体" w:hAnsi="宋体" w:eastAsia="宋体" w:cs="宋体"/>
                <w:color w:val="auto"/>
                <w:sz w:val="21"/>
                <w:szCs w:val="21"/>
                <w:highlight w:val="none"/>
                <w:lang w:val="en-US" w:eastAsia="zh-CN"/>
              </w:rPr>
              <w:t>从</w:t>
            </w:r>
            <w:r>
              <w:rPr>
                <w:rFonts w:hint="eastAsia" w:ascii="宋体" w:hAnsi="宋体" w:eastAsia="宋体" w:cs="宋体"/>
                <w:color w:val="auto"/>
                <w:sz w:val="21"/>
                <w:szCs w:val="21"/>
                <w:highlight w:val="none"/>
              </w:rPr>
              <w:t>云南省政府采购评审专家库中随机抽取。</w:t>
            </w:r>
          </w:p>
        </w:tc>
      </w:tr>
      <w:tr w14:paraId="39B4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6004EA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1999" w:type="dxa"/>
            <w:tcBorders>
              <w:top w:val="single" w:color="auto" w:sz="4" w:space="0"/>
              <w:left w:val="single" w:color="auto" w:sz="4" w:space="0"/>
              <w:bottom w:val="single" w:color="auto" w:sz="4" w:space="0"/>
              <w:right w:val="single" w:color="auto" w:sz="4" w:space="0"/>
            </w:tcBorders>
            <w:vAlign w:val="center"/>
          </w:tcPr>
          <w:p w14:paraId="775A9615">
            <w:pPr>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评审办法</w:t>
            </w:r>
          </w:p>
        </w:tc>
        <w:tc>
          <w:tcPr>
            <w:tcW w:w="6711" w:type="dxa"/>
            <w:tcBorders>
              <w:top w:val="single" w:color="auto" w:sz="4" w:space="0"/>
              <w:left w:val="single" w:color="auto" w:sz="4" w:space="0"/>
              <w:bottom w:val="single" w:color="auto" w:sz="4" w:space="0"/>
              <w:right w:val="single" w:color="auto" w:sz="4" w:space="0"/>
            </w:tcBorders>
            <w:vAlign w:val="center"/>
          </w:tcPr>
          <w:p w14:paraId="3587FA11">
            <w:pPr>
              <w:tabs>
                <w:tab w:val="left" w:pos="421"/>
              </w:tabs>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法</w:t>
            </w:r>
          </w:p>
        </w:tc>
      </w:tr>
      <w:tr w14:paraId="5C839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ABF98B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1999" w:type="dxa"/>
            <w:tcBorders>
              <w:top w:val="single" w:color="auto" w:sz="4" w:space="0"/>
              <w:left w:val="single" w:color="auto" w:sz="4" w:space="0"/>
              <w:bottom w:val="single" w:color="auto" w:sz="4" w:space="0"/>
              <w:right w:val="single" w:color="auto" w:sz="4" w:space="0"/>
            </w:tcBorders>
            <w:vAlign w:val="center"/>
          </w:tcPr>
          <w:p w14:paraId="00CD51F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确定成交候选人</w:t>
            </w:r>
          </w:p>
        </w:tc>
        <w:tc>
          <w:tcPr>
            <w:tcW w:w="6711" w:type="dxa"/>
            <w:tcBorders>
              <w:top w:val="single" w:color="auto" w:sz="4" w:space="0"/>
              <w:left w:val="single" w:color="auto" w:sz="4" w:space="0"/>
              <w:bottom w:val="single" w:color="auto" w:sz="4" w:space="0"/>
              <w:right w:val="single" w:color="auto" w:sz="4" w:space="0"/>
            </w:tcBorders>
            <w:vAlign w:val="center"/>
          </w:tcPr>
          <w:p w14:paraId="2037211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否；推荐的成交候选供应商</w:t>
            </w:r>
            <w:r>
              <w:rPr>
                <w:rFonts w:hint="eastAsia" w:ascii="宋体" w:hAnsi="宋体" w:eastAsia="宋体" w:cs="宋体"/>
                <w:color w:val="auto"/>
                <w:sz w:val="21"/>
                <w:szCs w:val="21"/>
                <w:highlight w:val="none"/>
                <w:lang w:val="en-US" w:eastAsia="zh-CN"/>
              </w:rPr>
              <w:t>数量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按照</w:t>
            </w:r>
            <w:r>
              <w:rPr>
                <w:rFonts w:hint="eastAsia" w:ascii="宋体" w:hAnsi="宋体" w:cs="宋体"/>
                <w:color w:val="auto"/>
                <w:sz w:val="21"/>
                <w:szCs w:val="21"/>
                <w:highlight w:val="none"/>
                <w:lang w:eastAsia="zh-CN"/>
              </w:rPr>
              <w:t>评审办法</w:t>
            </w:r>
            <w:r>
              <w:rPr>
                <w:rFonts w:hint="eastAsia" w:ascii="宋体" w:hAnsi="宋体" w:eastAsia="宋体" w:cs="宋体"/>
                <w:color w:val="auto"/>
                <w:sz w:val="21"/>
                <w:szCs w:val="21"/>
                <w:highlight w:val="none"/>
              </w:rPr>
              <w:t>的打分结果，并按最后得分由高至低的顺序推荐</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3名成交候选供应商。</w:t>
            </w:r>
          </w:p>
        </w:tc>
      </w:tr>
      <w:tr w14:paraId="4B79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7853587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rPr>
              <w:t>7.</w:t>
            </w:r>
            <w:r>
              <w:rPr>
                <w:rFonts w:hint="eastAsia" w:ascii="宋体" w:hAnsi="宋体" w:cs="宋体"/>
                <w:b w:val="0"/>
                <w:bCs/>
                <w:color w:val="auto"/>
                <w:sz w:val="21"/>
                <w:szCs w:val="21"/>
                <w:highlight w:val="none"/>
                <w:lang w:val="en-US" w:eastAsia="zh-CN"/>
              </w:rPr>
              <w:t>4</w:t>
            </w:r>
          </w:p>
        </w:tc>
        <w:tc>
          <w:tcPr>
            <w:tcW w:w="1999" w:type="dxa"/>
            <w:tcBorders>
              <w:top w:val="single" w:color="auto" w:sz="4" w:space="0"/>
              <w:left w:val="single" w:color="auto" w:sz="4" w:space="0"/>
              <w:bottom w:val="single" w:color="auto" w:sz="4" w:space="0"/>
              <w:right w:val="single" w:color="auto" w:sz="4" w:space="0"/>
            </w:tcBorders>
            <w:vAlign w:val="center"/>
          </w:tcPr>
          <w:p w14:paraId="359FB66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711" w:type="dxa"/>
            <w:tcBorders>
              <w:top w:val="single" w:color="auto" w:sz="4" w:space="0"/>
              <w:left w:val="single" w:color="auto" w:sz="4" w:space="0"/>
              <w:bottom w:val="single" w:color="auto" w:sz="4" w:space="0"/>
              <w:right w:val="single" w:color="auto" w:sz="4" w:space="0"/>
            </w:tcBorders>
            <w:vAlign w:val="center"/>
          </w:tcPr>
          <w:p w14:paraId="3874052D">
            <w:pPr>
              <w:pStyle w:val="18"/>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履约保证金的形式：</w:t>
            </w:r>
            <w:r>
              <w:rPr>
                <w:rFonts w:hint="eastAsia" w:ascii="宋体" w:hAnsi="宋体" w:eastAsia="宋体" w:cs="宋体"/>
                <w:color w:val="auto"/>
                <w:sz w:val="21"/>
                <w:szCs w:val="21"/>
                <w:highlight w:val="none"/>
                <w:u w:val="none"/>
              </w:rPr>
              <w:t>银行转账、银行保函、担保或保证保险</w:t>
            </w:r>
          </w:p>
          <w:p w14:paraId="361F080A">
            <w:pPr>
              <w:pStyle w:val="18"/>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rPr>
              <w:t>履约保证金的金额：</w:t>
            </w:r>
            <w:r>
              <w:rPr>
                <w:rFonts w:hint="eastAsia" w:hAnsi="宋体" w:cs="宋体"/>
                <w:color w:val="auto"/>
                <w:sz w:val="21"/>
                <w:szCs w:val="21"/>
                <w:highlight w:val="none"/>
                <w:u w:val="none"/>
                <w:lang w:val="en-US" w:eastAsia="zh-CN"/>
              </w:rPr>
              <w:t>合同签订时由双方约定</w:t>
            </w:r>
          </w:p>
        </w:tc>
      </w:tr>
      <w:tr w14:paraId="722F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0BB0DD3C">
            <w:pPr>
              <w:spacing w:line="360" w:lineRule="auto"/>
              <w:jc w:val="center"/>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9.6</w:t>
            </w:r>
          </w:p>
        </w:tc>
        <w:tc>
          <w:tcPr>
            <w:tcW w:w="1999" w:type="dxa"/>
            <w:tcBorders>
              <w:top w:val="single" w:color="auto" w:sz="4" w:space="0"/>
              <w:left w:val="single" w:color="auto" w:sz="4" w:space="0"/>
              <w:bottom w:val="single" w:color="auto" w:sz="4" w:space="0"/>
              <w:right w:val="single" w:color="auto" w:sz="4" w:space="0"/>
            </w:tcBorders>
            <w:vAlign w:val="center"/>
          </w:tcPr>
          <w:p w14:paraId="5DCF5B3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监督</w:t>
            </w:r>
          </w:p>
        </w:tc>
        <w:tc>
          <w:tcPr>
            <w:tcW w:w="6711" w:type="dxa"/>
            <w:tcBorders>
              <w:top w:val="single" w:color="auto" w:sz="4" w:space="0"/>
              <w:left w:val="single" w:color="auto" w:sz="4" w:space="0"/>
              <w:bottom w:val="single" w:color="auto" w:sz="4" w:space="0"/>
              <w:right w:val="single" w:color="auto" w:sz="4" w:space="0"/>
            </w:tcBorders>
            <w:vAlign w:val="center"/>
          </w:tcPr>
          <w:p w14:paraId="5CF44482">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名称：红河县财政局政府采购管理股</w:t>
            </w:r>
          </w:p>
          <w:p w14:paraId="220EBA1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地址：云南省红河州红河县财政局</w:t>
            </w:r>
          </w:p>
          <w:p w14:paraId="3855835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联系方式：0873-4622447</w:t>
            </w:r>
          </w:p>
        </w:tc>
      </w:tr>
      <w:tr w14:paraId="06B4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216AEFB0">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cs="宋体"/>
                <w:bCs/>
                <w:color w:val="auto"/>
                <w:sz w:val="21"/>
                <w:szCs w:val="21"/>
                <w:highlight w:val="none"/>
                <w:lang w:val="en-US" w:eastAsia="zh-CN"/>
              </w:rPr>
              <w:t>0</w:t>
            </w:r>
          </w:p>
        </w:tc>
        <w:tc>
          <w:tcPr>
            <w:tcW w:w="8710" w:type="dxa"/>
            <w:gridSpan w:val="2"/>
            <w:tcBorders>
              <w:top w:val="single" w:color="auto" w:sz="4" w:space="0"/>
              <w:left w:val="single" w:color="auto" w:sz="4" w:space="0"/>
              <w:bottom w:val="single" w:color="auto" w:sz="4" w:space="0"/>
              <w:right w:val="single" w:color="auto" w:sz="4" w:space="0"/>
            </w:tcBorders>
            <w:vAlign w:val="center"/>
          </w:tcPr>
          <w:p w14:paraId="26A6F153">
            <w:pPr>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需要补充的其他内容</w:t>
            </w:r>
          </w:p>
        </w:tc>
      </w:tr>
      <w:tr w14:paraId="3254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vAlign w:val="center"/>
          </w:tcPr>
          <w:p w14:paraId="15FBABC3">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.1</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54DF407F">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leftChars="0" w:right="0" w:right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color w:val="auto"/>
                <w:kern w:val="0"/>
                <w:szCs w:val="21"/>
                <w:highlight w:val="none"/>
              </w:rPr>
              <w:t>类似项目</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44E6C78E">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leftChars="0" w:right="0" w:rightChars="0"/>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color w:val="auto"/>
                <w:kern w:val="0"/>
                <w:szCs w:val="21"/>
                <w:highlight w:val="none"/>
              </w:rPr>
              <w:t>类似项目是指：</w:t>
            </w:r>
            <w:r>
              <w:rPr>
                <w:rFonts w:hint="eastAsia" w:ascii="宋体" w:hAnsi="宋体"/>
                <w:color w:val="auto"/>
                <w:kern w:val="0"/>
                <w:szCs w:val="21"/>
                <w:highlight w:val="none"/>
                <w:u w:val="none"/>
                <w:lang w:val="en-US" w:eastAsia="zh-CN"/>
              </w:rPr>
              <w:t>水利水电工程</w:t>
            </w:r>
            <w:r>
              <w:rPr>
                <w:rFonts w:hint="eastAsia" w:ascii="宋体" w:hAnsi="宋体"/>
                <w:color w:val="auto"/>
                <w:kern w:val="0"/>
                <w:szCs w:val="21"/>
                <w:highlight w:val="none"/>
                <w:u w:val="none"/>
              </w:rPr>
              <w:t>施工项目</w:t>
            </w:r>
            <w:r>
              <w:rPr>
                <w:rFonts w:hint="default" w:ascii="宋体" w:hAnsi="宋体"/>
                <w:color w:val="auto"/>
                <w:kern w:val="0"/>
                <w:szCs w:val="21"/>
                <w:highlight w:val="none"/>
                <w:u w:val="single"/>
              </w:rPr>
              <w:fldChar w:fldCharType="begin"/>
            </w:r>
            <w:r>
              <w:rPr>
                <w:rFonts w:hint="default" w:ascii="宋体" w:hAnsi="宋体"/>
                <w:color w:val="auto"/>
                <w:kern w:val="0"/>
                <w:szCs w:val="21"/>
                <w:highlight w:val="none"/>
                <w:u w:val="single"/>
              </w:rPr>
              <w:instrText xml:space="preserve"> AUTOTEXT  input196 \* MERGEFORMAT </w:instrText>
            </w:r>
            <w:r>
              <w:rPr>
                <w:rFonts w:hint="default" w:ascii="宋体" w:hAnsi="宋体"/>
                <w:color w:val="auto"/>
                <w:kern w:val="0"/>
                <w:szCs w:val="21"/>
                <w:highlight w:val="none"/>
                <w:u w:val="single"/>
              </w:rPr>
              <w:fldChar w:fldCharType="separate"/>
            </w:r>
            <w:r>
              <w:rPr>
                <w:rFonts w:hint="default" w:ascii="宋体" w:hAnsi="宋体"/>
                <w:color w:val="auto"/>
                <w:kern w:val="0"/>
                <w:szCs w:val="21"/>
                <w:highlight w:val="none"/>
                <w:u w:val="single"/>
              </w:rPr>
              <w:fldChar w:fldCharType="end"/>
            </w:r>
          </w:p>
        </w:tc>
      </w:tr>
      <w:tr w14:paraId="00B78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6B775B45">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10.2</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3F9D9A55">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leftChars="0" w:right="0" w:right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color w:val="auto"/>
                <w:kern w:val="0"/>
                <w:szCs w:val="21"/>
                <w:highlight w:val="none"/>
              </w:rPr>
              <w:t>近年完成的类似项目的年份要求</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68898DAB">
            <w:pPr>
              <w:keepNext w:val="0"/>
              <w:keepLines w:val="0"/>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leftChars="0" w:right="0" w:rightChars="0"/>
              <w:jc w:val="left"/>
              <w:textAlignment w:val="auto"/>
              <w:rPr>
                <w:rFonts w:hint="eastAsia" w:ascii="宋体" w:hAnsi="宋体" w:eastAsia="宋体" w:cs="Times New Roman"/>
                <w:color w:val="auto"/>
                <w:kern w:val="0"/>
                <w:sz w:val="21"/>
                <w:szCs w:val="21"/>
                <w:highlight w:val="none"/>
                <w:u w:val="single"/>
                <w:lang w:val="en-US" w:eastAsia="zh-CN" w:bidi="ar-SA"/>
              </w:rPr>
            </w:pPr>
            <w:r>
              <w:rPr>
                <w:rFonts w:hint="eastAsia" w:ascii="宋体" w:hAnsi="宋体" w:cs="宋体"/>
                <w:b w:val="0"/>
                <w:color w:val="auto"/>
                <w:sz w:val="21"/>
                <w:szCs w:val="20"/>
                <w:highlight w:val="none"/>
                <w:u w:val="none"/>
                <w:lang w:val="en-US" w:eastAsia="zh-CN"/>
              </w:rPr>
              <w:t>近</w:t>
            </w:r>
            <w:r>
              <w:rPr>
                <w:rFonts w:hint="default" w:ascii="宋体" w:hAnsi="宋体" w:eastAsia="宋体" w:cs="宋体"/>
                <w:b w:val="0"/>
                <w:color w:val="auto"/>
                <w:sz w:val="21"/>
                <w:szCs w:val="20"/>
                <w:highlight w:val="none"/>
                <w:u w:val="none"/>
              </w:rPr>
              <w:t>5</w:t>
            </w:r>
            <w:r>
              <w:rPr>
                <w:rFonts w:hint="default" w:ascii="宋体" w:hAnsi="宋体"/>
                <w:color w:val="auto"/>
                <w:kern w:val="0"/>
                <w:szCs w:val="21"/>
                <w:highlight w:val="none"/>
                <w:u w:val="none"/>
              </w:rPr>
              <w:fldChar w:fldCharType="begin"/>
            </w:r>
            <w:r>
              <w:rPr>
                <w:rFonts w:hint="default" w:ascii="宋体" w:hAnsi="宋体"/>
                <w:color w:val="auto"/>
                <w:kern w:val="0"/>
                <w:szCs w:val="21"/>
                <w:highlight w:val="none"/>
                <w:u w:val="none"/>
              </w:rPr>
              <w:instrText xml:space="preserve"> AUTOTEXT  input179 \* MERGEFORMAT </w:instrText>
            </w:r>
            <w:r>
              <w:rPr>
                <w:rFonts w:hint="default" w:ascii="宋体" w:hAnsi="宋体"/>
                <w:color w:val="auto"/>
                <w:kern w:val="0"/>
                <w:szCs w:val="21"/>
                <w:highlight w:val="none"/>
                <w:u w:val="none"/>
              </w:rPr>
              <w:fldChar w:fldCharType="separate"/>
            </w:r>
            <w:r>
              <w:rPr>
                <w:rFonts w:hint="default" w:ascii="宋体" w:hAnsi="宋体"/>
                <w:color w:val="auto"/>
                <w:kern w:val="0"/>
                <w:szCs w:val="21"/>
                <w:highlight w:val="none"/>
                <w:u w:val="none"/>
              </w:rPr>
              <w:fldChar w:fldCharType="end"/>
            </w:r>
            <w:r>
              <w:rPr>
                <w:rFonts w:hint="eastAsia" w:ascii="宋体" w:hAnsi="宋体"/>
                <w:color w:val="auto"/>
                <w:kern w:val="0"/>
                <w:szCs w:val="21"/>
                <w:highlight w:val="none"/>
                <w:u w:val="none"/>
              </w:rPr>
              <w:t>年</w:t>
            </w:r>
            <w:r>
              <w:rPr>
                <w:rFonts w:hint="eastAsia" w:ascii="宋体" w:hAnsi="宋体"/>
                <w:color w:val="auto"/>
                <w:kern w:val="0"/>
                <w:szCs w:val="21"/>
                <w:highlight w:val="none"/>
              </w:rPr>
              <w:t>，</w:t>
            </w:r>
            <w:r>
              <w:rPr>
                <w:rFonts w:hint="eastAsia" w:ascii="宋体" w:hAnsi="宋体" w:eastAsia="宋体" w:cs="宋体"/>
                <w:b w:val="0"/>
                <w:color w:val="auto"/>
                <w:sz w:val="21"/>
                <w:szCs w:val="20"/>
                <w:highlight w:val="none"/>
                <w:u w:val="none"/>
              </w:rPr>
              <w:t>202</w:t>
            </w:r>
            <w:r>
              <w:rPr>
                <w:rFonts w:hint="eastAsia" w:ascii="宋体" w:hAnsi="宋体" w:cs="宋体"/>
                <w:b w:val="0"/>
                <w:color w:val="auto"/>
                <w:sz w:val="21"/>
                <w:szCs w:val="20"/>
                <w:highlight w:val="none"/>
                <w:u w:val="none"/>
                <w:lang w:val="en-US" w:eastAsia="zh-CN"/>
              </w:rPr>
              <w:t>1</w:t>
            </w:r>
            <w:r>
              <w:rPr>
                <w:rFonts w:hint="eastAsia" w:ascii="宋体" w:hAnsi="宋体" w:eastAsia="宋体" w:cs="宋体"/>
                <w:b w:val="0"/>
                <w:color w:val="auto"/>
                <w:sz w:val="21"/>
                <w:szCs w:val="20"/>
                <w:highlight w:val="none"/>
                <w:u w:val="none"/>
              </w:rPr>
              <w:t>年</w:t>
            </w:r>
            <w:r>
              <w:rPr>
                <w:rFonts w:hint="eastAsia" w:ascii="宋体" w:hAnsi="宋体" w:cs="宋体"/>
                <w:b w:val="0"/>
                <w:color w:val="auto"/>
                <w:sz w:val="21"/>
                <w:szCs w:val="20"/>
                <w:highlight w:val="none"/>
                <w:u w:val="none"/>
                <w:lang w:val="en-US" w:eastAsia="zh-CN"/>
              </w:rPr>
              <w:t>9</w:t>
            </w:r>
            <w:r>
              <w:rPr>
                <w:rFonts w:hint="eastAsia" w:ascii="宋体" w:hAnsi="宋体" w:eastAsia="宋体" w:cs="宋体"/>
                <w:b w:val="0"/>
                <w:color w:val="auto"/>
                <w:sz w:val="21"/>
                <w:szCs w:val="20"/>
                <w:highlight w:val="none"/>
                <w:u w:val="none"/>
              </w:rPr>
              <w:t>月1日至今</w:t>
            </w:r>
            <w:r>
              <w:rPr>
                <w:rFonts w:hint="eastAsia" w:ascii="宋体" w:hAnsi="宋体" w:eastAsia="宋体" w:cs="宋体"/>
                <w:color w:val="auto"/>
                <w:kern w:val="0"/>
                <w:szCs w:val="21"/>
                <w:highlight w:val="none"/>
                <w:u w:val="none"/>
              </w:rPr>
              <w:fldChar w:fldCharType="begin"/>
            </w:r>
            <w:r>
              <w:rPr>
                <w:rFonts w:hint="eastAsia" w:ascii="宋体" w:hAnsi="宋体" w:eastAsia="宋体" w:cs="宋体"/>
                <w:color w:val="auto"/>
                <w:kern w:val="0"/>
                <w:szCs w:val="21"/>
                <w:highlight w:val="none"/>
                <w:u w:val="none"/>
              </w:rPr>
              <w:instrText xml:space="preserve"> AUTOTEXT  input180 \* MERGEFORMAT </w:instrText>
            </w:r>
            <w:r>
              <w:rPr>
                <w:rFonts w:hint="eastAsia" w:ascii="宋体" w:hAnsi="宋体" w:eastAsia="宋体" w:cs="宋体"/>
                <w:color w:val="auto"/>
                <w:kern w:val="0"/>
                <w:szCs w:val="21"/>
                <w:highlight w:val="none"/>
                <w:u w:val="none"/>
              </w:rPr>
              <w:fldChar w:fldCharType="separate"/>
            </w:r>
            <w:r>
              <w:rPr>
                <w:rFonts w:hint="eastAsia" w:ascii="宋体" w:hAnsi="宋体" w:eastAsia="宋体" w:cs="宋体"/>
                <w:color w:val="auto"/>
                <w:kern w:val="0"/>
                <w:szCs w:val="21"/>
                <w:highlight w:val="none"/>
                <w:u w:val="none"/>
              </w:rPr>
              <w:fldChar w:fldCharType="end"/>
            </w:r>
            <w:r>
              <w:rPr>
                <w:rFonts w:hint="eastAsia" w:ascii="宋体" w:hAnsi="宋体" w:eastAsia="宋体" w:cs="宋体"/>
                <w:color w:val="auto"/>
                <w:kern w:val="0"/>
                <w:szCs w:val="21"/>
                <w:highlight w:val="none"/>
                <w:u w:val="none"/>
              </w:rPr>
              <w:t>。</w:t>
            </w:r>
          </w:p>
        </w:tc>
      </w:tr>
      <w:tr w14:paraId="044C4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3D4CBF35">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p>
        </w:tc>
        <w:tc>
          <w:tcPr>
            <w:tcW w:w="1999" w:type="dxa"/>
            <w:tcBorders>
              <w:top w:val="single" w:color="auto" w:sz="4" w:space="0"/>
              <w:left w:val="single" w:color="auto" w:sz="4" w:space="0"/>
              <w:bottom w:val="single" w:color="auto" w:sz="4" w:space="0"/>
              <w:right w:val="single" w:color="auto" w:sz="4" w:space="0"/>
            </w:tcBorders>
            <w:vAlign w:val="center"/>
          </w:tcPr>
          <w:p w14:paraId="30B11906">
            <w:pPr>
              <w:spacing w:line="360" w:lineRule="auto"/>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政府采购活动</w:t>
            </w:r>
            <w:r>
              <w:rPr>
                <w:rFonts w:hint="eastAsia" w:ascii="宋体" w:hAnsi="宋体" w:eastAsia="宋体" w:cs="宋体"/>
                <w:color w:val="auto"/>
                <w:sz w:val="21"/>
                <w:szCs w:val="21"/>
                <w:highlight w:val="none"/>
              </w:rPr>
              <w:t>中串通</w:t>
            </w:r>
            <w:r>
              <w:rPr>
                <w:rFonts w:hint="eastAsia" w:ascii="宋体" w:hAnsi="宋体" w:cs="宋体"/>
                <w:color w:val="auto"/>
                <w:sz w:val="21"/>
                <w:szCs w:val="21"/>
                <w:highlight w:val="none"/>
                <w:lang w:val="en-US" w:eastAsia="zh-CN"/>
              </w:rPr>
              <w:t>参与磋商</w:t>
            </w:r>
            <w:r>
              <w:rPr>
                <w:rFonts w:hint="eastAsia" w:ascii="宋体" w:hAnsi="宋体" w:eastAsia="宋体" w:cs="宋体"/>
                <w:color w:val="auto"/>
                <w:sz w:val="21"/>
                <w:szCs w:val="21"/>
                <w:highlight w:val="none"/>
              </w:rPr>
              <w:t>行为认定和处理办法</w:t>
            </w:r>
          </w:p>
        </w:tc>
        <w:tc>
          <w:tcPr>
            <w:tcW w:w="6711" w:type="dxa"/>
            <w:tcBorders>
              <w:top w:val="single" w:color="auto" w:sz="4" w:space="0"/>
              <w:left w:val="single" w:color="auto" w:sz="4" w:space="0"/>
              <w:bottom w:val="single" w:color="auto" w:sz="4" w:space="0"/>
              <w:right w:val="single" w:color="auto" w:sz="4" w:space="0"/>
            </w:tcBorders>
            <w:vAlign w:val="center"/>
          </w:tcPr>
          <w:p w14:paraId="2244A63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不得相互恶意串通，不得与采购人、采购代理机构恶意串通。存在《中华人民共和国政府采购法实施条例》第七十四条所列恶意串通情形的，其响应文件按无效响应处理；已经成交的，成交无效。磋商小组应当及时将串通违法行为书面报告本级财政部门，相关供应商依照政府采购法律法规承担相应法律责任。</w:t>
            </w:r>
          </w:p>
        </w:tc>
      </w:tr>
      <w:tr w14:paraId="2FE1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59D4D38">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p>
        </w:tc>
        <w:tc>
          <w:tcPr>
            <w:tcW w:w="1999" w:type="dxa"/>
            <w:tcBorders>
              <w:top w:val="single" w:color="auto" w:sz="4" w:space="0"/>
              <w:left w:val="single" w:color="auto" w:sz="4" w:space="0"/>
              <w:bottom w:val="single" w:color="auto" w:sz="4" w:space="0"/>
              <w:right w:val="single" w:color="auto" w:sz="4" w:space="0"/>
            </w:tcBorders>
            <w:vAlign w:val="center"/>
          </w:tcPr>
          <w:p w14:paraId="3746E8A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落实政府采购政策</w:t>
            </w:r>
          </w:p>
        </w:tc>
        <w:tc>
          <w:tcPr>
            <w:tcW w:w="6711" w:type="dxa"/>
            <w:tcBorders>
              <w:top w:val="single" w:color="auto" w:sz="4" w:space="0"/>
              <w:left w:val="single" w:color="auto" w:sz="4" w:space="0"/>
              <w:bottom w:val="single" w:color="auto" w:sz="4" w:space="0"/>
              <w:right w:val="single" w:color="auto" w:sz="4" w:space="0"/>
            </w:tcBorders>
            <w:vAlign w:val="center"/>
          </w:tcPr>
          <w:p w14:paraId="6EB679D8">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执行政策文件</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财政部 工业和信息化部关于印发〈</w:t>
            </w:r>
            <w:r>
              <w:rPr>
                <w:rFonts w:hint="eastAsia" w:ascii="宋体" w:hAnsi="宋体" w:eastAsia="宋体" w:cs="宋体"/>
                <w:color w:val="auto"/>
                <w:kern w:val="0"/>
                <w:sz w:val="21"/>
                <w:szCs w:val="21"/>
                <w:highlight w:val="none"/>
              </w:rPr>
              <w:t>政府采购促进中小企业发展管理办法</w:t>
            </w:r>
            <w:r>
              <w:rPr>
                <w:rFonts w:hint="eastAsia" w:ascii="宋体" w:hAnsi="宋体" w:cs="宋体"/>
                <w:color w:val="auto"/>
                <w:kern w:val="0"/>
                <w:sz w:val="21"/>
                <w:szCs w:val="21"/>
                <w:highlight w:val="none"/>
                <w:lang w:val="en-US" w:eastAsia="zh-CN"/>
              </w:rPr>
              <w:t>〉的通知</w:t>
            </w:r>
            <w:r>
              <w:rPr>
                <w:rFonts w:hint="eastAsia" w:ascii="宋体" w:hAnsi="宋体" w:eastAsia="宋体" w:cs="宋体"/>
                <w:color w:val="auto"/>
                <w:kern w:val="0"/>
                <w:sz w:val="21"/>
                <w:szCs w:val="21"/>
                <w:highlight w:val="none"/>
              </w:rPr>
              <w:t>》（财库〔2020〕46号）、</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财政部关于进一步加大政府采购支持中小企业力度的通知</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（财库〔202</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19</w:t>
            </w:r>
            <w:r>
              <w:rPr>
                <w:rFonts w:hint="eastAsia" w:ascii="宋体" w:hAnsi="宋体" w:eastAsia="宋体" w:cs="宋体"/>
                <w:color w:val="auto"/>
                <w:kern w:val="0"/>
                <w:sz w:val="21"/>
                <w:szCs w:val="21"/>
                <w:highlight w:val="none"/>
              </w:rPr>
              <w:t>号）</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云南省财政厅 云南省工业和信息化厅关于落实政府采购促进中小企业发展政策意见的通知</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云财规</w:t>
            </w:r>
            <w:r>
              <w:rPr>
                <w:rFonts w:hint="eastAsia" w:ascii="宋体" w:hAnsi="宋体" w:eastAsia="宋体" w:cs="宋体"/>
                <w:color w:val="auto"/>
                <w:kern w:val="0"/>
                <w:sz w:val="21"/>
                <w:szCs w:val="21"/>
                <w:highlight w:val="none"/>
              </w:rPr>
              <w:t>〔202</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rPr>
              <w:t>号）</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云南省财政厅关于贯彻〈财政部关于进一步加大政府采购支持中小企业力度的通知〉的通知</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云财采</w:t>
            </w:r>
            <w:r>
              <w:rPr>
                <w:rFonts w:hint="eastAsia" w:ascii="宋体" w:hAnsi="宋体" w:eastAsia="宋体" w:cs="宋体"/>
                <w:color w:val="auto"/>
                <w:kern w:val="0"/>
                <w:sz w:val="21"/>
                <w:szCs w:val="21"/>
                <w:highlight w:val="none"/>
              </w:rPr>
              <w:t>〔202</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号）</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《财政部</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司法部关于政府采购支持监狱企业发展有关问题的通知》（财库〔2014〕68号）、《财政部</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民政部</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中国残疾人联合会关于促进残疾人就业政府采购政策的通知》（财库〔2017〕141号）。</w:t>
            </w:r>
          </w:p>
          <w:p w14:paraId="775B41CB">
            <w:pPr>
              <w:spacing w:line="360" w:lineRule="auto"/>
              <w:rPr>
                <w:rFonts w:hint="eastAsia" w:ascii="宋体" w:hAnsi="宋体" w:eastAsia="宋体" w:cs="宋体"/>
                <w:b/>
                <w:bCs/>
                <w:color w:val="auto"/>
                <w:spacing w:val="6"/>
                <w:sz w:val="21"/>
                <w:szCs w:val="21"/>
                <w:highlight w:val="none"/>
                <w:u w:val="single"/>
                <w:lang w:val="en-US" w:eastAsia="zh-CN"/>
              </w:rPr>
            </w:pPr>
            <w:r>
              <w:rPr>
                <w:rFonts w:hint="eastAsia" w:ascii="宋体" w:hAnsi="宋体" w:cs="宋体"/>
                <w:b w:val="0"/>
                <w:bCs w:val="0"/>
                <w:color w:val="auto"/>
                <w:spacing w:val="6"/>
                <w:sz w:val="21"/>
                <w:szCs w:val="21"/>
                <w:highlight w:val="none"/>
                <w:lang w:val="en-US" w:eastAsia="zh-CN"/>
              </w:rPr>
              <w:t>中小企业划分标准参照《关于印发中小企业划型标准规定的通知》（工信部联企业〔2011〕300 号）执行，本项目采购标的对应的行业为：建筑业。</w:t>
            </w:r>
          </w:p>
        </w:tc>
      </w:tr>
      <w:tr w14:paraId="4683E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69882591">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10.5</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4A61CEFD">
            <w:pPr>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知识产权</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4D064AC3">
            <w:pPr>
              <w:spacing w:line="360" w:lineRule="auto"/>
              <w:rPr>
                <w:rFonts w:hint="eastAsia" w:ascii="宋体" w:hAnsi="宋体" w:eastAsia="宋体" w:cs="宋体"/>
                <w:b w:val="0"/>
                <w:bCs w:val="0"/>
                <w:color w:val="auto"/>
                <w:spacing w:val="6"/>
                <w:kern w:val="2"/>
                <w:sz w:val="21"/>
                <w:szCs w:val="21"/>
                <w:highlight w:val="none"/>
                <w:lang w:val="en-US" w:eastAsia="zh-CN" w:bidi="ar-SA"/>
              </w:rPr>
            </w:pPr>
            <w:r>
              <w:rPr>
                <w:rFonts w:hint="eastAsia" w:ascii="宋体" w:hAnsi="宋体" w:eastAsia="宋体" w:cs="宋体"/>
                <w:color w:val="auto"/>
                <w:sz w:val="21"/>
                <w:szCs w:val="21"/>
                <w:highlight w:val="none"/>
              </w:rPr>
              <w:t>构成</w:t>
            </w:r>
            <w:r>
              <w:rPr>
                <w:rFonts w:hint="eastAsia" w:ascii="宋体"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rPr>
              <w:t>各个组成部分的文件，未经采购人书面同意，</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不得擅自复印和用于非本项目所需的其他目的。采购人全部或者部分使用未中标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成交</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供应商响应文件</w:t>
            </w:r>
            <w:r>
              <w:rPr>
                <w:rFonts w:hint="eastAsia" w:ascii="宋体" w:hAnsi="宋体" w:eastAsia="宋体" w:cs="宋体"/>
                <w:color w:val="auto"/>
                <w:sz w:val="21"/>
                <w:szCs w:val="21"/>
                <w:highlight w:val="none"/>
              </w:rPr>
              <w:t>中的技术成果或技术方案时，需征得其书面同意，并不得擅自复印或提供给第三人。</w:t>
            </w:r>
          </w:p>
        </w:tc>
      </w:tr>
      <w:tr w14:paraId="0FCD6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0ABB26D4">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10.6</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5E697D22">
            <w:pPr>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同义词语</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41ADD060">
            <w:pPr>
              <w:spacing w:line="360" w:lineRule="auto"/>
              <w:rPr>
                <w:rFonts w:hint="eastAsia" w:ascii="宋体" w:hAnsi="宋体" w:eastAsia="宋体" w:cs="宋体"/>
                <w:b w:val="0"/>
                <w:bCs w:val="0"/>
                <w:color w:val="auto"/>
                <w:spacing w:val="6"/>
                <w:kern w:val="2"/>
                <w:sz w:val="21"/>
                <w:szCs w:val="21"/>
                <w:highlight w:val="none"/>
                <w:lang w:val="en-US" w:eastAsia="zh-CN" w:bidi="ar-SA"/>
              </w:rPr>
            </w:pPr>
            <w:r>
              <w:rPr>
                <w:rFonts w:hint="eastAsia" w:ascii="宋体" w:hAnsi="宋体" w:eastAsia="宋体" w:cs="宋体"/>
                <w:color w:val="auto"/>
                <w:sz w:val="21"/>
                <w:szCs w:val="21"/>
                <w:highlight w:val="none"/>
              </w:rPr>
              <w:t>构成</w:t>
            </w:r>
            <w:r>
              <w:rPr>
                <w:rFonts w:hint="eastAsia" w:ascii="宋体"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rPr>
              <w:t>组成部分的章节中出现的措辞“发包人”和“承包人”，在</w:t>
            </w:r>
            <w:r>
              <w:rPr>
                <w:rFonts w:hint="eastAsia" w:ascii="宋体" w:hAnsi="宋体" w:eastAsia="宋体" w:cs="宋体"/>
                <w:color w:val="auto"/>
                <w:sz w:val="21"/>
                <w:szCs w:val="21"/>
                <w:highlight w:val="none"/>
                <w:lang w:val="en-US" w:eastAsia="zh-CN"/>
              </w:rPr>
              <w:t>采购活动</w:t>
            </w:r>
            <w:r>
              <w:rPr>
                <w:rFonts w:hint="eastAsia" w:ascii="宋体" w:hAnsi="宋体" w:eastAsia="宋体" w:cs="宋体"/>
                <w:color w:val="auto"/>
                <w:sz w:val="21"/>
                <w:szCs w:val="21"/>
                <w:highlight w:val="none"/>
              </w:rPr>
              <w:t>阶段应当分别按“采购人”和“</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”进行理解。</w:t>
            </w:r>
          </w:p>
        </w:tc>
      </w:tr>
      <w:tr w14:paraId="13AC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5097A645">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10.7</w:t>
            </w:r>
          </w:p>
        </w:tc>
        <w:tc>
          <w:tcPr>
            <w:tcW w:w="1999" w:type="dxa"/>
            <w:tcBorders>
              <w:top w:val="single" w:color="auto" w:sz="4" w:space="0"/>
              <w:left w:val="single" w:color="auto" w:sz="4" w:space="0"/>
              <w:bottom w:val="single" w:color="auto" w:sz="4" w:space="0"/>
              <w:right w:val="single" w:color="auto" w:sz="4" w:space="0"/>
            </w:tcBorders>
            <w:shd w:val="clear" w:color="auto" w:fill="auto"/>
            <w:vAlign w:val="center"/>
          </w:tcPr>
          <w:p w14:paraId="5916BBA0">
            <w:pPr>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rPr>
              <w:t>解释权</w:t>
            </w:r>
          </w:p>
        </w:tc>
        <w:tc>
          <w:tcPr>
            <w:tcW w:w="6711" w:type="dxa"/>
            <w:tcBorders>
              <w:top w:val="single" w:color="auto" w:sz="4" w:space="0"/>
              <w:left w:val="single" w:color="auto" w:sz="4" w:space="0"/>
              <w:bottom w:val="single" w:color="auto" w:sz="4" w:space="0"/>
              <w:right w:val="single" w:color="auto" w:sz="4" w:space="0"/>
            </w:tcBorders>
            <w:shd w:val="clear" w:color="auto" w:fill="auto"/>
            <w:vAlign w:val="center"/>
          </w:tcPr>
          <w:p w14:paraId="5FB19A85">
            <w:pPr>
              <w:spacing w:line="360" w:lineRule="auto"/>
              <w:rPr>
                <w:rFonts w:hint="eastAsia" w:ascii="Calibri" w:hAnsi="Calibri" w:eastAsia="宋体" w:cs="Times New Roman"/>
                <w:kern w:val="2"/>
                <w:sz w:val="21"/>
                <w:szCs w:val="22"/>
                <w:lang w:val="en-US" w:eastAsia="zh-CN" w:bidi="ar-SA"/>
              </w:rPr>
            </w:pPr>
            <w:r>
              <w:rPr>
                <w:rFonts w:hint="eastAsia" w:ascii="宋体" w:hAnsi="宋体" w:eastAsia="宋体" w:cs="宋体"/>
                <w:color w:val="auto"/>
                <w:sz w:val="21"/>
                <w:szCs w:val="21"/>
                <w:highlight w:val="none"/>
              </w:rPr>
              <w:t>构成</w:t>
            </w:r>
            <w:r>
              <w:rPr>
                <w:rFonts w:hint="eastAsia" w:ascii="宋体"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rPr>
              <w:t>的各个组成文件应互为解释，互为说明；如有不明确或不一致，构成合同文件组成内容的，以合同文件约定内容为准，且以专用合同条款约定的合同文件优先顺序解释；除</w:t>
            </w:r>
            <w:r>
              <w:rPr>
                <w:rFonts w:hint="eastAsia" w:ascii="宋体"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rPr>
              <w:t>中有特别规定外，仅适用于</w:t>
            </w:r>
            <w:r>
              <w:rPr>
                <w:rFonts w:hint="eastAsia" w:ascii="宋体" w:hAnsi="宋体" w:eastAsia="宋体" w:cs="宋体"/>
                <w:color w:val="auto"/>
                <w:sz w:val="21"/>
                <w:szCs w:val="21"/>
                <w:highlight w:val="none"/>
                <w:lang w:val="en-US" w:eastAsia="zh-CN"/>
              </w:rPr>
              <w:t>采购活动</w:t>
            </w:r>
            <w:r>
              <w:rPr>
                <w:rFonts w:hint="eastAsia" w:ascii="宋体" w:hAnsi="宋体" w:eastAsia="宋体" w:cs="宋体"/>
                <w:color w:val="auto"/>
                <w:sz w:val="21"/>
                <w:szCs w:val="21"/>
                <w:highlight w:val="none"/>
              </w:rPr>
              <w:t>阶段的规定，按公告、</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r>
              <w:rPr>
                <w:rFonts w:hint="eastAsia" w:ascii="宋体" w:hAnsi="宋体" w:eastAsia="宋体" w:cs="宋体"/>
                <w:color w:val="auto"/>
                <w:sz w:val="21"/>
                <w:szCs w:val="21"/>
                <w:highlight w:val="none"/>
                <w:lang w:eastAsia="zh-CN"/>
              </w:rPr>
              <w:t>评审办法</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响应文件</w:t>
            </w:r>
            <w:r>
              <w:rPr>
                <w:rFonts w:hint="eastAsia" w:ascii="宋体" w:hAnsi="宋体" w:eastAsia="宋体" w:cs="宋体"/>
                <w:color w:val="auto"/>
                <w:sz w:val="21"/>
                <w:szCs w:val="21"/>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1"/>
                <w:szCs w:val="21"/>
                <w:highlight w:val="none"/>
                <w:lang w:eastAsia="zh-CN"/>
              </w:rPr>
              <w:t>。</w:t>
            </w:r>
          </w:p>
        </w:tc>
      </w:tr>
      <w:tr w14:paraId="054EF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73E6AF4A">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10.8</w:t>
            </w:r>
          </w:p>
        </w:tc>
        <w:tc>
          <w:tcPr>
            <w:tcW w:w="1999" w:type="dxa"/>
            <w:tcBorders>
              <w:top w:val="single" w:color="auto" w:sz="4" w:space="0"/>
              <w:left w:val="single" w:color="auto" w:sz="4" w:space="0"/>
              <w:bottom w:val="single" w:color="auto" w:sz="4" w:space="0"/>
              <w:right w:val="single" w:color="auto" w:sz="4" w:space="0"/>
            </w:tcBorders>
            <w:vAlign w:val="center"/>
          </w:tcPr>
          <w:p w14:paraId="6B6D3838">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其他</w:t>
            </w:r>
          </w:p>
        </w:tc>
        <w:tc>
          <w:tcPr>
            <w:tcW w:w="6711" w:type="dxa"/>
            <w:tcBorders>
              <w:top w:val="single" w:color="auto" w:sz="4" w:space="0"/>
              <w:left w:val="single" w:color="auto" w:sz="4" w:space="0"/>
              <w:bottom w:val="single" w:color="auto" w:sz="4" w:space="0"/>
              <w:right w:val="single" w:color="auto" w:sz="4" w:space="0"/>
            </w:tcBorders>
            <w:vAlign w:val="center"/>
          </w:tcPr>
          <w:p w14:paraId="5E27DE54">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响应文件</w:t>
            </w:r>
            <w:r>
              <w:rPr>
                <w:rFonts w:hint="eastAsia" w:ascii="宋体" w:hAnsi="宋体" w:eastAsia="宋体" w:cs="宋体"/>
                <w:bCs/>
                <w:color w:val="auto"/>
                <w:sz w:val="21"/>
                <w:szCs w:val="21"/>
                <w:highlight w:val="none"/>
              </w:rPr>
              <w:t>的真实性要求：</w:t>
            </w:r>
          </w:p>
          <w:p w14:paraId="3D151AC9">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）供应商应当保证所递交的</w:t>
            </w:r>
            <w:r>
              <w:rPr>
                <w:rFonts w:hint="eastAsia" w:ascii="宋体" w:hAnsi="宋体" w:cs="宋体"/>
                <w:bCs/>
                <w:color w:val="auto"/>
                <w:sz w:val="21"/>
                <w:szCs w:val="21"/>
                <w:highlight w:val="none"/>
                <w:lang w:val="en-US" w:eastAsia="zh-CN"/>
              </w:rPr>
              <w:t>响应文件</w:t>
            </w:r>
            <w:r>
              <w:rPr>
                <w:rFonts w:hint="eastAsia" w:ascii="宋体" w:hAnsi="宋体" w:eastAsia="宋体" w:cs="宋体"/>
                <w:bCs/>
                <w:color w:val="auto"/>
                <w:sz w:val="21"/>
                <w:szCs w:val="21"/>
                <w:highlight w:val="none"/>
                <w:lang w:eastAsia="zh-CN"/>
              </w:rPr>
              <w:t>（含有关资料、澄清、说明）真实、准确、完整，不得存在伪造、变造、虚假陈述、隐瞒等弄虚作假情形，并依法承担由此产生的全部法律责任</w:t>
            </w:r>
            <w:r>
              <w:rPr>
                <w:rFonts w:hint="eastAsia" w:ascii="宋体" w:hAnsi="宋体" w:eastAsia="宋体" w:cs="宋体"/>
                <w:bCs/>
                <w:color w:val="auto"/>
                <w:sz w:val="21"/>
                <w:szCs w:val="21"/>
                <w:highlight w:val="none"/>
              </w:rPr>
              <w:t>。</w:t>
            </w:r>
          </w:p>
          <w:p w14:paraId="525DE52B">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声明不存在限制</w:t>
            </w:r>
            <w:r>
              <w:rPr>
                <w:rFonts w:hint="eastAsia" w:ascii="宋体" w:hAnsi="宋体" w:cs="宋体"/>
                <w:bCs/>
                <w:color w:val="auto"/>
                <w:sz w:val="21"/>
                <w:szCs w:val="21"/>
                <w:highlight w:val="none"/>
                <w:lang w:val="en-US" w:eastAsia="zh-CN"/>
              </w:rPr>
              <w:t>参与采购活动</w:t>
            </w:r>
            <w:r>
              <w:rPr>
                <w:rFonts w:hint="eastAsia" w:ascii="宋体" w:hAnsi="宋体" w:eastAsia="宋体" w:cs="宋体"/>
                <w:bCs/>
                <w:color w:val="auto"/>
                <w:sz w:val="21"/>
                <w:szCs w:val="21"/>
                <w:highlight w:val="none"/>
              </w:rPr>
              <w:t>情形但被发现存在限制</w:t>
            </w:r>
            <w:r>
              <w:rPr>
                <w:rFonts w:hint="eastAsia" w:ascii="宋体" w:hAnsi="宋体" w:cs="宋体"/>
                <w:bCs/>
                <w:color w:val="auto"/>
                <w:sz w:val="21"/>
                <w:szCs w:val="21"/>
                <w:highlight w:val="none"/>
                <w:lang w:val="en-US" w:eastAsia="zh-CN"/>
              </w:rPr>
              <w:t>参与采购活动</w:t>
            </w:r>
            <w:r>
              <w:rPr>
                <w:rFonts w:hint="eastAsia" w:ascii="宋体" w:hAnsi="宋体" w:eastAsia="宋体" w:cs="宋体"/>
                <w:bCs/>
                <w:color w:val="auto"/>
                <w:sz w:val="21"/>
                <w:szCs w:val="21"/>
                <w:highlight w:val="none"/>
              </w:rPr>
              <w:t>情形的，属于隐瞒真实情况，按提供虚假材料谋取成交处理，其响应文件作无效响应处理；已确定为成交供应商的，取消其成交资格。</w:t>
            </w:r>
          </w:p>
          <w:p w14:paraId="740F630C">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.本</w:t>
            </w:r>
            <w:r>
              <w:rPr>
                <w:rFonts w:hint="eastAsia" w:ascii="宋体" w:hAnsi="宋体" w:eastAsia="宋体" w:cs="宋体"/>
                <w:bCs/>
                <w:color w:val="auto"/>
                <w:sz w:val="21"/>
                <w:szCs w:val="21"/>
                <w:highlight w:val="none"/>
                <w:lang w:eastAsia="zh-CN"/>
              </w:rPr>
              <w:t>竞争性磋商文件供应商</w:t>
            </w:r>
            <w:r>
              <w:rPr>
                <w:rFonts w:hint="eastAsia" w:ascii="宋体" w:hAnsi="宋体" w:eastAsia="宋体" w:cs="宋体"/>
                <w:bCs/>
                <w:color w:val="auto"/>
                <w:sz w:val="21"/>
                <w:szCs w:val="21"/>
                <w:highlight w:val="none"/>
              </w:rPr>
              <w:t>须知内容与前附表不一致的，以前附表为准。</w:t>
            </w:r>
          </w:p>
          <w:p w14:paraId="71391897">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如发现</w:t>
            </w:r>
            <w:r>
              <w:rPr>
                <w:rFonts w:hint="eastAsia" w:ascii="宋体" w:hAnsi="宋体" w:eastAsia="宋体" w:cs="宋体"/>
                <w:bCs/>
                <w:color w:val="auto"/>
                <w:sz w:val="21"/>
                <w:szCs w:val="21"/>
                <w:highlight w:val="none"/>
                <w:lang w:eastAsia="zh-CN"/>
              </w:rPr>
              <w:t>竞争性磋商文件</w:t>
            </w:r>
            <w:r>
              <w:rPr>
                <w:rFonts w:hint="eastAsia" w:ascii="宋体" w:hAnsi="宋体" w:eastAsia="宋体" w:cs="宋体"/>
                <w:bCs/>
                <w:color w:val="auto"/>
                <w:sz w:val="21"/>
                <w:szCs w:val="21"/>
                <w:highlight w:val="none"/>
              </w:rPr>
              <w:t>中存在含糊不清、相互矛盾、多种含义以及歧视性不公正条款或违法违规等内容时，请在</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提疑截止时间前向采购人或采购代理机构质询，逾期视为对</w:t>
            </w:r>
            <w:r>
              <w:rPr>
                <w:rFonts w:hint="eastAsia" w:ascii="宋体" w:hAnsi="宋体" w:eastAsia="宋体" w:cs="宋体"/>
                <w:bCs/>
                <w:color w:val="auto"/>
                <w:sz w:val="21"/>
                <w:szCs w:val="21"/>
                <w:highlight w:val="none"/>
                <w:lang w:eastAsia="zh-CN"/>
              </w:rPr>
              <w:t>竞争性磋商文件</w:t>
            </w:r>
            <w:r>
              <w:rPr>
                <w:rFonts w:hint="eastAsia" w:ascii="宋体" w:hAnsi="宋体" w:eastAsia="宋体" w:cs="宋体"/>
                <w:bCs/>
                <w:color w:val="auto"/>
                <w:sz w:val="21"/>
                <w:szCs w:val="21"/>
                <w:highlight w:val="none"/>
              </w:rPr>
              <w:t>条款没有任何异议。</w:t>
            </w:r>
          </w:p>
          <w:p w14:paraId="28B383AE">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.本</w:t>
            </w:r>
            <w:r>
              <w:rPr>
                <w:rFonts w:hint="eastAsia" w:ascii="宋体" w:hAnsi="宋体" w:eastAsia="宋体" w:cs="宋体"/>
                <w:bCs/>
                <w:color w:val="auto"/>
                <w:sz w:val="21"/>
                <w:szCs w:val="21"/>
                <w:highlight w:val="none"/>
                <w:lang w:eastAsia="zh-CN"/>
              </w:rPr>
              <w:t>竞争性磋商文件</w:t>
            </w:r>
            <w:r>
              <w:rPr>
                <w:rFonts w:hint="eastAsia" w:ascii="宋体" w:hAnsi="宋体" w:eastAsia="宋体" w:cs="宋体"/>
                <w:bCs/>
                <w:color w:val="auto"/>
                <w:sz w:val="21"/>
                <w:szCs w:val="21"/>
                <w:highlight w:val="none"/>
              </w:rPr>
              <w:t>所有组成部分均为实质性条款；</w:t>
            </w:r>
            <w:r>
              <w:rPr>
                <w:rFonts w:hint="eastAsia" w:ascii="宋体" w:hAnsi="宋体" w:cs="宋体"/>
                <w:bCs/>
                <w:color w:val="auto"/>
                <w:sz w:val="21"/>
                <w:szCs w:val="21"/>
                <w:highlight w:val="none"/>
                <w:lang w:val="en-US" w:eastAsia="zh-CN"/>
              </w:rPr>
              <w:t>供</w:t>
            </w:r>
            <w:r>
              <w:rPr>
                <w:rFonts w:hint="eastAsia" w:ascii="宋体" w:hAnsi="宋体" w:eastAsia="宋体" w:cs="宋体"/>
                <w:bCs/>
                <w:color w:val="auto"/>
                <w:sz w:val="21"/>
                <w:szCs w:val="21"/>
                <w:highlight w:val="none"/>
              </w:rPr>
              <w:t>应商应充分研读并充分理解本竞争性磋商文件全部实质性条款后，审慎作出是否参与本项目响应的决定。供应商若参与响应并被确定为成交供应商的，签订合同阶段不得要求对磋商文件已确定的实质性内容进行变更、修改。</w:t>
            </w:r>
            <w:r>
              <w:rPr>
                <w:rFonts w:hint="eastAsia" w:ascii="宋体" w:hAnsi="宋体" w:eastAsia="宋体" w:cs="宋体"/>
                <w:bCs/>
                <w:color w:val="auto"/>
                <w:sz w:val="21"/>
                <w:szCs w:val="21"/>
                <w:highlight w:val="none"/>
                <w:lang w:val="en-US" w:eastAsia="zh-CN"/>
              </w:rPr>
              <w:t>否则</w:t>
            </w:r>
            <w:r>
              <w:rPr>
                <w:rFonts w:hint="eastAsia" w:ascii="宋体" w:hAnsi="宋体" w:eastAsia="宋体" w:cs="宋体"/>
                <w:bCs/>
                <w:color w:val="auto"/>
                <w:sz w:val="21"/>
                <w:szCs w:val="21"/>
                <w:highlight w:val="none"/>
              </w:rPr>
              <w:t>采购人有权拒绝与其签订政府采购合同，并取消其成交候选供应商资格，由此产</w:t>
            </w:r>
            <w:r>
              <w:rPr>
                <w:rFonts w:hint="eastAsia" w:ascii="宋体" w:hAnsi="宋体" w:cs="宋体"/>
                <w:bCs/>
                <w:color w:val="auto"/>
                <w:sz w:val="21"/>
                <w:szCs w:val="21"/>
                <w:highlight w:val="none"/>
                <w:lang w:eastAsia="zh-CN"/>
              </w:rPr>
              <w:t>生的</w:t>
            </w:r>
            <w:r>
              <w:rPr>
                <w:rFonts w:hint="eastAsia" w:ascii="宋体" w:hAnsi="宋体" w:eastAsia="宋体" w:cs="宋体"/>
                <w:bCs/>
                <w:color w:val="auto"/>
                <w:sz w:val="21"/>
                <w:szCs w:val="21"/>
                <w:highlight w:val="none"/>
              </w:rPr>
              <w:t>全部损失及法律后果由该供应商自行承担</w:t>
            </w:r>
            <w:r>
              <w:rPr>
                <w:rFonts w:hint="eastAsia" w:ascii="宋体" w:hAnsi="宋体" w:cs="宋体"/>
                <w:bCs/>
                <w:color w:val="auto"/>
                <w:sz w:val="21"/>
                <w:szCs w:val="21"/>
                <w:highlight w:val="none"/>
                <w:lang w:eastAsia="zh-CN"/>
              </w:rPr>
              <w:t>。</w:t>
            </w:r>
          </w:p>
          <w:p w14:paraId="3EFF6220">
            <w:pP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5.成交供应商在签订合同前须提供三份纸质响应文件交由采购人存档，纸质响应文件需与网上递交的电子响应文件一致，不一致时以网上电子响应文件为准。</w:t>
            </w:r>
          </w:p>
          <w:p w14:paraId="1D1DD2AB">
            <w:pP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6.本项目竞争性磋商文件中涉及“以上”“以下”“以内”“届满”“不满”“超过”“以外”参照《中华人民共和国民法典》第一千二百五十九条的规定进行解释。根据《中华人民共和国民法典》第一千二百五十九条的规定，民法所称的“以上”“以下”“以内”“届满”，包括本数，“不满”“超过”“以外”，不包括本数。</w:t>
            </w:r>
          </w:p>
        </w:tc>
      </w:tr>
    </w:tbl>
    <w:p w14:paraId="34E80640">
      <w:pPr>
        <w:widowControl/>
        <w:jc w:val="left"/>
        <w:rPr>
          <w:rFonts w:ascii="宋体" w:hAnsi="宋体" w:cs="宋体"/>
          <w:b/>
          <w:bCs/>
          <w:color w:val="auto"/>
          <w:sz w:val="32"/>
          <w:szCs w:val="32"/>
          <w:highlight w:val="none"/>
        </w:rPr>
      </w:pPr>
      <w:r>
        <w:rPr>
          <w:rFonts w:hint="eastAsia" w:ascii="宋体" w:hAnsi="宋体" w:cs="宋体"/>
          <w:color w:val="auto"/>
          <w:highlight w:val="none"/>
        </w:rPr>
        <w:br w:type="page"/>
      </w:r>
    </w:p>
    <w:bookmarkEnd w:id="109"/>
    <w:bookmarkEnd w:id="110"/>
    <w:p w14:paraId="6BD6F111">
      <w:pPr>
        <w:pStyle w:val="3"/>
        <w:keepNext w:val="0"/>
        <w:keepLines w:val="0"/>
        <w:spacing w:line="360" w:lineRule="auto"/>
        <w:jc w:val="center"/>
        <w:rPr>
          <w:rFonts w:ascii="宋体" w:hAnsi="宋体" w:eastAsia="宋体" w:cs="宋体"/>
          <w:color w:val="auto"/>
          <w:szCs w:val="28"/>
          <w:highlight w:val="none"/>
        </w:rPr>
      </w:pPr>
      <w:bookmarkStart w:id="111" w:name="_Toc2412"/>
      <w:bookmarkStart w:id="112" w:name="_Toc24471"/>
      <w:bookmarkStart w:id="113" w:name="_Toc19535"/>
      <w:bookmarkStart w:id="114" w:name="_Toc15642"/>
      <w:bookmarkStart w:id="115" w:name="_Toc19795"/>
      <w:bookmarkStart w:id="116" w:name="_Toc11170"/>
      <w:bookmarkStart w:id="117" w:name="_Toc30302"/>
      <w:bookmarkStart w:id="118" w:name="_Toc337822213"/>
      <w:bookmarkStart w:id="119" w:name="_Toc26624"/>
      <w:bookmarkStart w:id="120" w:name="_Toc457310229"/>
      <w:bookmarkStart w:id="121" w:name="_Toc479671408"/>
      <w:bookmarkStart w:id="122" w:name="_Toc12986"/>
      <w:r>
        <w:rPr>
          <w:rFonts w:hint="eastAsia" w:ascii="宋体" w:hAnsi="宋体" w:eastAsia="宋体" w:cs="宋体"/>
          <w:color w:val="auto"/>
          <w:szCs w:val="28"/>
          <w:highlight w:val="none"/>
          <w:lang w:eastAsia="zh-CN"/>
        </w:rPr>
        <w:t>供应商</w:t>
      </w:r>
      <w:r>
        <w:rPr>
          <w:rFonts w:hint="eastAsia" w:ascii="宋体" w:hAnsi="宋体" w:eastAsia="宋体" w:cs="宋体"/>
          <w:color w:val="auto"/>
          <w:szCs w:val="28"/>
          <w:highlight w:val="none"/>
        </w:rPr>
        <w:t>须知正文部分</w:t>
      </w:r>
      <w:bookmarkEnd w:id="111"/>
      <w:bookmarkEnd w:id="112"/>
      <w:bookmarkEnd w:id="113"/>
      <w:bookmarkEnd w:id="114"/>
      <w:bookmarkEnd w:id="115"/>
      <w:bookmarkEnd w:id="116"/>
      <w:bookmarkEnd w:id="117"/>
    </w:p>
    <w:bookmarkEnd w:id="118"/>
    <w:bookmarkEnd w:id="119"/>
    <w:bookmarkEnd w:id="120"/>
    <w:p w14:paraId="542D9217">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rPr>
      </w:pPr>
      <w:bookmarkStart w:id="123" w:name="_Toc31818"/>
      <w:r>
        <w:rPr>
          <w:rFonts w:hint="eastAsia" w:ascii="宋体" w:hAnsi="宋体" w:eastAsia="宋体" w:cs="宋体"/>
          <w:color w:val="auto"/>
          <w:sz w:val="21"/>
          <w:szCs w:val="21"/>
          <w:highlight w:val="none"/>
        </w:rPr>
        <w:t>1.总则</w:t>
      </w:r>
      <w:bookmarkEnd w:id="123"/>
    </w:p>
    <w:p w14:paraId="42F6A9F0">
      <w:pPr>
        <w:spacing w:line="360" w:lineRule="auto"/>
        <w:rPr>
          <w:rFonts w:hint="eastAsia" w:ascii="宋体" w:hAnsi="宋体" w:eastAsia="宋体" w:cs="宋体"/>
          <w:b/>
          <w:color w:val="auto"/>
          <w:sz w:val="21"/>
          <w:szCs w:val="21"/>
          <w:highlight w:val="none"/>
        </w:rPr>
      </w:pPr>
      <w:bookmarkStart w:id="124" w:name="_Toc204758043"/>
      <w:r>
        <w:rPr>
          <w:rFonts w:hint="eastAsia" w:ascii="宋体" w:hAnsi="宋体" w:eastAsia="宋体" w:cs="宋体"/>
          <w:b/>
          <w:color w:val="auto"/>
          <w:sz w:val="21"/>
          <w:szCs w:val="21"/>
          <w:highlight w:val="none"/>
        </w:rPr>
        <w:t>1.1项目概况</w:t>
      </w:r>
      <w:bookmarkEnd w:id="124"/>
    </w:p>
    <w:p w14:paraId="32440E75">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125" w:name="_Toc457310231"/>
      <w:bookmarkStart w:id="126" w:name="_Toc17340"/>
      <w:bookmarkStart w:id="127" w:name="_Toc337822215"/>
      <w:bookmarkStart w:id="128" w:name="_Toc265142411"/>
      <w:r>
        <w:rPr>
          <w:rFonts w:hint="eastAsia" w:ascii="宋体" w:hAnsi="宋体" w:eastAsia="宋体" w:cs="宋体"/>
          <w:color w:val="auto"/>
          <w:sz w:val="21"/>
          <w:szCs w:val="21"/>
          <w:highlight w:val="none"/>
        </w:rPr>
        <w:t>1.1.1根据《中华人民共和国政府采购法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中华人民共和国政府采购法实施条例</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政府采购竞争性磋商采购方式管理暂行办法》</w:t>
      </w:r>
      <w:r>
        <w:rPr>
          <w:rFonts w:hint="eastAsia" w:ascii="宋体" w:hAnsi="宋体" w:eastAsia="宋体" w:cs="宋体"/>
          <w:color w:val="auto"/>
          <w:sz w:val="21"/>
          <w:szCs w:val="21"/>
          <w:highlight w:val="none"/>
          <w:lang w:eastAsia="zh-CN"/>
        </w:rPr>
        <w:t>（财库〔2014〕214号）</w:t>
      </w:r>
      <w:r>
        <w:rPr>
          <w:rFonts w:hint="eastAsia" w:ascii="宋体" w:hAnsi="宋体" w:eastAsia="宋体" w:cs="宋体"/>
          <w:color w:val="auto"/>
          <w:sz w:val="21"/>
          <w:szCs w:val="21"/>
          <w:highlight w:val="none"/>
        </w:rPr>
        <w:t>等有关</w:t>
      </w:r>
      <w:r>
        <w:rPr>
          <w:rFonts w:hint="eastAsia" w:ascii="宋体" w:hAnsi="宋体" w:cs="宋体"/>
          <w:color w:val="auto"/>
          <w:sz w:val="21"/>
          <w:szCs w:val="21"/>
          <w:highlight w:val="none"/>
          <w:lang w:eastAsia="zh-CN"/>
        </w:rPr>
        <w:t>法律法规</w:t>
      </w:r>
      <w:r>
        <w:rPr>
          <w:rFonts w:hint="eastAsia" w:ascii="宋体" w:hAnsi="宋体" w:eastAsia="宋体" w:cs="宋体"/>
          <w:color w:val="auto"/>
          <w:sz w:val="21"/>
          <w:szCs w:val="21"/>
          <w:highlight w:val="none"/>
        </w:rPr>
        <w:t>和规章的规定，本项目已具备采购条件，现对本项目进行</w:t>
      </w:r>
      <w:r>
        <w:rPr>
          <w:rFonts w:hint="eastAsia" w:ascii="宋体" w:hAnsi="宋体" w:eastAsia="宋体" w:cs="宋体"/>
          <w:color w:val="auto"/>
          <w:sz w:val="21"/>
          <w:szCs w:val="21"/>
          <w:highlight w:val="none"/>
          <w:lang w:val="en-US" w:eastAsia="zh-CN"/>
        </w:rPr>
        <w:t>竞争性磋商采购</w:t>
      </w:r>
      <w:r>
        <w:rPr>
          <w:rFonts w:hint="eastAsia" w:ascii="宋体" w:hAnsi="宋体" w:eastAsia="宋体" w:cs="宋体"/>
          <w:color w:val="auto"/>
          <w:sz w:val="21"/>
          <w:szCs w:val="21"/>
          <w:highlight w:val="none"/>
        </w:rPr>
        <w:t>。</w:t>
      </w:r>
    </w:p>
    <w:p w14:paraId="72301F4D">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1.1.2采购人：见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1B325249">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1.1.3采购代理机构：见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22B666B8">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1.1.4项目名称、项目编号：见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0C5EEFE2">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r>
        <w:rPr>
          <w:rFonts w:hint="eastAsia" w:ascii="宋体" w:hAnsi="宋体" w:cs="宋体"/>
          <w:color w:val="auto"/>
          <w:sz w:val="21"/>
          <w:szCs w:val="21"/>
          <w:highlight w:val="none"/>
          <w:lang w:val="en-US" w:eastAsia="zh-CN"/>
        </w:rPr>
        <w:t>项目</w:t>
      </w:r>
      <w:r>
        <w:rPr>
          <w:rFonts w:hint="eastAsia" w:ascii="宋体" w:hAnsi="宋体" w:eastAsia="宋体" w:cs="宋体"/>
          <w:color w:val="auto"/>
          <w:sz w:val="21"/>
          <w:szCs w:val="21"/>
          <w:highlight w:val="none"/>
        </w:rPr>
        <w:t>地点：见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bookmarkEnd w:id="125"/>
    <w:bookmarkEnd w:id="126"/>
    <w:bookmarkEnd w:id="127"/>
    <w:bookmarkEnd w:id="128"/>
    <w:p w14:paraId="2782249D">
      <w:pPr>
        <w:spacing w:line="360" w:lineRule="auto"/>
        <w:rPr>
          <w:rFonts w:hint="eastAsia" w:ascii="宋体" w:hAnsi="宋体" w:eastAsia="宋体" w:cs="宋体"/>
          <w:b/>
          <w:color w:val="auto"/>
          <w:sz w:val="21"/>
          <w:szCs w:val="21"/>
          <w:highlight w:val="none"/>
        </w:rPr>
      </w:pPr>
      <w:bookmarkStart w:id="129" w:name="_Toc204758044"/>
      <w:bookmarkStart w:id="130" w:name="_Toc11907"/>
      <w:bookmarkStart w:id="131" w:name="_Toc457310232"/>
      <w:bookmarkStart w:id="132" w:name="_Toc337822216"/>
      <w:bookmarkStart w:id="133" w:name="_Toc265142412"/>
      <w:r>
        <w:rPr>
          <w:rFonts w:hint="eastAsia" w:ascii="宋体" w:hAnsi="宋体" w:eastAsia="宋体" w:cs="宋体"/>
          <w:b/>
          <w:color w:val="auto"/>
          <w:sz w:val="21"/>
          <w:szCs w:val="21"/>
          <w:highlight w:val="none"/>
        </w:rPr>
        <w:t>1.2资金来源和落实情况</w:t>
      </w:r>
      <w:bookmarkEnd w:id="129"/>
    </w:p>
    <w:p w14:paraId="26DB1E78">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1.2.1资金来源：见</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244CBF27">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出资比例：见</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37861188">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资金落实情况：见</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bookmarkEnd w:id="130"/>
    <w:bookmarkEnd w:id="131"/>
    <w:bookmarkEnd w:id="132"/>
    <w:bookmarkEnd w:id="133"/>
    <w:p w14:paraId="1E24A931">
      <w:pPr>
        <w:spacing w:line="360" w:lineRule="auto"/>
        <w:rPr>
          <w:rFonts w:hint="eastAsia" w:ascii="宋体" w:hAnsi="宋体" w:eastAsia="宋体" w:cs="宋体"/>
          <w:b/>
          <w:color w:val="auto"/>
          <w:sz w:val="21"/>
          <w:szCs w:val="21"/>
          <w:highlight w:val="none"/>
        </w:rPr>
      </w:pPr>
      <w:bookmarkStart w:id="134" w:name="_Toc169"/>
      <w:bookmarkStart w:id="135" w:name="_Toc337822217"/>
      <w:bookmarkStart w:id="136" w:name="_Toc457310233"/>
      <w:r>
        <w:rPr>
          <w:rFonts w:hint="eastAsia" w:ascii="宋体" w:hAnsi="宋体" w:eastAsia="宋体" w:cs="宋体"/>
          <w:b/>
          <w:color w:val="auto"/>
          <w:sz w:val="21"/>
          <w:szCs w:val="21"/>
          <w:highlight w:val="none"/>
        </w:rPr>
        <w:t>1.3采购需求、合同履行期限、质量要求</w:t>
      </w:r>
    </w:p>
    <w:p w14:paraId="4B8B1D68">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1.3.1采购需求：见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3F7CF1E6">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2合同履行期限</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0792C94A">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bookmarkEnd w:id="134"/>
    <w:bookmarkEnd w:id="135"/>
    <w:bookmarkEnd w:id="136"/>
    <w:p w14:paraId="41791199">
      <w:pPr>
        <w:spacing w:line="360" w:lineRule="auto"/>
        <w:rPr>
          <w:rFonts w:hint="eastAsia" w:ascii="宋体" w:hAnsi="宋体" w:eastAsia="宋体" w:cs="宋体"/>
          <w:b/>
          <w:color w:val="auto"/>
          <w:sz w:val="21"/>
          <w:szCs w:val="21"/>
          <w:highlight w:val="none"/>
        </w:rPr>
      </w:pPr>
      <w:bookmarkStart w:id="137" w:name="_Toc5044"/>
      <w:bookmarkStart w:id="138" w:name="_Toc337822218"/>
      <w:bookmarkStart w:id="139" w:name="_Toc457310234"/>
      <w:r>
        <w:rPr>
          <w:rFonts w:hint="eastAsia" w:ascii="宋体" w:hAnsi="宋体" w:eastAsia="宋体" w:cs="宋体"/>
          <w:b/>
          <w:color w:val="auto"/>
          <w:sz w:val="21"/>
          <w:szCs w:val="21"/>
          <w:highlight w:val="none"/>
        </w:rPr>
        <w:t>1.4</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资质资格要求</w:t>
      </w:r>
    </w:p>
    <w:p w14:paraId="59246FDD">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资格要求：见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5764C264">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1.4.2本项目不接受联合体</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w:t>
      </w:r>
    </w:p>
    <w:p w14:paraId="3B923A9C">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不得存在下列情形之一：</w:t>
      </w:r>
    </w:p>
    <w:bookmarkEnd w:id="137"/>
    <w:bookmarkEnd w:id="138"/>
    <w:bookmarkEnd w:id="139"/>
    <w:p w14:paraId="7776AE2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bookmarkStart w:id="140" w:name="_Toc86124047"/>
      <w:bookmarkStart w:id="141" w:name="_Toc457310235"/>
      <w:bookmarkStart w:id="142" w:name="_Toc15179"/>
      <w:bookmarkStart w:id="143" w:name="_Toc337822219"/>
      <w:r>
        <w:rPr>
          <w:rFonts w:hint="eastAsia" w:ascii="宋体" w:hAnsi="宋体" w:eastAsia="宋体" w:cs="宋体"/>
          <w:color w:val="auto"/>
          <w:kern w:val="0"/>
          <w:sz w:val="21"/>
          <w:szCs w:val="21"/>
          <w:highlight w:val="none"/>
        </w:rPr>
        <w:t>（1）与采购人存在利害关系可能影响</w:t>
      </w:r>
      <w:r>
        <w:rPr>
          <w:rFonts w:hint="eastAsia" w:ascii="宋体" w:hAnsi="宋体" w:cs="宋体"/>
          <w:color w:val="auto"/>
          <w:kern w:val="0"/>
          <w:sz w:val="21"/>
          <w:szCs w:val="21"/>
          <w:highlight w:val="none"/>
          <w:lang w:val="en-US" w:eastAsia="zh-CN"/>
        </w:rPr>
        <w:t>采购活动</w:t>
      </w:r>
      <w:r>
        <w:rPr>
          <w:rFonts w:hint="eastAsia" w:ascii="宋体" w:hAnsi="宋体" w:eastAsia="宋体" w:cs="宋体"/>
          <w:color w:val="auto"/>
          <w:kern w:val="0"/>
          <w:sz w:val="21"/>
          <w:szCs w:val="21"/>
          <w:highlight w:val="none"/>
        </w:rPr>
        <w:t>公正性的；</w:t>
      </w:r>
    </w:p>
    <w:p w14:paraId="45CBC86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（2）与本项目的其他</w:t>
      </w:r>
      <w:r>
        <w:rPr>
          <w:rFonts w:hint="eastAsia" w:ascii="宋体" w:hAnsi="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为同一个单位负责人；</w:t>
      </w:r>
    </w:p>
    <w:p w14:paraId="7135BCC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cs="宋体"/>
          <w:color w:val="auto"/>
          <w:szCs w:val="21"/>
          <w:highlight w:val="none"/>
          <w:lang w:eastAsia="zh-CN"/>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w:t>
      </w:r>
      <w:r>
        <w:rPr>
          <w:rFonts w:hint="eastAsia" w:ascii="宋体" w:hAnsi="宋体" w:cs="宋体"/>
          <w:color w:val="auto"/>
          <w:szCs w:val="21"/>
          <w:highlight w:val="none"/>
          <w:lang w:val="en-US" w:eastAsia="zh-CN"/>
        </w:rPr>
        <w:t>与本项目的其他</w:t>
      </w:r>
      <w:r>
        <w:rPr>
          <w:rFonts w:hint="eastAsia" w:ascii="宋体" w:hAnsi="宋体" w:cs="宋体"/>
          <w:color w:val="auto"/>
          <w:szCs w:val="21"/>
          <w:highlight w:val="none"/>
          <w:lang w:eastAsia="zh-CN"/>
        </w:rPr>
        <w:t>供应</w:t>
      </w:r>
      <w:r>
        <w:rPr>
          <w:rFonts w:hint="eastAsia" w:ascii="宋体" w:hAnsi="宋体" w:cs="宋体"/>
          <w:color w:val="auto"/>
          <w:szCs w:val="21"/>
          <w:highlight w:val="none"/>
          <w:lang w:val="en-US" w:eastAsia="zh-CN"/>
        </w:rPr>
        <w:t>商</w:t>
      </w:r>
      <w:r>
        <w:rPr>
          <w:rFonts w:hint="eastAsia" w:ascii="宋体" w:hAnsi="宋体" w:cs="宋体"/>
          <w:color w:val="auto"/>
          <w:szCs w:val="21"/>
          <w:highlight w:val="none"/>
        </w:rPr>
        <w:t>存在直接控股、管理关系</w:t>
      </w:r>
      <w:r>
        <w:rPr>
          <w:rFonts w:hint="eastAsia" w:ascii="宋体" w:hAnsi="宋体" w:cs="宋体"/>
          <w:color w:val="auto"/>
          <w:szCs w:val="21"/>
          <w:highlight w:val="none"/>
          <w:lang w:eastAsia="zh-CN"/>
        </w:rPr>
        <w:t>；</w:t>
      </w:r>
    </w:p>
    <w:p w14:paraId="2906A7A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为本项目提供整体设计、规范编制或者项目管理、监理、检测等服务的</w:t>
      </w:r>
      <w:r>
        <w:rPr>
          <w:rFonts w:hint="eastAsia" w:ascii="宋体" w:hAnsi="宋体" w:cs="宋体"/>
          <w:color w:val="auto"/>
          <w:szCs w:val="21"/>
          <w:highlight w:val="none"/>
          <w:lang w:eastAsia="zh-CN"/>
        </w:rPr>
        <w:t>供应商</w:t>
      </w:r>
      <w:r>
        <w:rPr>
          <w:rFonts w:hint="eastAsia" w:ascii="宋体" w:hAnsi="宋体" w:cs="宋体"/>
          <w:color w:val="auto"/>
          <w:szCs w:val="21"/>
          <w:highlight w:val="none"/>
          <w:lang w:val="en-US" w:eastAsia="zh-CN"/>
        </w:rPr>
        <w:t>；</w:t>
      </w:r>
    </w:p>
    <w:p w14:paraId="5BDDCF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）为本项目的采购代理机构；</w:t>
      </w:r>
    </w:p>
    <w:p w14:paraId="3503C62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）与本项目的采购代理机构同为一个法定代表人；</w:t>
      </w:r>
    </w:p>
    <w:p w14:paraId="6815C42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）与本项目的采购代理机构存在控股或参股关系；</w:t>
      </w:r>
    </w:p>
    <w:p w14:paraId="316F824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）被依法暂停或者禁止参加政府采购活动；</w:t>
      </w:r>
    </w:p>
    <w:p w14:paraId="54D96EC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）被责令停产停业、暂扣或者吊销许可证、暂扣或者吊销执照；</w:t>
      </w:r>
    </w:p>
    <w:p w14:paraId="19B51A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）进入清算程序，或被宣告破产，或其他丧失履约能力的情形；</w:t>
      </w:r>
    </w:p>
    <w:p w14:paraId="59DE25EA">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）法律法规或</w:t>
      </w:r>
      <w:r>
        <w:rPr>
          <w:rFonts w:hint="eastAsia" w:ascii="宋体" w:hAnsi="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须知前附表规定的其他情形。</w:t>
      </w:r>
    </w:p>
    <w:p w14:paraId="315C3A00">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1.5费用承担</w:t>
      </w:r>
    </w:p>
    <w:p w14:paraId="704C8C99">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144" w:name="_Toc73521554"/>
      <w:bookmarkEnd w:id="144"/>
      <w:bookmarkStart w:id="145" w:name="_Toc73517646"/>
      <w:bookmarkEnd w:id="145"/>
      <w:bookmarkStart w:id="146" w:name="_Toc73521644"/>
      <w:bookmarkEnd w:id="146"/>
      <w:bookmarkStart w:id="147" w:name="_Toc73521642"/>
      <w:bookmarkEnd w:id="147"/>
      <w:bookmarkStart w:id="148" w:name="_Toc73518124"/>
      <w:bookmarkEnd w:id="148"/>
      <w:bookmarkStart w:id="149" w:name="_Toc60631627"/>
      <w:bookmarkEnd w:id="149"/>
      <w:bookmarkStart w:id="150" w:name="bt招标文件"/>
      <w:bookmarkEnd w:id="150"/>
      <w:bookmarkStart w:id="151" w:name="_Toc73521556"/>
      <w:bookmarkEnd w:id="151"/>
      <w:bookmarkStart w:id="152" w:name="_Toc100052371"/>
      <w:bookmarkEnd w:id="152"/>
      <w:bookmarkStart w:id="153" w:name="_Toc73518126"/>
      <w:bookmarkEnd w:id="153"/>
      <w:bookmarkStart w:id="154" w:name="_Toc60560632"/>
      <w:bookmarkEnd w:id="154"/>
      <w:bookmarkStart w:id="155" w:name="_Toc101074878"/>
      <w:bookmarkEnd w:id="155"/>
      <w:bookmarkStart w:id="156" w:name="_Toc73517648"/>
      <w:bookmarkEnd w:id="156"/>
      <w:bookmarkStart w:id="157" w:name="_Toc100052373"/>
      <w:bookmarkEnd w:id="157"/>
      <w:r>
        <w:rPr>
          <w:rFonts w:hint="eastAsia" w:ascii="宋体" w:hAnsi="宋体" w:eastAsia="宋体" w:cs="宋体"/>
          <w:color w:val="auto"/>
          <w:sz w:val="21"/>
          <w:szCs w:val="21"/>
          <w:highlight w:val="none"/>
        </w:rPr>
        <w:t>1.5.1</w:t>
      </w:r>
      <w:r>
        <w:rPr>
          <w:rFonts w:hint="eastAsia" w:ascii="宋体" w:hAnsi="宋体" w:cs="宋体"/>
          <w:color w:val="auto"/>
          <w:sz w:val="21"/>
          <w:szCs w:val="21"/>
          <w:highlight w:val="none"/>
          <w:lang w:val="en-US" w:eastAsia="zh-CN"/>
        </w:rPr>
        <w:t>采购活动</w:t>
      </w:r>
      <w:r>
        <w:rPr>
          <w:rFonts w:hint="eastAsia" w:ascii="宋体" w:hAnsi="宋体" w:eastAsia="宋体" w:cs="宋体"/>
          <w:color w:val="auto"/>
          <w:sz w:val="21"/>
          <w:szCs w:val="21"/>
          <w:highlight w:val="none"/>
        </w:rPr>
        <w:t>费用：</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自行承担其准备及</w:t>
      </w:r>
      <w:r>
        <w:rPr>
          <w:rFonts w:hint="eastAsia" w:ascii="宋体" w:hAnsi="宋体" w:cs="宋体"/>
          <w:color w:val="auto"/>
          <w:sz w:val="21"/>
          <w:szCs w:val="21"/>
          <w:highlight w:val="none"/>
          <w:lang w:val="en-US" w:eastAsia="zh-CN"/>
        </w:rPr>
        <w:t>参加采购</w:t>
      </w:r>
      <w:r>
        <w:rPr>
          <w:rFonts w:hint="eastAsia" w:ascii="宋体" w:hAnsi="宋体" w:eastAsia="宋体" w:cs="宋体"/>
          <w:color w:val="auto"/>
          <w:sz w:val="21"/>
          <w:szCs w:val="21"/>
          <w:highlight w:val="none"/>
        </w:rPr>
        <w:t>活动过程中产生的相关费用及风险。</w:t>
      </w:r>
    </w:p>
    <w:p w14:paraId="300EFF9F">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lang w:val="en-US" w:eastAsia="zh-CN"/>
        </w:rPr>
        <w:t>费用承担</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见供应商须知前附表</w:t>
      </w:r>
      <w:r>
        <w:rPr>
          <w:rFonts w:hint="eastAsia" w:ascii="宋体" w:hAnsi="宋体" w:eastAsia="宋体" w:cs="宋体"/>
          <w:color w:val="auto"/>
          <w:kern w:val="0"/>
          <w:sz w:val="21"/>
          <w:szCs w:val="21"/>
          <w:highlight w:val="none"/>
        </w:rPr>
        <w:t>。</w:t>
      </w:r>
    </w:p>
    <w:p w14:paraId="1EB2D15D">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1.6保密</w:t>
      </w:r>
    </w:p>
    <w:p w14:paraId="7751E38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w:t>
      </w:r>
      <w:r>
        <w:rPr>
          <w:rFonts w:hint="eastAsia" w:ascii="宋体" w:hAnsi="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活动的各方应对</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中的商业、技术等秘密保密，违者应对由此造成的后果承担法律责任。</w:t>
      </w:r>
    </w:p>
    <w:p w14:paraId="09BC9A0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1.7语言文字</w:t>
      </w:r>
    </w:p>
    <w:p w14:paraId="270FAD4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使用的语言文字为中文。专用术语使用外文的，应附有中文注释。</w:t>
      </w:r>
    </w:p>
    <w:p w14:paraId="3A2CA2EF">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1.8计量单位</w:t>
      </w:r>
    </w:p>
    <w:p w14:paraId="65FAAFA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7A0576C0">
      <w:pPr>
        <w:spacing w:line="360" w:lineRule="auto"/>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1.9</w:t>
      </w:r>
      <w:r>
        <w:rPr>
          <w:rFonts w:hint="eastAsia" w:ascii="宋体" w:hAnsi="宋体" w:cs="宋体"/>
          <w:b/>
          <w:color w:val="auto"/>
          <w:sz w:val="21"/>
          <w:szCs w:val="21"/>
          <w:highlight w:val="none"/>
          <w:lang w:val="en-US" w:eastAsia="zh-CN"/>
        </w:rPr>
        <w:t>现场考察</w:t>
      </w:r>
    </w:p>
    <w:p w14:paraId="09B2C753">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供应商须知前附表规定组织现场考察的，采购人、采购代理机构按供应商须知前附表规定的时间、地点组织供应商进行现场考察，不得单独或分别组织只有一个供应商参加的现场考察。</w:t>
      </w:r>
    </w:p>
    <w:p w14:paraId="554B0763">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供应商参加现场考察发生的费用自理。</w:t>
      </w:r>
    </w:p>
    <w:p w14:paraId="3A0AE588">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除采购人、采购代理机构的原因外，供应商自行负责在现场考察中所发生的人员伤亡和财产损失。</w:t>
      </w:r>
    </w:p>
    <w:p w14:paraId="60468A4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 采购人、采购代理机构在现场考察中介绍的场地和相关的周边环境情况，仅供供应商在编制响应文件时参考，采购人不对供应商据此作出的判断和决策负责。</w:t>
      </w:r>
    </w:p>
    <w:p w14:paraId="5FB4C077">
      <w:pPr>
        <w:spacing w:line="360" w:lineRule="auto"/>
        <w:jc w:val="left"/>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1.10</w:t>
      </w:r>
      <w:r>
        <w:rPr>
          <w:rFonts w:hint="eastAsia" w:ascii="宋体" w:hAnsi="宋体" w:cs="宋体"/>
          <w:b/>
          <w:color w:val="auto"/>
          <w:sz w:val="21"/>
          <w:szCs w:val="21"/>
          <w:highlight w:val="none"/>
          <w:lang w:val="en-US" w:eastAsia="zh-CN"/>
        </w:rPr>
        <w:t>磋商前答疑会</w:t>
      </w:r>
    </w:p>
    <w:p w14:paraId="03EE971E">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p w14:paraId="0B557693">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供应商须知前附表规定召开磋商前答疑会的，采购人按供应商须知前附表规定的时间和地点召开磋商前答疑会，澄清供应商提出的问题。</w:t>
      </w:r>
    </w:p>
    <w:p w14:paraId="429CF712">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p w14:paraId="7A4E18F8">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仔细阅读和检查竞争性磋商文件的全部内容。如发现缺页或附件不全，应及时向采购人或采购代理机构提出，以便补齐。如有疑问，应在供应商须知前附表规定的时间前以书面形式向采购人或采购代理机构提出，要求对竞争性磋商文件予以澄清。采购人或采购代理机构应当对相关问题向所有潜在供应商统一回复。</w:t>
      </w:r>
    </w:p>
    <w:p w14:paraId="2816D050">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p w14:paraId="02EC6C5F">
      <w:pPr>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采购代理机构在供应商须知前附表规定的时间内，对供应商所提问题作出澄清。采购人或采购代理机构将通过发布本采购公告的同一媒介向所有潜在供应商发布澄清文件，供应商自行登录云南省政府采购电子交易平台获取澄清文件，无须回复确认已收到该澄清文件。澄清内容可能影响响应文件编制的，若距离提交首次响应文件截止时间不足 5 日，采购人、采购代理机构将相应顺延提交首次响应文件的截止时间。</w:t>
      </w:r>
    </w:p>
    <w:p w14:paraId="20F8013D">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1.11分包</w:t>
      </w:r>
    </w:p>
    <w:p w14:paraId="58EDCF8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本项目不允许分包。</w:t>
      </w:r>
    </w:p>
    <w:p w14:paraId="06EAE02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1.12偏离</w:t>
      </w:r>
    </w:p>
    <w:p w14:paraId="0D98AE3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须知前附表允许</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偏离</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某些要求的，偏离应当符合</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规定的偏离范围和幅度。</w:t>
      </w:r>
    </w:p>
    <w:p w14:paraId="03A9EAB2">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eastAsia="zh-CN"/>
        </w:rPr>
      </w:pPr>
      <w:bookmarkStart w:id="158" w:name="_Toc21430"/>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竞争性磋商文件</w:t>
      </w:r>
      <w:bookmarkEnd w:id="158"/>
    </w:p>
    <w:p w14:paraId="15F4DD25">
      <w:pPr>
        <w:spacing w:line="360" w:lineRule="auto"/>
        <w:rPr>
          <w:rFonts w:hint="eastAsia" w:ascii="宋体" w:hAnsi="宋体" w:eastAsia="宋体" w:cs="宋体"/>
          <w:b/>
          <w:color w:val="auto"/>
          <w:sz w:val="21"/>
          <w:szCs w:val="21"/>
          <w:highlight w:val="none"/>
        </w:rPr>
      </w:pPr>
      <w:bookmarkStart w:id="159" w:name="_Toc73521645"/>
      <w:bookmarkEnd w:id="159"/>
      <w:bookmarkStart w:id="160" w:name="_Toc73518127"/>
      <w:bookmarkEnd w:id="160"/>
      <w:bookmarkStart w:id="161" w:name="_Toc100052374"/>
      <w:bookmarkEnd w:id="161"/>
      <w:bookmarkStart w:id="162" w:name="_Toc73521557"/>
      <w:bookmarkEnd w:id="162"/>
      <w:bookmarkStart w:id="163" w:name="_Toc73517649"/>
      <w:bookmarkEnd w:id="163"/>
      <w:r>
        <w:rPr>
          <w:rFonts w:hint="eastAsia" w:ascii="宋体" w:hAnsi="宋体" w:eastAsia="宋体" w:cs="宋体"/>
          <w:b/>
          <w:color w:val="auto"/>
          <w:sz w:val="21"/>
          <w:szCs w:val="21"/>
          <w:highlight w:val="none"/>
        </w:rPr>
        <w:t>2.1</w:t>
      </w:r>
      <w:r>
        <w:rPr>
          <w:rFonts w:hint="eastAsia" w:ascii="宋体" w:hAnsi="宋体" w:eastAsia="宋体" w:cs="宋体"/>
          <w:b/>
          <w:color w:val="auto"/>
          <w:sz w:val="21"/>
          <w:szCs w:val="21"/>
          <w:highlight w:val="none"/>
          <w:lang w:eastAsia="zh-CN"/>
        </w:rPr>
        <w:t>竞争性磋商文件</w:t>
      </w:r>
      <w:r>
        <w:rPr>
          <w:rFonts w:hint="eastAsia" w:ascii="宋体" w:hAnsi="宋体" w:eastAsia="宋体" w:cs="宋体"/>
          <w:b/>
          <w:color w:val="auto"/>
          <w:sz w:val="21"/>
          <w:szCs w:val="21"/>
          <w:highlight w:val="none"/>
        </w:rPr>
        <w:t>的构成</w:t>
      </w:r>
    </w:p>
    <w:p w14:paraId="7895360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2.1.1本</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包括：</w:t>
      </w:r>
    </w:p>
    <w:p w14:paraId="07AF57A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公告</w:t>
      </w:r>
    </w:p>
    <w:p w14:paraId="291867B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p>
    <w:p w14:paraId="7C3B49B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第三章采购需求</w:t>
      </w:r>
    </w:p>
    <w:p w14:paraId="0E1B7A7C">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第四章</w:t>
      </w:r>
      <w:r>
        <w:rPr>
          <w:rFonts w:hint="eastAsia" w:ascii="宋体" w:hAnsi="宋体" w:cs="宋体"/>
          <w:color w:val="auto"/>
          <w:sz w:val="21"/>
          <w:szCs w:val="21"/>
          <w:highlight w:val="none"/>
          <w:lang w:eastAsia="zh-CN"/>
        </w:rPr>
        <w:t>评审办法</w:t>
      </w:r>
    </w:p>
    <w:p w14:paraId="591A2F0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第五章合同主要条款</w:t>
      </w:r>
    </w:p>
    <w:p w14:paraId="49B205D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格式</w:t>
      </w:r>
    </w:p>
    <w:p w14:paraId="128099F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2.1.2根据本章第1.10款、第2.2款和第2.3款对</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所作的澄清、修改，构成</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的组成部分。</w:t>
      </w:r>
    </w:p>
    <w:p w14:paraId="02FF5B8A">
      <w:pPr>
        <w:spacing w:line="360" w:lineRule="auto"/>
        <w:rPr>
          <w:rFonts w:hint="eastAsia" w:ascii="宋体" w:hAnsi="宋体" w:eastAsia="宋体" w:cs="宋体"/>
          <w:b/>
          <w:color w:val="auto"/>
          <w:sz w:val="21"/>
          <w:szCs w:val="21"/>
          <w:highlight w:val="none"/>
        </w:rPr>
      </w:pPr>
      <w:bookmarkStart w:id="164" w:name="bt投标文件"/>
      <w:bookmarkEnd w:id="164"/>
      <w:bookmarkStart w:id="165" w:name="_Toc100052377"/>
      <w:bookmarkEnd w:id="165"/>
      <w:bookmarkStart w:id="166" w:name="_Toc73518130"/>
      <w:bookmarkEnd w:id="166"/>
      <w:bookmarkStart w:id="167" w:name="_Toc73517652"/>
      <w:bookmarkEnd w:id="167"/>
      <w:bookmarkStart w:id="168" w:name="_Toc101074879"/>
      <w:bookmarkEnd w:id="168"/>
      <w:bookmarkStart w:id="169" w:name="_Toc73521560"/>
      <w:bookmarkEnd w:id="169"/>
      <w:bookmarkStart w:id="170" w:name="_Toc73521648"/>
      <w:bookmarkEnd w:id="170"/>
      <w:r>
        <w:rPr>
          <w:rFonts w:hint="eastAsia" w:ascii="宋体" w:hAnsi="宋体" w:eastAsia="宋体" w:cs="宋体"/>
          <w:b/>
          <w:color w:val="auto"/>
          <w:sz w:val="21"/>
          <w:szCs w:val="21"/>
          <w:highlight w:val="none"/>
        </w:rPr>
        <w:t>2.2</w:t>
      </w:r>
      <w:r>
        <w:rPr>
          <w:rFonts w:hint="eastAsia" w:ascii="宋体" w:hAnsi="宋体" w:eastAsia="宋体" w:cs="宋体"/>
          <w:b/>
          <w:color w:val="auto"/>
          <w:sz w:val="21"/>
          <w:szCs w:val="21"/>
          <w:highlight w:val="none"/>
          <w:lang w:eastAsia="zh-CN"/>
        </w:rPr>
        <w:t>竞争性磋商文件</w:t>
      </w:r>
      <w:r>
        <w:rPr>
          <w:rFonts w:hint="eastAsia" w:ascii="宋体" w:hAnsi="宋体" w:eastAsia="宋体" w:cs="宋体"/>
          <w:b/>
          <w:color w:val="auto"/>
          <w:sz w:val="21"/>
          <w:szCs w:val="21"/>
          <w:highlight w:val="none"/>
        </w:rPr>
        <w:t>的澄清</w:t>
      </w:r>
    </w:p>
    <w:p w14:paraId="72FD6657">
      <w:pPr>
        <w:spacing w:line="360" w:lineRule="auto"/>
        <w:ind w:firstLine="420" w:firstLineChars="200"/>
        <w:jc w:val="left"/>
        <w:rPr>
          <w:rFonts w:hint="eastAsia" w:ascii="宋体" w:hAnsi="宋体" w:eastAsia="宋体" w:cs="宋体"/>
          <w:color w:val="auto"/>
          <w:sz w:val="21"/>
          <w:szCs w:val="21"/>
          <w:highlight w:val="none"/>
        </w:rPr>
      </w:pPr>
      <w:bookmarkStart w:id="171" w:name="_Toc212454764"/>
      <w:bookmarkStart w:id="172" w:name="_Toc216241321"/>
      <w:bookmarkStart w:id="173" w:name="_Toc211937208"/>
      <w:bookmarkStart w:id="174" w:name="_Toc207014593"/>
      <w:bookmarkStart w:id="175" w:name="_Toc201650349"/>
      <w:bookmarkStart w:id="176" w:name="_Toc176768469"/>
      <w:bookmarkStart w:id="177" w:name="_Toc266870874"/>
      <w:bookmarkStart w:id="178" w:name="_Toc195590126"/>
      <w:bookmarkStart w:id="179" w:name="_Toc267060175"/>
      <w:bookmarkStart w:id="180" w:name="_Toc235438313"/>
      <w:bookmarkStart w:id="181" w:name="_Toc236021418"/>
      <w:bookmarkStart w:id="182" w:name="_Toc160880130"/>
      <w:bookmarkStart w:id="183" w:name="_Toc198032439"/>
      <w:bookmarkStart w:id="184" w:name="_Toc259692613"/>
      <w:bookmarkStart w:id="185" w:name="_Toc251586200"/>
      <w:bookmarkStart w:id="186" w:name="_Toc176153268"/>
      <w:bookmarkStart w:id="187" w:name="_Toc202322071"/>
      <w:bookmarkStart w:id="188" w:name="_Toc227058500"/>
      <w:bookmarkStart w:id="189" w:name="_Toc201650492"/>
      <w:bookmarkStart w:id="190" w:name="_Toc212526093"/>
      <w:bookmarkStart w:id="191" w:name="_Toc212456157"/>
      <w:bookmarkStart w:id="192" w:name="_Toc193885968"/>
      <w:bookmarkStart w:id="193" w:name="_Toc223146577"/>
      <w:bookmarkStart w:id="194" w:name="_Toc430490613"/>
      <w:bookmarkStart w:id="195" w:name="_Toc259692706"/>
      <w:bookmarkStart w:id="196" w:name="_Toc198351827"/>
      <w:bookmarkStart w:id="197" w:name="_Toc251613797"/>
      <w:bookmarkStart w:id="198" w:name="_Toc201650170"/>
      <w:bookmarkStart w:id="199" w:name="_Toc166642243"/>
      <w:bookmarkStart w:id="200" w:name="_Toc430489120"/>
      <w:bookmarkStart w:id="201" w:name="_Toc160961030"/>
      <w:bookmarkStart w:id="202" w:name="_Toc194304666"/>
      <w:bookmarkStart w:id="203" w:name="_Toc258401223"/>
      <w:bookmarkStart w:id="204" w:name="_Toc235438243"/>
      <w:bookmarkStart w:id="205" w:name="_Toc193886215"/>
      <w:bookmarkStart w:id="206" w:name="_Toc174779979"/>
      <w:bookmarkStart w:id="207" w:name="_Toc430488852"/>
      <w:bookmarkStart w:id="208" w:name="_Toc430492127"/>
      <w:bookmarkStart w:id="209" w:name="_Toc415567498"/>
      <w:bookmarkStart w:id="210" w:name="_Toc198109233"/>
      <w:bookmarkStart w:id="211" w:name="_Toc212530265"/>
      <w:bookmarkStart w:id="212" w:name="_Toc198109122"/>
      <w:bookmarkStart w:id="213" w:name="_Toc201650234"/>
      <w:bookmarkStart w:id="214" w:name="_Toc249325680"/>
      <w:bookmarkStart w:id="215" w:name="_Toc430422414"/>
      <w:bookmarkStart w:id="216" w:name="_Toc267060035"/>
      <w:bookmarkStart w:id="217" w:name="_Toc254790864"/>
      <w:bookmarkStart w:id="218" w:name="_Toc235437961"/>
      <w:bookmarkStart w:id="219" w:name="_Toc430488645"/>
      <w:bookmarkStart w:id="220" w:name="_Toc169329928"/>
      <w:bookmarkStart w:id="221" w:name="_Toc255974975"/>
      <w:bookmarkStart w:id="222" w:name="_Toc217891371"/>
      <w:bookmarkStart w:id="223" w:name="_Toc253066582"/>
      <w:bookmarkStart w:id="224" w:name="_Toc219800212"/>
      <w:bookmarkStart w:id="225" w:name="_Toc163018777"/>
      <w:bookmarkStart w:id="226" w:name="_Toc267060420"/>
      <w:bookmarkStart w:id="227" w:name="_Toc259520832"/>
      <w:bookmarkStart w:id="228" w:name="_Toc225669292"/>
      <w:bookmarkStart w:id="229" w:name="_Toc163018859"/>
      <w:bookmarkStart w:id="230" w:name="_Toc266870399"/>
      <w:bookmarkStart w:id="231" w:name="_Toc266868637"/>
      <w:r>
        <w:rPr>
          <w:rFonts w:hint="eastAsia" w:ascii="宋体" w:hAnsi="宋体" w:eastAsia="宋体" w:cs="宋体"/>
          <w:color w:val="auto"/>
          <w:sz w:val="21"/>
          <w:szCs w:val="21"/>
          <w:highlight w:val="none"/>
        </w:rPr>
        <w:t>2.2.1同1.10.2的时间要求。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应仔细阅读和检查</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的全部内容。如发现缺页或附件不全，应及时向采购人或采购代理机构提出，以便补齐。如有疑问，应在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须知前附表规定的时间</w:t>
      </w:r>
      <w:r>
        <w:rPr>
          <w:rFonts w:hint="eastAsia" w:ascii="宋体" w:hAnsi="宋体" w:cs="宋体"/>
          <w:color w:val="auto"/>
          <w:sz w:val="21"/>
          <w:szCs w:val="21"/>
          <w:highlight w:val="none"/>
          <w:lang w:eastAsia="zh-CN"/>
        </w:rPr>
        <w:t>前</w:t>
      </w:r>
      <w:r>
        <w:rPr>
          <w:rFonts w:hint="eastAsia" w:ascii="宋体" w:hAnsi="宋体" w:eastAsia="宋体" w:cs="宋体"/>
          <w:color w:val="auto"/>
          <w:sz w:val="21"/>
          <w:szCs w:val="21"/>
          <w:highlight w:val="none"/>
        </w:rPr>
        <w:t>以书面形式向采购人提出，要求采购人对</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予以澄清。</w:t>
      </w:r>
    </w:p>
    <w:p w14:paraId="014A90B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r>
        <w:rPr>
          <w:rFonts w:hint="eastAsia" w:ascii="宋体" w:hAnsi="宋体" w:cs="宋体"/>
          <w:color w:val="auto"/>
          <w:sz w:val="21"/>
          <w:szCs w:val="21"/>
          <w:highlight w:val="none"/>
          <w:lang w:val="en-US" w:eastAsia="zh-CN"/>
        </w:rPr>
        <w:t>响应文件递交</w:t>
      </w:r>
      <w:r>
        <w:rPr>
          <w:rFonts w:hint="eastAsia" w:ascii="宋体" w:hAnsi="宋体" w:eastAsia="宋体" w:cs="宋体"/>
          <w:color w:val="auto"/>
          <w:sz w:val="21"/>
          <w:szCs w:val="21"/>
          <w:highlight w:val="none"/>
        </w:rPr>
        <w:t>截止时间：见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7F92BD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自行登录</w:t>
      </w:r>
      <w:r>
        <w:rPr>
          <w:rFonts w:hint="eastAsia" w:ascii="宋体" w:hAnsi="宋体" w:cs="宋体"/>
          <w:color w:val="auto"/>
          <w:sz w:val="21"/>
          <w:szCs w:val="21"/>
          <w:highlight w:val="none"/>
          <w:u w:val="none"/>
          <w:lang w:val="en-US" w:eastAsia="zh-CN"/>
        </w:rPr>
        <w:t>云南省政府采购电子交易平台</w:t>
      </w:r>
      <w:r>
        <w:rPr>
          <w:rFonts w:hint="eastAsia" w:ascii="宋体" w:hAnsi="宋体" w:eastAsia="宋体" w:cs="宋体"/>
          <w:color w:val="auto"/>
          <w:sz w:val="21"/>
          <w:szCs w:val="21"/>
          <w:highlight w:val="none"/>
        </w:rPr>
        <w:t>获取澄清，无须回复确认已收到该澄清。</w:t>
      </w:r>
    </w:p>
    <w:p w14:paraId="469150B5">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w:t>
      </w:r>
      <w:r>
        <w:rPr>
          <w:rFonts w:hint="eastAsia" w:ascii="宋体" w:hAnsi="宋体" w:eastAsia="宋体" w:cs="宋体"/>
          <w:b/>
          <w:color w:val="auto"/>
          <w:sz w:val="21"/>
          <w:szCs w:val="21"/>
          <w:highlight w:val="none"/>
          <w:lang w:eastAsia="zh-CN"/>
        </w:rPr>
        <w:t>竞争性磋商文件</w:t>
      </w:r>
      <w:r>
        <w:rPr>
          <w:rFonts w:hint="eastAsia" w:ascii="宋体" w:hAnsi="宋体" w:eastAsia="宋体" w:cs="宋体"/>
          <w:b/>
          <w:color w:val="auto"/>
          <w:sz w:val="21"/>
          <w:szCs w:val="21"/>
          <w:highlight w:val="none"/>
        </w:rPr>
        <w:t>的修改</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2BCB0FF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6A607E7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自行登录</w:t>
      </w:r>
      <w:r>
        <w:rPr>
          <w:rFonts w:hint="eastAsia" w:ascii="宋体" w:hAnsi="宋体" w:cs="宋体"/>
          <w:color w:val="auto"/>
          <w:sz w:val="21"/>
          <w:szCs w:val="21"/>
          <w:highlight w:val="none"/>
          <w:u w:val="none"/>
          <w:lang w:val="en-US" w:eastAsia="zh-CN"/>
        </w:rPr>
        <w:t>云南省政府采购电子交易平台</w:t>
      </w:r>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，无须回复确认已收到该</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w:t>
      </w:r>
    </w:p>
    <w:p w14:paraId="3875952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澄清、</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修改文件内容均以</w:t>
      </w:r>
      <w:r>
        <w:rPr>
          <w:rFonts w:hint="eastAsia" w:ascii="宋体" w:hAnsi="宋体" w:eastAsia="宋体" w:cs="宋体"/>
          <w:color w:val="auto"/>
          <w:sz w:val="21"/>
          <w:szCs w:val="21"/>
          <w:highlight w:val="none"/>
          <w:lang w:val="en-US" w:eastAsia="zh-CN"/>
        </w:rPr>
        <w:t>采购人签字或盖章后</w:t>
      </w:r>
      <w:r>
        <w:rPr>
          <w:rFonts w:hint="eastAsia" w:ascii="宋体" w:hAnsi="宋体" w:eastAsia="宋体" w:cs="宋体"/>
          <w:color w:val="auto"/>
          <w:sz w:val="21"/>
          <w:szCs w:val="21"/>
          <w:highlight w:val="none"/>
        </w:rPr>
        <w:t>发布的为准，当</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澄清、</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修改文件内容相互矛盾时，以最后发出的为准。</w:t>
      </w:r>
    </w:p>
    <w:p w14:paraId="69213ADC">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1"/>
          <w:szCs w:val="21"/>
          <w:highlight w:val="none"/>
          <w:lang w:val="en-US" w:eastAsia="zh-CN"/>
        </w:rPr>
      </w:pPr>
      <w:bookmarkStart w:id="232" w:name="_Toc3271"/>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响应文件</w:t>
      </w:r>
      <w:bookmarkEnd w:id="232"/>
    </w:p>
    <w:p w14:paraId="4F747079">
      <w:pPr>
        <w:spacing w:line="360" w:lineRule="auto"/>
        <w:rPr>
          <w:rFonts w:hint="eastAsia" w:ascii="宋体" w:hAnsi="宋体" w:eastAsia="宋体" w:cs="宋体"/>
          <w:b/>
          <w:color w:val="auto"/>
          <w:sz w:val="21"/>
          <w:szCs w:val="21"/>
          <w:highlight w:val="none"/>
        </w:rPr>
      </w:pPr>
      <w:bookmarkStart w:id="233" w:name="_Toc60560639"/>
      <w:bookmarkEnd w:id="233"/>
      <w:bookmarkStart w:id="234" w:name="_Toc60631634"/>
      <w:bookmarkEnd w:id="234"/>
      <w:bookmarkStart w:id="235" w:name="_Toc100052378"/>
      <w:bookmarkEnd w:id="235"/>
      <w:bookmarkStart w:id="236" w:name="_Toc73517653"/>
      <w:bookmarkEnd w:id="236"/>
      <w:bookmarkStart w:id="237" w:name="_Toc73521561"/>
      <w:bookmarkEnd w:id="237"/>
      <w:bookmarkStart w:id="238" w:name="_Toc73518131"/>
      <w:bookmarkEnd w:id="238"/>
      <w:bookmarkStart w:id="239" w:name="_Toc73521649"/>
      <w:bookmarkEnd w:id="239"/>
      <w:r>
        <w:rPr>
          <w:rFonts w:hint="eastAsia" w:ascii="宋体" w:hAnsi="宋体" w:eastAsia="宋体" w:cs="宋体"/>
          <w:b/>
          <w:color w:val="auto"/>
          <w:sz w:val="21"/>
          <w:szCs w:val="21"/>
          <w:highlight w:val="none"/>
        </w:rPr>
        <w:t>3.1</w:t>
      </w:r>
      <w:r>
        <w:rPr>
          <w:rFonts w:hint="eastAsia" w:ascii="宋体" w:hAnsi="宋体" w:eastAsia="宋体" w:cs="宋体"/>
          <w:b/>
          <w:color w:val="auto"/>
          <w:sz w:val="21"/>
          <w:szCs w:val="21"/>
          <w:highlight w:val="none"/>
          <w:lang w:eastAsia="zh-CN"/>
        </w:rPr>
        <w:t>响应文件</w:t>
      </w:r>
      <w:r>
        <w:rPr>
          <w:rFonts w:hint="eastAsia" w:ascii="宋体" w:hAnsi="宋体" w:eastAsia="宋体" w:cs="宋体"/>
          <w:b/>
          <w:color w:val="auto"/>
          <w:sz w:val="21"/>
          <w:szCs w:val="21"/>
          <w:highlight w:val="none"/>
        </w:rPr>
        <w:t>的组成</w:t>
      </w:r>
    </w:p>
    <w:p w14:paraId="357E978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应包括下列内容</w:t>
      </w:r>
      <w:r>
        <w:rPr>
          <w:rFonts w:hint="eastAsia" w:ascii="宋体" w:hAnsi="宋体" w:cs="宋体"/>
          <w:color w:val="auto"/>
          <w:sz w:val="21"/>
          <w:szCs w:val="21"/>
          <w:highlight w:val="none"/>
          <w:lang w:eastAsia="zh-CN"/>
        </w:rPr>
        <w:t>：</w:t>
      </w:r>
    </w:p>
    <w:p w14:paraId="5803334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函；</w:t>
      </w:r>
    </w:p>
    <w:p w14:paraId="05A91281">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报价表</w:t>
      </w:r>
      <w:r>
        <w:rPr>
          <w:rFonts w:hint="eastAsia" w:ascii="宋体" w:hAnsi="宋体" w:eastAsia="宋体" w:cs="宋体"/>
          <w:color w:val="auto"/>
          <w:sz w:val="21"/>
          <w:szCs w:val="21"/>
          <w:highlight w:val="none"/>
          <w:lang w:eastAsia="zh-CN"/>
        </w:rPr>
        <w:t>；</w:t>
      </w:r>
    </w:p>
    <w:p w14:paraId="2AB0F89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法定代表人身份证明或附有法定代表人身份证明的授权委托书；</w:t>
      </w:r>
    </w:p>
    <w:p w14:paraId="5A397E4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中小企业声明函、残疾人福利性单位声明函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、监狱企业</w:t>
      </w:r>
      <w:r>
        <w:rPr>
          <w:rFonts w:hint="eastAsia" w:ascii="宋体" w:hAnsi="宋体" w:eastAsia="宋体" w:cs="宋体"/>
          <w:color w:val="auto"/>
          <w:sz w:val="21"/>
          <w:szCs w:val="21"/>
          <w:highlight w:val="none"/>
          <w:lang w:val="en-US" w:eastAsia="zh-CN"/>
        </w:rPr>
        <w:t>证明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720AA49">
      <w:pPr>
        <w:spacing w:line="360" w:lineRule="auto"/>
        <w:ind w:firstLine="420" w:firstLineChars="20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资格审查资料；</w:t>
      </w:r>
    </w:p>
    <w:p w14:paraId="50FB2C7A">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项目管理机构；</w:t>
      </w:r>
    </w:p>
    <w:p w14:paraId="1AA10C96">
      <w:p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类似项目情况表；</w:t>
      </w:r>
    </w:p>
    <w:p w14:paraId="03C2C33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技术</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w:t>
      </w:r>
    </w:p>
    <w:p w14:paraId="47F50C62">
      <w:pPr>
        <w:spacing w:line="360" w:lineRule="auto"/>
        <w:ind w:firstLine="420" w:firstLineChars="200"/>
        <w:jc w:val="left"/>
        <w:rPr>
          <w:rFonts w:hint="eastAsia" w:ascii="宋体" w:hAnsi="宋体" w:eastAsia="宋体" w:cs="宋体"/>
          <w:color w:val="auto"/>
          <w:sz w:val="21"/>
          <w:szCs w:val="21"/>
          <w:highlight w:val="yellow"/>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其他</w:t>
      </w:r>
      <w:r>
        <w:rPr>
          <w:rFonts w:hint="eastAsia" w:ascii="宋体" w:hAnsi="宋体" w:eastAsia="宋体" w:cs="宋体"/>
          <w:color w:val="auto"/>
          <w:sz w:val="21"/>
          <w:szCs w:val="21"/>
          <w:highlight w:val="none"/>
        </w:rPr>
        <w:t>材料。</w:t>
      </w:r>
    </w:p>
    <w:p w14:paraId="130D5E0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须知前附表规定不接受联合体</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的，或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没有组成联合体的，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不包括本章所指的联合体协议书。</w:t>
      </w:r>
    </w:p>
    <w:p w14:paraId="1146903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须知前附表未要求提交</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文件不包括</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w:t>
      </w:r>
    </w:p>
    <w:p w14:paraId="283891F2">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3.2</w:t>
      </w:r>
      <w:r>
        <w:rPr>
          <w:rFonts w:hint="eastAsia" w:ascii="宋体" w:hAnsi="宋体" w:cs="宋体"/>
          <w:b/>
          <w:color w:val="auto"/>
          <w:sz w:val="21"/>
          <w:szCs w:val="21"/>
          <w:highlight w:val="none"/>
          <w:lang w:eastAsia="zh-CN"/>
        </w:rPr>
        <w:t>响应报价</w:t>
      </w:r>
    </w:p>
    <w:p w14:paraId="3F3ACC6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r>
        <w:rPr>
          <w:rFonts w:hint="eastAsia" w:ascii="宋体" w:hAnsi="宋体" w:cs="宋体"/>
          <w:color w:val="auto"/>
          <w:sz w:val="21"/>
          <w:szCs w:val="21"/>
          <w:highlight w:val="none"/>
          <w:lang w:eastAsia="zh-CN"/>
        </w:rPr>
        <w:t>响应报价</w:t>
      </w:r>
      <w:r>
        <w:rPr>
          <w:rFonts w:hint="eastAsia" w:ascii="宋体" w:hAnsi="宋体" w:eastAsia="宋体" w:cs="宋体"/>
          <w:color w:val="auto"/>
          <w:sz w:val="21"/>
          <w:szCs w:val="21"/>
          <w:highlight w:val="none"/>
        </w:rPr>
        <w:t>应以人民币报价。</w:t>
      </w:r>
    </w:p>
    <w:p w14:paraId="0D8778F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响应报价应包括国家规定的增值税税金，除供应商须知前附表另有规定外，增值税税金按一般计税方法计算。供应商应按第六章 “响应文件格式” 的要求在报价表中进行报价并填写分项报价表。</w:t>
      </w:r>
    </w:p>
    <w:p w14:paraId="7E07AE0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供应商须就采购需求中的全部内容作完整报价，供应商响应报价高于最高限价的，其响应无效。</w:t>
      </w:r>
    </w:p>
    <w:p w14:paraId="27EF206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结合</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、市场行情及自身情况自行报价。</w:t>
      </w:r>
    </w:p>
    <w:p w14:paraId="717EEE0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w:t>
      </w:r>
      <w:r>
        <w:rPr>
          <w:rFonts w:hint="eastAsia" w:ascii="宋体" w:hAnsi="宋体" w:cs="宋体"/>
          <w:color w:val="auto"/>
          <w:sz w:val="21"/>
          <w:szCs w:val="21"/>
          <w:highlight w:val="none"/>
          <w:lang w:val="en-US" w:eastAsia="zh-CN"/>
        </w:rPr>
        <w:t>最高限价</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172A24F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3.2.6付款方式：见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2295EA6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3.2.7本采购项目不保证最低报价的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一定成为成交供应商，也不解释其原因。</w:t>
      </w:r>
    </w:p>
    <w:p w14:paraId="71BE64D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3.2.8</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应充分了解该项目的总体情况以及影响</w:t>
      </w:r>
      <w:r>
        <w:rPr>
          <w:rFonts w:hint="eastAsia" w:ascii="宋体" w:hAnsi="宋体" w:cs="宋体"/>
          <w:color w:val="auto"/>
          <w:sz w:val="21"/>
          <w:szCs w:val="21"/>
          <w:highlight w:val="none"/>
          <w:lang w:eastAsia="zh-CN"/>
        </w:rPr>
        <w:t>响应报价</w:t>
      </w:r>
      <w:r>
        <w:rPr>
          <w:rFonts w:hint="eastAsia" w:ascii="宋体" w:hAnsi="宋体" w:eastAsia="宋体" w:cs="宋体"/>
          <w:color w:val="auto"/>
          <w:sz w:val="21"/>
          <w:szCs w:val="21"/>
          <w:highlight w:val="none"/>
        </w:rPr>
        <w:t>的其他要素。</w:t>
      </w:r>
    </w:p>
    <w:p w14:paraId="6649BBDC">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3.3</w:t>
      </w:r>
      <w:r>
        <w:rPr>
          <w:rFonts w:hint="eastAsia" w:ascii="宋体" w:hAnsi="宋体" w:cs="宋体"/>
          <w:b/>
          <w:color w:val="auto"/>
          <w:sz w:val="21"/>
          <w:szCs w:val="21"/>
          <w:highlight w:val="none"/>
          <w:lang w:eastAsia="zh-CN"/>
        </w:rPr>
        <w:t>响应有效期</w:t>
      </w:r>
    </w:p>
    <w:p w14:paraId="14B7363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须知前附表另有规定外，</w:t>
      </w:r>
      <w:r>
        <w:rPr>
          <w:rFonts w:hint="eastAsia" w:ascii="宋体" w:hAnsi="宋体" w:cs="宋体"/>
          <w:color w:val="auto"/>
          <w:sz w:val="21"/>
          <w:szCs w:val="21"/>
          <w:highlight w:val="none"/>
          <w:lang w:eastAsia="zh-CN"/>
        </w:rPr>
        <w:t>响应有效期</w:t>
      </w:r>
      <w:r>
        <w:rPr>
          <w:rFonts w:hint="eastAsia" w:ascii="宋体" w:hAnsi="宋体" w:eastAsia="宋体" w:cs="宋体"/>
          <w:color w:val="auto"/>
          <w:sz w:val="21"/>
          <w:szCs w:val="21"/>
          <w:highlight w:val="none"/>
        </w:rPr>
        <w:t>为提交首次响应文件截止之日起90日历天。</w:t>
      </w:r>
    </w:p>
    <w:p w14:paraId="3B4D240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3.3.2在</w:t>
      </w:r>
      <w:r>
        <w:rPr>
          <w:rFonts w:hint="eastAsia" w:ascii="宋体" w:hAnsi="宋体" w:cs="宋体"/>
          <w:color w:val="auto"/>
          <w:sz w:val="21"/>
          <w:szCs w:val="21"/>
          <w:highlight w:val="none"/>
          <w:lang w:eastAsia="zh-CN"/>
        </w:rPr>
        <w:t>响应有效期</w:t>
      </w:r>
      <w:r>
        <w:rPr>
          <w:rFonts w:hint="eastAsia" w:ascii="宋体" w:hAnsi="宋体" w:eastAsia="宋体" w:cs="宋体"/>
          <w:color w:val="auto"/>
          <w:sz w:val="21"/>
          <w:szCs w:val="21"/>
          <w:highlight w:val="none"/>
        </w:rPr>
        <w:t>内，</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撤销或修改其</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的，应承担</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和法律规定的责任。</w:t>
      </w:r>
    </w:p>
    <w:p w14:paraId="243C2EF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出现特殊情况需要延长响应有效期的，采购人、采购代理机构以书面形式通知所有供应商延长响应有效期。供应商同意延长的，应相应延长其磋商保证金的有效期，但不得要求或被允许修改、撤销其响应文件；供应商拒绝延长的，其响应失效，但供应商有权收回其磋商保证金。</w:t>
      </w:r>
    </w:p>
    <w:p w14:paraId="3992BDE8">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3.4</w:t>
      </w:r>
      <w:r>
        <w:rPr>
          <w:rFonts w:hint="eastAsia" w:ascii="宋体" w:hAnsi="宋体" w:eastAsia="宋体" w:cs="宋体"/>
          <w:b/>
          <w:color w:val="auto"/>
          <w:sz w:val="21"/>
          <w:szCs w:val="21"/>
          <w:highlight w:val="none"/>
          <w:lang w:val="en-US" w:eastAsia="zh-CN"/>
        </w:rPr>
        <w:t>磋商</w:t>
      </w:r>
      <w:r>
        <w:rPr>
          <w:rFonts w:hint="eastAsia" w:ascii="宋体" w:hAnsi="宋体" w:eastAsia="宋体" w:cs="宋体"/>
          <w:b/>
          <w:color w:val="auto"/>
          <w:sz w:val="21"/>
          <w:szCs w:val="21"/>
          <w:highlight w:val="none"/>
        </w:rPr>
        <w:t>保证金</w:t>
      </w:r>
    </w:p>
    <w:p w14:paraId="25996F1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4C1B2FE2">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3.4.2有下列情形之一的，磋商保证金不予退还：</w:t>
      </w:r>
    </w:p>
    <w:p w14:paraId="48830F16">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（1）供应商在提交响应文件截止时间后撤回响应文件的；</w:t>
      </w:r>
    </w:p>
    <w:p w14:paraId="7901FE61">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（2）供应商在响应文件中提供虚假材料的；</w:t>
      </w:r>
    </w:p>
    <w:p w14:paraId="1AF5F894">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（3）除因不可抗力或磋商文件认可的情形以外，成交供应商不与采购人签订合同的；</w:t>
      </w:r>
    </w:p>
    <w:p w14:paraId="7CDB30B1">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（4）供应商与采购人、其他供应商或者采购代理机构恶意串通的；</w:t>
      </w:r>
    </w:p>
    <w:p w14:paraId="1DB559B7">
      <w:pPr>
        <w:spacing w:line="360" w:lineRule="auto"/>
        <w:ind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（5）磋商文件规定的其他情形。</w:t>
      </w:r>
    </w:p>
    <w:p w14:paraId="7122EB3C">
      <w:pPr>
        <w:tabs>
          <w:tab w:val="left" w:pos="5220"/>
        </w:tabs>
        <w:spacing w:line="360" w:lineRule="auto"/>
        <w:rPr>
          <w:rFonts w:hint="eastAsia" w:ascii="宋体" w:hAnsi="宋体" w:eastAsia="宋体" w:cs="宋体"/>
          <w:b/>
          <w:color w:val="auto"/>
          <w:sz w:val="21"/>
          <w:szCs w:val="21"/>
          <w:highlight w:val="none"/>
        </w:rPr>
      </w:pPr>
      <w:bookmarkStart w:id="240" w:name="_Toc73517654"/>
      <w:bookmarkEnd w:id="240"/>
      <w:bookmarkStart w:id="241" w:name="_Toc73521562"/>
      <w:bookmarkEnd w:id="241"/>
      <w:bookmarkStart w:id="242" w:name="_Toc60560640"/>
      <w:bookmarkEnd w:id="242"/>
      <w:bookmarkStart w:id="243" w:name="_Toc60631635"/>
      <w:bookmarkEnd w:id="243"/>
      <w:bookmarkStart w:id="244" w:name="_Toc73518132"/>
      <w:bookmarkEnd w:id="244"/>
      <w:bookmarkStart w:id="245" w:name="_Toc100052379"/>
      <w:bookmarkEnd w:id="245"/>
      <w:bookmarkStart w:id="246" w:name="_Toc73521650"/>
      <w:bookmarkEnd w:id="246"/>
      <w:r>
        <w:rPr>
          <w:rFonts w:hint="eastAsia" w:ascii="宋体" w:hAnsi="宋体" w:eastAsia="宋体" w:cs="宋体"/>
          <w:b/>
          <w:color w:val="auto"/>
          <w:sz w:val="21"/>
          <w:szCs w:val="21"/>
          <w:highlight w:val="none"/>
        </w:rPr>
        <w:t>3.5资格审查资料</w:t>
      </w:r>
    </w:p>
    <w:p w14:paraId="7E959F3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5B48CD81">
      <w:pPr>
        <w:tabs>
          <w:tab w:val="left" w:pos="5220"/>
          <w:tab w:val="left" w:pos="7980"/>
        </w:tabs>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3.6备选</w:t>
      </w:r>
      <w:r>
        <w:rPr>
          <w:rFonts w:hint="eastAsia" w:ascii="宋体" w:hAnsi="宋体" w:cs="宋体"/>
          <w:b/>
          <w:color w:val="auto"/>
          <w:sz w:val="21"/>
          <w:szCs w:val="21"/>
          <w:highlight w:val="none"/>
          <w:lang w:val="en-US" w:eastAsia="zh-CN"/>
        </w:rPr>
        <w:t>响应</w:t>
      </w:r>
      <w:r>
        <w:rPr>
          <w:rFonts w:hint="eastAsia" w:ascii="宋体" w:hAnsi="宋体" w:eastAsia="宋体" w:cs="宋体"/>
          <w:b/>
          <w:color w:val="auto"/>
          <w:sz w:val="21"/>
          <w:szCs w:val="21"/>
          <w:highlight w:val="none"/>
        </w:rPr>
        <w:t>方案</w:t>
      </w:r>
    </w:p>
    <w:p w14:paraId="6486704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供应商须知前附表另有规定外，供应商不得递交备选响应方案。如允许供应商递交备选响应方案的，仅成交供应商所提交的备选响应方案方可予以评审考虑。磋商小组经评审认为成交供应商的备选响应方案，优于其按照本竞争性磋商文件要求编制的主响应方案的，采购人可以选择接受该备选响应方案。</w:t>
      </w:r>
    </w:p>
    <w:p w14:paraId="136B9B23">
      <w:pPr>
        <w:tabs>
          <w:tab w:val="left" w:pos="5220"/>
          <w:tab w:val="left" w:pos="7980"/>
        </w:tabs>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3.7</w:t>
      </w:r>
      <w:r>
        <w:rPr>
          <w:rFonts w:hint="eastAsia" w:ascii="宋体" w:hAnsi="宋体" w:eastAsia="宋体" w:cs="宋体"/>
          <w:b/>
          <w:color w:val="auto"/>
          <w:sz w:val="21"/>
          <w:szCs w:val="21"/>
          <w:highlight w:val="none"/>
          <w:lang w:eastAsia="zh-CN"/>
        </w:rPr>
        <w:t>响应文件</w:t>
      </w:r>
      <w:r>
        <w:rPr>
          <w:rFonts w:hint="eastAsia" w:ascii="宋体" w:hAnsi="宋体" w:eastAsia="宋体" w:cs="宋体"/>
          <w:b/>
          <w:color w:val="auto"/>
          <w:sz w:val="21"/>
          <w:szCs w:val="21"/>
          <w:highlight w:val="none"/>
        </w:rPr>
        <w:t>的编制</w:t>
      </w:r>
    </w:p>
    <w:bookmarkEnd w:id="140"/>
    <w:bookmarkEnd w:id="141"/>
    <w:bookmarkEnd w:id="142"/>
    <w:bookmarkEnd w:id="143"/>
    <w:p w14:paraId="01C7E7B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r>
        <w:rPr>
          <w:rFonts w:hint="eastAsia" w:ascii="宋体" w:hAnsi="宋体" w:eastAsia="宋体" w:cs="宋体"/>
          <w:color w:val="auto"/>
          <w:sz w:val="21"/>
          <w:szCs w:val="21"/>
          <w:highlight w:val="none"/>
          <w:lang w:val="en-US" w:eastAsia="zh-CN"/>
        </w:rPr>
        <w:t>及第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lang w:val="en-US" w:eastAsia="zh-CN"/>
        </w:rPr>
        <w:t>章响应文件格式。</w:t>
      </w:r>
    </w:p>
    <w:p w14:paraId="2CEC73B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3.7.2如</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提交的标书不符合3.7.1要求或</w:t>
      </w:r>
      <w:r>
        <w:rPr>
          <w:rFonts w:hint="eastAsia" w:ascii="宋体" w:hAnsi="宋体" w:eastAsia="宋体" w:cs="宋体"/>
          <w:color w:val="auto"/>
          <w:sz w:val="21"/>
          <w:szCs w:val="21"/>
          <w:highlight w:val="none"/>
          <w:lang w:val="en-US" w:eastAsia="zh-CN"/>
        </w:rPr>
        <w:t>未密封的</w:t>
      </w:r>
      <w:r>
        <w:rPr>
          <w:rFonts w:hint="eastAsia" w:ascii="宋体" w:hAnsi="宋体" w:eastAsia="宋体" w:cs="宋体"/>
          <w:color w:val="auto"/>
          <w:sz w:val="21"/>
          <w:szCs w:val="21"/>
          <w:highlight w:val="none"/>
        </w:rPr>
        <w:t>，其</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将不予受理。</w:t>
      </w:r>
    </w:p>
    <w:p w14:paraId="022F3A0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应当对</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有关</w:t>
      </w:r>
      <w:r>
        <w:rPr>
          <w:rFonts w:hint="eastAsia" w:ascii="宋体" w:hAnsi="宋体" w:cs="宋体"/>
          <w:color w:val="auto"/>
          <w:sz w:val="21"/>
          <w:szCs w:val="21"/>
          <w:highlight w:val="none"/>
          <w:lang w:val="en-US" w:eastAsia="zh-CN"/>
        </w:rPr>
        <w:t>合同履行期限</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响应有效期</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、采购内容及技术要求等实质性内容作出响应。</w:t>
      </w:r>
    </w:p>
    <w:p w14:paraId="6441B81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lang w:val="en-US" w:eastAsia="zh-CN"/>
        </w:rPr>
        <w:t>的签署</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3D6203E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3.7.5</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的递交：见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353065F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3.7.6</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密封要求：见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7AAC5C07">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1"/>
          <w:szCs w:val="21"/>
          <w:highlight w:val="none"/>
          <w:lang w:val="en-US" w:eastAsia="zh-CN"/>
        </w:rPr>
      </w:pPr>
      <w:bookmarkStart w:id="247" w:name="_Toc838"/>
      <w:r>
        <w:rPr>
          <w:rFonts w:hint="eastAsia" w:ascii="宋体" w:hAnsi="宋体" w:eastAsia="宋体" w:cs="宋体"/>
          <w:color w:val="auto"/>
          <w:sz w:val="21"/>
          <w:szCs w:val="21"/>
          <w:highlight w:val="none"/>
        </w:rPr>
        <w:t>4.</w:t>
      </w:r>
      <w:bookmarkEnd w:id="247"/>
      <w:r>
        <w:rPr>
          <w:rFonts w:hint="eastAsia" w:ascii="宋体" w:hAnsi="宋体" w:cs="宋体"/>
          <w:color w:val="auto"/>
          <w:sz w:val="21"/>
          <w:szCs w:val="21"/>
          <w:highlight w:val="none"/>
          <w:lang w:val="en-US" w:eastAsia="zh-CN"/>
        </w:rPr>
        <w:t>响应文件的提交</w:t>
      </w:r>
    </w:p>
    <w:p w14:paraId="4D189921">
      <w:pPr>
        <w:spacing w:line="360" w:lineRule="auto"/>
        <w:rPr>
          <w:rFonts w:hint="eastAsia" w:ascii="宋体" w:hAnsi="宋体" w:eastAsia="宋体" w:cs="宋体"/>
          <w:b/>
          <w:color w:val="auto"/>
          <w:sz w:val="21"/>
          <w:szCs w:val="21"/>
          <w:highlight w:val="none"/>
        </w:rPr>
      </w:pPr>
      <w:bookmarkStart w:id="248" w:name="_Toc13656"/>
      <w:bookmarkStart w:id="249" w:name="_Toc6402"/>
      <w:r>
        <w:rPr>
          <w:rFonts w:hint="eastAsia" w:ascii="宋体" w:hAnsi="宋体" w:eastAsia="宋体" w:cs="宋体"/>
          <w:b/>
          <w:color w:val="auto"/>
          <w:sz w:val="21"/>
          <w:szCs w:val="21"/>
          <w:highlight w:val="none"/>
        </w:rPr>
        <w:t>4.1</w:t>
      </w:r>
      <w:r>
        <w:rPr>
          <w:rFonts w:hint="eastAsia" w:ascii="宋体" w:hAnsi="宋体" w:eastAsia="宋体" w:cs="宋体"/>
          <w:b/>
          <w:color w:val="auto"/>
          <w:sz w:val="21"/>
          <w:szCs w:val="21"/>
          <w:highlight w:val="none"/>
          <w:lang w:eastAsia="zh-CN"/>
        </w:rPr>
        <w:t>响应文件</w:t>
      </w:r>
      <w:r>
        <w:rPr>
          <w:rFonts w:hint="eastAsia" w:ascii="宋体" w:hAnsi="宋体" w:eastAsia="宋体" w:cs="宋体"/>
          <w:b/>
          <w:color w:val="auto"/>
          <w:sz w:val="21"/>
          <w:szCs w:val="21"/>
          <w:highlight w:val="none"/>
        </w:rPr>
        <w:t>的</w:t>
      </w:r>
      <w:bookmarkEnd w:id="248"/>
      <w:bookmarkEnd w:id="249"/>
      <w:r>
        <w:rPr>
          <w:rFonts w:hint="eastAsia" w:ascii="宋体" w:hAnsi="宋体" w:eastAsia="宋体" w:cs="宋体"/>
          <w:b/>
          <w:color w:val="auto"/>
          <w:sz w:val="21"/>
          <w:szCs w:val="21"/>
          <w:highlight w:val="none"/>
        </w:rPr>
        <w:t>密封和标记</w:t>
      </w:r>
    </w:p>
    <w:p w14:paraId="2FE3542E">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4.1.1递交的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需要对</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val="en-US" w:eastAsia="zh-CN"/>
        </w:rPr>
        <w:t>密封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密封要求</w:t>
      </w: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w:t>
      </w:r>
      <w:r>
        <w:rPr>
          <w:rFonts w:hint="eastAsia" w:ascii="宋体" w:hAnsi="宋体" w:eastAsia="宋体" w:cs="宋体"/>
          <w:color w:val="auto"/>
          <w:sz w:val="21"/>
          <w:szCs w:val="21"/>
          <w:highlight w:val="none"/>
          <w:lang w:val="en-US" w:eastAsia="zh-CN"/>
        </w:rPr>
        <w:t>3.7.6</w:t>
      </w:r>
      <w:r>
        <w:rPr>
          <w:rFonts w:hint="eastAsia" w:ascii="宋体" w:hAnsi="宋体" w:eastAsia="宋体" w:cs="宋体"/>
          <w:color w:val="auto"/>
          <w:sz w:val="21"/>
          <w:szCs w:val="21"/>
          <w:highlight w:val="none"/>
        </w:rPr>
        <w:t>。</w:t>
      </w:r>
    </w:p>
    <w:p w14:paraId="0ACC5098">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4.2</w:t>
      </w:r>
      <w:r>
        <w:rPr>
          <w:rFonts w:hint="eastAsia" w:ascii="宋体" w:hAnsi="宋体" w:eastAsia="宋体" w:cs="宋体"/>
          <w:b/>
          <w:color w:val="auto"/>
          <w:sz w:val="21"/>
          <w:szCs w:val="21"/>
          <w:highlight w:val="none"/>
          <w:lang w:eastAsia="zh-CN"/>
        </w:rPr>
        <w:t>响应文件</w:t>
      </w:r>
      <w:r>
        <w:rPr>
          <w:rFonts w:hint="eastAsia" w:ascii="宋体" w:hAnsi="宋体" w:eastAsia="宋体" w:cs="宋体"/>
          <w:b/>
          <w:color w:val="auto"/>
          <w:sz w:val="21"/>
          <w:szCs w:val="21"/>
          <w:highlight w:val="none"/>
        </w:rPr>
        <w:t>的递交</w:t>
      </w:r>
    </w:p>
    <w:p w14:paraId="77E423F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应在本章第2.2.2项规定的</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rPr>
        <w:t>截止时间前递交</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p>
    <w:p w14:paraId="3406120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r>
        <w:rPr>
          <w:rFonts w:hint="eastAsia" w:ascii="宋体" w:hAnsi="宋体" w:eastAsia="宋体" w:cs="宋体"/>
          <w:color w:val="auto"/>
          <w:sz w:val="21"/>
          <w:szCs w:val="21"/>
          <w:highlight w:val="none"/>
          <w:lang w:val="en-US" w:eastAsia="zh-CN"/>
        </w:rPr>
        <w:t>递交</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须自行检查</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的完整性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并满足供应商须知3.7的要求</w:t>
      </w:r>
      <w:r>
        <w:rPr>
          <w:rFonts w:hint="eastAsia" w:ascii="宋体" w:hAnsi="宋体" w:eastAsia="宋体" w:cs="宋体"/>
          <w:color w:val="auto"/>
          <w:sz w:val="21"/>
          <w:szCs w:val="21"/>
          <w:highlight w:val="none"/>
        </w:rPr>
        <w:t>。</w:t>
      </w:r>
    </w:p>
    <w:p w14:paraId="171A231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4.2.3除</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须知前附表另有规定外，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所递交的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不予退还。</w:t>
      </w:r>
    </w:p>
    <w:p w14:paraId="41086C2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4.2.4逾期送达的或者未送达指定地点的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，采购人不予受理。</w:t>
      </w:r>
    </w:p>
    <w:p w14:paraId="0D619B58">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w:t>
      </w:r>
      <w:r>
        <w:rPr>
          <w:rFonts w:hint="eastAsia" w:ascii="宋体" w:hAnsi="宋体" w:eastAsia="宋体" w:cs="宋体"/>
          <w:b/>
          <w:color w:val="auto"/>
          <w:sz w:val="21"/>
          <w:szCs w:val="21"/>
          <w:highlight w:val="none"/>
          <w:lang w:eastAsia="zh-CN"/>
        </w:rPr>
        <w:t>响应文件</w:t>
      </w:r>
      <w:r>
        <w:rPr>
          <w:rFonts w:hint="eastAsia" w:ascii="宋体" w:hAnsi="宋体" w:eastAsia="宋体" w:cs="宋体"/>
          <w:b/>
          <w:color w:val="auto"/>
          <w:sz w:val="21"/>
          <w:szCs w:val="21"/>
          <w:highlight w:val="none"/>
        </w:rPr>
        <w:t>的修改与撤回</w:t>
      </w:r>
    </w:p>
    <w:p w14:paraId="6A1FA15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4.3.1在本章第2.2.2项规定的</w:t>
      </w:r>
      <w:r>
        <w:rPr>
          <w:rFonts w:hint="eastAsia" w:ascii="宋体" w:hAnsi="宋体" w:cs="宋体"/>
          <w:color w:val="auto"/>
          <w:sz w:val="21"/>
          <w:szCs w:val="21"/>
          <w:highlight w:val="none"/>
          <w:lang w:eastAsia="zh-CN"/>
        </w:rPr>
        <w:t>响应文件递交截止时间</w:t>
      </w:r>
      <w:r>
        <w:rPr>
          <w:rFonts w:hint="eastAsia" w:ascii="宋体" w:hAnsi="宋体" w:eastAsia="宋体" w:cs="宋体"/>
          <w:color w:val="auto"/>
          <w:sz w:val="21"/>
          <w:szCs w:val="21"/>
          <w:highlight w:val="none"/>
        </w:rPr>
        <w:t>前，</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可以修改或撤回已递交的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须以书面形式</w:t>
      </w:r>
      <w:r>
        <w:rPr>
          <w:rFonts w:hint="eastAsia" w:ascii="宋体" w:hAnsi="宋体" w:eastAsia="宋体" w:cs="宋体"/>
          <w:color w:val="auto"/>
          <w:sz w:val="21"/>
          <w:szCs w:val="21"/>
          <w:highlight w:val="none"/>
        </w:rPr>
        <w:t>通知采购人。</w:t>
      </w:r>
    </w:p>
    <w:p w14:paraId="05C08CC6">
      <w:pPr>
        <w:spacing w:line="360" w:lineRule="auto"/>
        <w:ind w:firstLine="420" w:firstLineChars="200"/>
        <w:jc w:val="lef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4.3.2供应商撤回响应文件的，可在规定时间内申请退还已缴纳的磋商保证金（</w:t>
      </w:r>
      <w:r>
        <w:rPr>
          <w:rFonts w:hint="eastAsia" w:ascii="宋体" w:hAnsi="宋体" w:cs="宋体"/>
          <w:color w:val="auto"/>
          <w:sz w:val="21"/>
          <w:szCs w:val="21"/>
          <w:highlight w:val="none"/>
          <w:lang w:val="en-US" w:eastAsia="zh-CN"/>
        </w:rPr>
        <w:t>如有</w:t>
      </w:r>
      <w:r>
        <w:rPr>
          <w:rFonts w:hint="eastAsia" w:ascii="宋体" w:hAnsi="宋体" w:cs="宋体"/>
          <w:color w:val="auto"/>
          <w:sz w:val="21"/>
          <w:szCs w:val="21"/>
          <w:highlight w:val="none"/>
          <w:lang w:eastAsia="zh-CN"/>
        </w:rPr>
        <w:t>）。</w:t>
      </w:r>
    </w:p>
    <w:p w14:paraId="057053D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4.3.3修改的内容为响应文件的组成部分。修改的响应文件应按照本章第3条、第4条规定进行编制、密封、标记和递交。</w:t>
      </w:r>
    </w:p>
    <w:p w14:paraId="389AA72A">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w:t>
      </w:r>
      <w:r>
        <w:rPr>
          <w:rFonts w:hint="eastAsia" w:ascii="宋体" w:hAnsi="宋体" w:cs="宋体"/>
          <w:color w:val="auto"/>
          <w:sz w:val="21"/>
          <w:szCs w:val="21"/>
          <w:highlight w:val="none"/>
          <w:lang w:val="en-US" w:eastAsia="zh-CN"/>
        </w:rPr>
        <w:t>响应文件的开启</w:t>
      </w:r>
    </w:p>
    <w:p w14:paraId="4CFE6501">
      <w:pPr>
        <w:autoSpaceDE w:val="0"/>
        <w:autoSpaceDN w:val="0"/>
        <w:adjustRightInd w:val="0"/>
        <w:spacing w:line="360" w:lineRule="auto"/>
        <w:jc w:val="left"/>
        <w:textAlignment w:val="baseline"/>
        <w:rPr>
          <w:rFonts w:hint="eastAsia" w:ascii="宋体" w:hAnsi="宋体" w:eastAsia="宋体" w:cs="宋体"/>
          <w:b/>
          <w:bCs/>
          <w:color w:val="auto"/>
          <w:sz w:val="21"/>
          <w:szCs w:val="21"/>
          <w:highlight w:val="none"/>
        </w:rPr>
      </w:pPr>
      <w:bookmarkStart w:id="250" w:name="_Toc230598463"/>
      <w:r>
        <w:rPr>
          <w:rFonts w:hint="eastAsia" w:ascii="宋体" w:hAnsi="宋体" w:eastAsia="宋体" w:cs="宋体"/>
          <w:b/>
          <w:bCs/>
          <w:color w:val="auto"/>
          <w:sz w:val="21"/>
          <w:szCs w:val="21"/>
          <w:highlight w:val="none"/>
        </w:rPr>
        <w:t>5.1</w:t>
      </w:r>
      <w:r>
        <w:rPr>
          <w:rFonts w:hint="eastAsia" w:ascii="宋体" w:hAnsi="宋体" w:cs="宋体"/>
          <w:b/>
          <w:bCs/>
          <w:color w:val="auto"/>
          <w:sz w:val="21"/>
          <w:szCs w:val="21"/>
          <w:highlight w:val="none"/>
          <w:lang w:val="en-US" w:eastAsia="zh-CN"/>
        </w:rPr>
        <w:t>开启</w:t>
      </w:r>
      <w:r>
        <w:rPr>
          <w:rFonts w:hint="eastAsia" w:ascii="宋体" w:hAnsi="宋体" w:eastAsia="宋体" w:cs="宋体"/>
          <w:b/>
          <w:bCs/>
          <w:color w:val="auto"/>
          <w:sz w:val="21"/>
          <w:szCs w:val="21"/>
          <w:highlight w:val="none"/>
        </w:rPr>
        <w:t>时间和地点</w:t>
      </w:r>
    </w:p>
    <w:bookmarkEnd w:id="250"/>
    <w:p w14:paraId="01C22AD3">
      <w:pPr>
        <w:spacing w:line="360" w:lineRule="auto"/>
        <w:ind w:firstLine="420" w:firstLineChars="200"/>
        <w:jc w:val="left"/>
        <w:rPr>
          <w:rFonts w:hint="eastAsia" w:ascii="宋体" w:hAnsi="宋体" w:eastAsia="宋体" w:cs="宋体"/>
          <w:color w:val="auto"/>
          <w:sz w:val="21"/>
          <w:szCs w:val="21"/>
          <w:highlight w:val="none"/>
        </w:rPr>
      </w:pPr>
      <w:bookmarkStart w:id="251" w:name="_Toc230598464"/>
      <w:r>
        <w:rPr>
          <w:rFonts w:hint="eastAsia" w:ascii="宋体" w:hAnsi="宋体" w:cs="宋体"/>
          <w:color w:val="auto"/>
          <w:sz w:val="21"/>
          <w:szCs w:val="21"/>
          <w:highlight w:val="none"/>
          <w:lang w:val="en-US" w:eastAsia="zh-CN"/>
        </w:rPr>
        <w:t>开启</w:t>
      </w:r>
      <w:r>
        <w:rPr>
          <w:rFonts w:hint="eastAsia" w:ascii="宋体" w:hAnsi="宋体" w:eastAsia="宋体" w:cs="宋体"/>
          <w:color w:val="auto"/>
          <w:sz w:val="21"/>
          <w:szCs w:val="21"/>
          <w:highlight w:val="none"/>
        </w:rPr>
        <w:t>时间和地点：见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6BFCDEF8">
      <w:pPr>
        <w:autoSpaceDE w:val="0"/>
        <w:autoSpaceDN w:val="0"/>
        <w:adjustRightInd w:val="0"/>
        <w:spacing w:line="360" w:lineRule="auto"/>
        <w:jc w:val="left"/>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5.2</w:t>
      </w:r>
      <w:r>
        <w:rPr>
          <w:rFonts w:hint="eastAsia" w:ascii="宋体" w:hAnsi="宋体" w:cs="宋体"/>
          <w:b/>
          <w:color w:val="auto"/>
          <w:sz w:val="21"/>
          <w:szCs w:val="21"/>
          <w:highlight w:val="none"/>
          <w:lang w:val="en-US" w:eastAsia="zh-CN"/>
        </w:rPr>
        <w:t>开启</w:t>
      </w:r>
      <w:r>
        <w:rPr>
          <w:rFonts w:hint="eastAsia" w:ascii="宋体" w:hAnsi="宋体" w:eastAsia="宋体" w:cs="宋体"/>
          <w:b/>
          <w:color w:val="auto"/>
          <w:sz w:val="21"/>
          <w:szCs w:val="21"/>
          <w:highlight w:val="none"/>
        </w:rPr>
        <w:t>程序</w:t>
      </w:r>
    </w:p>
    <w:p w14:paraId="51F9FFAC">
      <w:pPr>
        <w:spacing w:line="360" w:lineRule="auto"/>
        <w:ind w:firstLine="420" w:firstLineChars="200"/>
        <w:jc w:val="left"/>
        <w:rPr>
          <w:rFonts w:hint="eastAsia" w:ascii="宋体" w:hAnsi="宋体" w:eastAsia="宋体" w:cs="宋体"/>
          <w:color w:val="auto"/>
          <w:sz w:val="21"/>
          <w:szCs w:val="21"/>
          <w:highlight w:val="green"/>
          <w:lang w:eastAsia="zh-CN"/>
        </w:rPr>
      </w:pPr>
      <w:r>
        <w:rPr>
          <w:rFonts w:hint="eastAsia" w:ascii="宋体" w:hAnsi="宋体" w:cs="宋体"/>
          <w:color w:val="auto"/>
          <w:sz w:val="21"/>
          <w:szCs w:val="21"/>
          <w:highlight w:val="none"/>
          <w:lang w:val="en-US" w:eastAsia="zh-CN"/>
        </w:rPr>
        <w:t>开启</w:t>
      </w:r>
      <w:r>
        <w:rPr>
          <w:rFonts w:hint="eastAsia" w:ascii="宋体" w:hAnsi="宋体" w:eastAsia="宋体" w:cs="宋体"/>
          <w:color w:val="auto"/>
          <w:sz w:val="21"/>
          <w:szCs w:val="21"/>
          <w:highlight w:val="none"/>
          <w:lang w:eastAsia="zh-CN"/>
        </w:rPr>
        <w:t>程序：本项目为全流程电子化采购，在供应商须知前附表规定的时间在线进行响应文件开启。</w:t>
      </w:r>
    </w:p>
    <w:bookmarkEnd w:id="251"/>
    <w:p w14:paraId="3B6384D7">
      <w:pPr>
        <w:autoSpaceDE w:val="0"/>
        <w:autoSpaceDN w:val="0"/>
        <w:adjustRightInd w:val="0"/>
        <w:spacing w:line="360" w:lineRule="auto"/>
        <w:jc w:val="left"/>
        <w:textAlignment w:val="baseline"/>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5.3</w:t>
      </w:r>
      <w:r>
        <w:rPr>
          <w:rFonts w:hint="eastAsia" w:ascii="宋体" w:hAnsi="宋体" w:cs="宋体"/>
          <w:b/>
          <w:color w:val="auto"/>
          <w:sz w:val="21"/>
          <w:szCs w:val="21"/>
          <w:highlight w:val="none"/>
          <w:lang w:val="en-US" w:eastAsia="zh-CN"/>
        </w:rPr>
        <w:t>不予受理</w:t>
      </w:r>
    </w:p>
    <w:p w14:paraId="585E72F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有下列情形之一的，采购人不予受理：</w:t>
      </w:r>
    </w:p>
    <w:p w14:paraId="41A002D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须知前附表2.2.2项规定的“</w:t>
      </w:r>
      <w:r>
        <w:rPr>
          <w:rFonts w:hint="eastAsia" w:ascii="宋体" w:hAnsi="宋体" w:cs="宋体"/>
          <w:color w:val="auto"/>
          <w:sz w:val="21"/>
          <w:szCs w:val="21"/>
          <w:highlight w:val="none"/>
          <w:lang w:val="en-US" w:eastAsia="zh-CN"/>
        </w:rPr>
        <w:t>响应文件提交</w:t>
      </w:r>
      <w:r>
        <w:rPr>
          <w:rFonts w:hint="eastAsia" w:ascii="宋体" w:hAnsi="宋体" w:eastAsia="宋体" w:cs="宋体"/>
          <w:color w:val="auto"/>
          <w:sz w:val="21"/>
          <w:szCs w:val="21"/>
          <w:highlight w:val="none"/>
        </w:rPr>
        <w:t>截止时间”以后逾期网上上传的；</w:t>
      </w:r>
    </w:p>
    <w:p w14:paraId="74ACA2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）因供应商自身原因造成响应文件未解密的</w:t>
      </w:r>
      <w:r>
        <w:rPr>
          <w:rFonts w:hint="eastAsia" w:ascii="宋体" w:hAnsi="宋体" w:eastAsia="宋体" w:cs="宋体"/>
          <w:color w:val="auto"/>
          <w:sz w:val="21"/>
          <w:szCs w:val="21"/>
          <w:highlight w:val="none"/>
        </w:rPr>
        <w:t>。</w:t>
      </w:r>
    </w:p>
    <w:p w14:paraId="01336DAA">
      <w:pPr>
        <w:spacing w:line="360" w:lineRule="auto"/>
        <w:rPr>
          <w:rFonts w:hint="eastAsia" w:ascii="宋体" w:hAnsi="宋体" w:eastAsia="宋体" w:cs="宋体"/>
          <w:b/>
          <w:bCs/>
          <w:color w:val="auto"/>
          <w:sz w:val="21"/>
          <w:szCs w:val="21"/>
          <w:highlight w:val="none"/>
          <w:lang w:eastAsia="zh-CN"/>
        </w:rPr>
      </w:pPr>
      <w:bookmarkStart w:id="252" w:name="_Toc12651"/>
      <w:r>
        <w:rPr>
          <w:rFonts w:hint="eastAsia" w:ascii="宋体" w:hAnsi="宋体" w:eastAsia="宋体" w:cs="宋体"/>
          <w:b/>
          <w:bCs/>
          <w:color w:val="auto"/>
          <w:sz w:val="21"/>
          <w:szCs w:val="21"/>
          <w:highlight w:val="none"/>
        </w:rPr>
        <w:t>5.4</w:t>
      </w:r>
      <w:r>
        <w:rPr>
          <w:rFonts w:hint="eastAsia" w:ascii="宋体" w:hAnsi="宋体" w:eastAsia="宋体" w:cs="宋体"/>
          <w:b/>
          <w:bCs/>
          <w:color w:val="auto"/>
          <w:sz w:val="21"/>
          <w:szCs w:val="21"/>
          <w:highlight w:val="none"/>
          <w:lang w:val="en-US" w:eastAsia="zh-CN"/>
        </w:rPr>
        <w:t>磋商</w:t>
      </w:r>
      <w:bookmarkEnd w:id="252"/>
      <w:r>
        <w:rPr>
          <w:rFonts w:hint="eastAsia" w:ascii="宋体" w:hAnsi="宋体" w:cs="宋体"/>
          <w:b/>
          <w:bCs/>
          <w:color w:val="auto"/>
          <w:sz w:val="21"/>
          <w:szCs w:val="21"/>
          <w:highlight w:val="none"/>
          <w:lang w:val="en-US" w:eastAsia="zh-CN"/>
        </w:rPr>
        <w:t>询问</w:t>
      </w:r>
    </w:p>
    <w:p w14:paraId="5334DC0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如对响应文件开启过程有疑问，可在电子开标大厅进行询问，采购代理机构可当场予以答复，相关情况应当做好记录。供应商如认为采购文件、采购过程、成交结果使自身权益受到损害，应当按照《政府采购质疑和投诉办法》（财政部令第 94 号）规定，在法定时限内以书面形式提交质疑函，依法行使质疑权利。</w:t>
      </w:r>
    </w:p>
    <w:p w14:paraId="68F60A39">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lang w:val="en-US" w:eastAsia="zh-CN"/>
        </w:rPr>
        <w:t>和评审</w:t>
      </w:r>
    </w:p>
    <w:p w14:paraId="5D43E463">
      <w:pPr>
        <w:numPr>
          <w:ilvl w:val="0"/>
          <w:numId w:val="0"/>
        </w:numP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6.1磋商小组</w:t>
      </w:r>
    </w:p>
    <w:p w14:paraId="7C313E0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由采购人依法组建的</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负责。</w:t>
      </w:r>
      <w:r>
        <w:rPr>
          <w:rFonts w:hint="eastAsia" w:ascii="宋体" w:hAnsi="宋体" w:eastAsia="宋体" w:cs="宋体"/>
          <w:b w:val="0"/>
          <w:bCs w:val="0"/>
          <w:color w:val="auto"/>
          <w:sz w:val="21"/>
          <w:szCs w:val="21"/>
          <w:highlight w:val="none"/>
        </w:rPr>
        <w:t>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成员人数以及确定方式见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0AEE0D3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成员有下列情形之一的，应当回避：</w:t>
      </w:r>
    </w:p>
    <w:p w14:paraId="6047006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）参加采购活动前3年内与供应商存在劳动关系；</w:t>
      </w:r>
    </w:p>
    <w:p w14:paraId="3BB31D3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）参加采购活动前3年内担任供应商的董事、监事；</w:t>
      </w:r>
    </w:p>
    <w:p w14:paraId="3335371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）参加采购活动前3年内是供应商的控股股东或者实际控制人；</w:t>
      </w:r>
    </w:p>
    <w:p w14:paraId="00FA4D4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）与供应商的法定代表人或者负责人有夫妻、直系血亲、三代以内旁系血亲或者近姻亲关系；</w:t>
      </w:r>
    </w:p>
    <w:p w14:paraId="57A9AA0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）与供应商有其他可能影响政府采购活动公平、公正进行的关系。</w:t>
      </w:r>
    </w:p>
    <w:p w14:paraId="57BC5CF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评审专家发现本人与参加采购活动</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有利害关系的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应当主动提出回避。采购人或者采购代理机构发现评审专家与参加采购活动</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有利害关系的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应当要求其回避。</w:t>
      </w:r>
    </w:p>
    <w:p w14:paraId="629941A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评审专家对本单位的政府采购项目只能作为采购人代表参与评审活动。</w:t>
      </w:r>
    </w:p>
    <w:p w14:paraId="3016F47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各级财政部门政府采购监督管理工作人员</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不得作为评审专家参与政府采购项目的评审活动。</w:t>
      </w:r>
    </w:p>
    <w:p w14:paraId="6868A9D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6.1</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成员应当客观、公正地履行职责，遵守职业道德，对所提出的评审意见承担个人责任。评审委员会成员和与</w:t>
      </w:r>
      <w:r>
        <w:rPr>
          <w:rFonts w:hint="eastAsia" w:ascii="宋体" w:hAnsi="宋体" w:cs="宋体"/>
          <w:color w:val="auto"/>
          <w:sz w:val="21"/>
          <w:szCs w:val="21"/>
          <w:highlight w:val="none"/>
          <w:lang w:val="en-US" w:eastAsia="zh-CN"/>
        </w:rPr>
        <w:t>评审</w:t>
      </w:r>
      <w:r>
        <w:rPr>
          <w:rFonts w:hint="eastAsia" w:ascii="宋体" w:hAnsi="宋体" w:eastAsia="宋体" w:cs="宋体"/>
          <w:color w:val="auto"/>
          <w:sz w:val="21"/>
          <w:szCs w:val="21"/>
          <w:highlight w:val="none"/>
        </w:rPr>
        <w:t>活动有关的工作人员不得透露对</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的评审和比较、成交候选供应商的推荐情况以及与</w:t>
      </w:r>
      <w:r>
        <w:rPr>
          <w:rFonts w:hint="eastAsia" w:ascii="宋体" w:hAnsi="宋体" w:cs="宋体"/>
          <w:color w:val="auto"/>
          <w:sz w:val="21"/>
          <w:szCs w:val="21"/>
          <w:highlight w:val="none"/>
          <w:lang w:val="en-US" w:eastAsia="zh-CN"/>
        </w:rPr>
        <w:t>评审</w:t>
      </w:r>
      <w:r>
        <w:rPr>
          <w:rFonts w:hint="eastAsia" w:ascii="宋体" w:hAnsi="宋体" w:eastAsia="宋体" w:cs="宋体"/>
          <w:color w:val="auto"/>
          <w:sz w:val="21"/>
          <w:szCs w:val="21"/>
          <w:highlight w:val="none"/>
        </w:rPr>
        <w:t>有关的其他情况。</w:t>
      </w:r>
    </w:p>
    <w:p w14:paraId="191D866F">
      <w:pPr>
        <w:spacing w:line="360" w:lineRule="auto"/>
        <w:rPr>
          <w:rFonts w:hint="eastAsia" w:ascii="宋体" w:hAnsi="宋体" w:eastAsia="宋体" w:cs="宋体"/>
          <w:b/>
          <w:bCs/>
          <w:color w:val="auto"/>
          <w:sz w:val="21"/>
          <w:szCs w:val="21"/>
          <w:highlight w:val="none"/>
          <w:lang w:val="en-US" w:eastAsia="zh-CN"/>
        </w:rPr>
      </w:pPr>
      <w:bookmarkStart w:id="253" w:name="_Toc522296422"/>
      <w:bookmarkStart w:id="254" w:name="_Toc329810207"/>
      <w:bookmarkStart w:id="255" w:name="_Toc383175296"/>
      <w:bookmarkStart w:id="256" w:name="_Toc86124067"/>
      <w:bookmarkStart w:id="257" w:name="_Toc383175072"/>
      <w:bookmarkStart w:id="258" w:name="_Toc516501414"/>
      <w:bookmarkStart w:id="259" w:name="_Toc432194846"/>
      <w:bookmarkStart w:id="260" w:name="_Toc383175494"/>
      <w:bookmarkStart w:id="261" w:name="_Toc432106495"/>
      <w:r>
        <w:rPr>
          <w:rFonts w:hint="eastAsia" w:ascii="宋体" w:hAnsi="宋体" w:cs="宋体"/>
          <w:b/>
          <w:bCs/>
          <w:color w:val="auto"/>
          <w:sz w:val="21"/>
          <w:szCs w:val="21"/>
          <w:highlight w:val="none"/>
          <w:lang w:val="en-US" w:eastAsia="zh-CN"/>
        </w:rPr>
        <w:t>6.2</w:t>
      </w:r>
      <w:r>
        <w:rPr>
          <w:rFonts w:hint="eastAsia" w:ascii="宋体" w:hAnsi="宋体" w:eastAsia="宋体" w:cs="宋体"/>
          <w:b/>
          <w:bCs/>
          <w:color w:val="auto"/>
          <w:sz w:val="21"/>
          <w:szCs w:val="21"/>
          <w:highlight w:val="none"/>
          <w:lang w:val="en-US" w:eastAsia="zh-CN"/>
        </w:rPr>
        <w:t>磋商过程的保密</w:t>
      </w:r>
      <w:bookmarkEnd w:id="253"/>
      <w:bookmarkEnd w:id="254"/>
      <w:bookmarkEnd w:id="255"/>
      <w:bookmarkEnd w:id="256"/>
      <w:bookmarkEnd w:id="257"/>
      <w:bookmarkEnd w:id="258"/>
      <w:bookmarkEnd w:id="259"/>
      <w:bookmarkEnd w:id="260"/>
      <w:bookmarkEnd w:id="261"/>
    </w:p>
    <w:p w14:paraId="43693BE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298749A8">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6.3磋商原则</w:t>
      </w:r>
    </w:p>
    <w:p w14:paraId="4045395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6.3</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按照第四章“</w:t>
      </w:r>
      <w:r>
        <w:rPr>
          <w:rFonts w:hint="eastAsia" w:ascii="宋体" w:hAnsi="宋体" w:cs="宋体"/>
          <w:color w:val="auto"/>
          <w:sz w:val="21"/>
          <w:szCs w:val="21"/>
          <w:highlight w:val="none"/>
          <w:lang w:eastAsia="zh-CN"/>
        </w:rPr>
        <w:t>评审办法</w:t>
      </w:r>
      <w:r>
        <w:rPr>
          <w:rFonts w:hint="eastAsia" w:ascii="宋体" w:hAnsi="宋体" w:eastAsia="宋体" w:cs="宋体"/>
          <w:color w:val="auto"/>
          <w:sz w:val="21"/>
          <w:szCs w:val="21"/>
          <w:highlight w:val="none"/>
        </w:rPr>
        <w:t>”规定的方法、评审因素、标准和程序对</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进行评审。第四章“</w:t>
      </w:r>
      <w:r>
        <w:rPr>
          <w:rFonts w:hint="eastAsia" w:ascii="宋体" w:hAnsi="宋体" w:cs="宋体"/>
          <w:color w:val="auto"/>
          <w:sz w:val="21"/>
          <w:szCs w:val="21"/>
          <w:highlight w:val="none"/>
          <w:lang w:eastAsia="zh-CN"/>
        </w:rPr>
        <w:t>评审办法</w:t>
      </w:r>
      <w:r>
        <w:rPr>
          <w:rFonts w:hint="eastAsia" w:ascii="宋体" w:hAnsi="宋体" w:eastAsia="宋体" w:cs="宋体"/>
          <w:color w:val="auto"/>
          <w:sz w:val="21"/>
          <w:szCs w:val="21"/>
          <w:highlight w:val="none"/>
        </w:rPr>
        <w:t>”没有规定的方法、评审因素和标准，不得作为</w:t>
      </w:r>
      <w:r>
        <w:rPr>
          <w:rFonts w:hint="eastAsia" w:ascii="宋体" w:hAnsi="宋体" w:cs="宋体"/>
          <w:color w:val="auto"/>
          <w:sz w:val="21"/>
          <w:szCs w:val="21"/>
          <w:highlight w:val="none"/>
          <w:lang w:val="en-US" w:eastAsia="zh-CN"/>
        </w:rPr>
        <w:t>评审</w:t>
      </w:r>
      <w:r>
        <w:rPr>
          <w:rFonts w:hint="eastAsia" w:ascii="宋体" w:hAnsi="宋体" w:eastAsia="宋体" w:cs="宋体"/>
          <w:color w:val="auto"/>
          <w:sz w:val="21"/>
          <w:szCs w:val="21"/>
          <w:highlight w:val="none"/>
        </w:rPr>
        <w:t>依据。</w:t>
      </w:r>
    </w:p>
    <w:p w14:paraId="10F12BCA">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w:t>
      </w:r>
      <w:r>
        <w:rPr>
          <w:rFonts w:hint="eastAsia" w:ascii="宋体" w:hAnsi="宋体" w:eastAsia="宋体" w:cs="宋体"/>
          <w:color w:val="auto"/>
          <w:sz w:val="21"/>
          <w:szCs w:val="21"/>
          <w:highlight w:val="none"/>
          <w:lang w:val="en-US" w:eastAsia="zh-CN"/>
        </w:rPr>
        <w:t>.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70CDD439">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6.3</w:t>
      </w:r>
      <w:r>
        <w:rPr>
          <w:rFonts w:hint="eastAsia" w:ascii="宋体" w:hAnsi="宋体" w:eastAsia="宋体" w:cs="宋体"/>
          <w:color w:val="auto"/>
          <w:sz w:val="21"/>
          <w:szCs w:val="21"/>
          <w:highlight w:val="none"/>
          <w:lang w:val="en-US" w:eastAsia="zh-CN"/>
        </w:rPr>
        <w:t>.3磋商小组所有成员应当集中与单一供应商分别进行磋商，并给予所有参加磋商的供应商平等的磋商机会。</w:t>
      </w:r>
    </w:p>
    <w:p w14:paraId="1633F066">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lang w:val="en-US" w:eastAsia="zh-CN"/>
        </w:rPr>
        <w:t>.4磋商小组应当要求所有实质性响应的供应商在规定时间内提交最后报价，提交最后报价的供应商不得少于3家。</w:t>
      </w:r>
    </w:p>
    <w:p w14:paraId="18A3D82E">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lang w:val="en-US" w:eastAsia="zh-CN"/>
        </w:rPr>
        <w:t>.5已提交响应文件的供应商，在提交最后报价之前，可以根据磋商情况退出磋商。采购人、采购代理机构应当退还退出磋商的供应商的磋商保证金。</w:t>
      </w:r>
    </w:p>
    <w:p w14:paraId="2DCFC4E3">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lang w:val="en-US" w:eastAsia="zh-CN"/>
        </w:rPr>
        <w:t>.6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采购人或者采购代理机构不得通过对样品进行检测、对供应商进行考察等方式改变评审结果。</w:t>
      </w:r>
    </w:p>
    <w:p w14:paraId="3A34F030">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1"/>
          <w:szCs w:val="21"/>
          <w:highlight w:val="none"/>
          <w:lang w:val="en-US" w:eastAsia="zh-CN"/>
        </w:rPr>
      </w:pPr>
      <w:bookmarkStart w:id="262" w:name="_Toc222823307"/>
      <w:bookmarkStart w:id="263" w:name="_Toc230598471"/>
      <w:bookmarkStart w:id="264" w:name="_Toc225328199"/>
      <w:bookmarkStart w:id="265" w:name="_Toc17845"/>
      <w:r>
        <w:rPr>
          <w:rFonts w:hint="eastAsia" w:ascii="宋体" w:hAnsi="宋体" w:eastAsia="宋体" w:cs="宋体"/>
          <w:color w:val="auto"/>
          <w:sz w:val="21"/>
          <w:szCs w:val="21"/>
          <w:highlight w:val="none"/>
        </w:rPr>
        <w:t>7.</w:t>
      </w:r>
      <w:bookmarkEnd w:id="262"/>
      <w:bookmarkEnd w:id="263"/>
      <w:bookmarkEnd w:id="264"/>
      <w:bookmarkEnd w:id="265"/>
      <w:r>
        <w:rPr>
          <w:rFonts w:hint="eastAsia" w:ascii="宋体" w:hAnsi="宋体" w:cs="宋体"/>
          <w:color w:val="auto"/>
          <w:sz w:val="21"/>
          <w:szCs w:val="21"/>
          <w:highlight w:val="none"/>
          <w:lang w:val="en-US" w:eastAsia="zh-CN"/>
        </w:rPr>
        <w:t>成交结果</w:t>
      </w:r>
    </w:p>
    <w:p w14:paraId="2CC51839">
      <w:pPr>
        <w:spacing w:line="360" w:lineRule="auto"/>
        <w:rPr>
          <w:rFonts w:hint="eastAsia" w:ascii="宋体" w:hAnsi="宋体" w:cs="宋体"/>
          <w:b/>
          <w:bCs/>
          <w:color w:val="auto"/>
          <w:sz w:val="21"/>
          <w:szCs w:val="21"/>
          <w:highlight w:val="none"/>
          <w:lang w:val="en-US" w:eastAsia="zh-CN"/>
        </w:rPr>
      </w:pPr>
      <w:bookmarkStart w:id="266" w:name="_Toc383175299"/>
      <w:bookmarkStart w:id="267" w:name="_Toc86124070"/>
      <w:bookmarkStart w:id="268" w:name="_Toc329810210"/>
      <w:bookmarkStart w:id="269" w:name="_Toc432197790"/>
      <w:bookmarkStart w:id="270" w:name="_Toc12470"/>
      <w:bookmarkStart w:id="271" w:name="_Toc30430"/>
      <w:bookmarkStart w:id="272" w:name="_Toc383175497"/>
      <w:bookmarkStart w:id="273" w:name="_Toc383175075"/>
      <w:bookmarkStart w:id="274" w:name="_Toc13231"/>
      <w:bookmarkStart w:id="275" w:name="_Toc21267"/>
      <w:r>
        <w:rPr>
          <w:rFonts w:hint="eastAsia" w:ascii="宋体" w:hAnsi="宋体" w:cs="宋体"/>
          <w:b/>
          <w:bCs/>
          <w:color w:val="auto"/>
          <w:sz w:val="21"/>
          <w:szCs w:val="21"/>
          <w:highlight w:val="none"/>
          <w:lang w:val="en-US" w:eastAsia="zh-CN"/>
        </w:rPr>
        <w:t>7.1成交供应商的确定</w:t>
      </w:r>
      <w:bookmarkEnd w:id="266"/>
      <w:bookmarkEnd w:id="267"/>
      <w:bookmarkEnd w:id="268"/>
      <w:bookmarkEnd w:id="269"/>
      <w:bookmarkEnd w:id="270"/>
      <w:bookmarkEnd w:id="271"/>
      <w:bookmarkEnd w:id="272"/>
      <w:bookmarkEnd w:id="273"/>
      <w:bookmarkEnd w:id="274"/>
      <w:bookmarkEnd w:id="275"/>
    </w:p>
    <w:p w14:paraId="121E43D1">
      <w:pPr>
        <w:spacing w:beforeLines="0" w:line="360" w:lineRule="auto"/>
        <w:ind w:firstLine="420" w:firstLineChars="200"/>
        <w:jc w:val="left"/>
        <w:rPr>
          <w:rFonts w:hint="eastAsia" w:ascii="宋体" w:hAnsi="宋体" w:eastAsia="宋体" w:cs="宋体"/>
          <w:color w:val="auto"/>
          <w:sz w:val="21"/>
          <w:szCs w:val="21"/>
          <w:highlight w:val="none"/>
        </w:rPr>
      </w:pPr>
      <w:bookmarkStart w:id="276" w:name="_Toc329810211"/>
      <w:r>
        <w:rPr>
          <w:rFonts w:hint="eastAsia" w:ascii="宋体" w:hAnsi="宋体" w:eastAsia="宋体" w:cs="宋体"/>
          <w:color w:val="auto"/>
          <w:sz w:val="21"/>
          <w:szCs w:val="21"/>
          <w:highlight w:val="none"/>
          <w:lang w:val="en-US" w:eastAsia="zh-CN"/>
        </w:rPr>
        <w:t>7.1.1</w:t>
      </w:r>
      <w:r>
        <w:rPr>
          <w:rFonts w:hint="eastAsia" w:ascii="宋体" w:hAnsi="宋体" w:eastAsia="宋体" w:cs="宋体"/>
          <w:color w:val="auto"/>
          <w:sz w:val="21"/>
          <w:szCs w:val="21"/>
          <w:highlight w:val="none"/>
        </w:rPr>
        <w:t>采购代理机构在评审结束</w:t>
      </w:r>
      <w:r>
        <w:rPr>
          <w:rFonts w:hint="eastAsia" w:ascii="宋体" w:hAnsi="宋体" w:eastAsia="宋体" w:cs="宋体"/>
          <w:color w:val="auto"/>
          <w:sz w:val="21"/>
          <w:szCs w:val="21"/>
          <w:highlight w:val="none"/>
          <w:lang w:eastAsia="zh-CN"/>
        </w:rPr>
        <w:t>后两个</w:t>
      </w:r>
      <w:r>
        <w:rPr>
          <w:rFonts w:hint="eastAsia" w:ascii="宋体" w:hAnsi="宋体" w:eastAsia="宋体" w:cs="宋体"/>
          <w:color w:val="auto"/>
          <w:sz w:val="21"/>
          <w:szCs w:val="21"/>
          <w:highlight w:val="none"/>
        </w:rPr>
        <w:t>工作日内将评审报告送采购人确认。</w:t>
      </w:r>
    </w:p>
    <w:p w14:paraId="75AAAB6A">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7.1.2</w:t>
      </w:r>
      <w:r>
        <w:rPr>
          <w:rFonts w:hint="eastAsia" w:ascii="宋体" w:hAnsi="宋体" w:eastAsia="宋体" w:cs="宋体"/>
          <w:color w:val="auto"/>
          <w:sz w:val="21"/>
          <w:szCs w:val="21"/>
          <w:highlight w:val="none"/>
        </w:rPr>
        <w:t>采购人应当在收到评审报告后五个工作日内，从评审报告提出的成交候选供应商中，按照综合得分由高到低</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原则确定成交供应商。</w:t>
      </w:r>
    </w:p>
    <w:p w14:paraId="301255B6">
      <w:pPr>
        <w:spacing w:line="360" w:lineRule="auto"/>
        <w:rPr>
          <w:rFonts w:hint="eastAsia" w:ascii="宋体" w:hAnsi="宋体" w:cs="宋体"/>
          <w:b/>
          <w:bCs/>
          <w:color w:val="auto"/>
          <w:sz w:val="21"/>
          <w:szCs w:val="21"/>
          <w:highlight w:val="none"/>
          <w:lang w:val="en-US" w:eastAsia="zh-CN"/>
        </w:rPr>
      </w:pPr>
      <w:bookmarkStart w:id="277" w:name="_Toc12061"/>
      <w:bookmarkStart w:id="278" w:name="_Toc2711"/>
      <w:bookmarkStart w:id="279" w:name="_Toc432197791"/>
      <w:bookmarkStart w:id="280" w:name="_Toc21481"/>
      <w:bookmarkStart w:id="281" w:name="_Toc383175300"/>
      <w:bookmarkStart w:id="282" w:name="_Toc22963"/>
      <w:bookmarkStart w:id="283" w:name="_Toc383175076"/>
      <w:bookmarkStart w:id="284" w:name="_Toc2109"/>
      <w:bookmarkStart w:id="285" w:name="_Toc383175498"/>
      <w:r>
        <w:rPr>
          <w:rFonts w:hint="eastAsia" w:ascii="宋体" w:hAnsi="宋体" w:cs="宋体"/>
          <w:b/>
          <w:bCs/>
          <w:color w:val="auto"/>
          <w:sz w:val="21"/>
          <w:szCs w:val="21"/>
          <w:highlight w:val="none"/>
          <w:lang w:val="en-US" w:eastAsia="zh-CN"/>
        </w:rPr>
        <w:t>7.2成交通知书</w:t>
      </w:r>
      <w:bookmarkEnd w:id="276"/>
      <w:bookmarkEnd w:id="277"/>
      <w:bookmarkEnd w:id="278"/>
      <w:bookmarkEnd w:id="279"/>
      <w:bookmarkEnd w:id="280"/>
      <w:bookmarkEnd w:id="281"/>
      <w:bookmarkEnd w:id="282"/>
      <w:bookmarkEnd w:id="283"/>
      <w:bookmarkEnd w:id="284"/>
      <w:bookmarkEnd w:id="285"/>
    </w:p>
    <w:p w14:paraId="30A4BA29">
      <w:pPr>
        <w:spacing w:beforeLines="0" w:line="360" w:lineRule="auto"/>
        <w:ind w:firstLine="420" w:firstLineChars="200"/>
        <w:jc w:val="left"/>
        <w:rPr>
          <w:rFonts w:hint="eastAsia" w:ascii="宋体" w:hAnsi="宋体" w:eastAsia="宋体" w:cs="宋体"/>
          <w:color w:val="auto"/>
          <w:sz w:val="21"/>
          <w:szCs w:val="21"/>
          <w:highlight w:val="none"/>
        </w:rPr>
      </w:pPr>
      <w:bookmarkStart w:id="286" w:name="_Toc329810212"/>
      <w:bookmarkStart w:id="287" w:name="_Toc86124072"/>
      <w:r>
        <w:rPr>
          <w:rFonts w:hint="eastAsia" w:ascii="宋体" w:hAnsi="宋体" w:eastAsia="宋体" w:cs="宋体"/>
          <w:color w:val="auto"/>
          <w:sz w:val="21"/>
          <w:szCs w:val="21"/>
          <w:highlight w:val="none"/>
          <w:lang w:val="en-US" w:eastAsia="zh-CN"/>
        </w:rPr>
        <w:t>7.2.1</w:t>
      </w:r>
      <w:r>
        <w:rPr>
          <w:rFonts w:hint="eastAsia" w:ascii="宋体" w:hAnsi="宋体" w:eastAsia="宋体" w:cs="宋体"/>
          <w:color w:val="auto"/>
          <w:sz w:val="21"/>
          <w:szCs w:val="21"/>
          <w:highlight w:val="none"/>
        </w:rPr>
        <w:t>采购代理机构将在成交供应商确定</w:t>
      </w:r>
      <w:r>
        <w:rPr>
          <w:rFonts w:hint="eastAsia" w:ascii="宋体" w:hAnsi="宋体" w:eastAsia="宋体" w:cs="宋体"/>
          <w:color w:val="auto"/>
          <w:sz w:val="21"/>
          <w:szCs w:val="21"/>
          <w:highlight w:val="none"/>
          <w:lang w:eastAsia="zh-CN"/>
        </w:rPr>
        <w:t>后两个</w:t>
      </w:r>
      <w:r>
        <w:rPr>
          <w:rFonts w:hint="eastAsia" w:ascii="宋体" w:hAnsi="宋体" w:eastAsia="宋体" w:cs="宋体"/>
          <w:color w:val="auto"/>
          <w:sz w:val="21"/>
          <w:szCs w:val="21"/>
          <w:highlight w:val="none"/>
        </w:rPr>
        <w:t>工作日内，在公告发布的媒体上发布成交公告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同时向成交供应商发出成交通知书。</w:t>
      </w:r>
    </w:p>
    <w:p w14:paraId="7EE78B75">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7.2.2</w:t>
      </w:r>
      <w:r>
        <w:rPr>
          <w:rFonts w:hint="eastAsia" w:ascii="宋体" w:hAnsi="宋体" w:eastAsia="宋体" w:cs="宋体"/>
          <w:color w:val="auto"/>
          <w:sz w:val="21"/>
          <w:szCs w:val="21"/>
          <w:highlight w:val="none"/>
        </w:rPr>
        <w:t>成交通知书是合同的一个组成部分。</w:t>
      </w:r>
    </w:p>
    <w:p w14:paraId="728211FD">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7.2.3</w:t>
      </w:r>
      <w:r>
        <w:rPr>
          <w:rFonts w:hint="eastAsia" w:ascii="宋体" w:hAnsi="宋体" w:eastAsia="宋体" w:cs="宋体"/>
          <w:color w:val="auto"/>
          <w:sz w:val="21"/>
          <w:szCs w:val="21"/>
          <w:highlight w:val="none"/>
        </w:rPr>
        <w:t>除不可抗力等因素外，成交通知书发出后，采购人改变成交结果，或者成交供应商拒绝签订政府采购合同的，应当承担相应的法律责任。</w:t>
      </w:r>
    </w:p>
    <w:p w14:paraId="0293752D">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7.2.4</w:t>
      </w:r>
      <w:r>
        <w:rPr>
          <w:rFonts w:hint="eastAsia" w:ascii="宋体" w:hAnsi="宋体" w:eastAsia="宋体" w:cs="宋体"/>
          <w:color w:val="auto"/>
          <w:sz w:val="21"/>
          <w:szCs w:val="21"/>
          <w:highlight w:val="none"/>
        </w:rPr>
        <w:t>采购代理机构无义务向未成交供应商解释未成交原因和退回响应文件。</w:t>
      </w:r>
    </w:p>
    <w:p w14:paraId="29DF1D58">
      <w:pPr>
        <w:spacing w:line="360" w:lineRule="auto"/>
        <w:rPr>
          <w:rFonts w:hint="eastAsia" w:ascii="宋体" w:hAnsi="宋体" w:cs="宋体"/>
          <w:b/>
          <w:bCs/>
          <w:color w:val="auto"/>
          <w:sz w:val="21"/>
          <w:szCs w:val="21"/>
          <w:highlight w:val="none"/>
          <w:lang w:val="en-US" w:eastAsia="zh-CN"/>
        </w:rPr>
      </w:pPr>
      <w:bookmarkStart w:id="288" w:name="_Toc432197792"/>
      <w:bookmarkStart w:id="289" w:name="_Toc383175077"/>
      <w:bookmarkStart w:id="290" w:name="_Toc3050"/>
      <w:bookmarkStart w:id="291" w:name="_Toc383175301"/>
      <w:bookmarkStart w:id="292" w:name="_Toc6516"/>
      <w:bookmarkStart w:id="293" w:name="_Toc383175499"/>
      <w:bookmarkStart w:id="294" w:name="_Toc22451"/>
      <w:bookmarkStart w:id="295" w:name="_Toc21732"/>
      <w:bookmarkStart w:id="296" w:name="_Toc28560"/>
      <w:r>
        <w:rPr>
          <w:rFonts w:hint="eastAsia" w:ascii="宋体" w:hAnsi="宋体" w:cs="宋体"/>
          <w:b/>
          <w:bCs/>
          <w:color w:val="auto"/>
          <w:sz w:val="21"/>
          <w:szCs w:val="21"/>
          <w:highlight w:val="none"/>
          <w:lang w:val="en-US" w:eastAsia="zh-CN"/>
        </w:rPr>
        <w:t>7.3签订合同</w:t>
      </w:r>
      <w:bookmarkEnd w:id="286"/>
      <w:bookmarkEnd w:id="287"/>
      <w:bookmarkEnd w:id="288"/>
      <w:bookmarkEnd w:id="289"/>
      <w:bookmarkEnd w:id="290"/>
      <w:bookmarkEnd w:id="291"/>
      <w:bookmarkEnd w:id="292"/>
      <w:bookmarkEnd w:id="293"/>
      <w:bookmarkEnd w:id="294"/>
      <w:bookmarkEnd w:id="295"/>
      <w:bookmarkEnd w:id="296"/>
    </w:p>
    <w:p w14:paraId="4A8F748A">
      <w:pPr>
        <w:spacing w:beforeLines="0" w:line="360" w:lineRule="auto"/>
        <w:ind w:firstLine="420" w:firstLineChars="200"/>
        <w:jc w:val="left"/>
        <w:rPr>
          <w:rFonts w:hint="eastAsia" w:ascii="宋体" w:hAnsi="宋体" w:eastAsia="宋体" w:cs="宋体"/>
          <w:color w:val="auto"/>
          <w:sz w:val="21"/>
          <w:szCs w:val="21"/>
          <w:highlight w:val="none"/>
        </w:rPr>
      </w:pPr>
      <w:bookmarkStart w:id="297" w:name="_Toc329810213"/>
      <w:bookmarkStart w:id="298" w:name="_Toc86124073"/>
      <w:r>
        <w:rPr>
          <w:rFonts w:hint="eastAsia" w:ascii="宋体" w:hAnsi="宋体" w:eastAsia="宋体" w:cs="宋体"/>
          <w:color w:val="auto"/>
          <w:sz w:val="21"/>
          <w:szCs w:val="21"/>
          <w:highlight w:val="none"/>
          <w:lang w:val="en-US" w:eastAsia="zh-CN"/>
        </w:rPr>
        <w:t>7.3.1</w:t>
      </w:r>
      <w:r>
        <w:rPr>
          <w:rFonts w:hint="eastAsia" w:ascii="宋体" w:hAnsi="宋体" w:eastAsia="宋体" w:cs="宋体"/>
          <w:color w:val="auto"/>
          <w:sz w:val="21"/>
          <w:szCs w:val="21"/>
          <w:highlight w:val="none"/>
        </w:rPr>
        <w:t>采购人与成交供应商应当在成交通知书发出之日起30日内，按照</w:t>
      </w:r>
      <w:r>
        <w:rPr>
          <w:rFonts w:hint="eastAsia" w:ascii="宋体" w:hAnsi="宋体" w:eastAsia="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rPr>
        <w:t>要求事项签订政府采购合同。</w:t>
      </w:r>
    </w:p>
    <w:p w14:paraId="019D3918">
      <w:pPr>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7.3.2</w:t>
      </w:r>
      <w:r>
        <w:rPr>
          <w:rFonts w:hint="eastAsia" w:ascii="宋体" w:hAnsi="宋体" w:eastAsia="宋体" w:cs="宋体"/>
          <w:color w:val="auto"/>
          <w:sz w:val="21"/>
          <w:szCs w:val="21"/>
          <w:highlight w:val="none"/>
        </w:rPr>
        <w:t>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bookmarkEnd w:id="297"/>
      <w:bookmarkEnd w:id="298"/>
    </w:p>
    <w:p w14:paraId="32D5F812">
      <w:pPr>
        <w:spacing w:line="360" w:lineRule="auto"/>
        <w:rPr>
          <w:rFonts w:hint="eastAsia" w:ascii="宋体" w:hAnsi="宋体" w:cs="宋体"/>
          <w:b/>
          <w:bCs/>
          <w:color w:val="auto"/>
          <w:sz w:val="21"/>
          <w:szCs w:val="21"/>
          <w:highlight w:val="none"/>
          <w:lang w:val="en-US" w:eastAsia="zh-CN"/>
        </w:rPr>
      </w:pPr>
      <w:bookmarkStart w:id="299" w:name="_Toc11783"/>
      <w:bookmarkStart w:id="300" w:name="_Toc5562"/>
      <w:bookmarkStart w:id="301" w:name="_Toc21147"/>
      <w:bookmarkStart w:id="302" w:name="_Toc4420"/>
      <w:r>
        <w:rPr>
          <w:rFonts w:hint="eastAsia" w:ascii="宋体" w:hAnsi="宋体" w:cs="宋体"/>
          <w:b/>
          <w:bCs/>
          <w:color w:val="auto"/>
          <w:sz w:val="21"/>
          <w:szCs w:val="21"/>
          <w:highlight w:val="none"/>
          <w:lang w:val="en-US" w:eastAsia="zh-CN"/>
        </w:rPr>
        <w:t>7.4履约保证金</w:t>
      </w:r>
      <w:bookmarkEnd w:id="299"/>
      <w:bookmarkEnd w:id="300"/>
      <w:bookmarkEnd w:id="301"/>
      <w:bookmarkEnd w:id="302"/>
    </w:p>
    <w:p w14:paraId="1BFAD28A">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w:t>
      </w:r>
      <w:r>
        <w:rPr>
          <w:rFonts w:hint="eastAsia" w:ascii="宋体" w:hAnsi="宋体"/>
          <w:color w:val="auto"/>
          <w:kern w:val="0"/>
          <w:szCs w:val="21"/>
          <w:highlight w:val="none"/>
          <w:lang w:val="en-US" w:eastAsia="zh-CN"/>
        </w:rPr>
        <w:t>4</w:t>
      </w:r>
      <w:r>
        <w:rPr>
          <w:rFonts w:hint="eastAsia" w:ascii="宋体" w:hAnsi="宋体"/>
          <w:color w:val="auto"/>
          <w:kern w:val="0"/>
          <w:szCs w:val="21"/>
          <w:highlight w:val="none"/>
        </w:rPr>
        <w:t>.1在签订合同前，</w:t>
      </w:r>
      <w:r>
        <w:rPr>
          <w:rFonts w:hint="eastAsia" w:ascii="宋体" w:hAnsi="宋体"/>
          <w:color w:val="auto"/>
          <w:kern w:val="0"/>
          <w:szCs w:val="21"/>
          <w:highlight w:val="none"/>
          <w:lang w:val="en-US" w:eastAsia="zh-CN"/>
        </w:rPr>
        <w:t>成交</w:t>
      </w:r>
      <w:r>
        <w:rPr>
          <w:rFonts w:hint="eastAsia" w:ascii="宋体" w:hAnsi="宋体"/>
          <w:color w:val="auto"/>
          <w:kern w:val="0"/>
          <w:szCs w:val="21"/>
          <w:highlight w:val="none"/>
        </w:rPr>
        <w:t>人应按</w:t>
      </w:r>
      <w:r>
        <w:rPr>
          <w:rFonts w:hint="eastAsia" w:ascii="宋体" w:hAnsi="宋体"/>
          <w:color w:val="auto"/>
          <w:kern w:val="0"/>
          <w:szCs w:val="21"/>
          <w:highlight w:val="none"/>
          <w:lang w:eastAsia="zh-CN"/>
        </w:rPr>
        <w:t>供应商</w:t>
      </w:r>
      <w:r>
        <w:rPr>
          <w:rFonts w:hint="eastAsia" w:ascii="宋体" w:hAnsi="宋体"/>
          <w:color w:val="auto"/>
          <w:kern w:val="0"/>
          <w:szCs w:val="21"/>
          <w:highlight w:val="none"/>
        </w:rPr>
        <w:t>须知前附表规定的金额、担保形式规定的</w:t>
      </w:r>
      <w:r>
        <w:rPr>
          <w:rFonts w:hint="eastAsia" w:ascii="宋体" w:hAnsi="宋体"/>
          <w:color w:val="auto"/>
          <w:kern w:val="0"/>
          <w:szCs w:val="21"/>
          <w:highlight w:val="none"/>
          <w:lang w:eastAsia="zh-CN"/>
        </w:rPr>
        <w:t>履约保证金</w:t>
      </w:r>
      <w:r>
        <w:rPr>
          <w:rFonts w:hint="eastAsia" w:ascii="宋体" w:hAnsi="宋体"/>
          <w:color w:val="auto"/>
          <w:kern w:val="0"/>
          <w:szCs w:val="21"/>
          <w:highlight w:val="none"/>
        </w:rPr>
        <w:t>格式向</w:t>
      </w:r>
      <w:r>
        <w:rPr>
          <w:rFonts w:hint="eastAsia" w:ascii="宋体" w:hAnsi="宋体"/>
          <w:color w:val="auto"/>
          <w:kern w:val="0"/>
          <w:szCs w:val="21"/>
          <w:highlight w:val="none"/>
          <w:lang w:eastAsia="zh-CN"/>
        </w:rPr>
        <w:t>采购人</w:t>
      </w:r>
      <w:r>
        <w:rPr>
          <w:rFonts w:hint="eastAsia" w:ascii="宋体" w:hAnsi="宋体"/>
          <w:color w:val="auto"/>
          <w:kern w:val="0"/>
          <w:szCs w:val="21"/>
          <w:highlight w:val="none"/>
        </w:rPr>
        <w:t>提交</w:t>
      </w:r>
      <w:r>
        <w:rPr>
          <w:rFonts w:hint="eastAsia" w:ascii="宋体" w:hAnsi="宋体"/>
          <w:color w:val="auto"/>
          <w:kern w:val="0"/>
          <w:szCs w:val="21"/>
          <w:highlight w:val="none"/>
          <w:lang w:eastAsia="zh-CN"/>
        </w:rPr>
        <w:t>履约保证金</w:t>
      </w:r>
      <w:r>
        <w:rPr>
          <w:rFonts w:hint="eastAsia" w:ascii="宋体" w:hAnsi="宋体"/>
          <w:color w:val="auto"/>
          <w:kern w:val="0"/>
          <w:szCs w:val="21"/>
          <w:highlight w:val="none"/>
        </w:rPr>
        <w:t>。联合体中标的，其</w:t>
      </w:r>
      <w:r>
        <w:rPr>
          <w:rFonts w:hint="eastAsia" w:ascii="宋体" w:hAnsi="宋体"/>
          <w:color w:val="auto"/>
          <w:kern w:val="0"/>
          <w:szCs w:val="21"/>
          <w:highlight w:val="none"/>
          <w:lang w:eastAsia="zh-CN"/>
        </w:rPr>
        <w:t>履约保证金</w:t>
      </w:r>
      <w:r>
        <w:rPr>
          <w:rFonts w:hint="eastAsia" w:ascii="宋体" w:hAnsi="宋体"/>
          <w:color w:val="auto"/>
          <w:kern w:val="0"/>
          <w:szCs w:val="21"/>
          <w:highlight w:val="none"/>
        </w:rPr>
        <w:t>由牵头人递交，并应符合</w:t>
      </w:r>
      <w:r>
        <w:rPr>
          <w:rFonts w:hint="eastAsia" w:ascii="宋体" w:hAnsi="宋体"/>
          <w:color w:val="auto"/>
          <w:kern w:val="0"/>
          <w:szCs w:val="21"/>
          <w:highlight w:val="none"/>
          <w:lang w:eastAsia="zh-CN"/>
        </w:rPr>
        <w:t>供应商</w:t>
      </w:r>
      <w:r>
        <w:rPr>
          <w:rFonts w:hint="eastAsia" w:ascii="宋体" w:hAnsi="宋体"/>
          <w:color w:val="auto"/>
          <w:kern w:val="0"/>
          <w:szCs w:val="21"/>
          <w:highlight w:val="none"/>
        </w:rPr>
        <w:t>须知前附表规定的金额、担保形式规定的</w:t>
      </w:r>
      <w:r>
        <w:rPr>
          <w:rFonts w:hint="eastAsia" w:ascii="宋体" w:hAnsi="宋体"/>
          <w:color w:val="auto"/>
          <w:kern w:val="0"/>
          <w:szCs w:val="21"/>
          <w:highlight w:val="none"/>
          <w:lang w:eastAsia="zh-CN"/>
        </w:rPr>
        <w:t>履约保证金</w:t>
      </w:r>
      <w:r>
        <w:rPr>
          <w:rFonts w:hint="eastAsia" w:ascii="宋体" w:hAnsi="宋体"/>
          <w:color w:val="auto"/>
          <w:kern w:val="0"/>
          <w:szCs w:val="21"/>
          <w:highlight w:val="none"/>
        </w:rPr>
        <w:t>格式要求。</w:t>
      </w:r>
    </w:p>
    <w:p w14:paraId="12A16F03">
      <w:pPr>
        <w:adjustRightInd/>
        <w:snapToGrid/>
        <w:spacing w:before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olor w:val="auto"/>
          <w:kern w:val="0"/>
          <w:szCs w:val="21"/>
          <w:highlight w:val="none"/>
        </w:rPr>
        <w:t>7.</w:t>
      </w:r>
      <w:r>
        <w:rPr>
          <w:rFonts w:hint="eastAsia" w:ascii="宋体" w:hAnsi="宋体"/>
          <w:color w:val="auto"/>
          <w:kern w:val="0"/>
          <w:szCs w:val="21"/>
          <w:highlight w:val="none"/>
          <w:lang w:val="en-US" w:eastAsia="zh-CN"/>
        </w:rPr>
        <w:t>4</w:t>
      </w:r>
      <w:r>
        <w:rPr>
          <w:rFonts w:hint="eastAsia" w:ascii="宋体" w:hAnsi="宋体"/>
          <w:color w:val="auto"/>
          <w:kern w:val="0"/>
          <w:szCs w:val="21"/>
          <w:highlight w:val="none"/>
        </w:rPr>
        <w:t>.2</w:t>
      </w:r>
      <w:r>
        <w:rPr>
          <w:rFonts w:hint="eastAsia" w:ascii="宋体" w:hAnsi="宋体"/>
          <w:color w:val="auto"/>
          <w:kern w:val="0"/>
          <w:szCs w:val="21"/>
          <w:highlight w:val="none"/>
          <w:lang w:val="en-US" w:eastAsia="zh-CN"/>
        </w:rPr>
        <w:t>成交</w:t>
      </w:r>
      <w:r>
        <w:rPr>
          <w:rFonts w:hint="eastAsia" w:ascii="宋体" w:hAnsi="宋体"/>
          <w:color w:val="auto"/>
          <w:kern w:val="0"/>
          <w:szCs w:val="21"/>
          <w:highlight w:val="none"/>
        </w:rPr>
        <w:t>人不能按本章第7.3.1项要求提交</w:t>
      </w:r>
      <w:r>
        <w:rPr>
          <w:rFonts w:hint="eastAsia" w:ascii="宋体" w:hAnsi="宋体"/>
          <w:color w:val="auto"/>
          <w:kern w:val="0"/>
          <w:szCs w:val="21"/>
          <w:highlight w:val="none"/>
          <w:lang w:eastAsia="zh-CN"/>
        </w:rPr>
        <w:t>履约保证金</w:t>
      </w:r>
      <w:r>
        <w:rPr>
          <w:rFonts w:hint="eastAsia" w:ascii="宋体" w:hAnsi="宋体"/>
          <w:color w:val="auto"/>
          <w:kern w:val="0"/>
          <w:szCs w:val="21"/>
          <w:highlight w:val="none"/>
        </w:rPr>
        <w:t>的，视为放弃</w:t>
      </w:r>
      <w:r>
        <w:rPr>
          <w:rFonts w:hint="eastAsia" w:ascii="宋体" w:hAnsi="宋体"/>
          <w:color w:val="auto"/>
          <w:kern w:val="0"/>
          <w:szCs w:val="21"/>
          <w:highlight w:val="none"/>
          <w:lang w:val="en-US" w:eastAsia="zh-CN"/>
        </w:rPr>
        <w:t>成交</w:t>
      </w:r>
      <w:r>
        <w:rPr>
          <w:rFonts w:hint="eastAsia" w:ascii="宋体" w:hAnsi="宋体"/>
          <w:color w:val="auto"/>
          <w:kern w:val="0"/>
          <w:szCs w:val="21"/>
          <w:highlight w:val="none"/>
        </w:rPr>
        <w:t>，其</w:t>
      </w:r>
      <w:r>
        <w:rPr>
          <w:rFonts w:hint="eastAsia" w:ascii="宋体" w:hAnsi="宋体"/>
          <w:color w:val="auto"/>
          <w:kern w:val="0"/>
          <w:szCs w:val="21"/>
          <w:highlight w:val="none"/>
          <w:lang w:val="en-US" w:eastAsia="zh-CN"/>
        </w:rPr>
        <w:t>磋商</w:t>
      </w:r>
      <w:r>
        <w:rPr>
          <w:rFonts w:hint="eastAsia" w:ascii="宋体" w:hAnsi="宋体"/>
          <w:color w:val="auto"/>
          <w:kern w:val="0"/>
          <w:szCs w:val="21"/>
          <w:highlight w:val="none"/>
        </w:rPr>
        <w:t>保证金不予退还，给</w:t>
      </w:r>
      <w:r>
        <w:rPr>
          <w:rFonts w:hint="eastAsia" w:ascii="宋体" w:hAnsi="宋体"/>
          <w:color w:val="auto"/>
          <w:kern w:val="0"/>
          <w:szCs w:val="21"/>
          <w:highlight w:val="none"/>
          <w:lang w:eastAsia="zh-CN"/>
        </w:rPr>
        <w:t>采购人</w:t>
      </w:r>
      <w:r>
        <w:rPr>
          <w:rFonts w:hint="eastAsia" w:ascii="宋体" w:hAnsi="宋体"/>
          <w:color w:val="auto"/>
          <w:kern w:val="0"/>
          <w:szCs w:val="21"/>
          <w:highlight w:val="none"/>
        </w:rPr>
        <w:t>造成的损失超过</w:t>
      </w:r>
      <w:r>
        <w:rPr>
          <w:rFonts w:hint="eastAsia" w:ascii="宋体" w:hAnsi="宋体"/>
          <w:color w:val="auto"/>
          <w:kern w:val="0"/>
          <w:szCs w:val="21"/>
          <w:highlight w:val="none"/>
          <w:lang w:val="en-US" w:eastAsia="zh-CN"/>
        </w:rPr>
        <w:t>磋商</w:t>
      </w:r>
      <w:r>
        <w:rPr>
          <w:rFonts w:hint="eastAsia" w:ascii="宋体" w:hAnsi="宋体"/>
          <w:color w:val="auto"/>
          <w:kern w:val="0"/>
          <w:szCs w:val="21"/>
          <w:highlight w:val="none"/>
        </w:rPr>
        <w:t>保证金数额的，</w:t>
      </w:r>
      <w:r>
        <w:rPr>
          <w:rFonts w:hint="eastAsia" w:ascii="宋体" w:hAnsi="宋体"/>
          <w:color w:val="auto"/>
          <w:kern w:val="0"/>
          <w:szCs w:val="21"/>
          <w:highlight w:val="none"/>
          <w:lang w:val="en-US" w:eastAsia="zh-CN"/>
        </w:rPr>
        <w:t>成交</w:t>
      </w:r>
      <w:r>
        <w:rPr>
          <w:rFonts w:hint="eastAsia" w:ascii="宋体" w:hAnsi="宋体"/>
          <w:color w:val="auto"/>
          <w:kern w:val="0"/>
          <w:szCs w:val="21"/>
          <w:highlight w:val="none"/>
        </w:rPr>
        <w:t>人还应当对超过部分予以赔偿。</w:t>
      </w:r>
    </w:p>
    <w:p w14:paraId="7E7DBDFD">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color w:val="auto"/>
          <w:sz w:val="21"/>
          <w:szCs w:val="21"/>
          <w:highlight w:val="none"/>
          <w:lang w:val="en-US" w:eastAsia="zh-CN"/>
        </w:rPr>
      </w:pPr>
      <w:bookmarkStart w:id="303" w:name="_Toc11757"/>
      <w:r>
        <w:rPr>
          <w:rFonts w:hint="eastAsia" w:ascii="宋体" w:hAnsi="宋体" w:eastAsia="宋体" w:cs="宋体"/>
          <w:color w:val="auto"/>
          <w:sz w:val="21"/>
          <w:szCs w:val="21"/>
          <w:highlight w:val="none"/>
        </w:rPr>
        <w:t>8.重新</w:t>
      </w:r>
      <w:r>
        <w:rPr>
          <w:rFonts w:hint="eastAsia" w:ascii="宋体" w:hAnsi="宋体" w:cs="宋体"/>
          <w:color w:val="auto"/>
          <w:sz w:val="21"/>
          <w:szCs w:val="21"/>
          <w:highlight w:val="none"/>
          <w:lang w:val="en-US" w:eastAsia="zh-CN"/>
        </w:rPr>
        <w:t>开展采购活动</w:t>
      </w:r>
      <w:r>
        <w:rPr>
          <w:rFonts w:hint="eastAsia" w:ascii="宋体" w:hAnsi="宋体" w:eastAsia="宋体" w:cs="宋体"/>
          <w:color w:val="auto"/>
          <w:sz w:val="21"/>
          <w:szCs w:val="21"/>
          <w:highlight w:val="none"/>
        </w:rPr>
        <w:t>和</w:t>
      </w:r>
      <w:bookmarkEnd w:id="303"/>
      <w:r>
        <w:rPr>
          <w:rFonts w:hint="eastAsia" w:ascii="宋体" w:hAnsi="宋体" w:cs="宋体"/>
          <w:color w:val="auto"/>
          <w:sz w:val="21"/>
          <w:szCs w:val="21"/>
          <w:highlight w:val="none"/>
          <w:lang w:val="en-US" w:eastAsia="zh-CN"/>
        </w:rPr>
        <w:t>终止采购活动</w:t>
      </w:r>
    </w:p>
    <w:p w14:paraId="0C0187C1">
      <w:pPr>
        <w:adjustRightInd w:val="0"/>
        <w:snapToGrid w:val="0"/>
        <w:spacing w:line="360" w:lineRule="auto"/>
        <w:ind w:firstLine="420" w:firstLineChars="200"/>
        <w:jc w:val="left"/>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8.1重新开展采购活动：</w:t>
      </w:r>
    </w:p>
    <w:p w14:paraId="1F456C8E">
      <w:pPr>
        <w:adjustRightInd w:val="0"/>
        <w:snapToGrid w:val="0"/>
        <w:spacing w:line="360" w:lineRule="auto"/>
        <w:ind w:firstLine="420" w:firstLineChars="200"/>
        <w:jc w:val="left"/>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出现下列情形之一的，采购人或者采购代理机构应当终止竞争性磋商采购活动，发布项目终止公告并说明原因，重新开展采购活动：</w:t>
      </w:r>
    </w:p>
    <w:p w14:paraId="7C1626DA">
      <w:pPr>
        <w:adjustRightInd w:val="0"/>
        <w:snapToGrid w:val="0"/>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（1）因情况变化，不再符合规定的竞争性磋商采购方式适用情形的；</w:t>
      </w:r>
    </w:p>
    <w:p w14:paraId="733D3810">
      <w:pPr>
        <w:adjustRightInd w:val="0"/>
        <w:snapToGrid w:val="0"/>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（2）出现影响采购公正的违法、违规行为的；</w:t>
      </w:r>
    </w:p>
    <w:p w14:paraId="12DA2A1E">
      <w:pPr>
        <w:adjustRightInd w:val="0"/>
        <w:snapToGrid w:val="0"/>
        <w:spacing w:line="360" w:lineRule="auto"/>
        <w:ind w:firstLine="420" w:firstLineChars="200"/>
        <w:jc w:val="left"/>
        <w:rPr>
          <w:rFonts w:hint="eastAsia" w:ascii="宋体" w:hAnsi="宋体" w:cs="Times New Roman"/>
          <w:color w:val="auto"/>
          <w:kern w:val="0"/>
          <w:szCs w:val="21"/>
          <w:highlight w:val="none"/>
          <w:lang w:eastAsia="zh-CN"/>
        </w:rPr>
      </w:pPr>
      <w:r>
        <w:rPr>
          <w:rFonts w:hint="eastAsia" w:ascii="宋体" w:hAnsi="宋体" w:eastAsia="宋体" w:cs="Times New Roman"/>
          <w:color w:val="auto"/>
          <w:kern w:val="0"/>
          <w:szCs w:val="21"/>
          <w:highlight w:val="none"/>
        </w:rPr>
        <w:t>（3）截止磋商文件规定的递交响应文件时间，递交响应文件的供应商不足3家</w:t>
      </w:r>
      <w:r>
        <w:rPr>
          <w:rFonts w:hint="eastAsia" w:ascii="宋体" w:hAnsi="宋体" w:cs="Times New Roman"/>
          <w:color w:val="auto"/>
          <w:kern w:val="0"/>
          <w:szCs w:val="21"/>
          <w:highlight w:val="none"/>
          <w:lang w:eastAsia="zh-CN"/>
        </w:rPr>
        <w:t>；</w:t>
      </w:r>
    </w:p>
    <w:p w14:paraId="631B302A">
      <w:pPr>
        <w:adjustRightInd w:val="0"/>
        <w:snapToGrid w:val="0"/>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cs="Times New Roman"/>
          <w:color w:val="auto"/>
          <w:kern w:val="0"/>
          <w:szCs w:val="21"/>
          <w:highlight w:val="none"/>
          <w:lang w:eastAsia="zh-CN"/>
        </w:rPr>
        <w:t>（</w:t>
      </w:r>
      <w:r>
        <w:rPr>
          <w:rFonts w:hint="eastAsia" w:ascii="宋体" w:hAnsi="宋体" w:cs="Times New Roman"/>
          <w:color w:val="auto"/>
          <w:kern w:val="0"/>
          <w:szCs w:val="21"/>
          <w:highlight w:val="none"/>
          <w:lang w:val="en-US" w:eastAsia="zh-CN"/>
        </w:rPr>
        <w:t>4</w:t>
      </w:r>
      <w:r>
        <w:rPr>
          <w:rFonts w:hint="eastAsia" w:ascii="宋体" w:hAnsi="宋体" w:cs="Times New Roman"/>
          <w:color w:val="auto"/>
          <w:kern w:val="0"/>
          <w:szCs w:val="21"/>
          <w:highlight w:val="none"/>
          <w:lang w:eastAsia="zh-CN"/>
        </w:rPr>
        <w:t>）除财库〔2014〕214 号第二十一条第三款规定情形外，评审过程中符合要求的供应商或者报价未超过采购预算的供应商不足</w:t>
      </w:r>
      <w:r>
        <w:rPr>
          <w:rFonts w:hint="eastAsia" w:ascii="宋体" w:hAnsi="宋体" w:cs="Times New Roman"/>
          <w:color w:val="auto"/>
          <w:kern w:val="0"/>
          <w:szCs w:val="21"/>
          <w:highlight w:val="none"/>
          <w:lang w:val="en-US" w:eastAsia="zh-CN"/>
        </w:rPr>
        <w:t>3</w:t>
      </w:r>
      <w:r>
        <w:rPr>
          <w:rFonts w:hint="eastAsia" w:ascii="宋体" w:hAnsi="宋体" w:cs="Times New Roman"/>
          <w:color w:val="auto"/>
          <w:kern w:val="0"/>
          <w:szCs w:val="21"/>
          <w:highlight w:val="none"/>
          <w:lang w:eastAsia="zh-CN"/>
        </w:rPr>
        <w:t>家</w:t>
      </w:r>
      <w:r>
        <w:rPr>
          <w:rFonts w:hint="eastAsia" w:ascii="宋体" w:hAnsi="宋体" w:eastAsia="宋体" w:cs="Times New Roman"/>
          <w:color w:val="auto"/>
          <w:kern w:val="0"/>
          <w:szCs w:val="21"/>
          <w:highlight w:val="none"/>
        </w:rPr>
        <w:t>。</w:t>
      </w:r>
    </w:p>
    <w:p w14:paraId="582C282E">
      <w:pPr>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8.2</w:t>
      </w:r>
      <w:r>
        <w:rPr>
          <w:rFonts w:hint="eastAsia" w:ascii="宋体" w:hAnsi="宋体" w:cs="宋体"/>
          <w:b/>
          <w:color w:val="auto"/>
          <w:sz w:val="21"/>
          <w:szCs w:val="21"/>
          <w:highlight w:val="none"/>
          <w:lang w:val="en-US" w:eastAsia="zh-CN"/>
        </w:rPr>
        <w:t>终止采购活动</w:t>
      </w:r>
    </w:p>
    <w:p w14:paraId="371C5C43">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Times New Roman"/>
          <w:color w:val="auto"/>
          <w:kern w:val="0"/>
          <w:szCs w:val="21"/>
          <w:highlight w:val="none"/>
        </w:rPr>
        <w:t>因重大变故采购任务取消的，采购人、采购代理机构应当终止采购活动，不再开展本项目采购，通知所有参与供应商并将有关情况报送本级财政部门</w:t>
      </w:r>
      <w:r>
        <w:rPr>
          <w:rFonts w:hint="eastAsia" w:ascii="宋体" w:hAnsi="宋体" w:eastAsia="宋体" w:cs="Times New Roman"/>
          <w:color w:val="auto"/>
          <w:kern w:val="0"/>
          <w:szCs w:val="21"/>
          <w:highlight w:val="none"/>
          <w:lang w:eastAsia="zh-CN"/>
        </w:rPr>
        <w:t>。</w:t>
      </w:r>
    </w:p>
    <w:p w14:paraId="4DEB6325">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rPr>
      </w:pPr>
      <w:bookmarkStart w:id="304" w:name="_Toc5015"/>
      <w:r>
        <w:rPr>
          <w:rFonts w:hint="eastAsia" w:ascii="宋体" w:hAnsi="宋体" w:eastAsia="宋体" w:cs="宋体"/>
          <w:color w:val="auto"/>
          <w:sz w:val="21"/>
          <w:szCs w:val="21"/>
          <w:highlight w:val="none"/>
        </w:rPr>
        <w:t>9.纪律和监督</w:t>
      </w:r>
      <w:bookmarkEnd w:id="304"/>
    </w:p>
    <w:p w14:paraId="2B50685A">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9.1对采购人的纪律要求</w:t>
      </w:r>
    </w:p>
    <w:p w14:paraId="56BE478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r>
        <w:rPr>
          <w:rFonts w:hint="eastAsia" w:ascii="宋体" w:hAnsi="宋体" w:cs="宋体"/>
          <w:color w:val="auto"/>
          <w:sz w:val="21"/>
          <w:szCs w:val="21"/>
          <w:highlight w:val="none"/>
          <w:lang w:eastAsia="zh-CN"/>
        </w:rPr>
        <w:t>不得泄露</w:t>
      </w:r>
      <w:r>
        <w:rPr>
          <w:rFonts w:hint="eastAsia" w:ascii="宋体" w:hAnsi="宋体" w:eastAsia="宋体" w:cs="宋体"/>
          <w:color w:val="auto"/>
          <w:sz w:val="21"/>
          <w:szCs w:val="21"/>
          <w:highlight w:val="none"/>
        </w:rPr>
        <w:t>采购活动中应当保密的情况和资料，不得与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串通损害国家利益、社会公共利益或者他人合法权益。</w:t>
      </w:r>
    </w:p>
    <w:p w14:paraId="236A3FA6">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9.2对</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的纪律要求</w:t>
      </w:r>
    </w:p>
    <w:p w14:paraId="5BF93D6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纪律要求：供应商不得相互串通响应报价或者与采购人串通；不得向采购人或者磋商小组成员行贿或者提供其他不正当利益谋取成交；不得以他人名义参加磋商，或以提供虚假材料等弄虚作假方式谋取成交；供应商不得以任何方式干扰、影响评审工作正常进行。</w:t>
      </w:r>
    </w:p>
    <w:p w14:paraId="0E88633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9.2.2根据《中华人民共和国刑法》第二百二十三条【串通投标罪】规定，供应商相互串通响应报价，损害采购人或者其他供应商利益，情节严重的，处三年以下有期徒刑或者拘役，并处或者单处罚金。供应商与采购人串通投标，损害国家、集体、公民的合法利益的，依照前款的规定处罚。</w:t>
      </w:r>
    </w:p>
    <w:p w14:paraId="56699FA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9.2.3</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的行为涉及触犯【串通投标罪】相关规定的，将移送司法机关处理</w:t>
      </w:r>
      <w:r>
        <w:rPr>
          <w:rFonts w:hint="eastAsia" w:ascii="宋体" w:hAnsi="宋体" w:cs="宋体"/>
          <w:color w:val="auto"/>
          <w:sz w:val="21"/>
          <w:szCs w:val="21"/>
          <w:highlight w:val="none"/>
          <w:lang w:eastAsia="zh-CN"/>
        </w:rPr>
        <w:t>；磋商小组发现供应商存在行贿、串通、提供虚假材料等违法行为，应当及时向财政部门报告</w:t>
      </w:r>
      <w:r>
        <w:rPr>
          <w:rFonts w:hint="eastAsia" w:ascii="宋体" w:hAnsi="宋体" w:eastAsia="宋体" w:cs="宋体"/>
          <w:color w:val="auto"/>
          <w:sz w:val="21"/>
          <w:szCs w:val="21"/>
          <w:highlight w:val="none"/>
        </w:rPr>
        <w:t>。</w:t>
      </w:r>
    </w:p>
    <w:p w14:paraId="768546A5">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9.3对</w:t>
      </w:r>
      <w:r>
        <w:rPr>
          <w:rFonts w:hint="eastAsia" w:ascii="宋体" w:hAnsi="宋体" w:eastAsia="宋体" w:cs="宋体"/>
          <w:b/>
          <w:color w:val="auto"/>
          <w:sz w:val="21"/>
          <w:szCs w:val="21"/>
          <w:highlight w:val="none"/>
          <w:lang w:eastAsia="zh-CN"/>
        </w:rPr>
        <w:t>磋商小组</w:t>
      </w:r>
      <w:r>
        <w:rPr>
          <w:rFonts w:hint="eastAsia" w:ascii="宋体" w:hAnsi="宋体" w:eastAsia="宋体" w:cs="宋体"/>
          <w:b/>
          <w:color w:val="auto"/>
          <w:sz w:val="21"/>
          <w:szCs w:val="21"/>
          <w:highlight w:val="none"/>
        </w:rPr>
        <w:t>成员的纪律要求</w:t>
      </w:r>
    </w:p>
    <w:p w14:paraId="77985C4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磋商小组成员应当遵守国家、省相关法律法</w:t>
      </w:r>
      <w:r>
        <w:rPr>
          <w:rFonts w:hint="eastAsia" w:ascii="宋体" w:hAnsi="宋体" w:cs="宋体"/>
          <w:color w:val="auto"/>
          <w:sz w:val="21"/>
          <w:szCs w:val="21"/>
          <w:highlight w:val="none"/>
          <w:lang w:eastAsia="zh-CN"/>
        </w:rPr>
        <w:t>规和</w:t>
      </w:r>
      <w:r>
        <w:rPr>
          <w:rFonts w:hint="eastAsia" w:ascii="宋体" w:hAnsi="宋体" w:eastAsia="宋体" w:cs="宋体"/>
          <w:color w:val="auto"/>
          <w:sz w:val="21"/>
          <w:szCs w:val="21"/>
          <w:highlight w:val="none"/>
          <w:lang w:eastAsia="zh-CN"/>
        </w:rPr>
        <w:t>规章，恪守职业道德，按照客观、公正、审慎原则，依据磋商文件载明的评审程序、评审方法、评审标准开展独立评审。不得收受供应商及利害关系人财物或者其他不正当利益；不得泄露响应文件评审比较情况、成交候选供应商推荐情况、评审情况以及评审获悉的商业秘密；评审期间不得擅离职守，妨碍评审程序正常开展；不得使用磋商文件第三章 “评审办法” 未规定的评审因素和评审标准进行评审</w:t>
      </w:r>
      <w:r>
        <w:rPr>
          <w:rFonts w:hint="eastAsia" w:ascii="宋体" w:hAnsi="宋体" w:eastAsia="宋体" w:cs="宋体"/>
          <w:color w:val="auto"/>
          <w:sz w:val="21"/>
          <w:szCs w:val="21"/>
          <w:highlight w:val="none"/>
        </w:rPr>
        <w:t>。</w:t>
      </w:r>
    </w:p>
    <w:p w14:paraId="4F8BDDA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9.4对与评审活动有关的工作人员的纪律要求</w:t>
      </w:r>
    </w:p>
    <w:p w14:paraId="4B28EC3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审活动有关的工作人员，不得收受供应商及利害关系人财物或者其他不正当利益；不得泄露响应文件评审和比较情况、成交候选供应商推荐情况以及评审相关保密信息。评审期间，不得擅离职守，干扰评审程序正常运行。</w:t>
      </w:r>
    </w:p>
    <w:p w14:paraId="1F36F0E4">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9.5</w:t>
      </w:r>
      <w:r>
        <w:rPr>
          <w:rFonts w:hint="eastAsia" w:ascii="宋体" w:hAnsi="宋体" w:eastAsia="宋体" w:cs="宋体"/>
          <w:b/>
          <w:bCs/>
          <w:color w:val="auto"/>
          <w:sz w:val="21"/>
          <w:szCs w:val="21"/>
          <w:highlight w:val="none"/>
          <w:lang w:val="en-US" w:eastAsia="zh-CN"/>
        </w:rPr>
        <w:t>质疑</w:t>
      </w:r>
      <w:r>
        <w:rPr>
          <w:rFonts w:hint="eastAsia" w:ascii="宋体" w:hAnsi="宋体" w:eastAsia="宋体" w:cs="宋体"/>
          <w:b/>
          <w:bCs/>
          <w:color w:val="auto"/>
          <w:sz w:val="21"/>
          <w:szCs w:val="21"/>
          <w:highlight w:val="none"/>
        </w:rPr>
        <w:t>和投诉</w:t>
      </w:r>
    </w:p>
    <w:p w14:paraId="20200B9C">
      <w:pPr>
        <w:keepNext w:val="0"/>
        <w:keepLines w:val="0"/>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9.5.1</w:t>
      </w:r>
      <w:r>
        <w:rPr>
          <w:rFonts w:hint="eastAsia" w:ascii="宋体" w:hAnsi="宋体" w:cs="宋体"/>
          <w:b/>
          <w:bCs/>
          <w:color w:val="auto"/>
          <w:sz w:val="21"/>
          <w:szCs w:val="21"/>
          <w:highlight w:val="none"/>
          <w:lang w:val="en-US" w:eastAsia="zh-CN"/>
        </w:rPr>
        <w:t>质疑</w:t>
      </w:r>
    </w:p>
    <w:p w14:paraId="28AB866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供应商认为采购文件、采购过程、中标或者成交结果使自己的权益受到损害的，可以在知道或者应知其权益受到损害之日起7个工作日内，以书面形式向采购人、采购代理机构提出质疑。供应商</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在法定质疑期内一次性提出针对同一采购程序环节的质疑。</w:t>
      </w:r>
    </w:p>
    <w:p w14:paraId="5D2C28B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w:t>
      </w:r>
    </w:p>
    <w:p w14:paraId="5B04248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供应商提出质疑应当提交质疑函和必要的证明材料。质疑函应当包括下列内容：</w:t>
      </w:r>
    </w:p>
    <w:p w14:paraId="01B08CD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）供应商的姓名或者名称、地址、邮编、联系人及联系电话；</w:t>
      </w:r>
    </w:p>
    <w:p w14:paraId="5B29029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）质疑项目的名称、编号；</w:t>
      </w:r>
    </w:p>
    <w:p w14:paraId="2CDCF5E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）具体、明确的质疑事项和与质疑事项相关的请求；</w:t>
      </w:r>
    </w:p>
    <w:p w14:paraId="31BE1E7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）事实依据；</w:t>
      </w:r>
    </w:p>
    <w:p w14:paraId="0F93F74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）必要的法律依据；</w:t>
      </w:r>
    </w:p>
    <w:p w14:paraId="1D5BD5C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）提出质疑的日期。</w:t>
      </w:r>
    </w:p>
    <w:p w14:paraId="46EC6C4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w:t>
      </w:r>
    </w:p>
    <w:p w14:paraId="654981A8">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采购人、采购代理机构不得拒收质疑供应商在法定质疑期内发出的质疑函，应当在收到质疑函后7个工作日内作出答复，并以书面形式通知质疑供应商和其他有关供应商。</w:t>
      </w:r>
    </w:p>
    <w:p w14:paraId="6A18164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供应商对评审过程、中标或者成交结果提出质疑的，采购人、采购代理机构可以组织原</w:t>
      </w:r>
      <w:r>
        <w:rPr>
          <w:rFonts w:hint="eastAsia" w:ascii="宋体" w:hAnsi="宋体" w:cs="宋体"/>
          <w:color w:val="auto"/>
          <w:sz w:val="21"/>
          <w:szCs w:val="21"/>
          <w:highlight w:val="none"/>
          <w:lang w:eastAsia="zh-CN"/>
        </w:rPr>
        <w:t>评审</w:t>
      </w:r>
      <w:r>
        <w:rPr>
          <w:rFonts w:hint="eastAsia" w:ascii="宋体" w:hAnsi="宋体" w:eastAsia="宋体" w:cs="宋体"/>
          <w:color w:val="auto"/>
          <w:sz w:val="21"/>
          <w:szCs w:val="21"/>
          <w:highlight w:val="none"/>
        </w:rPr>
        <w:t>委员会、竞争性谈判小组、询价小组或者竞争性磋商小组协助答复质疑。</w:t>
      </w:r>
    </w:p>
    <w:p w14:paraId="5D35720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质疑答复应当包括下列内容：</w:t>
      </w:r>
    </w:p>
    <w:p w14:paraId="2EE7DA5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）质疑供应商的姓名或者名称；</w:t>
      </w:r>
    </w:p>
    <w:p w14:paraId="2C7C449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）收到质疑函的日期、质疑项目名称及编号；</w:t>
      </w:r>
    </w:p>
    <w:p w14:paraId="357CDE9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）质疑事项、质疑答复的具体内容、事实依据和法律依据；</w:t>
      </w:r>
    </w:p>
    <w:p w14:paraId="00C9A6C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）告知质疑供应商依法投诉的权利；</w:t>
      </w:r>
    </w:p>
    <w:p w14:paraId="4D3798C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）质疑答复人名称；</w:t>
      </w:r>
    </w:p>
    <w:p w14:paraId="1383D31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）答复质疑的日期。</w:t>
      </w:r>
    </w:p>
    <w:p w14:paraId="71C2116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质疑答复的内容不得涉及商业秘密。</w:t>
      </w:r>
    </w:p>
    <w:p w14:paraId="274328E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采购人、采购代理机构认为供应商质疑不成立，或者成立但未对中标、成交结果构成影响的，继续开展采购活动；认为供应商质疑成立且影响或者可能影响中标、成交结果的，按照下列情况处理：</w:t>
      </w:r>
    </w:p>
    <w:p w14:paraId="2A91C62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）对采购文件提出的质疑，依法通过澄清或者修改可以继续开展采购活动的，澄清或者修改采购文件后继续开展采购活动；否则应当修改采购文件后重新开展采购活动。</w:t>
      </w:r>
    </w:p>
    <w:p w14:paraId="7161299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对采购过程、中标或者成交结果提出的质疑，合格供应商符合法定数量时，可以从合格的中标或者成交候选供应商中另行确定中标、成交供应商的，应当依法另行确定中标、成交供应商；否则应当重新开展采购活动。</w:t>
      </w:r>
    </w:p>
    <w:p w14:paraId="1F84838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质疑答复导致中标、成交结果改变的，采购人或者采购代理机构应当将有关情况书面报告本级财政部门。</w:t>
      </w:r>
    </w:p>
    <w:p w14:paraId="427880F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5103C64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质疑供应商对采购人、采购代理机构的答复不满意，或者采购人、采购代理机构未在规定时间内作出答复的，可以在答复期满后15个工作日内向财政部门提起投诉。</w:t>
      </w:r>
    </w:p>
    <w:p w14:paraId="057A63E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投诉人投诉时</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应当提交投诉书和必要的证明材料，并按照被投诉采购人、采购代理机构（以下简称被投诉人）和与投诉事项有关的供应商数量提供投诉书的副本。投诉书应当包括下列内容：</w:t>
      </w:r>
    </w:p>
    <w:p w14:paraId="24F9666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）投诉人和被投诉人的姓名或者名称、通讯地址、邮编、联系人及联系电话；</w:t>
      </w:r>
    </w:p>
    <w:p w14:paraId="7F5624F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）质疑和质疑答复情况说明及相关证明材料；</w:t>
      </w:r>
    </w:p>
    <w:p w14:paraId="768A6F9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）具体、明确的投诉事项和与投诉事项相关的投诉请求；</w:t>
      </w:r>
    </w:p>
    <w:p w14:paraId="5CDEF81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）事实依据；</w:t>
      </w:r>
    </w:p>
    <w:p w14:paraId="107F75F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）法律依据；</w:t>
      </w:r>
    </w:p>
    <w:p w14:paraId="3BFE7D7B">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）提起投诉的日期。</w:t>
      </w:r>
    </w:p>
    <w:p w14:paraId="5D18E42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投诉人为自然人的，应当由本人签字；投诉人为法人或者其他组织的，应当由法定代表人、主要负责人，或者其授权代表签字或者盖章，并加盖公章。</w:t>
      </w:r>
    </w:p>
    <w:p w14:paraId="59B19E4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投诉人应当根据采购文件中载明接收质疑函的方式、联系部门、联系电话和通讯地址等信息内容，并按照其规定的方式提起投诉。</w:t>
      </w:r>
    </w:p>
    <w:p w14:paraId="04B8929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投诉人提起投诉应当符合下列条件：</w:t>
      </w:r>
    </w:p>
    <w:p w14:paraId="0AD79BC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）提起投诉前已依法进行质疑；</w:t>
      </w:r>
    </w:p>
    <w:p w14:paraId="5538119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）投诉书内容符合本办法的规定；</w:t>
      </w:r>
    </w:p>
    <w:p w14:paraId="02C2D78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）在投诉有效期限内提起投诉；</w:t>
      </w:r>
    </w:p>
    <w:p w14:paraId="1A4E2AA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）同一投诉事项未经财政部门投诉处理；</w:t>
      </w:r>
    </w:p>
    <w:p w14:paraId="535D798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）财政部规定的其他条件。</w:t>
      </w:r>
    </w:p>
    <w:p w14:paraId="511DCE76">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9.5.2.4供应商投诉的事项不得超出已质疑事项的范围，但基于质疑答复内容提出的投诉事项除外。</w:t>
      </w:r>
    </w:p>
    <w:p w14:paraId="65B35F35">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9.5.2.5未尽事宜，按国家现行有关法律法规、《政府采购质疑和投诉办法》（财政部令第94号）的规定执行。</w:t>
      </w:r>
    </w:p>
    <w:p w14:paraId="0DDF2098">
      <w:pPr>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9.6监督部门：</w:t>
      </w:r>
      <w:r>
        <w:rPr>
          <w:rFonts w:hint="eastAsia" w:ascii="宋体" w:hAnsi="宋体" w:eastAsia="宋体" w:cs="宋体"/>
          <w:bCs/>
          <w:color w:val="auto"/>
          <w:sz w:val="21"/>
          <w:szCs w:val="21"/>
          <w:highlight w:val="none"/>
        </w:rPr>
        <w:t>详见</w:t>
      </w:r>
      <w:r>
        <w:rPr>
          <w:rFonts w:hint="eastAsia" w:ascii="宋体" w:hAnsi="宋体" w:cs="宋体"/>
          <w:bCs/>
          <w:color w:val="auto"/>
          <w:sz w:val="21"/>
          <w:szCs w:val="21"/>
          <w:highlight w:val="none"/>
          <w:lang w:eastAsia="zh-CN"/>
        </w:rPr>
        <w:t>供应商</w:t>
      </w:r>
      <w:r>
        <w:rPr>
          <w:rFonts w:hint="eastAsia" w:ascii="宋体" w:hAnsi="宋体" w:eastAsia="宋体" w:cs="宋体"/>
          <w:bCs/>
          <w:color w:val="auto"/>
          <w:sz w:val="21"/>
          <w:szCs w:val="21"/>
          <w:highlight w:val="none"/>
        </w:rPr>
        <w:t>须知前附表</w:t>
      </w:r>
      <w:r>
        <w:rPr>
          <w:rFonts w:hint="eastAsia" w:ascii="宋体" w:hAnsi="宋体" w:cs="宋体"/>
          <w:bCs/>
          <w:color w:val="auto"/>
          <w:sz w:val="21"/>
          <w:szCs w:val="21"/>
          <w:highlight w:val="none"/>
          <w:lang w:eastAsia="zh-CN"/>
        </w:rPr>
        <w:t>。</w:t>
      </w:r>
    </w:p>
    <w:p w14:paraId="6971C46C">
      <w:pPr>
        <w:pStyle w:val="4"/>
        <w:keepNext/>
        <w:keepLines/>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1"/>
          <w:szCs w:val="21"/>
          <w:highlight w:val="none"/>
        </w:rPr>
      </w:pPr>
      <w:bookmarkStart w:id="305" w:name="_Toc20299"/>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.需要补充的</w:t>
      </w:r>
      <w:r>
        <w:rPr>
          <w:rFonts w:hint="eastAsia" w:ascii="宋体" w:hAnsi="宋体" w:cs="宋体"/>
          <w:color w:val="auto"/>
          <w:sz w:val="21"/>
          <w:szCs w:val="21"/>
          <w:highlight w:val="none"/>
          <w:lang w:eastAsia="zh-CN"/>
        </w:rPr>
        <w:t>其他</w:t>
      </w:r>
      <w:r>
        <w:rPr>
          <w:rFonts w:hint="eastAsia" w:ascii="宋体" w:hAnsi="宋体" w:eastAsia="宋体" w:cs="宋体"/>
          <w:color w:val="auto"/>
          <w:sz w:val="21"/>
          <w:szCs w:val="21"/>
          <w:highlight w:val="none"/>
        </w:rPr>
        <w:t>内容</w:t>
      </w:r>
      <w:bookmarkEnd w:id="305"/>
    </w:p>
    <w:p w14:paraId="62DD504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须知前附表。</w:t>
      </w:r>
    </w:p>
    <w:p w14:paraId="71DD8675">
      <w:pPr>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br w:type="page"/>
      </w:r>
    </w:p>
    <w:p w14:paraId="45CB8F02">
      <w:pPr>
        <w:spacing w:line="360" w:lineRule="auto"/>
        <w:jc w:val="center"/>
        <w:rPr>
          <w:rFonts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t>附件一：质疑函范本</w:t>
      </w:r>
    </w:p>
    <w:p w14:paraId="4F9195C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一、质疑</w:t>
      </w:r>
      <w:r>
        <w:rPr>
          <w:rFonts w:hint="eastAsia" w:cs="仿宋" w:asciiTheme="minorEastAsia" w:hAnsiTheme="minorEastAsia" w:eastAsiaTheme="minorEastAsia"/>
          <w:bCs/>
          <w:color w:val="auto"/>
          <w:sz w:val="21"/>
          <w:szCs w:val="21"/>
          <w:highlight w:val="none"/>
          <w:lang w:eastAsia="zh-CN"/>
        </w:rPr>
        <w:t>供应商</w:t>
      </w:r>
      <w:r>
        <w:rPr>
          <w:rFonts w:hint="eastAsia" w:cs="仿宋" w:asciiTheme="minorEastAsia" w:hAnsiTheme="minorEastAsia" w:eastAsiaTheme="minorEastAsia"/>
          <w:bCs/>
          <w:color w:val="auto"/>
          <w:sz w:val="21"/>
          <w:szCs w:val="21"/>
          <w:highlight w:val="none"/>
        </w:rPr>
        <w:t>基本信息</w:t>
      </w:r>
    </w:p>
    <w:p w14:paraId="58E54BF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质疑</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w:t>
      </w:r>
      <w:r>
        <w:rPr>
          <w:rFonts w:hint="eastAsia" w:cs="仿宋" w:asciiTheme="minorEastAsia" w:hAnsiTheme="minorEastAsia" w:eastAsiaTheme="minorEastAsia"/>
          <w:color w:val="auto"/>
          <w:sz w:val="21"/>
          <w:szCs w:val="21"/>
          <w:highlight w:val="none"/>
          <w:u w:val="dotted"/>
        </w:rPr>
        <w:t xml:space="preserve">                                        </w:t>
      </w:r>
    </w:p>
    <w:p w14:paraId="6F04AC2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地址：</w:t>
      </w:r>
      <w:r>
        <w:rPr>
          <w:rFonts w:hint="eastAsia" w:cs="仿宋" w:asciiTheme="minorEastAsia" w:hAnsiTheme="minorEastAsia" w:eastAsiaTheme="minorEastAsia"/>
          <w:color w:val="auto"/>
          <w:sz w:val="21"/>
          <w:szCs w:val="21"/>
          <w:highlight w:val="none"/>
          <w:u w:val="dotted"/>
        </w:rPr>
        <w:t xml:space="preserve">                          </w:t>
      </w:r>
      <w:r>
        <w:rPr>
          <w:rFonts w:hint="eastAsia" w:cs="仿宋" w:asciiTheme="minorEastAsia" w:hAnsiTheme="minorEastAsia" w:eastAsiaTheme="minorEastAsia"/>
          <w:color w:val="auto"/>
          <w:sz w:val="21"/>
          <w:szCs w:val="21"/>
          <w:highlight w:val="none"/>
        </w:rPr>
        <w:t>邮编：</w:t>
      </w:r>
      <w:r>
        <w:rPr>
          <w:rFonts w:hint="eastAsia" w:cs="仿宋" w:asciiTheme="minorEastAsia" w:hAnsiTheme="minorEastAsia" w:eastAsiaTheme="minorEastAsia"/>
          <w:color w:val="auto"/>
          <w:sz w:val="21"/>
          <w:szCs w:val="21"/>
          <w:highlight w:val="none"/>
          <w:u w:val="dotted"/>
        </w:rPr>
        <w:t xml:space="preserve">                                </w:t>
      </w:r>
    </w:p>
    <w:p w14:paraId="6C006F9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联系人：</w:t>
      </w:r>
      <w:r>
        <w:rPr>
          <w:rFonts w:hint="eastAsia" w:cs="仿宋" w:asciiTheme="minorEastAsia" w:hAnsiTheme="minorEastAsia" w:eastAsiaTheme="minorEastAsia"/>
          <w:color w:val="auto"/>
          <w:sz w:val="21"/>
          <w:szCs w:val="21"/>
          <w:highlight w:val="none"/>
          <w:u w:val="dotted"/>
        </w:rPr>
        <w:t xml:space="preserve">                      </w:t>
      </w:r>
      <w:r>
        <w:rPr>
          <w:rFonts w:hint="eastAsia" w:cs="仿宋" w:asciiTheme="minorEastAsia" w:hAnsiTheme="minorEastAsia" w:eastAsiaTheme="minorEastAsia"/>
          <w:color w:val="auto"/>
          <w:sz w:val="21"/>
          <w:szCs w:val="21"/>
          <w:highlight w:val="none"/>
        </w:rPr>
        <w:t>联系电话：</w:t>
      </w:r>
      <w:r>
        <w:rPr>
          <w:rFonts w:hint="eastAsia" w:cs="仿宋" w:asciiTheme="minorEastAsia" w:hAnsiTheme="minorEastAsia" w:eastAsiaTheme="minorEastAsia"/>
          <w:color w:val="auto"/>
          <w:sz w:val="21"/>
          <w:szCs w:val="21"/>
          <w:highlight w:val="none"/>
          <w:u w:val="dotted"/>
        </w:rPr>
        <w:t xml:space="preserve">                              </w:t>
      </w:r>
    </w:p>
    <w:p w14:paraId="792BCF1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授权代表：</w:t>
      </w:r>
      <w:r>
        <w:rPr>
          <w:rFonts w:hint="eastAsia" w:cs="仿宋" w:asciiTheme="minorEastAsia" w:hAnsiTheme="minorEastAsia" w:eastAsiaTheme="minorEastAsia"/>
          <w:color w:val="auto"/>
          <w:sz w:val="21"/>
          <w:szCs w:val="21"/>
          <w:highlight w:val="none"/>
          <w:u w:val="dotted"/>
        </w:rPr>
        <w:t xml:space="preserve">                                          </w:t>
      </w:r>
    </w:p>
    <w:p w14:paraId="7A77F80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联系电话：</w:t>
      </w:r>
      <w:r>
        <w:rPr>
          <w:rFonts w:hint="eastAsia" w:cs="仿宋" w:asciiTheme="minorEastAsia" w:hAnsiTheme="minorEastAsia" w:eastAsiaTheme="minorEastAsia"/>
          <w:color w:val="auto"/>
          <w:sz w:val="21"/>
          <w:szCs w:val="21"/>
          <w:highlight w:val="none"/>
          <w:u w:val="dotted"/>
        </w:rPr>
        <w:t xml:space="preserve">                                           </w:t>
      </w:r>
      <w:r>
        <w:rPr>
          <w:rFonts w:cs="仿宋" w:asciiTheme="minorEastAsia" w:hAnsiTheme="minorEastAsia" w:eastAsiaTheme="minorEastAsia"/>
          <w:color w:val="auto"/>
          <w:sz w:val="21"/>
          <w:szCs w:val="21"/>
          <w:highlight w:val="none"/>
        </w:rPr>
        <w:t xml:space="preserve"> </w:t>
      </w:r>
    </w:p>
    <w:p w14:paraId="1317CCD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地址：</w:t>
      </w:r>
      <w:r>
        <w:rPr>
          <w:rFonts w:cs="仿宋" w:asciiTheme="minorEastAsia" w:hAnsiTheme="minorEastAsia" w:eastAsiaTheme="minorEastAsia"/>
          <w:color w:val="auto"/>
          <w:sz w:val="21"/>
          <w:szCs w:val="21"/>
          <w:highlight w:val="none"/>
        </w:rPr>
        <w:t xml:space="preserve"> </w:t>
      </w:r>
      <w:r>
        <w:rPr>
          <w:rFonts w:hint="eastAsia" w:cs="仿宋" w:asciiTheme="minorEastAsia" w:hAnsiTheme="minorEastAsia" w:eastAsiaTheme="minorEastAsia"/>
          <w:color w:val="auto"/>
          <w:sz w:val="21"/>
          <w:szCs w:val="21"/>
          <w:highlight w:val="none"/>
          <w:u w:val="dotted"/>
        </w:rPr>
        <w:t xml:space="preserve">                        </w:t>
      </w:r>
      <w:r>
        <w:rPr>
          <w:rFonts w:hint="eastAsia" w:cs="仿宋" w:asciiTheme="minorEastAsia" w:hAnsiTheme="minorEastAsia" w:eastAsiaTheme="minorEastAsia"/>
          <w:color w:val="auto"/>
          <w:sz w:val="21"/>
          <w:szCs w:val="21"/>
          <w:highlight w:val="none"/>
        </w:rPr>
        <w:t>邮编：</w:t>
      </w:r>
      <w:r>
        <w:rPr>
          <w:rFonts w:hint="eastAsia" w:cs="仿宋" w:asciiTheme="minorEastAsia" w:hAnsiTheme="minorEastAsia" w:eastAsiaTheme="minorEastAsia"/>
          <w:color w:val="auto"/>
          <w:sz w:val="21"/>
          <w:szCs w:val="21"/>
          <w:highlight w:val="none"/>
          <w:u w:val="dotted"/>
        </w:rPr>
        <w:t xml:space="preserve">                                 </w:t>
      </w:r>
    </w:p>
    <w:p w14:paraId="78286E3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二、质疑项目基本情况</w:t>
      </w:r>
    </w:p>
    <w:p w14:paraId="355DDBC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质疑项目的名称：</w:t>
      </w:r>
      <w:r>
        <w:rPr>
          <w:rFonts w:hint="eastAsia" w:cs="仿宋" w:asciiTheme="minorEastAsia" w:hAnsiTheme="minorEastAsia" w:eastAsiaTheme="minorEastAsia"/>
          <w:color w:val="auto"/>
          <w:sz w:val="21"/>
          <w:szCs w:val="21"/>
          <w:highlight w:val="none"/>
          <w:u w:val="dotted"/>
        </w:rPr>
        <w:t xml:space="preserve">                                      </w:t>
      </w:r>
    </w:p>
    <w:p w14:paraId="7B6FD15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质疑项目的编号：</w:t>
      </w:r>
      <w:r>
        <w:rPr>
          <w:rFonts w:hint="eastAsia" w:cs="仿宋" w:asciiTheme="minorEastAsia" w:hAnsiTheme="minorEastAsia" w:eastAsiaTheme="minorEastAsia"/>
          <w:color w:val="auto"/>
          <w:sz w:val="21"/>
          <w:szCs w:val="21"/>
          <w:highlight w:val="none"/>
          <w:u w:val="dotted"/>
        </w:rPr>
        <w:t xml:space="preserve">               </w:t>
      </w:r>
      <w:r>
        <w:rPr>
          <w:rFonts w:hint="eastAsia" w:cs="仿宋" w:asciiTheme="minorEastAsia" w:hAnsiTheme="minorEastAsia" w:eastAsiaTheme="minorEastAsia"/>
          <w:color w:val="auto"/>
          <w:sz w:val="21"/>
          <w:szCs w:val="21"/>
          <w:highlight w:val="none"/>
        </w:rPr>
        <w:t>包号：</w:t>
      </w:r>
      <w:r>
        <w:rPr>
          <w:rFonts w:hint="eastAsia" w:cs="仿宋" w:asciiTheme="minorEastAsia" w:hAnsiTheme="minorEastAsia" w:eastAsiaTheme="minorEastAsia"/>
          <w:color w:val="auto"/>
          <w:sz w:val="21"/>
          <w:szCs w:val="21"/>
          <w:highlight w:val="none"/>
          <w:u w:val="dotted"/>
        </w:rPr>
        <w:t xml:space="preserve">                 </w:t>
      </w:r>
    </w:p>
    <w:p w14:paraId="327138D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采购人名称：</w:t>
      </w:r>
      <w:r>
        <w:rPr>
          <w:rFonts w:hint="eastAsia" w:cs="仿宋" w:asciiTheme="minorEastAsia" w:hAnsiTheme="minorEastAsia" w:eastAsiaTheme="minorEastAsia"/>
          <w:color w:val="auto"/>
          <w:sz w:val="21"/>
          <w:szCs w:val="21"/>
          <w:highlight w:val="none"/>
          <w:u w:val="dotted"/>
        </w:rPr>
        <w:t xml:space="preserve">                                         </w:t>
      </w:r>
    </w:p>
    <w:p w14:paraId="60D277F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lang w:eastAsia="zh-CN"/>
        </w:rPr>
        <w:t>竞争性磋商文件</w:t>
      </w:r>
      <w:r>
        <w:rPr>
          <w:rFonts w:hint="eastAsia" w:cs="仿宋" w:asciiTheme="minorEastAsia" w:hAnsiTheme="minorEastAsia" w:eastAsiaTheme="minorEastAsia"/>
          <w:color w:val="auto"/>
          <w:sz w:val="21"/>
          <w:szCs w:val="21"/>
          <w:highlight w:val="none"/>
        </w:rPr>
        <w:t>获取日期：</w:t>
      </w:r>
      <w:r>
        <w:rPr>
          <w:rFonts w:hint="eastAsia" w:cs="仿宋" w:asciiTheme="minorEastAsia" w:hAnsiTheme="minorEastAsia" w:eastAsiaTheme="minorEastAsia"/>
          <w:color w:val="auto"/>
          <w:sz w:val="21"/>
          <w:szCs w:val="21"/>
          <w:highlight w:val="none"/>
          <w:u w:val="dotted"/>
        </w:rPr>
        <w:t xml:space="preserve">                                           </w:t>
      </w:r>
    </w:p>
    <w:p w14:paraId="07E2A7A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三、质疑事项具体内容</w:t>
      </w:r>
    </w:p>
    <w:p w14:paraId="779CEEC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质疑事项1：</w:t>
      </w:r>
      <w:r>
        <w:rPr>
          <w:rFonts w:hint="eastAsia" w:cs="仿宋" w:asciiTheme="minorEastAsia" w:hAnsiTheme="minorEastAsia" w:eastAsiaTheme="minorEastAsia"/>
          <w:color w:val="auto"/>
          <w:sz w:val="21"/>
          <w:szCs w:val="21"/>
          <w:highlight w:val="none"/>
          <w:u w:val="dotted"/>
        </w:rPr>
        <w:t xml:space="preserve">                                         </w:t>
      </w:r>
    </w:p>
    <w:p w14:paraId="0B58B95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事实依据：</w:t>
      </w:r>
      <w:r>
        <w:rPr>
          <w:rFonts w:hint="eastAsia" w:cs="仿宋" w:asciiTheme="minorEastAsia" w:hAnsiTheme="minorEastAsia" w:eastAsiaTheme="minorEastAsia"/>
          <w:color w:val="auto"/>
          <w:sz w:val="21"/>
          <w:szCs w:val="21"/>
          <w:highlight w:val="none"/>
          <w:u w:val="dotted"/>
        </w:rPr>
        <w:t xml:space="preserve">                                          </w:t>
      </w:r>
    </w:p>
    <w:p w14:paraId="642DE63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法律依据：</w:t>
      </w:r>
      <w:r>
        <w:rPr>
          <w:rFonts w:hint="eastAsia" w:cs="仿宋" w:asciiTheme="minorEastAsia" w:hAnsiTheme="minorEastAsia" w:eastAsiaTheme="minorEastAsia"/>
          <w:color w:val="auto"/>
          <w:sz w:val="21"/>
          <w:szCs w:val="21"/>
          <w:highlight w:val="none"/>
          <w:u w:val="dotted"/>
        </w:rPr>
        <w:t xml:space="preserve">                                          </w:t>
      </w:r>
    </w:p>
    <w:p w14:paraId="3D5856F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质疑事项</w:t>
      </w:r>
      <w:r>
        <w:rPr>
          <w:rFonts w:hint="eastAsia" w:cs="仿宋" w:asciiTheme="minorEastAsia" w:hAnsiTheme="minorEastAsia" w:eastAsiaTheme="minorEastAsia"/>
          <w:color w:val="auto"/>
          <w:sz w:val="21"/>
          <w:szCs w:val="21"/>
          <w:highlight w:val="none"/>
          <w:lang w:eastAsia="zh-CN"/>
        </w:rPr>
        <w:t>2：</w:t>
      </w:r>
    </w:p>
    <w:p w14:paraId="0FF14F9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w:t>
      </w:r>
    </w:p>
    <w:p w14:paraId="5F721E1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bCs/>
          <w:color w:val="auto"/>
          <w:sz w:val="21"/>
          <w:szCs w:val="21"/>
          <w:highlight w:val="none"/>
        </w:rPr>
      </w:pPr>
      <w:r>
        <w:rPr>
          <w:rFonts w:hint="eastAsia" w:cs="仿宋" w:asciiTheme="minorEastAsia" w:hAnsiTheme="minorEastAsia" w:eastAsiaTheme="minorEastAsia"/>
          <w:bCs/>
          <w:color w:val="auto"/>
          <w:sz w:val="21"/>
          <w:szCs w:val="21"/>
          <w:highlight w:val="none"/>
        </w:rPr>
        <w:t>四、与质疑事项相关的质疑请求</w:t>
      </w:r>
    </w:p>
    <w:p w14:paraId="2AE7A43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cs="仿宋" w:asciiTheme="minorEastAsia" w:hAnsiTheme="minorEastAsia" w:eastAsiaTheme="minorEastAsia"/>
          <w:color w:val="auto"/>
          <w:sz w:val="21"/>
          <w:szCs w:val="21"/>
          <w:highlight w:val="none"/>
          <w:u w:val="dotted"/>
        </w:rPr>
      </w:pPr>
      <w:r>
        <w:rPr>
          <w:rFonts w:hint="eastAsia" w:cs="仿宋" w:asciiTheme="minorEastAsia" w:hAnsiTheme="minorEastAsia" w:eastAsiaTheme="minorEastAsia"/>
          <w:color w:val="auto"/>
          <w:sz w:val="21"/>
          <w:szCs w:val="21"/>
          <w:highlight w:val="none"/>
        </w:rPr>
        <w:t>请求：</w:t>
      </w:r>
      <w:r>
        <w:rPr>
          <w:rFonts w:hint="eastAsia" w:cs="仿宋" w:asciiTheme="minorEastAsia" w:hAnsiTheme="minorEastAsia" w:eastAsiaTheme="minorEastAsia"/>
          <w:color w:val="auto"/>
          <w:sz w:val="21"/>
          <w:szCs w:val="21"/>
          <w:highlight w:val="none"/>
          <w:u w:val="dotted"/>
        </w:rPr>
        <w:t xml:space="preserve">                                               </w:t>
      </w:r>
    </w:p>
    <w:p w14:paraId="3038212D">
      <w:pPr>
        <w:keepNext w:val="0"/>
        <w:keepLines w:val="0"/>
        <w:pageBreakBefore w:val="0"/>
        <w:widowControl w:val="0"/>
        <w:kinsoku/>
        <w:wordWrap/>
        <w:overflowPunct/>
        <w:topLinePunct w:val="0"/>
        <w:autoSpaceDE/>
        <w:autoSpaceDN/>
        <w:bidi w:val="0"/>
        <w:spacing w:line="380" w:lineRule="exact"/>
        <w:textAlignment w:val="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签字</w:t>
      </w:r>
      <w:r>
        <w:rPr>
          <w:rFonts w:hint="eastAsia" w:asciiTheme="minorEastAsia" w:hAnsiTheme="minorEastAsia" w:eastAsia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rPr>
        <w:t>签章</w:t>
      </w:r>
      <w:r>
        <w:rPr>
          <w:rFonts w:hint="eastAsia" w:asciiTheme="minorEastAsia" w:hAnsiTheme="minorEastAsia" w:eastAsiaTheme="minorEastAsia"/>
          <w:color w:val="auto"/>
          <w:sz w:val="21"/>
          <w:szCs w:val="21"/>
          <w:highlight w:val="none"/>
          <w:lang w:eastAsia="zh-CN"/>
        </w:rPr>
        <w:t>）</w:t>
      </w:r>
      <w:r>
        <w:rPr>
          <w:rFonts w:hint="eastAsia" w:asciiTheme="minorEastAsia" w:hAnsiTheme="minorEastAsia" w:eastAsiaTheme="minorEastAsia"/>
          <w:color w:val="auto"/>
          <w:sz w:val="21"/>
          <w:szCs w:val="21"/>
          <w:highlight w:val="none"/>
        </w:rPr>
        <w:t xml:space="preserve">：                   公章：                      </w:t>
      </w:r>
    </w:p>
    <w:p w14:paraId="28859A40">
      <w:pPr>
        <w:keepNext w:val="0"/>
        <w:keepLines w:val="0"/>
        <w:pageBreakBefore w:val="0"/>
        <w:widowControl w:val="0"/>
        <w:kinsoku/>
        <w:wordWrap/>
        <w:overflowPunct/>
        <w:topLinePunct w:val="0"/>
        <w:autoSpaceDE/>
        <w:autoSpaceDN/>
        <w:bidi w:val="0"/>
        <w:spacing w:line="380" w:lineRule="exact"/>
        <w:textAlignment w:val="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日期：    </w:t>
      </w:r>
    </w:p>
    <w:p w14:paraId="5D6F6824">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p>
    <w:p w14:paraId="65FAA8C9">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b/>
          <w:bCs/>
          <w:color w:val="auto"/>
          <w:sz w:val="21"/>
          <w:szCs w:val="21"/>
          <w:highlight w:val="none"/>
        </w:rPr>
      </w:pPr>
      <w:r>
        <w:rPr>
          <w:rFonts w:hint="eastAsia" w:cs="仿宋" w:asciiTheme="minorEastAsia" w:hAnsiTheme="minorEastAsia" w:eastAsiaTheme="minorEastAsia"/>
          <w:b/>
          <w:bCs/>
          <w:color w:val="auto"/>
          <w:sz w:val="21"/>
          <w:szCs w:val="21"/>
          <w:highlight w:val="none"/>
        </w:rPr>
        <w:t>质疑函制作说明：</w:t>
      </w:r>
    </w:p>
    <w:p w14:paraId="473A60D5">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1.</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提出质疑时，应提交质疑函和必要的证明材料。</w:t>
      </w:r>
    </w:p>
    <w:p w14:paraId="0D53917E">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2.质疑</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若委托代理人进行质疑的，质疑函应按要求列明“授权代表”的有关内容，并在附件中提交由质疑</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签署的授权委托书。授权委托书应载明代理人的姓名或者名称、代理事项、具体权限、期限和相关事项。</w:t>
      </w:r>
    </w:p>
    <w:p w14:paraId="535F8A01">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3.质疑</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若对项目的某一分包进行质疑，质疑函中应列明具体分包号。</w:t>
      </w:r>
    </w:p>
    <w:p w14:paraId="4A39BD9D">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4.质疑函的质疑事项应具体、明确，并有必要的事实依据和法律依据。</w:t>
      </w:r>
    </w:p>
    <w:p w14:paraId="7E53D879">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5.质疑函的质疑请求应与质疑事项相关。</w:t>
      </w:r>
    </w:p>
    <w:p w14:paraId="3DEDCD01">
      <w:pPr>
        <w:keepNext w:val="0"/>
        <w:keepLines w:val="0"/>
        <w:pageBreakBefore w:val="0"/>
        <w:widowControl w:val="0"/>
        <w:kinsoku/>
        <w:wordWrap/>
        <w:overflowPunct/>
        <w:topLinePunct w:val="0"/>
        <w:autoSpaceDE/>
        <w:autoSpaceDN/>
        <w:bidi w:val="0"/>
        <w:adjustRightInd w:val="0"/>
        <w:snapToGrid w:val="0"/>
        <w:spacing w:line="380" w:lineRule="exact"/>
        <w:textAlignment w:val="auto"/>
        <w:rPr>
          <w:rFonts w:cs="仿宋" w:asciiTheme="minorEastAsia" w:hAnsiTheme="minorEastAsia" w:eastAsiaTheme="minorEastAsia"/>
          <w:color w:val="auto"/>
          <w:sz w:val="21"/>
          <w:szCs w:val="21"/>
          <w:highlight w:val="none"/>
        </w:rPr>
      </w:pPr>
      <w:r>
        <w:rPr>
          <w:rFonts w:hint="eastAsia" w:cs="仿宋" w:asciiTheme="minorEastAsia" w:hAnsiTheme="minorEastAsia" w:eastAsiaTheme="minorEastAsia"/>
          <w:color w:val="auto"/>
          <w:sz w:val="21"/>
          <w:szCs w:val="21"/>
          <w:highlight w:val="none"/>
        </w:rPr>
        <w:t>6.质疑</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为自然人的，质疑函应由本人签字；质疑</w:t>
      </w:r>
      <w:r>
        <w:rPr>
          <w:rFonts w:hint="eastAsia" w:cs="仿宋" w:asciiTheme="minorEastAsia" w:hAnsiTheme="minorEastAsia" w:eastAsiaTheme="minorEastAsia"/>
          <w:color w:val="auto"/>
          <w:sz w:val="21"/>
          <w:szCs w:val="21"/>
          <w:highlight w:val="none"/>
          <w:lang w:eastAsia="zh-CN"/>
        </w:rPr>
        <w:t>供应商</w:t>
      </w:r>
      <w:r>
        <w:rPr>
          <w:rFonts w:hint="eastAsia" w:cs="仿宋" w:asciiTheme="minorEastAsia" w:hAnsiTheme="minorEastAsia" w:eastAsiaTheme="minorEastAsia"/>
          <w:color w:val="auto"/>
          <w:sz w:val="21"/>
          <w:szCs w:val="21"/>
          <w:highlight w:val="none"/>
        </w:rPr>
        <w:t>为法人或者其他组织的，质疑函应由法定代表人、主要负责人，或者其授权代表签字或者盖章，并加盖公章。</w:t>
      </w:r>
    </w:p>
    <w:p w14:paraId="2C3336DD">
      <w:pPr>
        <w:spacing w:line="360" w:lineRule="auto"/>
        <w:jc w:val="center"/>
        <w:rPr>
          <w:rFonts w:asciiTheme="minorEastAsia" w:hAnsiTheme="minorEastAsia" w:eastAsiaTheme="minorEastAsia"/>
          <w:b/>
          <w:color w:val="auto"/>
          <w:sz w:val="28"/>
          <w:szCs w:val="28"/>
          <w:highlight w:val="none"/>
        </w:rPr>
      </w:pPr>
      <w:r>
        <w:rPr>
          <w:rFonts w:asciiTheme="minorEastAsia" w:hAnsiTheme="minorEastAsia" w:eastAsiaTheme="minorEastAsia"/>
          <w:color w:val="auto"/>
          <w:highlight w:val="none"/>
        </w:rPr>
        <w:br w:type="page"/>
      </w:r>
      <w:r>
        <w:rPr>
          <w:rFonts w:asciiTheme="minorEastAsia" w:hAnsiTheme="minorEastAsia" w:eastAsiaTheme="minorEastAsia"/>
          <w:b/>
          <w:color w:val="auto"/>
          <w:sz w:val="28"/>
          <w:szCs w:val="28"/>
          <w:highlight w:val="none"/>
        </w:rPr>
        <w:t>附件二：</w:t>
      </w:r>
      <w:r>
        <w:rPr>
          <w:rFonts w:hint="eastAsia" w:asciiTheme="minorEastAsia" w:hAnsiTheme="minorEastAsia" w:eastAsiaTheme="minorEastAsia"/>
          <w:b/>
          <w:color w:val="auto"/>
          <w:sz w:val="28"/>
          <w:szCs w:val="28"/>
          <w:highlight w:val="none"/>
        </w:rPr>
        <w:t>投诉书范本</w:t>
      </w:r>
    </w:p>
    <w:p w14:paraId="5F0A7E9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一、投诉相关主体基本情况</w:t>
      </w:r>
    </w:p>
    <w:p w14:paraId="3A7AC774">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投诉人：</w:t>
      </w:r>
      <w:r>
        <w:rPr>
          <w:rFonts w:hint="eastAsia" w:ascii="宋体" w:hAnsi="宋体" w:eastAsia="宋体" w:cs="宋体"/>
          <w:color w:val="auto"/>
          <w:sz w:val="21"/>
          <w:szCs w:val="21"/>
          <w:highlight w:val="none"/>
          <w:u w:val="dotted"/>
        </w:rPr>
        <w:t xml:space="preserve">                                               </w:t>
      </w:r>
    </w:p>
    <w:p w14:paraId="47380D97">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14D30F58">
      <w:pPr>
        <w:tabs>
          <w:tab w:val="left" w:pos="651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法定代表人/主要负责人：</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 xml:space="preserve">  </w:t>
      </w:r>
    </w:p>
    <w:p w14:paraId="676EECB1">
      <w:pPr>
        <w:tabs>
          <w:tab w:val="left" w:pos="6510"/>
        </w:tabs>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dotted"/>
        </w:rPr>
        <w:t xml:space="preserve">                                             </w:t>
      </w:r>
    </w:p>
    <w:p w14:paraId="6CE9FF0E">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dotted"/>
        </w:rPr>
        <w:t xml:space="preserve">：                  </w:t>
      </w:r>
    </w:p>
    <w:p w14:paraId="7F5C55C8">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dotted"/>
        </w:rPr>
        <w:t xml:space="preserve">           </w:t>
      </w:r>
    </w:p>
    <w:p w14:paraId="420526DD">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被投诉人1：</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2E454BE4">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06B332A9">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431AC59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被投诉人</w:t>
      </w:r>
      <w:r>
        <w:rPr>
          <w:rFonts w:hint="eastAsia" w:ascii="宋体" w:hAnsi="宋体" w:cs="宋体"/>
          <w:color w:val="auto"/>
          <w:sz w:val="21"/>
          <w:szCs w:val="21"/>
          <w:highlight w:val="none"/>
          <w:lang w:eastAsia="zh-CN"/>
        </w:rPr>
        <w:t>2：</w:t>
      </w:r>
    </w:p>
    <w:p w14:paraId="0A7E62EB">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w:t>
      </w:r>
    </w:p>
    <w:p w14:paraId="18BD847A">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相关</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3334F5AF">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7078048E">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386B59F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二、投诉项目基本情况</w:t>
      </w:r>
    </w:p>
    <w:p w14:paraId="0FE0F270">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dotted"/>
        </w:rPr>
        <w:t xml:space="preserve">                                        </w:t>
      </w:r>
    </w:p>
    <w:p w14:paraId="5B2F6BBC">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采购项目编号：</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dotted"/>
        </w:rPr>
        <w:t xml:space="preserve">              </w:t>
      </w:r>
    </w:p>
    <w:p w14:paraId="1CDADE6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u w:val="single"/>
        </w:rPr>
        <w:t xml:space="preserve">  </w:t>
      </w:r>
    </w:p>
    <w:p w14:paraId="6E842CEC">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代理机构名称：</w:t>
      </w:r>
      <w:r>
        <w:rPr>
          <w:rFonts w:hint="eastAsia" w:ascii="宋体" w:hAnsi="宋体" w:eastAsia="宋体" w:cs="宋体"/>
          <w:color w:val="auto"/>
          <w:sz w:val="21"/>
          <w:szCs w:val="21"/>
          <w:highlight w:val="none"/>
          <w:u w:val="dotted"/>
        </w:rPr>
        <w:t xml:space="preserve">                                         </w:t>
      </w:r>
    </w:p>
    <w:p w14:paraId="2036EC32">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公告</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u w:val="dotted"/>
        </w:rPr>
        <w:t xml:space="preserve">是/否 </w:t>
      </w:r>
      <w:r>
        <w:rPr>
          <w:rFonts w:hint="eastAsia" w:ascii="宋体" w:hAnsi="宋体" w:eastAsia="宋体" w:cs="宋体"/>
          <w:color w:val="auto"/>
          <w:sz w:val="21"/>
          <w:szCs w:val="21"/>
          <w:highlight w:val="none"/>
        </w:rPr>
        <w:t>公告期限：</w:t>
      </w:r>
      <w:r>
        <w:rPr>
          <w:rFonts w:hint="eastAsia" w:ascii="宋体" w:hAnsi="宋体" w:eastAsia="宋体" w:cs="宋体"/>
          <w:color w:val="auto"/>
          <w:sz w:val="21"/>
          <w:szCs w:val="21"/>
          <w:highlight w:val="none"/>
          <w:u w:val="dotted"/>
        </w:rPr>
        <w:t xml:space="preserve">                                 </w:t>
      </w:r>
    </w:p>
    <w:p w14:paraId="6C3A26DC">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采购结果公告</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u w:val="dotted"/>
        </w:rPr>
        <w:t xml:space="preserve">是/否 </w:t>
      </w:r>
      <w:r>
        <w:rPr>
          <w:rFonts w:hint="eastAsia" w:ascii="宋体" w:hAnsi="宋体" w:eastAsia="宋体" w:cs="宋体"/>
          <w:color w:val="auto"/>
          <w:sz w:val="21"/>
          <w:szCs w:val="21"/>
          <w:highlight w:val="none"/>
        </w:rPr>
        <w:t>公告期限：</w:t>
      </w:r>
      <w:r>
        <w:rPr>
          <w:rFonts w:hint="eastAsia" w:ascii="宋体" w:hAnsi="宋体" w:eastAsia="宋体" w:cs="宋体"/>
          <w:color w:val="auto"/>
          <w:sz w:val="21"/>
          <w:szCs w:val="21"/>
          <w:highlight w:val="none"/>
          <w:u w:val="dotted"/>
        </w:rPr>
        <w:t xml:space="preserve">                        </w:t>
      </w:r>
    </w:p>
    <w:p w14:paraId="035C123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三、质疑基本情况</w:t>
      </w:r>
    </w:p>
    <w:p w14:paraId="556B7480">
      <w:pPr>
        <w:spacing w:line="360" w:lineRule="auto"/>
        <w:ind w:firstLine="420" w:firstLineChars="200"/>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投诉人于</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u w:val="dotted"/>
        </w:rPr>
        <w:t xml:space="preserve">                   </w:t>
      </w:r>
      <w:r>
        <w:rPr>
          <w:rFonts w:hint="eastAsia" w:ascii="宋体" w:hAnsi="宋体" w:cs="宋体"/>
          <w:color w:val="auto"/>
          <w:sz w:val="21"/>
          <w:szCs w:val="21"/>
          <w:highlight w:val="none"/>
          <w:u w:val="none"/>
          <w:lang w:eastAsia="zh-CN"/>
        </w:rPr>
        <w:t>质疑</w:t>
      </w:r>
      <w:r>
        <w:rPr>
          <w:rFonts w:hint="eastAsia" w:ascii="宋体" w:hAnsi="宋体" w:eastAsia="宋体" w:cs="宋体"/>
          <w:color w:val="auto"/>
          <w:sz w:val="21"/>
          <w:szCs w:val="21"/>
          <w:highlight w:val="none"/>
        </w:rPr>
        <w:t>，质疑事项为：</w:t>
      </w:r>
      <w:r>
        <w:rPr>
          <w:rFonts w:hint="eastAsia" w:ascii="宋体" w:hAnsi="宋体" w:eastAsia="宋体" w:cs="宋体"/>
          <w:color w:val="auto"/>
          <w:sz w:val="21"/>
          <w:szCs w:val="21"/>
          <w:highlight w:val="none"/>
          <w:u w:val="dotted"/>
        </w:rPr>
        <w:t xml:space="preserve">         </w:t>
      </w:r>
    </w:p>
    <w:p w14:paraId="7FF8CFE2">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 xml:space="preserve">  </w:t>
      </w:r>
    </w:p>
    <w:p w14:paraId="4C49A40D">
      <w:pPr>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dotted"/>
        </w:rPr>
        <w:t>采购人/代理机构</w:t>
      </w: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就质疑事项作出了答复/没有在法定期限内作出答复。</w:t>
      </w:r>
    </w:p>
    <w:p w14:paraId="6BB447E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四、投诉事项具体内容</w:t>
      </w:r>
    </w:p>
    <w:p w14:paraId="269A09B6">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投诉事项 1：</w:t>
      </w:r>
      <w:r>
        <w:rPr>
          <w:rFonts w:hint="eastAsia" w:ascii="宋体" w:hAnsi="宋体" w:eastAsia="宋体" w:cs="宋体"/>
          <w:color w:val="auto"/>
          <w:sz w:val="21"/>
          <w:szCs w:val="21"/>
          <w:highlight w:val="none"/>
          <w:u w:val="dotted"/>
        </w:rPr>
        <w:t xml:space="preserve">                                       </w:t>
      </w:r>
    </w:p>
    <w:p w14:paraId="58E64E4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dotted"/>
        </w:rPr>
        <w:t xml:space="preserve">                                         </w:t>
      </w:r>
    </w:p>
    <w:p w14:paraId="0C370DEE">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u w:val="dotted"/>
        </w:rPr>
        <w:t xml:space="preserve">                                                      </w:t>
      </w:r>
    </w:p>
    <w:p w14:paraId="710B86B2">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dotted"/>
        </w:rPr>
        <w:t xml:space="preserve">                                          </w:t>
      </w:r>
    </w:p>
    <w:p w14:paraId="0282EDAF">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u w:val="dotted"/>
        </w:rPr>
        <w:t xml:space="preserve">                                                      </w:t>
      </w:r>
    </w:p>
    <w:p w14:paraId="4F1795E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投诉事项</w:t>
      </w:r>
      <w:r>
        <w:rPr>
          <w:rFonts w:hint="eastAsia" w:ascii="宋体" w:hAnsi="宋体" w:cs="宋体"/>
          <w:color w:val="auto"/>
          <w:sz w:val="21"/>
          <w:szCs w:val="21"/>
          <w:highlight w:val="none"/>
          <w:lang w:eastAsia="zh-CN"/>
        </w:rPr>
        <w:t xml:space="preserve"> 2</w:t>
      </w:r>
    </w:p>
    <w:p w14:paraId="04FBA1D7">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w:t>
      </w:r>
    </w:p>
    <w:p w14:paraId="10EB6BD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五、与投诉事项相关的投诉请求</w:t>
      </w:r>
    </w:p>
    <w:p w14:paraId="35A02F4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dotted"/>
        </w:rPr>
        <w:t xml:space="preserve">                                              </w:t>
      </w:r>
      <w:r>
        <w:rPr>
          <w:rFonts w:hint="eastAsia" w:ascii="宋体" w:hAnsi="宋体" w:eastAsia="宋体" w:cs="宋体"/>
          <w:color w:val="auto"/>
          <w:sz w:val="21"/>
          <w:szCs w:val="21"/>
          <w:highlight w:val="none"/>
        </w:rPr>
        <w:t xml:space="preserve"> </w:t>
      </w:r>
    </w:p>
    <w:p w14:paraId="09422058">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p>
    <w:p w14:paraId="64B6005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签章</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 xml:space="preserve">：                   公章：                      </w:t>
      </w:r>
    </w:p>
    <w:p w14:paraId="7ABCA4A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13206F4E">
      <w:pPr>
        <w:spacing w:line="360" w:lineRule="auto"/>
        <w:rPr>
          <w:rFonts w:hint="eastAsia" w:ascii="宋体" w:hAnsi="宋体" w:eastAsia="宋体" w:cs="宋体"/>
          <w:b/>
          <w:color w:val="auto"/>
          <w:sz w:val="21"/>
          <w:szCs w:val="21"/>
          <w:highlight w:val="none"/>
        </w:rPr>
      </w:pPr>
    </w:p>
    <w:p w14:paraId="2B541240">
      <w:pPr>
        <w:spacing w:line="360" w:lineRule="auto"/>
        <w:rPr>
          <w:rFonts w:hint="eastAsia" w:ascii="宋体" w:hAnsi="宋体" w:eastAsia="宋体" w:cs="宋体"/>
          <w:b/>
          <w:color w:val="auto"/>
          <w:sz w:val="21"/>
          <w:szCs w:val="21"/>
          <w:highlight w:val="none"/>
        </w:rPr>
      </w:pPr>
    </w:p>
    <w:p w14:paraId="70D12A83">
      <w:pPr>
        <w:spacing w:line="360" w:lineRule="auto"/>
        <w:rPr>
          <w:rFonts w:hint="eastAsia" w:ascii="宋体" w:hAnsi="宋体" w:eastAsia="宋体" w:cs="宋体"/>
          <w:b/>
          <w:color w:val="auto"/>
          <w:sz w:val="21"/>
          <w:szCs w:val="21"/>
          <w:highlight w:val="none"/>
        </w:rPr>
      </w:pPr>
    </w:p>
    <w:p w14:paraId="7F5391A2">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投诉书制作说明：</w:t>
      </w:r>
    </w:p>
    <w:p w14:paraId="734BD876">
      <w:pPr>
        <w:widowControl/>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1.投诉人提起投诉时，应当提交投诉书和必要的证明材料，并按照被投诉人和与投诉事项有关的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数量提供投诉书副本。</w:t>
      </w:r>
    </w:p>
    <w:p w14:paraId="778656ED">
      <w:pPr>
        <w:widowControl/>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2.投诉人若委托代理人进行投诉的，投诉书应按照要求列明“授权代表”的有关内容，并在附件中提交由</w:t>
      </w:r>
      <w:r>
        <w:rPr>
          <w:rFonts w:hint="eastAsia" w:ascii="宋体" w:hAnsi="宋体" w:eastAsia="宋体" w:cs="宋体"/>
          <w:color w:val="auto"/>
          <w:kern w:val="0"/>
          <w:sz w:val="21"/>
          <w:szCs w:val="21"/>
          <w:highlight w:val="none"/>
        </w:rPr>
        <w:t>投诉人签署的授权委托书。授权委托书应当载明代理人的姓名或者名称、代理事项、具体权限、期限和相关事项。</w:t>
      </w:r>
    </w:p>
    <w:p w14:paraId="3D29E000">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3.投诉人若对项目的某一分包进行投诉，投诉书应列明具体分包号。</w:t>
      </w:r>
    </w:p>
    <w:p w14:paraId="5CD488B6">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4.投诉书应简要列明质疑事项，质疑函、质疑答复等作为附件材料提供。</w:t>
      </w:r>
    </w:p>
    <w:p w14:paraId="03DD8F32">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5.投诉书的投诉事项应具体、明确，并有必要的事实依据和法律依据。</w:t>
      </w:r>
    </w:p>
    <w:p w14:paraId="61E182BC">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6.投诉书的投诉请求应与投诉事项相关。</w:t>
      </w:r>
    </w:p>
    <w:p w14:paraId="566A5E37">
      <w:pPr>
        <w:widowControl/>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7.投诉人为自然人的，投诉书应当由本人签字；投诉人为法人或者其他组织的，投诉书应当由法定代表人、主要负责人，或者其授权代表签字或者盖章，并加盖公章。</w:t>
      </w:r>
    </w:p>
    <w:p w14:paraId="40ECE454">
      <w:pPr>
        <w:rPr>
          <w:color w:val="auto"/>
          <w:highlight w:val="none"/>
        </w:rPr>
      </w:pPr>
      <w:r>
        <w:rPr>
          <w:rFonts w:hint="eastAsia"/>
          <w:color w:val="auto"/>
          <w:highlight w:val="none"/>
        </w:rPr>
        <w:br w:type="page"/>
      </w:r>
    </w:p>
    <w:p w14:paraId="7F979CE5">
      <w:pPr>
        <w:pStyle w:val="2"/>
        <w:bidi w:val="0"/>
        <w:jc w:val="center"/>
        <w:rPr>
          <w:rFonts w:hint="eastAsia" w:ascii="黑体" w:hAnsi="黑体" w:eastAsia="黑体" w:cs="黑体"/>
          <w:color w:val="auto"/>
          <w:sz w:val="36"/>
          <w:szCs w:val="36"/>
          <w:highlight w:val="none"/>
        </w:rPr>
      </w:pPr>
      <w:bookmarkStart w:id="306" w:name="_Toc27497"/>
      <w:bookmarkStart w:id="307" w:name="_Toc19644"/>
      <w:bookmarkStart w:id="308" w:name="_Toc20381"/>
      <w:bookmarkStart w:id="309" w:name="_Toc13275"/>
      <w:bookmarkStart w:id="310" w:name="_Toc13856"/>
      <w:bookmarkStart w:id="311" w:name="_Toc25626"/>
      <w:r>
        <w:rPr>
          <w:rFonts w:hint="eastAsia" w:ascii="黑体" w:hAnsi="黑体" w:eastAsia="黑体" w:cs="黑体"/>
          <w:color w:val="auto"/>
          <w:sz w:val="36"/>
          <w:szCs w:val="36"/>
          <w:highlight w:val="none"/>
        </w:rPr>
        <w:t>第三章 采购</w:t>
      </w:r>
      <w:bookmarkEnd w:id="121"/>
      <w:r>
        <w:rPr>
          <w:rFonts w:hint="eastAsia" w:ascii="黑体" w:hAnsi="黑体" w:eastAsia="黑体" w:cs="黑体"/>
          <w:color w:val="auto"/>
          <w:sz w:val="36"/>
          <w:szCs w:val="36"/>
          <w:highlight w:val="none"/>
        </w:rPr>
        <w:t>需求</w:t>
      </w:r>
      <w:bookmarkEnd w:id="122"/>
      <w:bookmarkEnd w:id="306"/>
      <w:bookmarkEnd w:id="307"/>
      <w:bookmarkEnd w:id="308"/>
      <w:bookmarkEnd w:id="309"/>
      <w:bookmarkEnd w:id="310"/>
      <w:bookmarkEnd w:id="311"/>
    </w:p>
    <w:p w14:paraId="12BEB76C">
      <w:pPr>
        <w:pStyle w:val="3"/>
        <w:bidi w:val="0"/>
        <w:spacing w:line="360" w:lineRule="auto"/>
        <w:jc w:val="left"/>
        <w:rPr>
          <w:rFonts w:hint="eastAsia" w:ascii="宋体" w:hAnsi="宋体" w:eastAsia="宋体" w:cs="宋体"/>
          <w:color w:val="auto"/>
          <w:sz w:val="21"/>
          <w:szCs w:val="21"/>
          <w:highlight w:val="none"/>
        </w:rPr>
      </w:pPr>
      <w:bookmarkStart w:id="312" w:name="_Toc4885"/>
      <w:bookmarkStart w:id="313" w:name="_Toc24499"/>
      <w:bookmarkStart w:id="314" w:name="_Toc18418"/>
      <w:bookmarkStart w:id="315" w:name="_Toc10130"/>
      <w:bookmarkStart w:id="316" w:name="_Toc3389"/>
      <w:bookmarkStart w:id="317" w:name="_Toc20562"/>
      <w:r>
        <w:rPr>
          <w:rFonts w:hint="eastAsia" w:ascii="宋体" w:hAnsi="宋体" w:eastAsia="宋体" w:cs="宋体"/>
          <w:color w:val="auto"/>
          <w:sz w:val="21"/>
          <w:szCs w:val="21"/>
          <w:highlight w:val="none"/>
        </w:rPr>
        <w:t>一、项目基本情况</w:t>
      </w:r>
      <w:bookmarkEnd w:id="312"/>
      <w:bookmarkEnd w:id="313"/>
      <w:bookmarkEnd w:id="314"/>
      <w:bookmarkEnd w:id="315"/>
      <w:bookmarkEnd w:id="316"/>
      <w:bookmarkEnd w:id="317"/>
    </w:p>
    <w:p w14:paraId="347CB2F2">
      <w:pPr>
        <w:spacing w:line="360" w:lineRule="auto"/>
        <w:ind w:firstLine="422" w:firstLineChars="200"/>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一</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采购需求：</w:t>
      </w:r>
      <w:r>
        <w:rPr>
          <w:rFonts w:hint="eastAsia" w:ascii="宋体" w:hAnsi="宋体" w:cs="宋体"/>
          <w:b w:val="0"/>
          <w:bCs w:val="0"/>
          <w:color w:val="auto"/>
          <w:sz w:val="21"/>
          <w:szCs w:val="21"/>
          <w:highlight w:val="none"/>
          <w:lang w:eastAsia="zh-CN"/>
        </w:rPr>
        <w:t>红河县后山二台水库除险加固工程施工，建设内容为：拆除浆砌石防浪墙，新建钢筋砼防浪墙；坝体、坝基进行帷幕灌浆处理；修复溢洪道泄槽Ⅱ段、陡槽段及消力池；增设上游水位尺、下游总排水沟增设量水堰</w:t>
      </w:r>
      <w:r>
        <w:rPr>
          <w:rFonts w:hint="eastAsia" w:ascii="宋体" w:hAnsi="宋体" w:cs="宋体"/>
          <w:color w:val="auto"/>
          <w:sz w:val="21"/>
          <w:szCs w:val="21"/>
          <w:highlight w:val="none"/>
          <w:lang w:val="en-US" w:eastAsia="zh-CN"/>
        </w:rPr>
        <w:t xml:space="preserve">。 </w:t>
      </w:r>
    </w:p>
    <w:p w14:paraId="151E7B0D">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二</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施工</w:t>
      </w:r>
      <w:r>
        <w:rPr>
          <w:rFonts w:hint="eastAsia" w:ascii="宋体" w:hAnsi="宋体" w:eastAsia="宋体" w:cs="宋体"/>
          <w:b/>
          <w:bCs/>
          <w:color w:val="auto"/>
          <w:sz w:val="21"/>
          <w:szCs w:val="21"/>
          <w:highlight w:val="none"/>
        </w:rPr>
        <w:t>要求：</w:t>
      </w:r>
      <w:r>
        <w:rPr>
          <w:rFonts w:hint="eastAsia" w:ascii="宋体" w:hAnsi="宋体" w:eastAsia="宋体" w:cs="宋体"/>
          <w:b w:val="0"/>
          <w:bCs w:val="0"/>
          <w:color w:val="auto"/>
          <w:sz w:val="21"/>
          <w:szCs w:val="21"/>
          <w:highlight w:val="none"/>
        </w:rPr>
        <w:t>按</w:t>
      </w:r>
      <w:r>
        <w:rPr>
          <w:rFonts w:hint="eastAsia" w:ascii="宋体" w:hAnsi="宋体" w:eastAsia="宋体" w:cs="宋体"/>
          <w:b w:val="0"/>
          <w:bCs w:val="0"/>
          <w:color w:val="auto"/>
          <w:sz w:val="21"/>
          <w:szCs w:val="21"/>
          <w:highlight w:val="none"/>
          <w:lang w:val="en-US" w:eastAsia="zh-CN"/>
        </w:rPr>
        <w:t>图纸和工程量清单要求</w:t>
      </w:r>
      <w:r>
        <w:rPr>
          <w:rFonts w:hint="eastAsia" w:ascii="宋体" w:hAnsi="宋体" w:eastAsia="宋体" w:cs="宋体"/>
          <w:b w:val="0"/>
          <w:bCs w:val="0"/>
          <w:color w:val="auto"/>
          <w:sz w:val="21"/>
          <w:szCs w:val="21"/>
          <w:highlight w:val="none"/>
        </w:rPr>
        <w:t>，完成</w:t>
      </w:r>
      <w:r>
        <w:rPr>
          <w:rFonts w:hint="eastAsia" w:ascii="宋体" w:hAnsi="宋体" w:cs="宋体"/>
          <w:b w:val="0"/>
          <w:bCs w:val="0"/>
          <w:color w:val="auto"/>
          <w:sz w:val="21"/>
          <w:szCs w:val="21"/>
          <w:highlight w:val="none"/>
          <w:lang w:eastAsia="zh-CN"/>
        </w:rPr>
        <w:t>红河县后山二台水库除险加固工程</w:t>
      </w:r>
      <w:r>
        <w:rPr>
          <w:rFonts w:hint="eastAsia" w:ascii="宋体" w:hAnsi="宋体" w:cs="宋体"/>
          <w:b w:val="0"/>
          <w:bCs w:val="0"/>
          <w:color w:val="auto"/>
          <w:sz w:val="21"/>
          <w:szCs w:val="21"/>
          <w:highlight w:val="none"/>
          <w:lang w:val="en-US" w:eastAsia="zh-CN"/>
        </w:rPr>
        <w:t>施工任务</w:t>
      </w:r>
      <w:r>
        <w:rPr>
          <w:rFonts w:hint="eastAsia" w:ascii="宋体" w:hAnsi="宋体" w:eastAsia="宋体" w:cs="宋体"/>
          <w:color w:val="auto"/>
          <w:sz w:val="21"/>
          <w:szCs w:val="21"/>
          <w:highlight w:val="none"/>
        </w:rPr>
        <w:t>。</w:t>
      </w:r>
    </w:p>
    <w:p w14:paraId="7345AD01">
      <w:pPr>
        <w:spacing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三</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合同履行期限</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总工期7个月</w:t>
      </w:r>
      <w:r>
        <w:rPr>
          <w:rFonts w:hint="eastAsia" w:ascii="宋体" w:hAnsi="宋体" w:eastAsia="宋体" w:cs="宋体"/>
          <w:color w:val="auto"/>
          <w:sz w:val="21"/>
          <w:szCs w:val="21"/>
          <w:highlight w:val="none"/>
          <w:lang w:eastAsia="zh-CN"/>
        </w:rPr>
        <w:t>。</w:t>
      </w:r>
    </w:p>
    <w:p w14:paraId="26F53697">
      <w:pPr>
        <w:spacing w:line="360" w:lineRule="auto"/>
        <w:ind w:firstLine="422" w:firstLineChars="200"/>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四</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工程</w:t>
      </w:r>
      <w:r>
        <w:rPr>
          <w:rFonts w:hint="eastAsia" w:ascii="宋体" w:hAnsi="宋体" w:eastAsia="宋体" w:cs="宋体"/>
          <w:b/>
          <w:bCs/>
          <w:color w:val="auto"/>
          <w:sz w:val="21"/>
          <w:szCs w:val="21"/>
          <w:highlight w:val="none"/>
        </w:rPr>
        <w:t>地点：</w:t>
      </w:r>
      <w:r>
        <w:rPr>
          <w:rFonts w:hint="eastAsia" w:ascii="宋体" w:hAnsi="宋体" w:cs="宋体"/>
          <w:b w:val="0"/>
          <w:bCs w:val="0"/>
          <w:color w:val="auto"/>
          <w:sz w:val="21"/>
          <w:szCs w:val="21"/>
          <w:highlight w:val="none"/>
          <w:lang w:eastAsia="zh-CN"/>
        </w:rPr>
        <w:t>红河县</w:t>
      </w:r>
      <w:r>
        <w:rPr>
          <w:rFonts w:hint="eastAsia" w:ascii="宋体" w:hAnsi="宋体" w:eastAsia="宋体" w:cs="宋体"/>
          <w:color w:val="auto"/>
          <w:sz w:val="21"/>
          <w:szCs w:val="21"/>
          <w:highlight w:val="none"/>
          <w:lang w:val="en-US" w:eastAsia="zh-CN"/>
        </w:rPr>
        <w:t>阿扎河乡</w:t>
      </w:r>
      <w:r>
        <w:rPr>
          <w:rFonts w:hint="eastAsia" w:ascii="宋体" w:hAnsi="宋体" w:cs="宋体"/>
          <w:b w:val="0"/>
          <w:bCs w:val="0"/>
          <w:color w:val="auto"/>
          <w:sz w:val="21"/>
          <w:szCs w:val="21"/>
          <w:highlight w:val="none"/>
          <w:lang w:val="en-US" w:eastAsia="zh-CN"/>
        </w:rPr>
        <w:t>。</w:t>
      </w:r>
    </w:p>
    <w:p w14:paraId="6BC28930">
      <w:pPr>
        <w:spacing w:line="360" w:lineRule="auto"/>
        <w:ind w:firstLine="422" w:firstLineChars="200"/>
        <w:rPr>
          <w:rFonts w:hint="eastAsia"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五</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质量要求</w:t>
      </w:r>
      <w:r>
        <w:rPr>
          <w:rFonts w:hint="eastAsia" w:ascii="宋体" w:hAnsi="宋体" w:eastAsia="宋体" w:cs="宋体"/>
          <w:b/>
          <w:bCs/>
          <w:color w:val="auto"/>
          <w:sz w:val="21"/>
          <w:szCs w:val="21"/>
          <w:highlight w:val="none"/>
        </w:rPr>
        <w:t>：</w:t>
      </w:r>
      <w:r>
        <w:rPr>
          <w:rFonts w:hint="eastAsia" w:ascii="宋体" w:hAnsi="宋体" w:cs="宋体"/>
          <w:color w:val="auto"/>
          <w:sz w:val="21"/>
          <w:szCs w:val="21"/>
          <w:highlight w:val="none"/>
          <w:lang w:eastAsia="zh-CN"/>
        </w:rPr>
        <w:t>施工质量符合国家及行业相关标准、规范、规程要求，达到一次性验收合格。</w:t>
      </w:r>
    </w:p>
    <w:p w14:paraId="1D6F3C38">
      <w:pPr>
        <w:pStyle w:val="3"/>
        <w:bidi w:val="0"/>
        <w:spacing w:line="360" w:lineRule="auto"/>
        <w:jc w:val="left"/>
        <w:rPr>
          <w:rFonts w:hint="eastAsia" w:ascii="宋体" w:hAnsi="宋体" w:eastAsia="宋体" w:cs="宋体"/>
          <w:color w:val="auto"/>
          <w:sz w:val="21"/>
          <w:szCs w:val="21"/>
          <w:highlight w:val="none"/>
          <w:lang w:eastAsia="zh-CN"/>
        </w:rPr>
      </w:pPr>
      <w:bookmarkStart w:id="318" w:name="_Toc11655"/>
      <w:bookmarkStart w:id="319" w:name="_Toc3842"/>
      <w:bookmarkStart w:id="320" w:name="_Toc7762"/>
      <w:bookmarkStart w:id="321" w:name="_Toc18044"/>
      <w:bookmarkStart w:id="322" w:name="_Toc21518"/>
      <w:bookmarkStart w:id="323" w:name="_Toc6361"/>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eastAsia="zh-CN"/>
        </w:rPr>
        <w:t>技术标准和要求</w:t>
      </w:r>
      <w:bookmarkEnd w:id="318"/>
      <w:bookmarkEnd w:id="319"/>
      <w:bookmarkEnd w:id="320"/>
      <w:bookmarkEnd w:id="321"/>
      <w:bookmarkEnd w:id="322"/>
      <w:bookmarkEnd w:id="323"/>
    </w:p>
    <w:p w14:paraId="72607A2E">
      <w:pPr>
        <w:spacing w:line="360" w:lineRule="auto"/>
        <w:ind w:firstLine="420" w:firstLineChars="200"/>
        <w:rPr>
          <w:rFonts w:hint="eastAsia" w:ascii="宋体" w:hAnsi="宋体" w:eastAsia="宋体" w:cs="宋体"/>
          <w:color w:val="auto"/>
          <w:sz w:val="21"/>
          <w:szCs w:val="21"/>
          <w:highlight w:val="none"/>
          <w:lang w:val="en-US" w:eastAsia="zh-CN"/>
        </w:rPr>
      </w:pPr>
      <w:bookmarkStart w:id="324" w:name="_Toc11893"/>
      <w:r>
        <w:rPr>
          <w:rFonts w:hint="eastAsia" w:ascii="宋体" w:hAnsi="宋体" w:eastAsia="宋体" w:cs="宋体"/>
          <w:color w:val="auto"/>
          <w:sz w:val="21"/>
          <w:szCs w:val="21"/>
          <w:highlight w:val="none"/>
          <w:lang w:val="en-US" w:eastAsia="zh-CN"/>
        </w:rPr>
        <w:t>本项目技术标准和要求（合同技术条款）按《水利水电工程标准施工招标文件》（2009年版）编制，并对部分章节内容进行</w:t>
      </w:r>
      <w:bookmarkStart w:id="325" w:name="OLE_LINK5"/>
      <w:r>
        <w:rPr>
          <w:rFonts w:hint="eastAsia" w:ascii="宋体" w:hAnsi="宋体" w:eastAsia="宋体" w:cs="宋体"/>
          <w:color w:val="auto"/>
          <w:sz w:val="21"/>
          <w:szCs w:val="21"/>
          <w:highlight w:val="none"/>
          <w:lang w:val="en-US" w:eastAsia="zh-CN"/>
        </w:rPr>
        <w:t>补充</w:t>
      </w:r>
      <w:r>
        <w:rPr>
          <w:rFonts w:hint="eastAsia" w:ascii="宋体" w:hAnsi="宋体" w:cs="宋体"/>
          <w:color w:val="auto"/>
          <w:sz w:val="21"/>
          <w:szCs w:val="21"/>
          <w:highlight w:val="none"/>
          <w:lang w:val="en-US" w:eastAsia="zh-CN"/>
        </w:rPr>
        <w:t>、修订与</w:t>
      </w:r>
      <w:r>
        <w:rPr>
          <w:rFonts w:hint="eastAsia" w:ascii="宋体" w:hAnsi="宋体" w:eastAsia="宋体" w:cs="宋体"/>
          <w:color w:val="auto"/>
          <w:sz w:val="21"/>
          <w:szCs w:val="21"/>
          <w:highlight w:val="none"/>
          <w:lang w:val="en-US" w:eastAsia="zh-CN"/>
        </w:rPr>
        <w:t>完善</w:t>
      </w:r>
      <w:bookmarkEnd w:id="325"/>
      <w:r>
        <w:rPr>
          <w:rFonts w:hint="eastAsia" w:ascii="宋体" w:hAnsi="宋体" w:eastAsia="宋体" w:cs="宋体"/>
          <w:color w:val="auto"/>
          <w:sz w:val="21"/>
          <w:szCs w:val="21"/>
          <w:highlight w:val="none"/>
          <w:lang w:val="en-US" w:eastAsia="zh-CN"/>
        </w:rPr>
        <w:t>。本合同技术条款补充</w:t>
      </w:r>
      <w:r>
        <w:rPr>
          <w:rFonts w:hint="eastAsia" w:ascii="宋体" w:hAnsi="宋体" w:cs="宋体"/>
          <w:color w:val="auto"/>
          <w:sz w:val="21"/>
          <w:szCs w:val="21"/>
          <w:highlight w:val="none"/>
          <w:lang w:val="en-US" w:eastAsia="zh-CN"/>
        </w:rPr>
        <w:t>、修订与</w:t>
      </w:r>
      <w:r>
        <w:rPr>
          <w:rFonts w:hint="eastAsia" w:ascii="宋体" w:hAnsi="宋体" w:eastAsia="宋体" w:cs="宋体"/>
          <w:color w:val="auto"/>
          <w:sz w:val="21"/>
          <w:szCs w:val="21"/>
          <w:highlight w:val="none"/>
          <w:lang w:val="en-US" w:eastAsia="zh-CN"/>
        </w:rPr>
        <w:t>完善内容与《水利水电工程标准施工招标文件》（2009年版）标准文本内容不一致的，以本次补充</w:t>
      </w:r>
      <w:r>
        <w:rPr>
          <w:rFonts w:hint="eastAsia" w:ascii="宋体" w:hAnsi="宋体" w:cs="宋体"/>
          <w:color w:val="auto"/>
          <w:sz w:val="21"/>
          <w:szCs w:val="21"/>
          <w:highlight w:val="none"/>
          <w:lang w:val="en-US" w:eastAsia="zh-CN"/>
        </w:rPr>
        <w:t>、修订与</w:t>
      </w:r>
      <w:r>
        <w:rPr>
          <w:rFonts w:hint="eastAsia" w:ascii="宋体" w:hAnsi="宋体" w:eastAsia="宋体" w:cs="宋体"/>
          <w:color w:val="auto"/>
          <w:sz w:val="21"/>
          <w:szCs w:val="21"/>
          <w:highlight w:val="none"/>
          <w:lang w:val="en-US" w:eastAsia="zh-CN"/>
        </w:rPr>
        <w:t>完善的章节内容为准。</w:t>
      </w:r>
    </w:p>
    <w:p w14:paraId="3C4686D7">
      <w:pPr>
        <w:spacing w:line="360" w:lineRule="auto"/>
        <w:ind w:firstLine="420" w:firstLineChars="200"/>
        <w:rPr>
          <w:rFonts w:hint="eastAsia" w:ascii="宋体" w:hAnsi="宋体" w:cs="宋体"/>
          <w:b w:val="0"/>
          <w:bCs w:val="0"/>
          <w:color w:val="auto"/>
          <w:sz w:val="21"/>
          <w:szCs w:val="21"/>
          <w:highlight w:val="none"/>
          <w:lang w:val="en-US" w:eastAsia="zh-CN"/>
        </w:rPr>
      </w:pPr>
      <w:bookmarkStart w:id="326" w:name="_Toc344470112"/>
      <w:r>
        <w:rPr>
          <w:rFonts w:hint="eastAsia" w:ascii="宋体" w:hAnsi="宋体" w:cs="宋体"/>
          <w:b w:val="0"/>
          <w:bCs w:val="0"/>
          <w:color w:val="auto"/>
          <w:sz w:val="21"/>
          <w:szCs w:val="21"/>
          <w:highlight w:val="none"/>
          <w:lang w:val="en-US" w:eastAsia="zh-CN"/>
        </w:rPr>
        <w:t>（一）章节内容补充完善</w:t>
      </w:r>
    </w:p>
    <w:p w14:paraId="04EE7EDB">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本项目对部分合同技术条款内容进行补充完善，具体修订内容如下：</w:t>
      </w:r>
    </w:p>
    <w:p w14:paraId="5C9DD495">
      <w:pPr>
        <w:spacing w:line="360" w:lineRule="auto"/>
        <w:ind w:firstLine="422" w:firstLineChars="200"/>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1、第1章  一般规定</w:t>
      </w:r>
    </w:p>
    <w:p w14:paraId="21A00086">
      <w:pPr>
        <w:spacing w:line="360" w:lineRule="auto"/>
        <w:ind w:firstLine="420" w:firstLineChars="200"/>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en-US" w:eastAsia="zh-CN"/>
        </w:rPr>
        <w:t>工程说明</w:t>
      </w:r>
      <w:bookmarkEnd w:id="326"/>
    </w:p>
    <w:bookmarkEnd w:id="324"/>
    <w:p w14:paraId="4BDB2F1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1.1.1</w:t>
      </w:r>
      <w:r>
        <w:rPr>
          <w:rFonts w:hint="eastAsia" w:ascii="宋体" w:hAnsi="宋体" w:eastAsia="宋体" w:cs="宋体"/>
          <w:b w:val="0"/>
          <w:bCs w:val="0"/>
          <w:color w:val="auto"/>
          <w:sz w:val="21"/>
          <w:szCs w:val="21"/>
          <w:highlight w:val="none"/>
          <w:lang w:val="en-US" w:eastAsia="zh-CN"/>
        </w:rPr>
        <w:t>工程概况</w:t>
      </w:r>
    </w:p>
    <w:p w14:paraId="5E665EC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后山二台水库位于红河县阿扎河乡俄比东村委会，水库距乡政府4.3km，距红河县城67km，有红河—阿扎河公路由此通过，再经过3km 乡村土路可直达水库坝体左岸，交通较为方便。</w:t>
      </w:r>
    </w:p>
    <w:p w14:paraId="550C24FD">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红后山二台水库是一座以农业灌溉为主兼顾人饮的小（2）型水利工程，水库始建于2002年</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月，2002年8月竣工蓄水，2016年</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月25 日后山二台水库除险加固工程竣工。后山二台水库枢纽工程包括拦河坝、溢洪道、输水涵管。坝体为均质坝，坝顶高程2108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80m，坝顶全长42 .0m，坝顶宽为3 .0m，最大坝高12.05m，水库总库容10.8万m³</w:t>
      </w:r>
      <w:r>
        <w:rPr>
          <w:rFonts w:hint="eastAsia" w:ascii="宋体" w:hAnsi="宋体" w:cs="宋体"/>
          <w:color w:val="auto"/>
          <w:sz w:val="21"/>
          <w:szCs w:val="21"/>
          <w:highlight w:val="none"/>
          <w:lang w:val="en-US" w:eastAsia="zh-CN"/>
        </w:rPr>
        <w:t>，工程等别为Ⅴ等，大坝、溢洪道、输水涵管级别均为5级。</w:t>
      </w:r>
    </w:p>
    <w:p w14:paraId="48E5EC6C">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水库洪水标准采用10年一遇（P=10%）设计，20年一遇（P=5%）校核。</w:t>
      </w:r>
    </w:p>
    <w:p w14:paraId="0D3979A2">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工程区地震动峰值加速度为0.15g，地震基本烈度为Ⅶ度，本区地震动反应谱特征周期为0.45s。</w:t>
      </w:r>
    </w:p>
    <w:p w14:paraId="51FEF3CB">
      <w:pPr>
        <w:spacing w:line="360" w:lineRule="auto"/>
        <w:ind w:firstLine="422" w:firstLineChars="20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工程现状总体布置</w:t>
      </w:r>
    </w:p>
    <w:p w14:paraId="58B45EFE">
      <w:pPr>
        <w:spacing w:line="360" w:lineRule="auto"/>
        <w:ind w:firstLine="422" w:firstLineChars="200"/>
        <w:rPr>
          <w:rFonts w:hint="eastAsia" w:ascii="宋体" w:hAnsi="宋体" w:eastAsia="宋体" w:cs="宋体"/>
          <w:b/>
          <w:bCs/>
          <w:color w:val="auto"/>
          <w:sz w:val="21"/>
          <w:szCs w:val="21"/>
          <w:highlight w:val="none"/>
          <w:lang w:val="en-US" w:eastAsia="zh-CN"/>
        </w:rPr>
      </w:pPr>
      <w:bookmarkStart w:id="327" w:name="OLE_LINK1"/>
      <w:bookmarkStart w:id="328" w:name="OLE_LINK2"/>
      <w:r>
        <w:rPr>
          <w:rFonts w:hint="eastAsia" w:ascii="宋体" w:hAnsi="宋体" w:eastAsia="宋体" w:cs="宋体"/>
          <w:b/>
          <w:bCs/>
          <w:color w:val="auto"/>
          <w:sz w:val="21"/>
          <w:szCs w:val="21"/>
          <w:highlight w:val="none"/>
          <w:lang w:val="en-US" w:eastAsia="zh-CN"/>
        </w:rPr>
        <w:t>（1）大坝</w:t>
      </w:r>
    </w:p>
    <w:bookmarkEnd w:id="327"/>
    <w:p w14:paraId="3CFB804E">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现状坝顶高程为2108.70～2109.10m，坝顶全长42.0m，坝顶宽为3.0m，最大坝高12.0m，坝顶上游侧设高0.3m 防浪墙。下游侧设浆砌块石排水沟，断面尺寸0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3m，坝顶铺设砂石路面，厚度为0.1m。上游坝面坡比为：1:2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59；下游坝面坡比自上而下为：1:2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38、1:1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5（排水棱体）。</w:t>
      </w:r>
    </w:p>
    <w:p w14:paraId="3B7FD06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坝体上游护坡为干砌块石，在高程2099.23m 处设上游护坡蹬脚。下坝坡采用草皮护坡。下游坝面已建人行阶梯，布置于大坝里程0+018</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88 处，已建上游护岸挡墙、下游岸坡排水沟。排水体顶部高程为2099 .75m，顶宽1.5m，外坡坡比为 1:1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5。下游侧已设置导渗沟，以利坝体渗流量的观测，后设置坝脚总排水沟将渗透水引排至下游，但附近群众自建混凝土盖板将坝后排水沟覆盖，并埋设管道将大坝渗漏水量引至农田灌溉。量水设施已损坏，不满足量算坝体渗流量的要求。</w:t>
      </w:r>
    </w:p>
    <w:p w14:paraId="54A7E2FF">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后山二台水库目前已经建立监测系统包括位移监测设施、渗流及渗漏量监测设施，浸润线测压管3 个孔，沉降位移观测设施标点4点。</w:t>
      </w:r>
    </w:p>
    <w:p w14:paraId="3D0D2AB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通过现场巡视检查，大坝坝顶无坍陷，上游坝坡块石护坡略显凌乱，部分块石翻起、松动，常年水位以上块石缝隙间已被枯枝、杂草填塞，坝面不平整；下游框格梁草皮护坡平整，有少许杂草，岸坡排水设施完好；下游坝脚出现渗漏现象，杂草丛生，无人清理；水库无水位监测设施，量水设施损坏。 </w:t>
      </w:r>
    </w:p>
    <w:p w14:paraId="71366B89">
      <w:pPr>
        <w:numPr>
          <w:ilvl w:val="0"/>
          <w:numId w:val="0"/>
        </w:numPr>
        <w:spacing w:line="360" w:lineRule="auto"/>
        <w:ind w:firstLine="422" w:firstLineChars="200"/>
        <w:rPr>
          <w:rFonts w:hint="eastAsia" w:ascii="宋体" w:hAnsi="宋体" w:cs="宋体"/>
          <w:b/>
          <w:bCs/>
          <w:color w:val="auto"/>
          <w:sz w:val="21"/>
          <w:szCs w:val="21"/>
          <w:highlight w:val="none"/>
          <w:lang w:val="en-US" w:eastAsia="zh-CN"/>
        </w:rPr>
      </w:pPr>
      <w:r>
        <w:rPr>
          <w:rFonts w:hint="eastAsia" w:ascii="宋体" w:hAnsi="宋体" w:eastAsia="宋体" w:cs="宋体"/>
          <w:b/>
          <w:bCs/>
          <w:color w:val="auto"/>
          <w:kern w:val="2"/>
          <w:sz w:val="21"/>
          <w:szCs w:val="21"/>
          <w:lang w:val="en-US" w:eastAsia="zh-CN" w:bidi="ar-SA"/>
        </w:rPr>
        <w:t>（2）</w:t>
      </w:r>
      <w:r>
        <w:rPr>
          <w:rFonts w:hint="eastAsia" w:ascii="宋体" w:hAnsi="宋体" w:cs="宋体"/>
          <w:b/>
          <w:bCs/>
          <w:color w:val="auto"/>
          <w:sz w:val="21"/>
          <w:szCs w:val="21"/>
          <w:highlight w:val="none"/>
          <w:lang w:val="en-US" w:eastAsia="zh-CN"/>
        </w:rPr>
        <w:t>溢洪道</w:t>
      </w:r>
    </w:p>
    <w:p w14:paraId="115711CC">
      <w:pPr>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溢洪道位于大坝右岸，现状总长</w:t>
      </w:r>
      <w:r>
        <w:rPr>
          <w:rFonts w:hint="default" w:ascii="宋体" w:hAnsi="宋体" w:eastAsia="宋体" w:cs="宋体"/>
          <w:color w:val="auto"/>
          <w:kern w:val="2"/>
          <w:sz w:val="21"/>
          <w:szCs w:val="21"/>
          <w:highlight w:val="none"/>
          <w:lang w:val="en-US" w:eastAsia="zh-CN" w:bidi="ar-SA"/>
        </w:rPr>
        <w:t>72.64m</w:t>
      </w:r>
      <w:r>
        <w:rPr>
          <w:rFonts w:hint="eastAsia" w:ascii="宋体" w:hAnsi="宋体" w:eastAsia="宋体" w:cs="宋体"/>
          <w:color w:val="auto"/>
          <w:kern w:val="2"/>
          <w:sz w:val="21"/>
          <w:szCs w:val="21"/>
          <w:highlight w:val="none"/>
          <w:lang w:val="en-US" w:eastAsia="zh-CN" w:bidi="ar-SA"/>
        </w:rPr>
        <w:t>，堰型为宽顶堰，包括进口段、控制段、渐变段、涵管段、泄槽Ⅰ段、泄槽</w:t>
      </w:r>
      <w:r>
        <w:rPr>
          <w:rFonts w:hint="default" w:ascii="宋体" w:hAnsi="宋体" w:eastAsia="宋体" w:cs="宋体"/>
          <w:color w:val="auto"/>
          <w:kern w:val="2"/>
          <w:sz w:val="21"/>
          <w:szCs w:val="21"/>
          <w:highlight w:val="none"/>
          <w:lang w:val="en-US" w:eastAsia="zh-CN" w:bidi="ar-SA"/>
        </w:rPr>
        <w:t>Ⅱ</w:t>
      </w:r>
      <w:r>
        <w:rPr>
          <w:rFonts w:hint="eastAsia" w:ascii="宋体" w:hAnsi="宋体" w:eastAsia="宋体" w:cs="宋体"/>
          <w:color w:val="auto"/>
          <w:kern w:val="2"/>
          <w:sz w:val="21"/>
          <w:szCs w:val="21"/>
          <w:highlight w:val="none"/>
          <w:lang w:val="en-US" w:eastAsia="zh-CN" w:bidi="ar-SA"/>
        </w:rPr>
        <w:t>段、陡槽段和消能段。除管身段外其他结构型式为浆砌块石，溢洪道进口段长</w:t>
      </w:r>
      <w:r>
        <w:rPr>
          <w:rFonts w:hint="default" w:ascii="宋体" w:hAnsi="宋体" w:eastAsia="宋体" w:cs="宋体"/>
          <w:color w:val="auto"/>
          <w:kern w:val="2"/>
          <w:sz w:val="21"/>
          <w:szCs w:val="21"/>
          <w:highlight w:val="none"/>
          <w:lang w:val="en-US" w:eastAsia="zh-CN" w:bidi="ar-SA"/>
        </w:rPr>
        <w:t>3</w:t>
      </w:r>
      <w:r>
        <w:rPr>
          <w:rFonts w:hint="eastAsia" w:ascii="宋体" w:hAnsi="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0m</w:t>
      </w:r>
      <w:r>
        <w:rPr>
          <w:rFonts w:hint="eastAsia" w:ascii="宋体" w:hAnsi="宋体" w:eastAsia="宋体" w:cs="宋体"/>
          <w:color w:val="auto"/>
          <w:kern w:val="2"/>
          <w:sz w:val="21"/>
          <w:szCs w:val="21"/>
          <w:highlight w:val="none"/>
          <w:lang w:val="en-US" w:eastAsia="zh-CN" w:bidi="ar-SA"/>
        </w:rPr>
        <w:t>，溢洪道堰顶高程为</w:t>
      </w:r>
      <w:r>
        <w:rPr>
          <w:rFonts w:hint="default" w:ascii="宋体" w:hAnsi="宋体" w:eastAsia="宋体" w:cs="宋体"/>
          <w:color w:val="auto"/>
          <w:kern w:val="2"/>
          <w:sz w:val="21"/>
          <w:szCs w:val="21"/>
          <w:highlight w:val="none"/>
          <w:lang w:val="en-US" w:eastAsia="zh-CN" w:bidi="ar-SA"/>
        </w:rPr>
        <w:t>2107.30m</w:t>
      </w:r>
      <w:r>
        <w:rPr>
          <w:rFonts w:hint="eastAsia" w:ascii="宋体" w:hAnsi="宋体" w:eastAsia="宋体" w:cs="宋体"/>
          <w:color w:val="auto"/>
          <w:kern w:val="2"/>
          <w:sz w:val="21"/>
          <w:szCs w:val="21"/>
          <w:highlight w:val="none"/>
          <w:lang w:val="en-US" w:eastAsia="zh-CN" w:bidi="ar-SA"/>
        </w:rPr>
        <w:t>；控制段长</w:t>
      </w:r>
      <w:r>
        <w:rPr>
          <w:rFonts w:hint="default" w:ascii="宋体" w:hAnsi="宋体" w:eastAsia="宋体" w:cs="宋体"/>
          <w:color w:val="auto"/>
          <w:kern w:val="2"/>
          <w:sz w:val="21"/>
          <w:szCs w:val="21"/>
          <w:highlight w:val="none"/>
          <w:lang w:val="en-US" w:eastAsia="zh-CN" w:bidi="ar-SA"/>
        </w:rPr>
        <w:t>3.0m</w:t>
      </w:r>
      <w:r>
        <w:rPr>
          <w:rFonts w:hint="eastAsia" w:ascii="宋体" w:hAnsi="宋体" w:eastAsia="宋体" w:cs="宋体"/>
          <w:color w:val="auto"/>
          <w:kern w:val="2"/>
          <w:sz w:val="21"/>
          <w:szCs w:val="21"/>
          <w:highlight w:val="none"/>
          <w:lang w:val="en-US" w:eastAsia="zh-CN" w:bidi="ar-SA"/>
        </w:rPr>
        <w:t>；渐变段长</w:t>
      </w:r>
      <w:r>
        <w:rPr>
          <w:rFonts w:hint="default" w:ascii="宋体" w:hAnsi="宋体" w:eastAsia="宋体" w:cs="宋体"/>
          <w:color w:val="auto"/>
          <w:kern w:val="2"/>
          <w:sz w:val="21"/>
          <w:szCs w:val="21"/>
          <w:highlight w:val="none"/>
          <w:lang w:val="en-US" w:eastAsia="zh-CN" w:bidi="ar-SA"/>
        </w:rPr>
        <w:t>3.1m</w:t>
      </w:r>
      <w:r>
        <w:rPr>
          <w:rFonts w:hint="eastAsia" w:ascii="宋体" w:hAnsi="宋体" w:eastAsia="宋体" w:cs="宋体"/>
          <w:color w:val="auto"/>
          <w:kern w:val="2"/>
          <w:sz w:val="21"/>
          <w:szCs w:val="21"/>
          <w:highlight w:val="none"/>
          <w:lang w:val="en-US" w:eastAsia="zh-CN" w:bidi="ar-SA"/>
        </w:rPr>
        <w:t>；管身段长</w:t>
      </w:r>
      <w:r>
        <w:rPr>
          <w:rFonts w:hint="default" w:ascii="宋体" w:hAnsi="宋体" w:eastAsia="宋体" w:cs="宋体"/>
          <w:color w:val="auto"/>
          <w:kern w:val="2"/>
          <w:sz w:val="21"/>
          <w:szCs w:val="21"/>
          <w:highlight w:val="none"/>
          <w:lang w:val="en-US" w:eastAsia="zh-CN" w:bidi="ar-SA"/>
        </w:rPr>
        <w:t>7.5m</w:t>
      </w:r>
      <w:r>
        <w:rPr>
          <w:rFonts w:hint="eastAsia" w:ascii="宋体" w:hAnsi="宋体" w:eastAsia="宋体" w:cs="宋体"/>
          <w:color w:val="auto"/>
          <w:kern w:val="2"/>
          <w:sz w:val="21"/>
          <w:szCs w:val="21"/>
          <w:highlight w:val="none"/>
          <w:lang w:val="en-US" w:eastAsia="zh-CN" w:bidi="ar-SA"/>
        </w:rPr>
        <w:t>，结构型式为砼预制管埋设，管径为</w:t>
      </w:r>
      <w:r>
        <w:rPr>
          <w:rFonts w:hint="default" w:ascii="宋体" w:hAnsi="宋体" w:eastAsia="宋体" w:cs="宋体"/>
          <w:color w:val="auto"/>
          <w:kern w:val="2"/>
          <w:sz w:val="21"/>
          <w:szCs w:val="21"/>
          <w:highlight w:val="none"/>
          <w:lang w:val="en-US" w:eastAsia="zh-CN" w:bidi="ar-SA"/>
        </w:rPr>
        <w:t>0</w:t>
      </w:r>
      <w:r>
        <w:rPr>
          <w:rFonts w:hint="eastAsia" w:ascii="宋体" w:hAnsi="宋体" w:cs="宋体"/>
          <w:color w:val="auto"/>
          <w:kern w:val="2"/>
          <w:sz w:val="21"/>
          <w:szCs w:val="21"/>
          <w:highlight w:val="none"/>
          <w:lang w:val="en-US" w:eastAsia="zh-CN" w:bidi="ar-SA"/>
        </w:rPr>
        <w:t>.</w:t>
      </w:r>
      <w:r>
        <w:rPr>
          <w:rFonts w:hint="default" w:ascii="宋体" w:hAnsi="宋体" w:eastAsia="宋体" w:cs="宋体"/>
          <w:color w:val="auto"/>
          <w:kern w:val="2"/>
          <w:sz w:val="21"/>
          <w:szCs w:val="21"/>
          <w:highlight w:val="none"/>
          <w:lang w:val="en-US" w:eastAsia="zh-CN" w:bidi="ar-SA"/>
        </w:rPr>
        <w:t>8m</w:t>
      </w:r>
      <w:r>
        <w:rPr>
          <w:rFonts w:hint="eastAsia" w:ascii="宋体" w:hAnsi="宋体" w:eastAsia="宋体" w:cs="宋体"/>
          <w:color w:val="auto"/>
          <w:kern w:val="2"/>
          <w:sz w:val="21"/>
          <w:szCs w:val="21"/>
          <w:highlight w:val="none"/>
          <w:lang w:val="en-US" w:eastAsia="zh-CN" w:bidi="ar-SA"/>
        </w:rPr>
        <w:t>；泄槽Ⅰ段长</w:t>
      </w:r>
      <w:r>
        <w:rPr>
          <w:rFonts w:hint="default" w:ascii="宋体" w:hAnsi="宋体" w:eastAsia="宋体" w:cs="宋体"/>
          <w:color w:val="auto"/>
          <w:kern w:val="2"/>
          <w:sz w:val="21"/>
          <w:szCs w:val="21"/>
          <w:highlight w:val="none"/>
          <w:lang w:val="en-US" w:eastAsia="zh-CN" w:bidi="ar-SA"/>
        </w:rPr>
        <w:t>16.4m</w:t>
      </w:r>
      <w:r>
        <w:rPr>
          <w:rFonts w:hint="eastAsia" w:ascii="宋体" w:hAnsi="宋体" w:eastAsia="宋体" w:cs="宋体"/>
          <w:color w:val="auto"/>
          <w:kern w:val="2"/>
          <w:sz w:val="21"/>
          <w:szCs w:val="21"/>
          <w:highlight w:val="none"/>
          <w:lang w:val="en-US" w:eastAsia="zh-CN" w:bidi="ar-SA"/>
        </w:rPr>
        <w:t>；泄槽</w:t>
      </w:r>
      <w:r>
        <w:rPr>
          <w:rFonts w:hint="default" w:ascii="宋体" w:hAnsi="宋体" w:eastAsia="宋体" w:cs="宋体"/>
          <w:color w:val="auto"/>
          <w:kern w:val="2"/>
          <w:sz w:val="21"/>
          <w:szCs w:val="21"/>
          <w:highlight w:val="none"/>
          <w:lang w:val="en-US" w:eastAsia="zh-CN" w:bidi="ar-SA"/>
        </w:rPr>
        <w:t>Ⅱ</w:t>
      </w:r>
      <w:r>
        <w:rPr>
          <w:rFonts w:hint="eastAsia" w:ascii="宋体" w:hAnsi="宋体" w:eastAsia="宋体" w:cs="宋体"/>
          <w:color w:val="auto"/>
          <w:kern w:val="2"/>
          <w:sz w:val="21"/>
          <w:szCs w:val="21"/>
          <w:highlight w:val="none"/>
          <w:lang w:val="en-US" w:eastAsia="zh-CN" w:bidi="ar-SA"/>
        </w:rPr>
        <w:t>段长</w:t>
      </w:r>
      <w:r>
        <w:rPr>
          <w:rFonts w:hint="default" w:ascii="宋体" w:hAnsi="宋体" w:eastAsia="宋体" w:cs="宋体"/>
          <w:color w:val="auto"/>
          <w:kern w:val="2"/>
          <w:sz w:val="21"/>
          <w:szCs w:val="21"/>
          <w:highlight w:val="none"/>
          <w:lang w:val="en-US" w:eastAsia="zh-CN" w:bidi="ar-SA"/>
        </w:rPr>
        <w:t>23.7m</w:t>
      </w:r>
      <w:r>
        <w:rPr>
          <w:rFonts w:hint="eastAsia" w:ascii="宋体" w:hAnsi="宋体" w:eastAsia="宋体" w:cs="宋体"/>
          <w:color w:val="auto"/>
          <w:kern w:val="2"/>
          <w:sz w:val="21"/>
          <w:szCs w:val="21"/>
          <w:highlight w:val="none"/>
          <w:lang w:val="en-US" w:eastAsia="zh-CN" w:bidi="ar-SA"/>
        </w:rPr>
        <w:t>；陡槽段长</w:t>
      </w:r>
      <w:r>
        <w:rPr>
          <w:rFonts w:hint="default" w:ascii="宋体" w:hAnsi="宋体" w:eastAsia="宋体" w:cs="宋体"/>
          <w:color w:val="auto"/>
          <w:kern w:val="2"/>
          <w:sz w:val="21"/>
          <w:szCs w:val="21"/>
          <w:highlight w:val="none"/>
          <w:lang w:val="en-US" w:eastAsia="zh-CN" w:bidi="ar-SA"/>
        </w:rPr>
        <w:t>13.94m</w:t>
      </w:r>
      <w:r>
        <w:rPr>
          <w:rFonts w:hint="eastAsia" w:ascii="宋体" w:hAnsi="宋体" w:eastAsia="宋体" w:cs="宋体"/>
          <w:color w:val="auto"/>
          <w:kern w:val="2"/>
          <w:sz w:val="21"/>
          <w:szCs w:val="21"/>
          <w:highlight w:val="none"/>
          <w:lang w:val="en-US" w:eastAsia="zh-CN" w:bidi="ar-SA"/>
        </w:rPr>
        <w:t>；消力池段长</w:t>
      </w:r>
      <w:r>
        <w:rPr>
          <w:rFonts w:hint="default" w:ascii="宋体" w:hAnsi="宋体" w:eastAsia="宋体" w:cs="宋体"/>
          <w:color w:val="auto"/>
          <w:kern w:val="2"/>
          <w:sz w:val="21"/>
          <w:szCs w:val="21"/>
          <w:highlight w:val="none"/>
          <w:lang w:val="en-US" w:eastAsia="zh-CN" w:bidi="ar-SA"/>
        </w:rPr>
        <w:t>2.0m</w:t>
      </w:r>
      <w:r>
        <w:rPr>
          <w:rFonts w:hint="eastAsia" w:ascii="宋体" w:hAnsi="宋体" w:eastAsia="宋体" w:cs="宋体"/>
          <w:color w:val="auto"/>
          <w:kern w:val="2"/>
          <w:sz w:val="21"/>
          <w:szCs w:val="21"/>
          <w:highlight w:val="none"/>
          <w:lang w:val="en-US" w:eastAsia="zh-CN" w:bidi="ar-SA"/>
        </w:rPr>
        <w:t>。</w:t>
      </w:r>
    </w:p>
    <w:p w14:paraId="651B29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溢洪道涵管段进出口与上、下游结构断面衔接未设置渐变段，水流条件较差。泄槽</w:t>
      </w:r>
      <w:r>
        <w:rPr>
          <w:rFonts w:hint="default" w:ascii="宋体" w:hAnsi="宋体" w:eastAsia="宋体" w:cs="宋体"/>
          <w:color w:val="auto"/>
          <w:kern w:val="2"/>
          <w:sz w:val="21"/>
          <w:szCs w:val="21"/>
          <w:highlight w:val="none"/>
          <w:lang w:val="en-US" w:eastAsia="zh-CN" w:bidi="ar-SA"/>
        </w:rPr>
        <w:t>Ⅱ</w:t>
      </w:r>
      <w:r>
        <w:rPr>
          <w:rFonts w:hint="eastAsia" w:ascii="宋体" w:hAnsi="宋体" w:eastAsia="宋体" w:cs="宋体"/>
          <w:color w:val="auto"/>
          <w:kern w:val="2"/>
          <w:sz w:val="21"/>
          <w:szCs w:val="21"/>
          <w:highlight w:val="none"/>
          <w:lang w:val="en-US" w:eastAsia="zh-CN" w:bidi="ar-SA"/>
        </w:rPr>
        <w:t xml:space="preserve">段中段基础沉降导致右岸边墙错断开裂。陡槽段中段基础沉降导致底板局部浆砌块石沉陷，形成凹坑，影响过流。消能段结构尺寸不满足设计要求。溢洪道内杂草丛生，淤泥堆积。  </w:t>
      </w:r>
    </w:p>
    <w:p w14:paraId="0CE9D794">
      <w:pPr>
        <w:spacing w:line="360"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输水涵管</w:t>
      </w:r>
    </w:p>
    <w:p w14:paraId="23B661B7">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输水涵管位于大坝左岸坝体内，总长93.00m，包括进口段、管身段、闸室段和出口段，涵管设计输水流量为0.02m³/s。涵管进口段长5.0m，涵管进口高程为2100.96m；管身段长78.40m，结构型式为C15 砼包钢管，C15 砼厚10cm，钢管直径为0.3m，钢管壁厚6mm；闸室段长4.1m，闸室内设检修闸阀一套和工作闸阀两套，检修闸阀和工作闸阀各一套型号为DN300-PN0.3MPa，另一套工作闸阀型号为DN50 -PN0.2MPa；出口段长5.5m，为浆砌石结构。</w:t>
      </w:r>
    </w:p>
    <w:p w14:paraId="1C69C7EF">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现状输水涵管进、出口正常，压力钢管局部存在锈蚀现象，闸阀老化生锈漏水严重，闸阀槽已积满水。闸阀启闭操作规程未上墙。金属结构养护不到位。</w:t>
      </w:r>
    </w:p>
    <w:p w14:paraId="02DE47B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后山二台水库是以灌溉为主的水利工程，水库设计灌溉面积100亩，供水人口为680人。一旦水库出现险情或垮坝，将对下游的人民生命财产</w:t>
      </w:r>
      <w:r>
        <w:rPr>
          <w:rFonts w:hint="eastAsia" w:ascii="宋体" w:hAnsi="宋体" w:cs="宋体"/>
          <w:color w:val="auto"/>
          <w:sz w:val="21"/>
          <w:szCs w:val="21"/>
          <w:highlight w:val="none"/>
          <w:lang w:val="en-US" w:eastAsia="zh-CN"/>
        </w:rPr>
        <w:t>造成</w:t>
      </w:r>
      <w:r>
        <w:rPr>
          <w:rFonts w:hint="eastAsia" w:ascii="宋体" w:hAnsi="宋体" w:eastAsia="宋体" w:cs="宋体"/>
          <w:color w:val="auto"/>
          <w:sz w:val="21"/>
          <w:szCs w:val="21"/>
          <w:highlight w:val="none"/>
          <w:lang w:val="en-US" w:eastAsia="zh-CN"/>
        </w:rPr>
        <w:t>无法挽回的损失，严重影响经济发展和社会进步。因此，尽快完成水库的除险加固，确保水库正常运行势在必行</w:t>
      </w:r>
      <w:r>
        <w:rPr>
          <w:rFonts w:hint="eastAsia" w:ascii="宋体" w:hAnsi="宋体" w:cs="宋体"/>
          <w:color w:val="auto"/>
          <w:sz w:val="21"/>
          <w:szCs w:val="21"/>
          <w:highlight w:val="none"/>
          <w:lang w:val="en-US" w:eastAsia="zh-CN"/>
        </w:rPr>
        <w:t>。</w:t>
      </w:r>
      <w:bookmarkEnd w:id="328"/>
    </w:p>
    <w:p w14:paraId="0DAAE19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除险加固</w:t>
      </w:r>
    </w:p>
    <w:p w14:paraId="64DBD1A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针对水库病害及安全鉴定结论，本次除险加固如下：</w:t>
      </w:r>
    </w:p>
    <w:p w14:paraId="71EAD313">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（1）大坝</w:t>
      </w:r>
    </w:p>
    <w:p w14:paraId="42D0A5D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pacing w:val="0"/>
          <w:kern w:val="0"/>
          <w:position w:val="0"/>
          <w:sz w:val="21"/>
          <w:szCs w:val="21"/>
          <w:highlight w:val="none"/>
          <w:lang w:val="en-US" w:eastAsia="zh-CN" w:bidi="ar"/>
        </w:rPr>
        <w:t>保留坝顶下游侧排水沟，对其进行清淤处理；拆除坝顶以上防浪墙，保留防浪墙底座，在底座内插入锚筋，其上浇筑C25钢筋砼防浪墙；清除上游坝面杂草，对护坡块石缺损部位进行修复，整平坝面；清除下游坝面、排水棱体坡面杂草；在上游坝面增设水位尺；下游总排水沟内增设三角形量水堰；对坝体坝基进行帷幕灌浆处理；坝脚左岸渗漏点处理。</w:t>
      </w:r>
      <w:r>
        <w:rPr>
          <w:rFonts w:hint="eastAsia" w:ascii="宋体" w:hAnsi="宋体" w:eastAsia="宋体" w:cs="宋体"/>
          <w:kern w:val="0"/>
          <w:sz w:val="21"/>
          <w:szCs w:val="21"/>
          <w:highlight w:val="none"/>
          <w:lang w:val="en-US" w:eastAsia="zh-CN" w:bidi="ar"/>
        </w:rPr>
        <w:t xml:space="preserve"> </w:t>
      </w:r>
    </w:p>
    <w:p w14:paraId="1BB3399D">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（2）溢洪道</w:t>
      </w:r>
    </w:p>
    <w:p w14:paraId="042A957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pacing w:val="0"/>
          <w:kern w:val="0"/>
          <w:position w:val="0"/>
          <w:sz w:val="21"/>
          <w:szCs w:val="21"/>
          <w:highlight w:val="none"/>
          <w:lang w:val="en-US" w:eastAsia="zh-CN" w:bidi="ar"/>
        </w:rPr>
      </w:pPr>
      <w:r>
        <w:rPr>
          <w:rFonts w:hint="eastAsia" w:ascii="宋体" w:hAnsi="宋体" w:eastAsia="宋体" w:cs="宋体"/>
          <w:color w:val="000000"/>
          <w:spacing w:val="0"/>
          <w:kern w:val="0"/>
          <w:position w:val="0"/>
          <w:sz w:val="21"/>
          <w:szCs w:val="21"/>
          <w:highlight w:val="none"/>
          <w:lang w:val="en-US" w:eastAsia="zh-CN" w:bidi="ar"/>
        </w:rPr>
        <w:t xml:space="preserve">对涵管段、泄槽Ⅱ段、陡槽段、消力池进行拆除重建，为防止沉降变形，在拆除段增设M7.5浆砌块石基础。重建后涵管段并入泄槽Ⅰ段，沿用原涵管段轴线，断面宽度与泄槽Ⅰ段一致。重建的泄槽Ⅱ段沿泄槽Ⅰ段轴线延伸，断面尺寸、设计底坡与泄槽Ⅰ段一致。泄槽Ⅱ段与陡槽段间设圆弧段连接。为减小新增占地面积，陡槽段在原轴线上重建。 </w:t>
      </w:r>
    </w:p>
    <w:p w14:paraId="1C503E9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（3）输水涵管</w:t>
      </w:r>
    </w:p>
    <w:p w14:paraId="6244594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b/>
          <w:bCs/>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更换闸阀，</w:t>
      </w:r>
      <w:r>
        <w:rPr>
          <w:rFonts w:hint="eastAsia" w:ascii="宋体" w:hAnsi="宋体" w:eastAsia="宋体" w:cs="宋体"/>
          <w:color w:val="000000"/>
          <w:spacing w:val="0"/>
          <w:kern w:val="0"/>
          <w:position w:val="0"/>
          <w:sz w:val="21"/>
          <w:szCs w:val="21"/>
          <w:highlight w:val="none"/>
          <w:lang w:val="en-US" w:eastAsia="zh-CN" w:bidi="ar"/>
        </w:rPr>
        <w:t>加强金属结构的维护与保养</w:t>
      </w:r>
      <w:r>
        <w:rPr>
          <w:rFonts w:hint="eastAsia" w:ascii="宋体" w:hAnsi="宋体" w:eastAsia="宋体" w:cs="宋体"/>
          <w:color w:val="000000"/>
          <w:spacing w:val="0"/>
          <w:kern w:val="0"/>
          <w:position w:val="0"/>
          <w:sz w:val="24"/>
          <w:szCs w:val="24"/>
          <w:highlight w:val="none"/>
          <w:lang w:val="en-US" w:eastAsia="zh-CN" w:bidi="ar"/>
        </w:rPr>
        <w:t>。</w:t>
      </w:r>
    </w:p>
    <w:p w14:paraId="288903B8">
      <w:pPr>
        <w:spacing w:line="360" w:lineRule="auto"/>
        <w:ind w:firstLine="420" w:firstLineChars="200"/>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1.1.2水文气象</w:t>
      </w:r>
      <w:r>
        <w:rPr>
          <w:rFonts w:hint="eastAsia" w:ascii="宋体" w:hAnsi="宋体" w:eastAsia="宋体" w:cs="宋体"/>
          <w:b w:val="0"/>
          <w:bCs w:val="0"/>
          <w:color w:val="auto"/>
          <w:sz w:val="21"/>
          <w:szCs w:val="21"/>
          <w:highlight w:val="none"/>
          <w:lang w:val="en-US" w:eastAsia="zh-CN"/>
        </w:rPr>
        <w:t>和</w:t>
      </w:r>
      <w:r>
        <w:rPr>
          <w:rFonts w:hint="eastAsia" w:ascii="宋体" w:hAnsi="宋体" w:cs="宋体"/>
          <w:b w:val="0"/>
          <w:bCs w:val="0"/>
          <w:color w:val="auto"/>
          <w:sz w:val="21"/>
          <w:szCs w:val="21"/>
          <w:highlight w:val="none"/>
          <w:lang w:val="en-US" w:eastAsia="zh-CN"/>
        </w:rPr>
        <w:t>工程地质条件</w:t>
      </w:r>
    </w:p>
    <w:p w14:paraId="531DC698">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1.1.2.1水文气象</w:t>
      </w:r>
    </w:p>
    <w:p w14:paraId="1593B8E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流域概况</w:t>
      </w:r>
    </w:p>
    <w:p w14:paraId="3707A37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河道流域面积220.9km²，河道全长35.75km，河道比降49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23‰。水库坝址以上径流面积0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54km²，河长0</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42km，河道比降125‰。</w:t>
      </w:r>
    </w:p>
    <w:p w14:paraId="207C699E">
      <w:pPr>
        <w:spacing w:line="360" w:lineRule="auto"/>
        <w:ind w:firstLine="420" w:firstLineChars="20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（2）水文气象</w:t>
      </w:r>
    </w:p>
    <w:p w14:paraId="11FEE81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水库径流区无气象观测资料，气候特征指标以红河县气象站观测资料统计，多年平均日照时数2065</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0h。多年平均相对湿度75%，多年平均风速3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60m/s，最大风速28.0m/s（出现于1969年4月22日），多年平均最大风速23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0m/s，常年多吹东风。多年平均雾日数63d，最多年雾日数93d，最少年雾日数28d。多年平均有霜日5d，平均最早初霜出现于12月18日，平均终霜出现于12月31日。降雨量在年内分配极不均匀，具有明显的干、湿之分，一般5～10月为雨季，降雨量占全年的84%，冬春11 月至翌年4月为枯季，降雨量仅占全年的16%。</w:t>
      </w:r>
    </w:p>
    <w:p w14:paraId="43F295A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（3）径流</w:t>
      </w:r>
    </w:p>
    <w:p w14:paraId="742B1D0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pacing w:val="0"/>
          <w:kern w:val="0"/>
          <w:position w:val="0"/>
          <w:sz w:val="21"/>
          <w:szCs w:val="21"/>
          <w:lang w:val="en-US" w:eastAsia="zh-CN" w:bidi="ar"/>
        </w:rPr>
        <w:t>后山二台水库位于阿扎河上游，阿扎河属红河流域，为红河的一级支流。水库坝址以上径流面积为0.54km²，水库径流面积内河道长0 .42km，河道平均比降125‰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000000"/>
          <w:spacing w:val="0"/>
          <w:kern w:val="0"/>
          <w:position w:val="0"/>
          <w:sz w:val="21"/>
          <w:szCs w:val="21"/>
          <w:lang w:val="en-US" w:eastAsia="zh-CN" w:bidi="ar"/>
        </w:rPr>
        <w:t>水库坝址年径流流量为0.011m³/s，多年平均径流量为35.1万m³</w:t>
      </w:r>
      <w:r>
        <w:rPr>
          <w:rFonts w:hint="eastAsia" w:ascii="宋体" w:hAnsi="宋体" w:eastAsia="宋体" w:cs="宋体"/>
          <w:color w:val="auto"/>
          <w:sz w:val="21"/>
          <w:szCs w:val="21"/>
          <w:highlight w:val="none"/>
          <w:lang w:val="en-US" w:eastAsia="zh-CN"/>
        </w:rPr>
        <w:t>。</w:t>
      </w:r>
    </w:p>
    <w:p w14:paraId="4C69ECF0">
      <w:pPr>
        <w:keepNext w:val="0"/>
        <w:keepLines w:val="0"/>
        <w:pageBreakBefore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（4）洪水</w:t>
      </w:r>
    </w:p>
    <w:p w14:paraId="5BF4A546">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详见后山二台水库</w:t>
      </w:r>
      <w:r>
        <w:rPr>
          <w:rFonts w:hint="default" w:ascii="宋体" w:hAnsi="宋体" w:cs="宋体"/>
          <w:color w:val="auto"/>
          <w:sz w:val="21"/>
          <w:szCs w:val="21"/>
          <w:highlight w:val="none"/>
          <w:lang w:val="en-US" w:eastAsia="zh-CN"/>
        </w:rPr>
        <w:t>设计洪水成果表</w:t>
      </w:r>
      <w:r>
        <w:rPr>
          <w:rFonts w:hint="eastAsia" w:ascii="宋体" w:hAnsi="宋体" w:cs="宋体"/>
          <w:color w:val="auto"/>
          <w:sz w:val="21"/>
          <w:szCs w:val="21"/>
          <w:highlight w:val="none"/>
          <w:lang w:val="en-US" w:eastAsia="zh-CN"/>
        </w:rPr>
        <w:t>。</w:t>
      </w:r>
    </w:p>
    <w:p w14:paraId="7CF3ECB1">
      <w:pPr>
        <w:spacing w:line="360" w:lineRule="auto"/>
        <w:ind w:firstLine="422" w:firstLineChars="200"/>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后山二台水库设计洪水成果表</w:t>
      </w:r>
      <w:r>
        <w:rPr>
          <w:rFonts w:hint="eastAsia" w:ascii="宋体" w:hAnsi="宋体" w:cs="宋体"/>
          <w:color w:val="auto"/>
          <w:sz w:val="21"/>
          <w:szCs w:val="21"/>
          <w:highlight w:val="none"/>
          <w:lang w:val="en-US" w:eastAsia="zh-CN"/>
        </w:rPr>
        <w:t xml:space="preserve"> </w:t>
      </w:r>
    </w:p>
    <w:tbl>
      <w:tblPr>
        <w:tblStyle w:val="3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01"/>
        <w:gridCol w:w="3839"/>
        <w:gridCol w:w="1414"/>
        <w:gridCol w:w="1414"/>
        <w:gridCol w:w="1418"/>
      </w:tblGrid>
      <w:tr w14:paraId="02CA1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7" w:hRule="atLeast"/>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773604">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名称</w:t>
            </w:r>
          </w:p>
        </w:tc>
        <w:tc>
          <w:tcPr>
            <w:tcW w:w="204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C62068">
            <w:pPr>
              <w:spacing w:line="360" w:lineRule="auto"/>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项目</w:t>
            </w:r>
          </w:p>
        </w:tc>
        <w:tc>
          <w:tcPr>
            <w:tcW w:w="2261" w:type="pct"/>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99895F6">
            <w:pPr>
              <w:spacing w:line="360" w:lineRule="auto"/>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各频率P（%）设计值</w:t>
            </w:r>
          </w:p>
        </w:tc>
      </w:tr>
      <w:tr w14:paraId="41D0C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4" w:hRule="atLeast"/>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BA53E0">
            <w:pPr>
              <w:spacing w:line="360" w:lineRule="auto"/>
              <w:ind w:firstLine="420" w:firstLineChars="200"/>
              <w:rPr>
                <w:rFonts w:hint="eastAsia" w:ascii="宋体" w:hAnsi="宋体" w:cs="宋体"/>
                <w:color w:val="auto"/>
                <w:sz w:val="21"/>
                <w:szCs w:val="21"/>
                <w:highlight w:val="none"/>
                <w:lang w:val="en-US" w:eastAsia="zh-CN"/>
              </w:rPr>
            </w:pPr>
          </w:p>
        </w:tc>
        <w:tc>
          <w:tcPr>
            <w:tcW w:w="204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479C3B">
            <w:pPr>
              <w:spacing w:line="360" w:lineRule="auto"/>
              <w:ind w:firstLine="420" w:firstLineChars="200"/>
              <w:rPr>
                <w:rFonts w:hint="eastAsia" w:ascii="宋体" w:hAnsi="宋体" w:cs="宋体"/>
                <w:color w:val="auto"/>
                <w:sz w:val="21"/>
                <w:szCs w:val="21"/>
                <w:highlight w:val="none"/>
                <w:lang w:val="en-US" w:eastAsia="zh-CN"/>
              </w:rPr>
            </w:pPr>
          </w:p>
        </w:tc>
        <w:tc>
          <w:tcPr>
            <w:tcW w:w="7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04293F">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7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1B17C8">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7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8C144E">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r>
      <w:tr w14:paraId="16462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85" w:hRule="atLeast"/>
        </w:trPr>
        <w:tc>
          <w:tcPr>
            <w:tcW w:w="693"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1A8F1B">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坝址处</w:t>
            </w:r>
          </w:p>
        </w:tc>
        <w:tc>
          <w:tcPr>
            <w:tcW w:w="204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55A0A2">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洪峰流量（m³/s）</w:t>
            </w:r>
          </w:p>
        </w:tc>
        <w:tc>
          <w:tcPr>
            <w:tcW w:w="7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401537">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8.8</w:t>
            </w:r>
          </w:p>
        </w:tc>
        <w:tc>
          <w:tcPr>
            <w:tcW w:w="7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DEBA68">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7.4</w:t>
            </w:r>
          </w:p>
        </w:tc>
        <w:tc>
          <w:tcPr>
            <w:tcW w:w="7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D4EA0">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5.4</w:t>
            </w:r>
          </w:p>
        </w:tc>
      </w:tr>
      <w:tr w14:paraId="4DD47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7" w:hRule="atLeast"/>
        </w:trPr>
        <w:tc>
          <w:tcPr>
            <w:tcW w:w="693"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0C7DA3">
            <w:pPr>
              <w:spacing w:line="360" w:lineRule="auto"/>
              <w:ind w:firstLine="420" w:firstLineChars="200"/>
              <w:rPr>
                <w:rFonts w:hint="eastAsia" w:ascii="宋体" w:hAnsi="宋体" w:cs="宋体"/>
                <w:color w:val="auto"/>
                <w:sz w:val="21"/>
                <w:szCs w:val="21"/>
                <w:highlight w:val="none"/>
                <w:lang w:val="en-US" w:eastAsia="zh-CN"/>
              </w:rPr>
            </w:pPr>
          </w:p>
        </w:tc>
        <w:tc>
          <w:tcPr>
            <w:tcW w:w="204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174ECC">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最大24 小时洪量（万m³）</w:t>
            </w:r>
          </w:p>
        </w:tc>
        <w:tc>
          <w:tcPr>
            <w:tcW w:w="7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1D89EE">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7.6</w:t>
            </w:r>
          </w:p>
        </w:tc>
        <w:tc>
          <w:tcPr>
            <w:tcW w:w="75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66A1D7">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4.5</w:t>
            </w:r>
          </w:p>
        </w:tc>
        <w:tc>
          <w:tcPr>
            <w:tcW w:w="75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B6B5A8">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p>
        </w:tc>
      </w:tr>
    </w:tbl>
    <w:p w14:paraId="7A68A62F">
      <w:pPr>
        <w:numPr>
          <w:ilvl w:val="0"/>
          <w:numId w:val="0"/>
        </w:num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kern w:val="2"/>
          <w:sz w:val="21"/>
          <w:szCs w:val="21"/>
          <w:lang w:val="en-US" w:eastAsia="zh-CN" w:bidi="ar-SA"/>
        </w:rPr>
        <w:t>（5）</w:t>
      </w:r>
      <w:r>
        <w:rPr>
          <w:rFonts w:hint="eastAsia" w:ascii="宋体" w:hAnsi="宋体" w:cs="宋体"/>
          <w:color w:val="auto"/>
          <w:sz w:val="21"/>
          <w:szCs w:val="21"/>
          <w:highlight w:val="none"/>
          <w:lang w:val="en-US" w:eastAsia="zh-CN"/>
        </w:rPr>
        <w:t>泥沙</w:t>
      </w:r>
    </w:p>
    <w:p w14:paraId="75FA4147">
      <w:pPr>
        <w:numPr>
          <w:ilvl w:val="0"/>
          <w:numId w:val="0"/>
        </w:num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水库所在流域以及邻近流域均无实测泥沙资料，水库径流区泥沙估算采用云南省水利厅、云南省水利水电科学研究所联合编制的《云南省 2004年土壤侵蚀现状遥感调查报告》查算。</w:t>
      </w:r>
    </w:p>
    <w:p w14:paraId="34DDFFBE">
      <w:pPr>
        <w:numPr>
          <w:ilvl w:val="0"/>
          <w:numId w:val="0"/>
        </w:num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多年平均输沙量为：</w:t>
      </w:r>
      <m:oMath>
        <m:sSub>
          <m:sSubPr>
            <m:ctrlPr>
              <w:rPr>
                <w:rFonts w:hint="default" w:ascii="Cambria Math" w:hAnsi="Cambria Math" w:eastAsia="宋体"/>
                <w:sz w:val="24"/>
              </w:rPr>
            </m:ctrlPr>
          </m:sSubPr>
          <m:e>
            <m:bar>
              <m:barPr>
                <m:pos m:val="top"/>
                <m:ctrlPr>
                  <w:rPr>
                    <w:rFonts w:ascii="Cambria Math" w:hAnsi="Cambria Math" w:eastAsia="宋体"/>
                    <w:sz w:val="24"/>
                  </w:rPr>
                </m:ctrlPr>
              </m:barPr>
              <m:e>
                <m:r>
                  <m:rPr/>
                  <w:rPr>
                    <w:rFonts w:hint="default" w:ascii="Cambria Math" w:hAnsi="Cambria Math" w:eastAsia="宋体"/>
                    <w:sz w:val="24"/>
                  </w:rPr>
                  <m:t>W</m:t>
                </m:r>
                <m:ctrlPr>
                  <w:rPr>
                    <w:rFonts w:ascii="Cambria Math" w:hAnsi="Cambria Math" w:eastAsia="宋体"/>
                    <w:sz w:val="24"/>
                  </w:rPr>
                </m:ctrlPr>
              </m:e>
            </m:bar>
            <m:ctrlPr>
              <w:rPr>
                <w:rFonts w:ascii="Cambria Math" w:hAnsi="Cambria Math" w:eastAsia="宋体"/>
                <w:sz w:val="24"/>
              </w:rPr>
            </m:ctrlPr>
          </m:e>
          <m:sub>
            <m:r>
              <m:rPr/>
              <w:rPr>
                <w:rFonts w:hint="default" w:ascii="Cambria Math" w:hAnsi="Cambria Math" w:eastAsia="宋体"/>
                <w:sz w:val="24"/>
              </w:rPr>
              <m:t>s</m:t>
            </m:r>
            <m:ctrlPr>
              <w:rPr>
                <w:rFonts w:ascii="Cambria Math" w:hAnsi="Cambria Math" w:eastAsia="宋体"/>
                <w:sz w:val="24"/>
              </w:rPr>
            </m:ctrlPr>
          </m:sub>
        </m:sSub>
      </m:oMath>
      <w:r>
        <w:rPr>
          <w:rFonts w:hint="eastAsia" w:hAnsi="Cambria Math" w:eastAsia="宋体"/>
          <w:i w:val="0"/>
          <w:sz w:val="24"/>
          <w:lang w:val="en-US" w:eastAsia="zh-CN"/>
        </w:rPr>
        <w:t>+</w:t>
      </w:r>
      <m:oMath>
        <m:sSub>
          <m:sSubPr>
            <m:ctrlPr>
              <w:rPr>
                <w:rFonts w:hint="default" w:ascii="Cambria Math" w:hAnsi="Cambria Math" w:eastAsia="宋体"/>
                <w:sz w:val="24"/>
              </w:rPr>
            </m:ctrlPr>
          </m:sSubPr>
          <m:e>
            <m:bar>
              <m:barPr>
                <m:pos m:val="top"/>
                <m:ctrlPr>
                  <w:rPr>
                    <w:rFonts w:ascii="Cambria Math" w:hAnsi="Cambria Math" w:eastAsia="宋体"/>
                    <w:sz w:val="24"/>
                  </w:rPr>
                </m:ctrlPr>
              </m:barPr>
              <m:e>
                <m:r>
                  <m:rPr/>
                  <w:rPr>
                    <w:rFonts w:hint="default" w:ascii="Cambria Math" w:hAnsi="Cambria Math" w:eastAsia="宋体"/>
                    <w:sz w:val="24"/>
                  </w:rPr>
                  <m:t>W</m:t>
                </m:r>
                <m:ctrlPr>
                  <w:rPr>
                    <w:rFonts w:ascii="Cambria Math" w:hAnsi="Cambria Math" w:eastAsia="宋体"/>
                    <w:sz w:val="24"/>
                  </w:rPr>
                </m:ctrlPr>
              </m:e>
            </m:bar>
            <m:ctrlPr>
              <w:rPr>
                <w:rFonts w:ascii="Cambria Math" w:hAnsi="Cambria Math" w:eastAsia="宋体"/>
                <w:sz w:val="24"/>
              </w:rPr>
            </m:ctrlPr>
          </m:e>
          <m:sub>
            <m:r>
              <m:rPr/>
              <w:rPr>
                <w:rFonts w:hint="default" w:ascii="Cambria Math" w:hAnsi="Cambria Math" w:eastAsia="宋体"/>
                <w:sz w:val="24"/>
                <w:lang w:val="en-US" w:eastAsia="zh-CN"/>
              </w:rPr>
              <m:t>b</m:t>
            </m:r>
            <m:ctrlPr>
              <w:rPr>
                <w:rFonts w:ascii="Cambria Math" w:hAnsi="Cambria Math" w:eastAsia="宋体"/>
                <w:sz w:val="24"/>
              </w:rPr>
            </m:ctrlPr>
          </m:sub>
        </m:sSub>
      </m:oMath>
      <w:r>
        <w:rPr>
          <w:rFonts w:hint="eastAsia" w:ascii="宋体" w:hAnsi="宋体" w:cs="宋体"/>
          <w:color w:val="auto"/>
          <w:sz w:val="21"/>
          <w:szCs w:val="21"/>
          <w:highlight w:val="none"/>
          <w:lang w:val="en-US" w:eastAsia="zh-CN"/>
        </w:rPr>
        <w:t>=0.027 万t</w:t>
      </w:r>
    </w:p>
    <w:p w14:paraId="451FC056">
      <w:pPr>
        <w:numPr>
          <w:ilvl w:val="0"/>
          <w:numId w:val="0"/>
        </w:num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其中：悬移质</w:t>
      </w:r>
      <m:oMath>
        <m:sSub>
          <m:sSubPr>
            <m:ctrlPr>
              <w:rPr>
                <w:rFonts w:hint="default" w:ascii="Cambria Math" w:hAnsi="Cambria Math" w:eastAsia="宋体"/>
                <w:sz w:val="24"/>
              </w:rPr>
            </m:ctrlPr>
          </m:sSubPr>
          <m:e>
            <m:bar>
              <m:barPr>
                <m:pos m:val="top"/>
                <m:ctrlPr>
                  <w:rPr>
                    <w:rFonts w:ascii="Cambria Math" w:hAnsi="Cambria Math" w:eastAsia="宋体"/>
                    <w:sz w:val="24"/>
                  </w:rPr>
                </m:ctrlPr>
              </m:barPr>
              <m:e>
                <m:r>
                  <m:rPr/>
                  <w:rPr>
                    <w:rFonts w:hint="default" w:ascii="Cambria Math" w:hAnsi="Cambria Math" w:eastAsia="宋体"/>
                    <w:sz w:val="24"/>
                  </w:rPr>
                  <m:t>W</m:t>
                </m:r>
                <m:ctrlPr>
                  <w:rPr>
                    <w:rFonts w:ascii="Cambria Math" w:hAnsi="Cambria Math" w:eastAsia="宋体"/>
                    <w:sz w:val="24"/>
                  </w:rPr>
                </m:ctrlPr>
              </m:e>
            </m:bar>
            <m:ctrlPr>
              <w:rPr>
                <w:rFonts w:ascii="Cambria Math" w:hAnsi="Cambria Math" w:eastAsia="宋体"/>
                <w:sz w:val="24"/>
              </w:rPr>
            </m:ctrlPr>
          </m:e>
          <m:sub>
            <m:r>
              <m:rPr/>
              <w:rPr>
                <w:rFonts w:hint="default" w:ascii="Cambria Math" w:hAnsi="Cambria Math" w:eastAsia="宋体"/>
                <w:sz w:val="24"/>
              </w:rPr>
              <m:t>s</m:t>
            </m:r>
            <m:ctrlPr>
              <w:rPr>
                <w:rFonts w:ascii="Cambria Math" w:hAnsi="Cambria Math" w:eastAsia="宋体"/>
                <w:sz w:val="24"/>
              </w:rPr>
            </m:ctrlPr>
          </m:sub>
        </m:sSub>
      </m:oMath>
      <w:r>
        <w:rPr>
          <w:rFonts w:hint="eastAsia" w:ascii="宋体" w:hAnsi="宋体" w:cs="宋体"/>
          <w:color w:val="auto"/>
          <w:sz w:val="21"/>
          <w:szCs w:val="21"/>
          <w:highlight w:val="none"/>
          <w:lang w:val="en-US" w:eastAsia="zh-CN"/>
        </w:rPr>
        <w:t>=0.023 万t</w:t>
      </w:r>
    </w:p>
    <w:p w14:paraId="3868A415">
      <w:pPr>
        <w:numPr>
          <w:ilvl w:val="0"/>
          <w:numId w:val="0"/>
        </w:num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推移质</w:t>
      </w:r>
      <m:oMath>
        <m:sSub>
          <m:sSubPr>
            <m:ctrlPr>
              <w:rPr>
                <w:rFonts w:hint="default" w:ascii="Cambria Math" w:hAnsi="Cambria Math" w:eastAsia="宋体"/>
                <w:sz w:val="24"/>
              </w:rPr>
            </m:ctrlPr>
          </m:sSubPr>
          <m:e>
            <m:bar>
              <m:barPr>
                <m:pos m:val="top"/>
                <m:ctrlPr>
                  <w:rPr>
                    <w:rFonts w:ascii="Cambria Math" w:hAnsi="Cambria Math" w:eastAsia="宋体"/>
                    <w:sz w:val="24"/>
                  </w:rPr>
                </m:ctrlPr>
              </m:barPr>
              <m:e>
                <m:r>
                  <m:rPr/>
                  <w:rPr>
                    <w:rFonts w:hint="default" w:ascii="Cambria Math" w:hAnsi="Cambria Math" w:eastAsia="宋体"/>
                    <w:sz w:val="24"/>
                  </w:rPr>
                  <m:t>W</m:t>
                </m:r>
                <m:ctrlPr>
                  <w:rPr>
                    <w:rFonts w:ascii="Cambria Math" w:hAnsi="Cambria Math" w:eastAsia="宋体"/>
                    <w:sz w:val="24"/>
                  </w:rPr>
                </m:ctrlPr>
              </m:e>
            </m:bar>
            <m:ctrlPr>
              <w:rPr>
                <w:rFonts w:ascii="Cambria Math" w:hAnsi="Cambria Math" w:eastAsia="宋体"/>
                <w:sz w:val="24"/>
              </w:rPr>
            </m:ctrlPr>
          </m:e>
          <m:sub>
            <m:r>
              <m:rPr/>
              <w:rPr>
                <w:rFonts w:hint="default" w:ascii="Cambria Math" w:hAnsi="Cambria Math" w:eastAsia="宋体"/>
                <w:sz w:val="24"/>
                <w:lang w:val="en-US" w:eastAsia="zh-CN"/>
              </w:rPr>
              <m:t>b</m:t>
            </m:r>
            <m:ctrlPr>
              <w:rPr>
                <w:rFonts w:ascii="Cambria Math" w:hAnsi="Cambria Math" w:eastAsia="宋体"/>
                <w:sz w:val="24"/>
              </w:rPr>
            </m:ctrlPr>
          </m:sub>
        </m:sSub>
      </m:oMath>
      <w:r>
        <w:rPr>
          <w:rFonts w:hint="eastAsia" w:ascii="宋体" w:hAnsi="宋体" w:cs="宋体"/>
          <w:color w:val="auto"/>
          <w:sz w:val="21"/>
          <w:szCs w:val="21"/>
          <w:highlight w:val="none"/>
          <w:lang w:val="en-US" w:eastAsia="zh-CN"/>
        </w:rPr>
        <w:t xml:space="preserve">=0.004 万t（推移质占悬移质输沙量的 15%）。  </w:t>
      </w:r>
    </w:p>
    <w:p w14:paraId="4DD9B65C">
      <w:pPr>
        <w:numPr>
          <w:ilvl w:val="0"/>
          <w:numId w:val="0"/>
        </w:num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1.1.2.2</w:t>
      </w:r>
      <w:r>
        <w:rPr>
          <w:rFonts w:hint="eastAsia" w:ascii="宋体" w:hAnsi="宋体" w:cs="宋体"/>
          <w:b w:val="0"/>
          <w:bCs w:val="0"/>
          <w:color w:val="auto"/>
          <w:sz w:val="21"/>
          <w:szCs w:val="21"/>
          <w:highlight w:val="none"/>
          <w:lang w:val="en-US" w:eastAsia="zh-CN"/>
        </w:rPr>
        <w:t>工程地质条件</w:t>
      </w:r>
    </w:p>
    <w:p w14:paraId="15C5DF2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库区工程地质条件</w:t>
      </w:r>
    </w:p>
    <w:p w14:paraId="215C1765">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库盆为山间谷地地貌，冲沟较宽阔，纵坡较陡（坡度角25°～65°），回水线长度较短，蓄水地形条件一般。库区北侧、西侧，山体较宽厚，有低邻谷，库区北侧分水岭距邻谷约0.7km，库区西侧分水岭距邻谷约 1.2km，有渗漏条件，但库区基岩为弱风化及其下部片麻岩，岩体透水性弱，沿此方向渗漏的可能性较小；库区北西侧及东侧山体雄厚，无低邻谷，故不可能沿此方向发生渗漏；下游为一坡度陡降的冲沟，冲沟内多强～弱风化基岩出露，基岩透水率较小，对坝址区裂隙渗漏通道的形成起到了一定的阻碍作用。 </w:t>
      </w:r>
    </w:p>
    <w:p w14:paraId="7C4ED94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库盘基底由片麻岩构成，透水性中等；强风化片麻岩透水性中等～弱，库盘基底岩体透水性中等～弱，除全、强风化带局部地段透水性大外，其余透水性较小，整体隔水性好。因此，要沿该两层岩体产生深层永久性渗漏的可能性较小。 </w:t>
      </w:r>
    </w:p>
    <w:p w14:paraId="17E5D49B">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库区内无连通库外的冲洪积层渗漏通道，且水库内有淤泥质淤积，能阻止水库内的水向外渗漏，库区区域性构造不发育，故库区内无连通库外的渗漏通道。</w:t>
      </w:r>
    </w:p>
    <w:p w14:paraId="0D3A699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水库蓄水经多年验证，正常蓄水位以下不存在库盆渗漏的问题。 </w:t>
      </w:r>
    </w:p>
    <w:p w14:paraId="2C9AF84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库区为条带状山间谷地地貌。谷地较为宽阔，两岸地坡较陡（坡度角一般在 25°～65°间），坡表大部被第四系残坡积土层覆盖，加之在一定深度内（一般0.5～1 .5m）又是全风化片麻岩，呈砂土、粘土状，故在浅部组成库岸坡的岩（土）体呈散体状结构，在水流冲刷切割下冲沟发育，破坏着地形的完整性，但其地段有限，一般处于稳定状态，由于库水长期浸泡及水位反复升降等作用，对岸坡稳定有一定影响，会产生局部坍塌，但对水库正常蓄水影响较小。下伏基岩倾向库区上游偏左岸，为切向坡，一般不存在岩体导致的库岸稳定问题。 </w:t>
      </w:r>
    </w:p>
    <w:p w14:paraId="411DC2D6">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库盆及库盆周边一定高度斜坡上由片麻岩构成，基岩表面风化破碎，土层松散，在雨水面流冲刷作用下，其基岩表面破碎物质和松散土层会被推入库内，造成一定淤积。此外，在库水升降作用下部分土体也会产生坍塌造成库区淤积。水库内有淤积物质，为防止产生水库淤积问题，应在上游两岸防止毁林开荒，减少库区淤积量。目前水库淤泥层薄，库区淤积情况较轻。 </w:t>
      </w:r>
    </w:p>
    <w:p w14:paraId="3F4C79DE">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库盆由片麻岩构成，其强、弱风化层岩组透水性小，有较好的封闭地质结构体，且岩层倾向库内，其库水向外产生渗漏的可能性较小，因此，不存在有害的浸没问题。 </w:t>
      </w:r>
    </w:p>
    <w:p w14:paraId="39580AC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坝址区工程地质条件</w:t>
      </w:r>
    </w:p>
    <w:p w14:paraId="4F9D7EF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坝址区为构造侵蚀山间谷地地貌。左右坝肩山体宽厚，外坝脚往下游河床较平缓。坝址区岩性主要为元古界哀牢山群小羊街组上亚组（Ptxb）片麻岩，产状：25°∠40°。岩体全风化深度约 1.5～3 .5m，强风化带表面破碎呈干砌石块状，透水性中等，但岩块仍有中等强度。弱风化岩石性脆、坚硬、较完整。左岸坡呈折线型，坡度角约 4～37°，右岸坡呈直线型，坡度角约22°。两岸坡地形完整，未见不良物理地质现象。 </w:t>
      </w:r>
    </w:p>
    <w:p w14:paraId="13BEFBED">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坝址区地层主要</w:t>
      </w:r>
      <w:r>
        <w:rPr>
          <w:rFonts w:hint="eastAsia" w:ascii="宋体" w:hAnsi="宋体" w:cs="宋体"/>
          <w:color w:val="auto"/>
          <w:sz w:val="21"/>
          <w:szCs w:val="21"/>
          <w:highlight w:val="none"/>
          <w:lang w:val="en-US" w:eastAsia="zh-CN"/>
        </w:rPr>
        <w:t>有</w:t>
      </w:r>
      <w:r>
        <w:rPr>
          <w:rFonts w:hint="eastAsia" w:ascii="宋体" w:hAnsi="宋体" w:eastAsia="宋体" w:cs="宋体"/>
          <w:color w:val="auto"/>
          <w:sz w:val="21"/>
          <w:szCs w:val="21"/>
          <w:highlight w:val="none"/>
          <w:lang w:val="en-US" w:eastAsia="zh-CN"/>
        </w:rPr>
        <w:t>元古界哀牢山群小羊街组上亚组（Ptxb）片麻岩及第四系（Q）</w:t>
      </w:r>
      <w:r>
        <w:rPr>
          <w:rFonts w:hint="eastAsia" w:ascii="宋体" w:hAnsi="宋体" w:cs="宋体"/>
          <w:color w:val="auto"/>
          <w:sz w:val="21"/>
          <w:szCs w:val="21"/>
          <w:highlight w:val="none"/>
          <w:lang w:val="en-US" w:eastAsia="zh-CN"/>
        </w:rPr>
        <w:t>。</w:t>
      </w:r>
    </w:p>
    <w:p w14:paraId="4CA7AA11">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坝址区尚未发现大的断裂及褶皱构造，片麻岩层中节理裂隙较为发育，节理裂隙延伸长度较小，多呈闭合状，岩层产状：25°∠40° </w:t>
      </w:r>
    </w:p>
    <w:p w14:paraId="5DAB82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（3）输水涵管工程地质条件</w:t>
      </w:r>
    </w:p>
    <w:p w14:paraId="79A0C209">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pacing w:val="0"/>
          <w:kern w:val="0"/>
          <w:position w:val="0"/>
          <w:sz w:val="21"/>
          <w:szCs w:val="21"/>
          <w:lang w:val="en-US" w:eastAsia="zh-CN" w:bidi="ar"/>
        </w:rPr>
        <w:t>输水涵管位于坝体中部偏左岸，由进口段、管身段、闸室、出口段组成，全长93.0m，输水涵管持力层为含砾粉质粘土及片麻岩强风化层软岩岩组。基础较稳定，但现状闸阀老化生锈，漏水严重，建议对闸阀进行更换</w:t>
      </w:r>
      <w:r>
        <w:rPr>
          <w:rFonts w:hint="eastAsia" w:ascii="宋体" w:hAnsi="宋体" w:eastAsia="宋体" w:cs="宋体"/>
          <w:color w:val="auto"/>
          <w:sz w:val="21"/>
          <w:szCs w:val="21"/>
          <w:highlight w:val="none"/>
          <w:lang w:val="en-US" w:eastAsia="zh-CN"/>
        </w:rPr>
        <w:t>。</w:t>
      </w:r>
    </w:p>
    <w:p w14:paraId="1F488C28">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溢洪道工程地质条</w:t>
      </w:r>
      <w:r>
        <w:rPr>
          <w:rFonts w:hint="eastAsia" w:ascii="宋体" w:hAnsi="宋体" w:cs="宋体"/>
          <w:color w:val="auto"/>
          <w:sz w:val="21"/>
          <w:szCs w:val="21"/>
          <w:highlight w:val="none"/>
          <w:lang w:val="en-US" w:eastAsia="zh-CN"/>
        </w:rPr>
        <w:t>件</w:t>
      </w:r>
    </w:p>
    <w:p w14:paraId="1D9C7531">
      <w:pPr>
        <w:spacing w:line="360" w:lineRule="auto"/>
        <w:ind w:firstLine="420" w:firstLineChars="200"/>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溢洪道布置于坝体右岸，为开敞式。全长72.64m，溢洪道堰顶高程为2107.3m，矩形断面。基础持力层为残坡积层粉砂质土及片麻岩全风化层，溢洪道持力层为残坡积层粉砂质土，基础承载力较低，抗剪强度较低，溢洪道基础为较不稳定（Ⅳ）。</w:t>
      </w:r>
    </w:p>
    <w:p w14:paraId="5EF2E624">
      <w:pPr>
        <w:spacing w:line="360" w:lineRule="auto"/>
        <w:ind w:firstLine="420" w:firstLineChars="200"/>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现状溢洪道泄槽Ⅱ段边墙有局部错断的现象，可能是残坡积层受上部荷载作用后发生沉降变形导致的错断开裂，建议进行修复处理。同时现状溢洪道内杂草丛生，淤泥堆积，建议施工时清理干净。 </w:t>
      </w:r>
    </w:p>
    <w:p w14:paraId="14FE590A">
      <w:p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1"/>
          <w:szCs w:val="21"/>
          <w:highlight w:val="none"/>
          <w:lang w:val="en-US" w:eastAsia="zh-CN"/>
        </w:rPr>
        <w:t>1.1.3</w:t>
      </w:r>
      <w:r>
        <w:rPr>
          <w:rFonts w:hint="eastAsia" w:ascii="宋体" w:hAnsi="宋体" w:eastAsia="宋体" w:cs="宋体"/>
          <w:b w:val="0"/>
          <w:bCs w:val="0"/>
          <w:color w:val="auto"/>
          <w:sz w:val="21"/>
          <w:szCs w:val="21"/>
          <w:highlight w:val="none"/>
          <w:lang w:val="en-US" w:eastAsia="zh-CN"/>
        </w:rPr>
        <w:t>施工条件</w:t>
      </w:r>
    </w:p>
    <w:p w14:paraId="0EAB5D91">
      <w:p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（1）交通条件</w:t>
      </w:r>
    </w:p>
    <w:p w14:paraId="054BE10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后山二台水库位于红河县阿扎河乡俄比东村委会，水库距乡政府4.3km，距红河县城67km，有红河—阿扎河公路由此通过，再经过3km 乡村土路可直达水库坝体左岸，交通较为方便。 </w:t>
      </w:r>
    </w:p>
    <w:p w14:paraId="55C33A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（2）发包人按本技术条款第2章提供的施工临时工程和临时设施</w:t>
      </w:r>
    </w:p>
    <w:p w14:paraId="337EBE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yellow"/>
          <w:lang w:eastAsia="zh-CN"/>
        </w:rPr>
      </w:pPr>
      <w:r>
        <w:rPr>
          <w:rFonts w:hint="eastAsia" w:ascii="宋体" w:hAnsi="宋体" w:eastAsia="宋体" w:cs="宋体"/>
          <w:color w:val="auto"/>
          <w:highlight w:val="none"/>
        </w:rPr>
        <w:t>无</w:t>
      </w:r>
      <w:r>
        <w:rPr>
          <w:rFonts w:hint="eastAsia" w:ascii="宋体" w:hAnsi="宋体" w:cs="宋体"/>
          <w:color w:val="auto"/>
          <w:highlight w:val="none"/>
          <w:lang w:eastAsia="zh-CN"/>
        </w:rPr>
        <w:t>。</w:t>
      </w:r>
    </w:p>
    <w:p w14:paraId="538374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（3）发包人提供的其他施工条件</w:t>
      </w:r>
    </w:p>
    <w:p w14:paraId="26E7A3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建筑材料：本项目所需的水泥、钢筋、柴油、汽油、砂石料等由承包人自行购买，质量必须符合国家、行业及相关技术标准要求。</w:t>
      </w:r>
    </w:p>
    <w:p w14:paraId="19C24A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施工用电</w:t>
      </w:r>
      <w:r>
        <w:rPr>
          <w:rFonts w:hint="eastAsia" w:ascii="宋体" w:hAnsi="宋体" w:eastAsia="宋体" w:cs="宋体"/>
          <w:color w:val="auto"/>
          <w:highlight w:val="none"/>
          <w:lang w:eastAsia="zh-CN"/>
        </w:rPr>
        <w:t>：</w:t>
      </w:r>
      <w:r>
        <w:rPr>
          <w:rFonts w:hint="eastAsia" w:ascii="宋体" w:hAnsi="宋体"/>
          <w:color w:val="auto"/>
          <w:szCs w:val="21"/>
          <w:highlight w:val="none"/>
        </w:rPr>
        <w:t>由</w:t>
      </w:r>
      <w:r>
        <w:rPr>
          <w:rFonts w:hint="eastAsia" w:ascii="宋体" w:hAnsi="宋体"/>
          <w:color w:val="auto"/>
          <w:szCs w:val="21"/>
          <w:highlight w:val="none"/>
          <w:lang w:val="en-US" w:eastAsia="zh-CN"/>
        </w:rPr>
        <w:t>承包人</w:t>
      </w:r>
      <w:r>
        <w:rPr>
          <w:rFonts w:hint="eastAsia" w:ascii="宋体" w:hAnsi="宋体"/>
          <w:color w:val="auto"/>
          <w:szCs w:val="21"/>
          <w:highlight w:val="none"/>
        </w:rPr>
        <w:t>自行搭接或自备电源解决，</w:t>
      </w:r>
      <w:r>
        <w:rPr>
          <w:rFonts w:hint="eastAsia" w:ascii="宋体" w:hAnsi="宋体"/>
          <w:color w:val="auto"/>
          <w:highlight w:val="none"/>
        </w:rPr>
        <w:t>费用含入相应项目的单价或合价中，</w:t>
      </w:r>
      <w:r>
        <w:rPr>
          <w:rFonts w:hint="eastAsia" w:ascii="宋体" w:hAnsi="宋体"/>
          <w:color w:val="auto"/>
          <w:highlight w:val="none"/>
          <w:lang w:val="en-US" w:eastAsia="zh-CN"/>
        </w:rPr>
        <w:t>发包人</w:t>
      </w:r>
      <w:r>
        <w:rPr>
          <w:rFonts w:hint="eastAsia" w:ascii="宋体" w:hAnsi="宋体"/>
          <w:color w:val="auto"/>
          <w:highlight w:val="none"/>
        </w:rPr>
        <w:t>不</w:t>
      </w:r>
      <w:r>
        <w:rPr>
          <w:rFonts w:hint="eastAsia" w:ascii="宋体" w:hAnsi="宋体"/>
          <w:color w:val="auto"/>
          <w:highlight w:val="none"/>
          <w:lang w:val="en-US" w:eastAsia="zh-CN"/>
        </w:rPr>
        <w:t>另行支付</w:t>
      </w:r>
      <w:r>
        <w:rPr>
          <w:rFonts w:hint="eastAsia" w:ascii="宋体" w:hAnsi="宋体" w:eastAsia="宋体" w:cs="宋体"/>
          <w:color w:val="auto"/>
          <w:highlight w:val="none"/>
        </w:rPr>
        <w:t>。</w:t>
      </w:r>
    </w:p>
    <w:p w14:paraId="1A6A2E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施工用风</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由承包人自行解决，发包人不再另行支付，费用含入相应项目的单价或合价中，发包人不另行支付</w:t>
      </w:r>
      <w:r>
        <w:rPr>
          <w:rFonts w:hint="eastAsia" w:ascii="宋体" w:hAnsi="宋体" w:eastAsia="宋体" w:cs="宋体"/>
          <w:color w:val="auto"/>
          <w:highlight w:val="none"/>
        </w:rPr>
        <w:t>。</w:t>
      </w:r>
    </w:p>
    <w:p w14:paraId="4B580D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施工用水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施工用水</w:t>
      </w:r>
      <w:r>
        <w:rPr>
          <w:rFonts w:hint="eastAsia" w:ascii="宋体" w:hAnsi="宋体" w:eastAsia="宋体" w:cs="宋体"/>
          <w:color w:val="auto"/>
          <w:highlight w:val="none"/>
          <w:lang w:val="en-US" w:eastAsia="zh-CN"/>
        </w:rPr>
        <w:t>可取水库里的水</w:t>
      </w:r>
      <w:r>
        <w:rPr>
          <w:rFonts w:hint="eastAsia" w:ascii="宋体" w:hAnsi="宋体" w:cs="宋体"/>
          <w:color w:val="auto"/>
          <w:highlight w:val="none"/>
          <w:lang w:val="en-US" w:eastAsia="zh-CN"/>
        </w:rPr>
        <w:t>，费用含入相应项目的单价或合价中，发包人不另行支付</w:t>
      </w:r>
      <w:r>
        <w:rPr>
          <w:rFonts w:hint="eastAsia" w:ascii="宋体" w:hAnsi="宋体" w:eastAsia="宋体" w:cs="宋体"/>
          <w:color w:val="auto"/>
          <w:highlight w:val="none"/>
        </w:rPr>
        <w:t>。</w:t>
      </w:r>
    </w:p>
    <w:p w14:paraId="783977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施工</w:t>
      </w:r>
      <w:r>
        <w:rPr>
          <w:rFonts w:hint="eastAsia" w:ascii="宋体" w:hAnsi="宋体" w:eastAsia="宋体" w:cs="宋体"/>
          <w:color w:val="auto"/>
          <w:highlight w:val="none"/>
        </w:rPr>
        <w:t>通信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本工程施工区在无线通信网络覆盖区域内。</w:t>
      </w:r>
    </w:p>
    <w:p w14:paraId="6FFD6A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rPr>
        <w:t>渣场：开挖渣料不可随意堆放，应按照监理人指示堆放。溢洪道开挖土石方除部分就近堆放后用于回填外，其余用于施工导流工程填筑，下游左岸渗流处理土石方外运平均约1km</w:t>
      </w:r>
      <w:r>
        <w:rPr>
          <w:rFonts w:hint="eastAsia" w:ascii="宋体" w:hAnsi="宋体" w:eastAsia="宋体" w:cs="宋体"/>
          <w:lang w:eastAsia="zh-CN"/>
        </w:rPr>
        <w:t>。</w:t>
      </w:r>
    </w:p>
    <w:p w14:paraId="203C3A78">
      <w:pPr>
        <w:spacing w:line="360" w:lineRule="auto"/>
        <w:ind w:firstLine="422" w:firstLineChars="200"/>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2、第10章  钻孔和灌浆工程</w:t>
      </w:r>
    </w:p>
    <w:p w14:paraId="27A64C3F">
      <w:pPr>
        <w:spacing w:line="360" w:lineRule="auto"/>
        <w:ind w:firstLine="420" w:firstLineChars="200"/>
        <w:rPr>
          <w:rFonts w:hint="eastAsia" w:ascii="宋体" w:hAnsi="宋体" w:eastAsia="宋体" w:cs="宋体"/>
          <w:b w:val="0"/>
          <w:bCs w:val="0"/>
          <w:color w:val="auto"/>
          <w:sz w:val="21"/>
          <w:szCs w:val="21"/>
          <w:highlight w:val="none"/>
          <w:lang w:val="en-US" w:eastAsia="zh-CN"/>
        </w:rPr>
      </w:pPr>
      <w:bookmarkStart w:id="329" w:name="_Toc48392588"/>
      <w:bookmarkStart w:id="330" w:name="_Toc52027642"/>
      <w:r>
        <w:rPr>
          <w:rFonts w:hint="eastAsia" w:ascii="宋体" w:hAnsi="宋体" w:eastAsia="宋体" w:cs="宋体"/>
          <w:b w:val="0"/>
          <w:bCs w:val="0"/>
          <w:color w:val="auto"/>
          <w:sz w:val="21"/>
          <w:szCs w:val="21"/>
          <w:highlight w:val="none"/>
          <w:lang w:val="en-US" w:eastAsia="zh-CN"/>
        </w:rPr>
        <w:t>10.14计量和支付</w:t>
      </w:r>
      <w:bookmarkEnd w:id="329"/>
    </w:p>
    <w:p w14:paraId="030BBF6A">
      <w:p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10.14.1钻孔</w:t>
      </w:r>
    </w:p>
    <w:p w14:paraId="2A429945">
      <w:pPr>
        <w:pStyle w:val="28"/>
        <w:keepNext w:val="0"/>
        <w:keepLines w:val="0"/>
        <w:widowControl w:val="0"/>
        <w:suppressLineNumbers w:val="0"/>
        <w:adjustRightInd w:val="0"/>
        <w:snapToGrid w:val="0"/>
        <w:spacing w:before="0" w:beforeAutospacing="0" w:after="0" w:afterAutospacing="0" w:line="400" w:lineRule="atLeast"/>
        <w:ind w:left="0" w:leftChars="0" w:right="0" w:firstLine="420" w:firstLineChars="200"/>
        <w:jc w:val="both"/>
        <w:rPr>
          <w:rFonts w:hAnsi="宋体" w:cs="宋体"/>
          <w:bCs/>
          <w:lang w:val="en-US"/>
        </w:rPr>
      </w:pPr>
      <w:r>
        <w:rPr>
          <w:rFonts w:hint="eastAsia" w:ascii="宋体" w:hAnsi="宋体" w:eastAsia="宋体" w:cs="宋体"/>
          <w:bCs/>
          <w:kern w:val="28"/>
          <w:sz w:val="21"/>
          <w:szCs w:val="21"/>
          <w:lang w:val="en-US" w:eastAsia="zh-CN" w:bidi="ar"/>
        </w:rPr>
        <w:t>帷幕灌浆、固结灌浆的钻孔按施工图纸所示尺寸计算有效钻孔长度以米为单位计量，由发包人按《工程量清单》相应项目有效工程量的每米工程单价支付。</w:t>
      </w:r>
    </w:p>
    <w:p w14:paraId="7CD4A588">
      <w:pPr>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10.14.2灌浆</w:t>
      </w:r>
    </w:p>
    <w:p w14:paraId="3DD8613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帷幕灌浆、固结灌浆的灌浆按设计有效长度以米为单位计量，由发包人按《工程量清单》相应项目有效工程量的每米工程单价支付，包括制浆、灌浆、灌浆前的压水试验、封孔及浆液损耗等灌浆一切费用。实际灌浆干灰耗量超过或低于竞争性磋商文件（工程量清单说明中给出的设计耗量）给定耗量的10%（含10%），由发包人按原投标的价格水平采用每t水泥超灌定额进行调整，其他不作调整。</w:t>
      </w:r>
    </w:p>
    <w:p w14:paraId="5085EF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（2）回填灌浆、接缝灌浆和接触灌浆应按施工图纸所示灌浆区域计算有效灌浆面积以平方米为单位计量，由发包人按《工程量清单》相应项目有效工程量的每平方米工程单价支付。</w:t>
      </w:r>
    </w:p>
    <w:p w14:paraId="337F93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（3）灌浆管预埋、金属埋件（止水、止浆片等）、抬动观测所需费用，包含在相应灌浆项目的工程单价中，发包人不另行支付。</w:t>
      </w:r>
    </w:p>
    <w:p w14:paraId="4C5B95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（4）帷幕灌浆检查孔的钻孔（含灌浆和封孔）及压水试验应按设计要求计算的有效长度和压水试验段数以米和试段为单位计算，由发包人按《工程量清单》相应项目有效工程量的工程单价支付。</w:t>
      </w:r>
      <w:bookmarkEnd w:id="330"/>
    </w:p>
    <w:p w14:paraId="5ACF6F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（5）坝基固结灌浆检查孔的钻孔（含灌浆和封孔）及压水试验应按设计要求计算的有效长度和压水试验段数以米和试段为单位计算，由发包人按《工程量清单》相应项目有效工程量的工程单价支付。</w:t>
      </w:r>
    </w:p>
    <w:p w14:paraId="300738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（6）隧洞固结灌浆、回填灌浆检查孔的钻孔、封孔及压水试验所需费用，包含在相应灌浆项目的工程单价中，发包人不另行支付。</w:t>
      </w:r>
    </w:p>
    <w:p w14:paraId="46A1FE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rPr>
        <w:t>在工程实施过程中若新增子项需要补充相关章节时，参照以上文件编制</w:t>
      </w:r>
    </w:p>
    <w:p w14:paraId="755BA1AE">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（三）</w:t>
      </w:r>
      <w:r>
        <w:rPr>
          <w:rFonts w:hint="eastAsia" w:ascii="宋体" w:hAnsi="宋体" w:eastAsia="宋体" w:cs="宋体"/>
          <w:b w:val="0"/>
          <w:bCs w:val="0"/>
          <w:color w:val="auto"/>
          <w:sz w:val="21"/>
          <w:szCs w:val="21"/>
          <w:highlight w:val="none"/>
        </w:rPr>
        <w:t>若技术条款中引用的标准、规程、规范失效时，应以现行最新版本为准。</w:t>
      </w:r>
    </w:p>
    <w:p w14:paraId="07FCF557">
      <w:pPr>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（四）</w:t>
      </w:r>
      <w:r>
        <w:rPr>
          <w:rFonts w:hint="eastAsia" w:ascii="宋体" w:hAnsi="宋体" w:eastAsia="宋体" w:cs="宋体"/>
          <w:b w:val="0"/>
          <w:bCs w:val="0"/>
          <w:color w:val="auto"/>
          <w:sz w:val="21"/>
          <w:szCs w:val="21"/>
          <w:highlight w:val="none"/>
        </w:rPr>
        <w:t>本工程的材料、设备、施工必须达到现行中华人民共和国以及省、自治区、直辖市或行业的工程建设标准、规范的要求。</w:t>
      </w:r>
    </w:p>
    <w:p w14:paraId="2DEDF12F">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（五）</w:t>
      </w:r>
      <w:r>
        <w:rPr>
          <w:rFonts w:hint="eastAsia" w:ascii="宋体" w:hAnsi="宋体" w:eastAsia="宋体" w:cs="宋体"/>
          <w:color w:val="auto"/>
          <w:highlight w:val="none"/>
          <w:lang w:val="en-US" w:eastAsia="zh-CN"/>
        </w:rPr>
        <w:t>本工程的安全生产、文明施工、环境保护措施应符合中华人民共和国以及省、市、自治区、直辖市或行业以及当地政府的有关法律法规的要求。</w:t>
      </w:r>
    </w:p>
    <w:p w14:paraId="2337C9DF">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bCs/>
          <w:color w:val="auto"/>
          <w:kern w:val="2"/>
          <w:sz w:val="21"/>
          <w:szCs w:val="21"/>
          <w:highlight w:val="none"/>
          <w:lang w:val="en-US" w:eastAsia="zh-CN" w:bidi="ar-SA"/>
        </w:rPr>
      </w:pPr>
      <w:bookmarkStart w:id="331" w:name="_Toc29032"/>
      <w:bookmarkStart w:id="332" w:name="_Toc12333"/>
      <w:r>
        <w:rPr>
          <w:rFonts w:hint="eastAsia" w:ascii="宋体" w:hAnsi="宋体" w:eastAsia="宋体" w:cs="宋体"/>
          <w:b/>
          <w:bCs/>
          <w:color w:val="auto"/>
          <w:kern w:val="2"/>
          <w:sz w:val="21"/>
          <w:szCs w:val="21"/>
          <w:highlight w:val="none"/>
          <w:lang w:val="en-US" w:eastAsia="zh-CN" w:bidi="ar-SA"/>
        </w:rPr>
        <w:t>三、图纸</w:t>
      </w:r>
      <w:bookmarkEnd w:id="331"/>
      <w:bookmarkEnd w:id="332"/>
    </w:p>
    <w:p w14:paraId="4EA6F5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另册提供。</w:t>
      </w:r>
    </w:p>
    <w:p w14:paraId="17A4A81C">
      <w:pPr>
        <w:pStyle w:val="3"/>
        <w:bidi w:val="0"/>
        <w:spacing w:line="360" w:lineRule="auto"/>
        <w:jc w:val="left"/>
        <w:rPr>
          <w:rFonts w:hint="eastAsia" w:ascii="宋体" w:hAnsi="宋体" w:eastAsia="宋体" w:cs="宋体"/>
          <w:color w:val="auto"/>
          <w:sz w:val="21"/>
          <w:szCs w:val="21"/>
          <w:highlight w:val="none"/>
          <w:lang w:val="en-US" w:eastAsia="zh-CN"/>
        </w:rPr>
      </w:pPr>
      <w:bookmarkStart w:id="333" w:name="_Toc11163"/>
      <w:bookmarkStart w:id="334" w:name="_Toc8155"/>
      <w:bookmarkStart w:id="335" w:name="_Toc2393"/>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工程量清单</w:t>
      </w:r>
      <w:bookmarkEnd w:id="333"/>
      <w:bookmarkEnd w:id="334"/>
      <w:bookmarkEnd w:id="335"/>
    </w:p>
    <w:p w14:paraId="059D66AB">
      <w:pPr>
        <w:spacing w:line="360" w:lineRule="auto"/>
        <w:ind w:firstLine="420" w:firstLineChars="200"/>
        <w:rPr>
          <w:rFonts w:hint="eastAsia" w:ascii="宋体" w:hAnsi="宋体" w:eastAsia="宋体" w:cs="宋体"/>
          <w:color w:val="auto"/>
          <w:sz w:val="21"/>
          <w:szCs w:val="21"/>
          <w:highlight w:val="none"/>
          <w:lang w:val="en-US" w:eastAsia="zh-CN"/>
        </w:rPr>
      </w:pPr>
      <w:bookmarkStart w:id="336" w:name="_Toc869"/>
      <w:r>
        <w:rPr>
          <w:rFonts w:hint="eastAsia" w:ascii="宋体" w:hAnsi="宋体" w:eastAsia="宋体" w:cs="宋体"/>
          <w:color w:val="auto"/>
          <w:sz w:val="21"/>
          <w:szCs w:val="21"/>
          <w:highlight w:val="none"/>
          <w:lang w:val="en-US" w:eastAsia="zh-CN"/>
        </w:rPr>
        <w:t>1.工程量清单说明</w:t>
      </w:r>
      <w:bookmarkEnd w:id="336"/>
    </w:p>
    <w:p w14:paraId="53301A75">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1.1工程量清单应与竞争性磋商文件中的供应商须知、通用合同条款、专用合同条款、技术标准和要求（合同技术条款）、图纸等一起阅读和理解。</w:t>
      </w:r>
    </w:p>
    <w:p w14:paraId="223FFA00">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val="zh-CN" w:eastAsia="zh-CN"/>
        </w:rPr>
        <w:t>工程量清单仅是供应商报价的共同基础。除另有约定外，工程量清单中的工程量是根据招标设计图纸按《水利工程工程量清单计价规范》（</w:t>
      </w:r>
      <w:r>
        <w:rPr>
          <w:rFonts w:hint="eastAsia" w:ascii="宋体" w:hAnsi="宋体" w:eastAsia="宋体" w:cs="宋体"/>
          <w:color w:val="auto"/>
          <w:sz w:val="21"/>
          <w:szCs w:val="21"/>
          <w:highlight w:val="none"/>
          <w:lang w:val="en-US" w:eastAsia="zh-CN"/>
        </w:rPr>
        <w:t>GB 50501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2007</w:t>
      </w:r>
      <w:r>
        <w:rPr>
          <w:rFonts w:hint="eastAsia" w:ascii="宋体" w:hAnsi="宋体" w:eastAsia="宋体" w:cs="宋体"/>
          <w:color w:val="auto"/>
          <w:sz w:val="21"/>
          <w:szCs w:val="21"/>
          <w:highlight w:val="none"/>
          <w:lang w:val="zh-CN" w:eastAsia="zh-CN"/>
        </w:rPr>
        <w:t>）计算规则计算的用于报价的估算工程量，不作为最终结算工程量。最终结算工程量是承包人实际完成并符合技术标准和要求（合同技术条款）和《水利工程工程量清单计价规范》</w:t>
      </w:r>
      <w:r>
        <w:rPr>
          <w:rFonts w:hint="eastAsia" w:ascii="宋体" w:hAnsi="宋体" w:eastAsia="宋体" w:cs="宋体"/>
          <w:color w:val="auto"/>
          <w:sz w:val="21"/>
          <w:szCs w:val="21"/>
          <w:highlight w:val="none"/>
          <w:lang w:val="en-US" w:eastAsia="zh-CN"/>
        </w:rPr>
        <w:t>（GB 50501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2007</w:t>
      </w:r>
      <w:r>
        <w:rPr>
          <w:rFonts w:hint="eastAsia" w:ascii="宋体" w:hAnsi="宋体" w:eastAsia="宋体" w:cs="宋体"/>
          <w:color w:val="auto"/>
          <w:sz w:val="21"/>
          <w:szCs w:val="21"/>
          <w:highlight w:val="none"/>
          <w:lang w:val="zh-CN" w:eastAsia="zh-CN"/>
        </w:rPr>
        <w:t>）计算规则等规定，按施工图纸计算的有效工程量</w:t>
      </w:r>
      <w:r>
        <w:rPr>
          <w:rFonts w:hint="eastAsia" w:ascii="宋体" w:hAnsi="宋体" w:eastAsia="宋体" w:cs="宋体"/>
          <w:color w:val="auto"/>
          <w:sz w:val="21"/>
          <w:szCs w:val="21"/>
          <w:highlight w:val="none"/>
          <w:lang w:val="en-US" w:eastAsia="zh-CN"/>
        </w:rPr>
        <w:t>。</w:t>
      </w:r>
    </w:p>
    <w:p w14:paraId="52B81F8A">
      <w:pPr>
        <w:spacing w:line="360" w:lineRule="auto"/>
        <w:ind w:firstLine="420" w:firstLineChars="20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val="zh-CN" w:eastAsia="zh-CN"/>
        </w:rPr>
        <w:t>工程价款的支付遵循合同条款的约定。</w:t>
      </w:r>
    </w:p>
    <w:p w14:paraId="7F960E50">
      <w:pPr>
        <w:spacing w:line="360" w:lineRule="auto"/>
        <w:ind w:firstLine="420" w:firstLineChars="200"/>
        <w:rPr>
          <w:rFonts w:hint="eastAsia" w:ascii="宋体" w:hAnsi="宋体" w:eastAsia="宋体" w:cs="宋体"/>
          <w:color w:val="auto"/>
          <w:sz w:val="21"/>
          <w:szCs w:val="21"/>
          <w:highlight w:val="none"/>
          <w:lang w:val="en-US" w:eastAsia="zh-CN"/>
        </w:rPr>
      </w:pPr>
      <w:bookmarkStart w:id="337" w:name="_Toc9752"/>
      <w:bookmarkStart w:id="338" w:name="_Toc298335578"/>
      <w:bookmarkStart w:id="339" w:name="_Toc288638147"/>
      <w:r>
        <w:rPr>
          <w:rFonts w:hint="eastAsia" w:ascii="宋体" w:hAnsi="宋体" w:eastAsia="宋体" w:cs="宋体"/>
          <w:color w:val="auto"/>
          <w:sz w:val="21"/>
          <w:szCs w:val="21"/>
          <w:highlight w:val="none"/>
          <w:lang w:val="en-US" w:eastAsia="zh-CN"/>
        </w:rPr>
        <w:t>2.报价说明</w:t>
      </w:r>
      <w:bookmarkEnd w:id="337"/>
      <w:bookmarkEnd w:id="338"/>
      <w:bookmarkEnd w:id="339"/>
    </w:p>
    <w:p w14:paraId="79577040">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2.1工程量清单报价表组成</w:t>
      </w:r>
    </w:p>
    <w:p w14:paraId="1AE3CE6C">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工程量清单报价表主要由以下表格组成，供应商的报价文件应包括但不限于以下表格：</w:t>
      </w:r>
    </w:p>
    <w:p w14:paraId="2E9FC69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①报价总价；</w:t>
      </w:r>
    </w:p>
    <w:p w14:paraId="4DCAE8E6">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②工程项目总价表；</w:t>
      </w:r>
    </w:p>
    <w:p w14:paraId="44D0B13E">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w:t>
      </w:r>
      <w:bookmarkStart w:id="340" w:name="OLE_LINK23"/>
      <w:bookmarkStart w:id="341" w:name="OLE_LINK24"/>
      <w:r>
        <w:rPr>
          <w:rFonts w:hint="eastAsia" w:ascii="宋体" w:hAnsi="宋体" w:eastAsia="宋体" w:cs="宋体"/>
          <w:color w:val="auto"/>
          <w:sz w:val="21"/>
          <w:szCs w:val="21"/>
          <w:highlight w:val="none"/>
          <w:lang w:val="en-US" w:eastAsia="zh-CN"/>
        </w:rPr>
        <w:t>建筑工程分类分项工程量清单计价表</w:t>
      </w:r>
      <w:bookmarkEnd w:id="340"/>
      <w:bookmarkEnd w:id="341"/>
      <w:r>
        <w:rPr>
          <w:rFonts w:hint="eastAsia" w:ascii="宋体" w:hAnsi="宋体" w:eastAsia="宋体" w:cs="宋体"/>
          <w:color w:val="auto"/>
          <w:sz w:val="21"/>
          <w:szCs w:val="21"/>
          <w:highlight w:val="none"/>
          <w:lang w:val="en-US" w:eastAsia="zh-CN"/>
        </w:rPr>
        <w:t>；</w:t>
      </w:r>
    </w:p>
    <w:p w14:paraId="5364237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④金属结构设备及安装工程分类分项工程量清单计价表；</w:t>
      </w:r>
    </w:p>
    <w:p w14:paraId="78BEB4EC">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⑤措施项目清单计价表；</w:t>
      </w:r>
    </w:p>
    <w:p w14:paraId="2AD0E376">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⑥总价承包项目分解表</w:t>
      </w:r>
      <w:bookmarkStart w:id="342" w:name="OLE_LINK18"/>
      <w:bookmarkStart w:id="343" w:name="OLE_LINK17"/>
      <w:r>
        <w:rPr>
          <w:rFonts w:hint="eastAsia" w:ascii="宋体" w:hAnsi="宋体" w:eastAsia="宋体" w:cs="宋体"/>
          <w:color w:val="auto"/>
          <w:sz w:val="21"/>
          <w:szCs w:val="21"/>
          <w:highlight w:val="none"/>
          <w:lang w:val="en-US" w:eastAsia="zh-CN"/>
        </w:rPr>
        <w:t>（格式自拟）</w:t>
      </w:r>
      <w:bookmarkEnd w:id="342"/>
      <w:bookmarkEnd w:id="343"/>
      <w:r>
        <w:rPr>
          <w:rFonts w:hint="eastAsia" w:ascii="宋体" w:hAnsi="宋体" w:eastAsia="宋体" w:cs="宋体"/>
          <w:color w:val="auto"/>
          <w:sz w:val="21"/>
          <w:szCs w:val="21"/>
          <w:highlight w:val="none"/>
          <w:lang w:val="en-US" w:eastAsia="zh-CN"/>
        </w:rPr>
        <w:t>；</w:t>
      </w:r>
    </w:p>
    <w:p w14:paraId="2B05E24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⑦工程单价汇总表（格式自拟）；</w:t>
      </w:r>
    </w:p>
    <w:p w14:paraId="29D2B216">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⑧工程单价费（税）率汇总表（格式自拟）；</w:t>
      </w:r>
    </w:p>
    <w:p w14:paraId="02C94B2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⑨混凝土及砂浆配合比材料费表（格式自拟）；</w:t>
      </w:r>
    </w:p>
    <w:p w14:paraId="6A1F359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10 \* GB3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⑩</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主要材料预算价格汇总表（格式自拟）；</w:t>
      </w:r>
    </w:p>
    <w:p w14:paraId="6B717CA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⑪施工机械台时汇总表（格式自拟）；</w:t>
      </w:r>
    </w:p>
    <w:p w14:paraId="397DFA1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⑫电、风、水、砂石基础单价汇总表（格式自拟）；</w:t>
      </w:r>
    </w:p>
    <w:p w14:paraId="081CF895">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⑬人工单价汇总表（格式自拟）；</w:t>
      </w:r>
    </w:p>
    <w:p w14:paraId="5C9DC2AF">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⑭单价分析表（格式自拟）。</w:t>
      </w:r>
    </w:p>
    <w:p w14:paraId="1899E02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2.2工程量清单报价表填写规定</w:t>
      </w:r>
    </w:p>
    <w:p w14:paraId="6E6B0EA2">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除竞争性磋商文件另有规定外，供应商不得随意增加、删除或涂改竞争性磋商文件工程量清单中的任何内容。工程量清单中列明的所有需要填写的单价和合价，供应商均应填写；未填写的单价和合价，视为已包括在工程量清单的</w:t>
      </w:r>
      <w:r>
        <w:rPr>
          <w:rFonts w:hint="eastAsia" w:ascii="宋体" w:hAnsi="宋体" w:cs="宋体"/>
          <w:color w:val="auto"/>
          <w:sz w:val="21"/>
          <w:szCs w:val="21"/>
          <w:highlight w:val="none"/>
          <w:lang w:val="en-US" w:eastAsia="zh-CN"/>
        </w:rPr>
        <w:t>其他</w:t>
      </w:r>
      <w:r>
        <w:rPr>
          <w:rFonts w:hint="eastAsia" w:ascii="宋体" w:hAnsi="宋体" w:eastAsia="宋体" w:cs="宋体"/>
          <w:color w:val="auto"/>
          <w:sz w:val="21"/>
          <w:szCs w:val="21"/>
          <w:highlight w:val="none"/>
          <w:lang w:val="en-US" w:eastAsia="zh-CN"/>
        </w:rPr>
        <w:t>单价和合价中。</w:t>
      </w:r>
    </w:p>
    <w:p w14:paraId="6B8A787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工程量清单中的工程单价是完成工程量清单中一个质量合格的规定计量单位项目所需的直接费（包括人工费、材料费、机械使用费和季节、夜间、高原、风沙等原因增加的直接费）、间接费、企业利润和税金，并考虑到风险因素。供应商应根据规定的工程单价组成内容，按竞争性磋商文件和参照《水利工程工程量清单计价规范》（GB 50501—2007）附录A和附录B中的“主要工作内容”确定工程单价。除另有规定外，对有效工程量以外的超挖、超填工程量，施工附加量，加工、运输损耗量等，所消耗的人工、材料和机械费用，均应摊入相应有效工程量的工程单价内。</w:t>
      </w:r>
    </w:p>
    <w:p w14:paraId="60A6716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2.2.3报价金额（价格）均应以人民币（元）表示，保留小数点后两位。</w:t>
      </w:r>
    </w:p>
    <w:p w14:paraId="2C4A6C12">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2.2.4报价总价应按工程项目总价表合计金额填写。</w:t>
      </w:r>
    </w:p>
    <w:p w14:paraId="1FF192A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2.2.5工程项目总价表名称按竞争性磋商文件工程项目总价表中的相应名称填写，并按清单计价表中相应项目合计金额填写。</w:t>
      </w:r>
    </w:p>
    <w:p w14:paraId="3C6788C9">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2.2.6工程量清单计价表中的序号、项目编码、项目名称、单位、工程量和备注，按竞争性磋商文件工程量清单计价表中的相应内容填写，并填写相应项目的单价和合价。</w:t>
      </w:r>
    </w:p>
    <w:p w14:paraId="0B33C190">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2.2.7措施项目清单计价表中的序号、项目名称按竞争性磋商文件措施项目清单计价表中的相应内容填写，并填写相应措施项目的金额和合计金额。</w:t>
      </w:r>
    </w:p>
    <w:p w14:paraId="2967B1C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2.2.8辅助表格填写</w:t>
      </w:r>
    </w:p>
    <w:p w14:paraId="0D326C15">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（1）工程量单价汇总表，按</w:t>
      </w:r>
      <w:bookmarkStart w:id="344" w:name="OLE_LINK27"/>
      <w:bookmarkStart w:id="345" w:name="OLE_LINK28"/>
      <w:r>
        <w:rPr>
          <w:rFonts w:hint="eastAsia" w:ascii="宋体" w:hAnsi="宋体" w:eastAsia="宋体" w:cs="宋体"/>
          <w:color w:val="auto"/>
          <w:sz w:val="21"/>
          <w:szCs w:val="21"/>
          <w:highlight w:val="none"/>
          <w:lang w:val="en-US" w:eastAsia="zh-CN"/>
        </w:rPr>
        <w:t>单价分析</w:t>
      </w:r>
      <w:bookmarkEnd w:id="344"/>
      <w:bookmarkEnd w:id="345"/>
      <w:r>
        <w:rPr>
          <w:rFonts w:hint="eastAsia" w:ascii="宋体" w:hAnsi="宋体" w:eastAsia="宋体" w:cs="宋体"/>
          <w:color w:val="auto"/>
          <w:sz w:val="21"/>
          <w:szCs w:val="21"/>
          <w:highlight w:val="none"/>
          <w:lang w:val="en-US" w:eastAsia="zh-CN"/>
        </w:rPr>
        <w:t>表中的相应内容、价格（费率）填写。</w:t>
      </w:r>
    </w:p>
    <w:p w14:paraId="07EEF6E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（2）工程单价费（税）率汇总表，按单价分析表中的相应内容、费（税）率填写。</w:t>
      </w:r>
    </w:p>
    <w:p w14:paraId="0E63FC2E">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混凝土及砂浆配合比材料费表，按混凝土强度等级（附抗渗、抗冻等级）、水泥强度等级、级配、水灰比、相应材料用量和材料单价填写，填写的单价必须与单价分析表中采用的相应砂浆及混凝土单价一致。</w:t>
      </w:r>
    </w:p>
    <w:p w14:paraId="2580E68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（4）电、风、水、砂石基础单价汇总表，按基础单价分析计算成果的相应内容、价格填写，并附相应基础单价的分析计算书。</w:t>
      </w:r>
    </w:p>
    <w:p w14:paraId="42723D8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（5）主要材料预算价格汇总表，按序号、材料名称、单位和预算价填写，填写的预算价必须与单价分析表中采用的相应材料预算价格（或基价与价差之和）一致。</w:t>
      </w:r>
    </w:p>
    <w:p w14:paraId="54E19A3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（6）施工机械台时费汇总表，填写的台时（班）费合计金额必须与单价分析表中相应的施工机械台时（班）费单价一致。</w:t>
      </w:r>
    </w:p>
    <w:p w14:paraId="19689CF8">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（7）供应商对总价承包项目应编制总价承包项目分解表。</w:t>
      </w:r>
    </w:p>
    <w:p w14:paraId="354661BC">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工程量清单计价表中的项目需编报单价分析表。单价分析表填写的人工、材料和机械等基础价格，必须与人工单价汇总表、基础单价汇总表、主要材料预算价格汇总表及施工机械台时费汇总表中的单价相一致，填写的其他直接费、间接费、企业利润和税金等费（税）率必须与工程单价费（税）率汇总表中的费（税）率相一致。</w:t>
      </w:r>
    </w:p>
    <w:p w14:paraId="09673846">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2.2.9本项目所用到的材料、管材、设备等已包含二次搬运费用，由供应商根据竞争性磋商文件及施工现场情况，自行考虑购买或开采，风险自担。</w:t>
      </w:r>
    </w:p>
    <w:p w14:paraId="73484852">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2.2.10土石方回填须按要求填筑。</w:t>
      </w:r>
    </w:p>
    <w:p w14:paraId="3198411B">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2.2.11管材</w:t>
      </w:r>
      <w:bookmarkStart w:id="346" w:name="OLE_LINK19"/>
      <w:bookmarkStart w:id="347" w:name="OLE_LINK20"/>
      <w:r>
        <w:rPr>
          <w:rFonts w:hint="eastAsia" w:ascii="宋体" w:hAnsi="宋体" w:eastAsia="宋体" w:cs="宋体"/>
          <w:color w:val="auto"/>
          <w:sz w:val="21"/>
          <w:szCs w:val="21"/>
          <w:highlight w:val="none"/>
          <w:lang w:val="en-US" w:eastAsia="zh-CN"/>
        </w:rPr>
        <w:t>、闸阀的工程单价中</w:t>
      </w:r>
      <w:bookmarkEnd w:id="346"/>
      <w:bookmarkEnd w:id="347"/>
      <w:r>
        <w:rPr>
          <w:rFonts w:hint="eastAsia" w:ascii="宋体" w:hAnsi="宋体" w:eastAsia="宋体" w:cs="宋体"/>
          <w:color w:val="auto"/>
          <w:sz w:val="21"/>
          <w:szCs w:val="21"/>
          <w:highlight w:val="none"/>
          <w:lang w:val="en-US" w:eastAsia="zh-CN"/>
        </w:rPr>
        <w:t>含本体、安装费、安装所需材料费、调试费等</w:t>
      </w:r>
      <w:bookmarkStart w:id="348" w:name="OLE_LINK22"/>
      <w:bookmarkStart w:id="349" w:name="OLE_LINK21"/>
      <w:r>
        <w:rPr>
          <w:rFonts w:hint="eastAsia" w:ascii="宋体" w:hAnsi="宋体" w:eastAsia="宋体" w:cs="宋体"/>
          <w:color w:val="auto"/>
          <w:sz w:val="21"/>
          <w:szCs w:val="21"/>
          <w:highlight w:val="none"/>
          <w:lang w:val="en-US" w:eastAsia="zh-CN"/>
        </w:rPr>
        <w:t>，发包人不另行计量和支付。</w:t>
      </w:r>
      <w:bookmarkEnd w:id="348"/>
      <w:bookmarkEnd w:id="349"/>
    </w:p>
    <w:p w14:paraId="558FDBD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2.2.12模板及支撑结构费用包含在</w:t>
      </w:r>
      <w:bookmarkStart w:id="350" w:name="OLE_LINK12"/>
      <w:bookmarkStart w:id="351" w:name="OLE_LINK11"/>
      <w:r>
        <w:rPr>
          <w:rFonts w:hint="eastAsia" w:ascii="宋体" w:hAnsi="宋体" w:eastAsia="宋体" w:cs="宋体"/>
          <w:color w:val="auto"/>
          <w:sz w:val="21"/>
          <w:szCs w:val="21"/>
          <w:highlight w:val="none"/>
          <w:lang w:val="en-US" w:eastAsia="zh-CN"/>
        </w:rPr>
        <w:t>《工程量清单》相应混凝土或钢筋混凝土项目有效工程量的每立方米工程单价中，发包人不另行计量和支付。</w:t>
      </w:r>
      <w:bookmarkEnd w:id="350"/>
      <w:bookmarkEnd w:id="351"/>
    </w:p>
    <w:p w14:paraId="7EE64D20">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w:t>
      </w:r>
      <w:bookmarkStart w:id="352" w:name="OLE_LINK64"/>
      <w:bookmarkStart w:id="353" w:name="OLE_LINK65"/>
      <w:r>
        <w:rPr>
          <w:rFonts w:hint="eastAsia" w:ascii="宋体" w:hAnsi="宋体" w:eastAsia="宋体" w:cs="宋体"/>
          <w:color w:val="auto"/>
          <w:sz w:val="21"/>
          <w:szCs w:val="21"/>
          <w:highlight w:val="none"/>
          <w:lang w:val="en-US" w:eastAsia="zh-CN"/>
        </w:rPr>
        <w:t>3根据《云南省水利厅关于切实落实水利工程安全生产措施费的通知》</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云水建管〔2026〕1号</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，施工安全生产措施费为固定报价（不可竞争费用），报价时不得修改工程量清单中采购人列明的金额，并根据相关文件规定编制总价承包项目分解表。</w:t>
      </w:r>
      <w:bookmarkEnd w:id="352"/>
      <w:bookmarkEnd w:id="353"/>
    </w:p>
    <w:p w14:paraId="1F20299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2.2.14其他未尽事项详见技术说明、竞争性磋商文件及相关标准图集。</w:t>
      </w:r>
    </w:p>
    <w:p w14:paraId="49272741">
      <w:pPr>
        <w:spacing w:line="360" w:lineRule="auto"/>
        <w:ind w:firstLine="420" w:firstLineChars="200"/>
        <w:rPr>
          <w:rFonts w:hint="eastAsia" w:ascii="宋体" w:hAnsi="宋体" w:eastAsia="宋体" w:cs="宋体"/>
          <w:color w:val="auto"/>
          <w:sz w:val="21"/>
          <w:szCs w:val="21"/>
          <w:highlight w:val="red"/>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工程量清单：</w:t>
      </w:r>
      <w:r>
        <w:rPr>
          <w:rFonts w:hint="eastAsia" w:ascii="宋体" w:hAnsi="宋体" w:cs="宋体"/>
          <w:color w:val="auto"/>
          <w:sz w:val="21"/>
          <w:szCs w:val="21"/>
          <w:highlight w:val="none"/>
          <w:lang w:val="en-US" w:eastAsia="zh-CN"/>
        </w:rPr>
        <w:t>下附</w:t>
      </w:r>
      <w:r>
        <w:rPr>
          <w:rFonts w:hint="eastAsia" w:ascii="宋体" w:hAnsi="宋体" w:eastAsia="宋体" w:cs="宋体"/>
          <w:color w:val="auto"/>
          <w:sz w:val="21"/>
          <w:szCs w:val="21"/>
          <w:highlight w:val="none"/>
          <w:lang w:val="en-US" w:eastAsia="zh-CN"/>
        </w:rPr>
        <w:t>。</w:t>
      </w:r>
    </w:p>
    <w:p w14:paraId="7F095067">
      <w:pPr>
        <w:rPr>
          <w:rFonts w:hint="eastAsia" w:ascii="宋体" w:hAnsi="宋体" w:eastAsia="宋体" w:cs="宋体"/>
          <w:color w:val="auto"/>
          <w:sz w:val="21"/>
          <w:szCs w:val="21"/>
          <w:highlight w:val="red"/>
          <w:lang w:val="en-US" w:eastAsia="zh-CN"/>
        </w:rPr>
      </w:pPr>
      <w:r>
        <w:rPr>
          <w:rFonts w:hint="eastAsia" w:ascii="宋体" w:hAnsi="宋体" w:eastAsia="宋体" w:cs="宋体"/>
          <w:color w:val="auto"/>
          <w:sz w:val="21"/>
          <w:szCs w:val="21"/>
          <w:highlight w:val="red"/>
          <w:lang w:val="en-US" w:eastAsia="zh-CN"/>
        </w:rPr>
        <w:br w:type="page"/>
      </w:r>
    </w:p>
    <w:tbl>
      <w:tblPr>
        <w:tblStyle w:val="3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4"/>
        <w:gridCol w:w="1347"/>
        <w:gridCol w:w="1912"/>
        <w:gridCol w:w="80"/>
        <w:gridCol w:w="716"/>
        <w:gridCol w:w="504"/>
        <w:gridCol w:w="21"/>
        <w:gridCol w:w="1985"/>
        <w:gridCol w:w="490"/>
        <w:gridCol w:w="528"/>
        <w:gridCol w:w="1347"/>
        <w:gridCol w:w="336"/>
      </w:tblGrid>
      <w:tr w14:paraId="2DDED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159" w:type="pct"/>
            <w:tcBorders>
              <w:top w:val="nil"/>
              <w:left w:val="nil"/>
              <w:bottom w:val="nil"/>
              <w:right w:val="nil"/>
            </w:tcBorders>
            <w:shd w:val="clear" w:color="auto" w:fill="auto"/>
            <w:noWrap/>
            <w:vAlign w:val="center"/>
          </w:tcPr>
          <w:p w14:paraId="3A0EDFE2">
            <w:pPr>
              <w:jc w:val="center"/>
              <w:rPr>
                <w:rFonts w:hint="eastAsia" w:ascii="宋体" w:hAnsi="宋体" w:eastAsia="宋体" w:cs="宋体"/>
                <w:i w:val="0"/>
                <w:iCs w:val="0"/>
                <w:color w:val="000000"/>
                <w:sz w:val="28"/>
                <w:szCs w:val="28"/>
                <w:highlight w:val="red"/>
                <w:u w:val="none"/>
              </w:rPr>
            </w:pPr>
          </w:p>
        </w:tc>
        <w:tc>
          <w:tcPr>
            <w:tcW w:w="1703" w:type="pct"/>
            <w:gridSpan w:val="2"/>
            <w:tcBorders>
              <w:top w:val="nil"/>
              <w:left w:val="nil"/>
              <w:bottom w:val="nil"/>
              <w:right w:val="nil"/>
            </w:tcBorders>
            <w:shd w:val="clear" w:color="auto" w:fill="auto"/>
            <w:noWrap/>
            <w:vAlign w:val="center"/>
          </w:tcPr>
          <w:p w14:paraId="5208E3BD">
            <w:pPr>
              <w:jc w:val="right"/>
              <w:rPr>
                <w:rFonts w:hint="eastAsia" w:ascii="宋体" w:hAnsi="宋体" w:eastAsia="宋体" w:cs="宋体"/>
                <w:i w:val="0"/>
                <w:iCs w:val="0"/>
                <w:color w:val="000000"/>
                <w:sz w:val="28"/>
                <w:szCs w:val="28"/>
                <w:highlight w:val="red"/>
                <w:u w:val="none"/>
              </w:rPr>
            </w:pPr>
          </w:p>
        </w:tc>
        <w:tc>
          <w:tcPr>
            <w:tcW w:w="416" w:type="pct"/>
            <w:gridSpan w:val="2"/>
            <w:tcBorders>
              <w:top w:val="nil"/>
              <w:left w:val="nil"/>
              <w:bottom w:val="nil"/>
              <w:right w:val="nil"/>
            </w:tcBorders>
            <w:shd w:val="clear" w:color="auto" w:fill="auto"/>
            <w:noWrap/>
            <w:vAlign w:val="center"/>
          </w:tcPr>
          <w:p w14:paraId="7DC0FBEB">
            <w:pPr>
              <w:jc w:val="center"/>
              <w:rPr>
                <w:rFonts w:hint="eastAsia" w:ascii="宋体" w:hAnsi="宋体" w:eastAsia="宋体" w:cs="宋体"/>
                <w:i w:val="0"/>
                <w:iCs w:val="0"/>
                <w:color w:val="000000"/>
                <w:sz w:val="28"/>
                <w:szCs w:val="28"/>
                <w:highlight w:val="red"/>
                <w:u w:val="none"/>
              </w:rPr>
            </w:pPr>
          </w:p>
        </w:tc>
        <w:tc>
          <w:tcPr>
            <w:tcW w:w="274" w:type="pct"/>
            <w:gridSpan w:val="2"/>
            <w:tcBorders>
              <w:top w:val="nil"/>
              <w:left w:val="nil"/>
              <w:bottom w:val="nil"/>
              <w:right w:val="nil"/>
            </w:tcBorders>
            <w:shd w:val="clear" w:color="auto" w:fill="auto"/>
            <w:noWrap/>
            <w:vAlign w:val="center"/>
          </w:tcPr>
          <w:p w14:paraId="515FD4AC">
            <w:pPr>
              <w:jc w:val="center"/>
              <w:rPr>
                <w:rFonts w:hint="eastAsia" w:ascii="宋体" w:hAnsi="宋体" w:eastAsia="宋体" w:cs="宋体"/>
                <w:i w:val="0"/>
                <w:iCs w:val="0"/>
                <w:color w:val="000000"/>
                <w:sz w:val="28"/>
                <w:szCs w:val="28"/>
                <w:highlight w:val="red"/>
                <w:u w:val="none"/>
              </w:rPr>
            </w:pPr>
          </w:p>
        </w:tc>
        <w:tc>
          <w:tcPr>
            <w:tcW w:w="1037" w:type="pct"/>
            <w:tcBorders>
              <w:top w:val="nil"/>
              <w:left w:val="nil"/>
              <w:bottom w:val="nil"/>
              <w:right w:val="nil"/>
            </w:tcBorders>
            <w:shd w:val="clear" w:color="auto" w:fill="auto"/>
            <w:noWrap/>
            <w:vAlign w:val="center"/>
          </w:tcPr>
          <w:p w14:paraId="7E6F74C3">
            <w:pPr>
              <w:jc w:val="center"/>
              <w:rPr>
                <w:rFonts w:hint="eastAsia" w:ascii="宋体" w:hAnsi="宋体" w:eastAsia="宋体" w:cs="宋体"/>
                <w:i w:val="0"/>
                <w:iCs w:val="0"/>
                <w:color w:val="000000"/>
                <w:sz w:val="28"/>
                <w:szCs w:val="28"/>
                <w:highlight w:val="red"/>
                <w:u w:val="none"/>
              </w:rPr>
            </w:pPr>
          </w:p>
        </w:tc>
        <w:tc>
          <w:tcPr>
            <w:tcW w:w="256" w:type="pct"/>
            <w:tcBorders>
              <w:top w:val="nil"/>
              <w:left w:val="nil"/>
              <w:bottom w:val="nil"/>
              <w:right w:val="nil"/>
            </w:tcBorders>
            <w:shd w:val="clear" w:color="auto" w:fill="auto"/>
            <w:noWrap/>
            <w:vAlign w:val="center"/>
          </w:tcPr>
          <w:p w14:paraId="5FE81A9C">
            <w:pPr>
              <w:jc w:val="center"/>
              <w:rPr>
                <w:rFonts w:hint="eastAsia" w:ascii="宋体" w:hAnsi="宋体" w:eastAsia="宋体" w:cs="宋体"/>
                <w:i w:val="0"/>
                <w:iCs w:val="0"/>
                <w:color w:val="000000"/>
                <w:sz w:val="28"/>
                <w:szCs w:val="28"/>
                <w:highlight w:val="red"/>
                <w:u w:val="none"/>
              </w:rPr>
            </w:pPr>
          </w:p>
        </w:tc>
        <w:tc>
          <w:tcPr>
            <w:tcW w:w="276" w:type="pct"/>
            <w:tcBorders>
              <w:top w:val="nil"/>
              <w:left w:val="nil"/>
              <w:bottom w:val="nil"/>
              <w:right w:val="nil"/>
            </w:tcBorders>
            <w:shd w:val="clear" w:color="auto" w:fill="auto"/>
            <w:noWrap/>
            <w:vAlign w:val="center"/>
          </w:tcPr>
          <w:p w14:paraId="1C09B1AD">
            <w:pPr>
              <w:jc w:val="center"/>
              <w:rPr>
                <w:rFonts w:hint="eastAsia" w:ascii="宋体" w:hAnsi="宋体" w:eastAsia="宋体" w:cs="宋体"/>
                <w:i w:val="0"/>
                <w:iCs w:val="0"/>
                <w:color w:val="000000"/>
                <w:sz w:val="28"/>
                <w:szCs w:val="28"/>
                <w:highlight w:val="red"/>
                <w:u w:val="none"/>
              </w:rPr>
            </w:pPr>
          </w:p>
        </w:tc>
        <w:tc>
          <w:tcPr>
            <w:tcW w:w="701" w:type="pct"/>
            <w:tcBorders>
              <w:top w:val="nil"/>
              <w:left w:val="nil"/>
              <w:bottom w:val="nil"/>
              <w:right w:val="nil"/>
            </w:tcBorders>
            <w:shd w:val="clear" w:color="auto" w:fill="auto"/>
            <w:noWrap/>
            <w:vAlign w:val="center"/>
          </w:tcPr>
          <w:p w14:paraId="289340A6">
            <w:pPr>
              <w:jc w:val="center"/>
              <w:rPr>
                <w:rFonts w:hint="eastAsia" w:ascii="宋体" w:hAnsi="宋体" w:eastAsia="宋体" w:cs="宋体"/>
                <w:i w:val="0"/>
                <w:iCs w:val="0"/>
                <w:color w:val="000000"/>
                <w:sz w:val="28"/>
                <w:szCs w:val="28"/>
                <w:highlight w:val="red"/>
                <w:u w:val="none"/>
              </w:rPr>
            </w:pPr>
          </w:p>
        </w:tc>
        <w:tc>
          <w:tcPr>
            <w:tcW w:w="173" w:type="pct"/>
            <w:tcBorders>
              <w:top w:val="nil"/>
              <w:left w:val="nil"/>
              <w:bottom w:val="nil"/>
              <w:right w:val="nil"/>
            </w:tcBorders>
            <w:shd w:val="clear" w:color="auto" w:fill="auto"/>
            <w:noWrap/>
            <w:vAlign w:val="center"/>
          </w:tcPr>
          <w:p w14:paraId="159B57B8">
            <w:pPr>
              <w:jc w:val="center"/>
              <w:rPr>
                <w:rFonts w:hint="eastAsia" w:ascii="宋体" w:hAnsi="宋体" w:eastAsia="宋体" w:cs="宋体"/>
                <w:i w:val="0"/>
                <w:iCs w:val="0"/>
                <w:color w:val="000000"/>
                <w:sz w:val="28"/>
                <w:szCs w:val="28"/>
                <w:highlight w:val="red"/>
                <w:u w:val="none"/>
              </w:rPr>
            </w:pPr>
          </w:p>
        </w:tc>
      </w:tr>
      <w:tr w14:paraId="2A879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5000" w:type="pct"/>
            <w:gridSpan w:val="12"/>
            <w:tcBorders>
              <w:top w:val="nil"/>
              <w:left w:val="nil"/>
              <w:bottom w:val="nil"/>
              <w:right w:val="nil"/>
            </w:tcBorders>
            <w:shd w:val="clear" w:color="auto" w:fill="auto"/>
            <w:noWrap/>
            <w:vAlign w:val="center"/>
          </w:tcPr>
          <w:p w14:paraId="1E5B538C">
            <w:pPr>
              <w:keepNext w:val="0"/>
              <w:keepLines w:val="0"/>
              <w:widowControl/>
              <w:suppressLineNumbers w:val="0"/>
              <w:jc w:val="center"/>
              <w:textAlignment w:val="center"/>
              <w:rPr>
                <w:rFonts w:hint="default" w:ascii="宋体" w:hAnsi="宋体" w:eastAsia="宋体" w:cs="宋体"/>
                <w:b/>
                <w:bCs/>
                <w:i w:val="0"/>
                <w:iCs w:val="0"/>
                <w:color w:val="000000"/>
                <w:sz w:val="48"/>
                <w:szCs w:val="48"/>
                <w:highlight w:val="none"/>
                <w:u w:val="none"/>
                <w:lang w:val="en-US"/>
              </w:rPr>
            </w:pPr>
            <w:r>
              <w:rPr>
                <w:rFonts w:hint="eastAsia" w:ascii="宋体" w:hAnsi="宋体" w:cs="宋体"/>
                <w:b/>
                <w:bCs/>
                <w:i w:val="0"/>
                <w:iCs w:val="0"/>
                <w:color w:val="000000"/>
                <w:kern w:val="0"/>
                <w:sz w:val="48"/>
                <w:szCs w:val="48"/>
                <w:highlight w:val="none"/>
                <w:u w:val="none"/>
                <w:lang w:val="en-US" w:eastAsia="zh-CN" w:bidi="ar"/>
              </w:rPr>
              <w:t>报价总价</w:t>
            </w:r>
          </w:p>
        </w:tc>
      </w:tr>
      <w:tr w14:paraId="2EEDC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59" w:type="pct"/>
            <w:tcBorders>
              <w:top w:val="nil"/>
              <w:left w:val="nil"/>
              <w:bottom w:val="nil"/>
              <w:right w:val="nil"/>
            </w:tcBorders>
            <w:shd w:val="clear" w:color="auto" w:fill="auto"/>
            <w:noWrap/>
            <w:vAlign w:val="center"/>
          </w:tcPr>
          <w:p w14:paraId="75BB80F0">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151F99CD">
            <w:pPr>
              <w:jc w:val="right"/>
              <w:rPr>
                <w:rFonts w:hint="eastAsia" w:ascii="宋体" w:hAnsi="宋体" w:eastAsia="宋体" w:cs="宋体"/>
                <w:b/>
                <w:bCs/>
                <w:i w:val="0"/>
                <w:iCs w:val="0"/>
                <w:color w:val="000000"/>
                <w:sz w:val="36"/>
                <w:szCs w:val="36"/>
                <w:highlight w:val="none"/>
                <w:u w:val="none"/>
              </w:rPr>
            </w:pPr>
          </w:p>
        </w:tc>
        <w:tc>
          <w:tcPr>
            <w:tcW w:w="2963" w:type="pct"/>
            <w:gridSpan w:val="8"/>
            <w:tcBorders>
              <w:top w:val="nil"/>
              <w:left w:val="nil"/>
              <w:bottom w:val="nil"/>
              <w:right w:val="nil"/>
            </w:tcBorders>
            <w:shd w:val="clear" w:color="auto" w:fill="auto"/>
            <w:noWrap/>
            <w:vAlign w:val="bottom"/>
          </w:tcPr>
          <w:p w14:paraId="41DA9722">
            <w:pPr>
              <w:jc w:val="left"/>
              <w:rPr>
                <w:rFonts w:hint="eastAsia" w:ascii="宋体" w:hAnsi="宋体" w:eastAsia="宋体" w:cs="宋体"/>
                <w:i w:val="0"/>
                <w:iCs w:val="0"/>
                <w:color w:val="000000"/>
                <w:sz w:val="32"/>
                <w:szCs w:val="32"/>
                <w:highlight w:val="none"/>
                <w:u w:val="none"/>
              </w:rPr>
            </w:pPr>
          </w:p>
        </w:tc>
        <w:tc>
          <w:tcPr>
            <w:tcW w:w="173" w:type="pct"/>
            <w:tcBorders>
              <w:top w:val="nil"/>
              <w:left w:val="nil"/>
              <w:bottom w:val="nil"/>
              <w:right w:val="nil"/>
            </w:tcBorders>
            <w:shd w:val="clear" w:color="auto" w:fill="auto"/>
            <w:noWrap/>
            <w:vAlign w:val="center"/>
          </w:tcPr>
          <w:p w14:paraId="4E809FF8">
            <w:pPr>
              <w:jc w:val="center"/>
              <w:rPr>
                <w:rFonts w:hint="eastAsia" w:ascii="宋体" w:hAnsi="宋体" w:eastAsia="宋体" w:cs="宋体"/>
                <w:i w:val="0"/>
                <w:iCs w:val="0"/>
                <w:color w:val="000000"/>
                <w:sz w:val="28"/>
                <w:szCs w:val="28"/>
                <w:highlight w:val="none"/>
                <w:u w:val="none"/>
              </w:rPr>
            </w:pPr>
          </w:p>
        </w:tc>
      </w:tr>
      <w:tr w14:paraId="6BCBA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159" w:type="pct"/>
            <w:tcBorders>
              <w:top w:val="nil"/>
              <w:left w:val="nil"/>
              <w:bottom w:val="nil"/>
              <w:right w:val="nil"/>
            </w:tcBorders>
            <w:shd w:val="clear" w:color="auto" w:fill="auto"/>
            <w:noWrap/>
            <w:vAlign w:val="center"/>
          </w:tcPr>
          <w:p w14:paraId="066F4BE0">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FFFFFF"/>
            <w:noWrap/>
            <w:vAlign w:val="bottom"/>
          </w:tcPr>
          <w:p w14:paraId="2468133D">
            <w:pPr>
              <w:keepNext w:val="0"/>
              <w:keepLines w:val="0"/>
              <w:widowControl/>
              <w:suppressLineNumbers w:val="0"/>
              <w:jc w:val="right"/>
              <w:textAlignment w:val="bottom"/>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项目名称：</w:t>
            </w:r>
          </w:p>
        </w:tc>
        <w:tc>
          <w:tcPr>
            <w:tcW w:w="2963" w:type="pct"/>
            <w:gridSpan w:val="8"/>
            <w:tcBorders>
              <w:top w:val="nil"/>
              <w:left w:val="nil"/>
              <w:bottom w:val="single" w:color="000000" w:sz="4" w:space="0"/>
              <w:right w:val="nil"/>
            </w:tcBorders>
            <w:shd w:val="clear" w:color="auto" w:fill="auto"/>
            <w:noWrap/>
            <w:vAlign w:val="bottom"/>
          </w:tcPr>
          <w:p w14:paraId="7CEE44BE">
            <w:pPr>
              <w:jc w:val="left"/>
              <w:rPr>
                <w:rFonts w:hint="eastAsia" w:ascii="宋体" w:hAnsi="宋体" w:eastAsia="宋体" w:cs="宋体"/>
                <w:i w:val="0"/>
                <w:iCs w:val="0"/>
                <w:color w:val="000000"/>
                <w:sz w:val="32"/>
                <w:szCs w:val="32"/>
                <w:highlight w:val="none"/>
                <w:u w:val="none"/>
              </w:rPr>
            </w:pPr>
          </w:p>
        </w:tc>
        <w:tc>
          <w:tcPr>
            <w:tcW w:w="173" w:type="pct"/>
            <w:tcBorders>
              <w:top w:val="nil"/>
              <w:left w:val="nil"/>
              <w:bottom w:val="nil"/>
              <w:right w:val="nil"/>
            </w:tcBorders>
            <w:shd w:val="clear" w:color="auto" w:fill="auto"/>
            <w:noWrap/>
            <w:vAlign w:val="center"/>
          </w:tcPr>
          <w:p w14:paraId="35F13CC2">
            <w:pPr>
              <w:jc w:val="center"/>
              <w:rPr>
                <w:rFonts w:hint="eastAsia" w:ascii="宋体" w:hAnsi="宋体" w:eastAsia="宋体" w:cs="宋体"/>
                <w:i w:val="0"/>
                <w:iCs w:val="0"/>
                <w:color w:val="000000"/>
                <w:sz w:val="28"/>
                <w:szCs w:val="28"/>
                <w:highlight w:val="none"/>
                <w:u w:val="none"/>
              </w:rPr>
            </w:pPr>
          </w:p>
        </w:tc>
      </w:tr>
      <w:tr w14:paraId="6539E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159" w:type="pct"/>
            <w:tcBorders>
              <w:top w:val="nil"/>
              <w:left w:val="nil"/>
              <w:bottom w:val="nil"/>
              <w:right w:val="nil"/>
            </w:tcBorders>
            <w:shd w:val="clear" w:color="auto" w:fill="auto"/>
            <w:noWrap/>
            <w:vAlign w:val="center"/>
          </w:tcPr>
          <w:p w14:paraId="743D8A80">
            <w:pPr>
              <w:jc w:val="center"/>
              <w:rPr>
                <w:rFonts w:hint="eastAsia" w:ascii="宋体" w:hAnsi="宋体" w:eastAsia="宋体" w:cs="宋体"/>
                <w:i w:val="0"/>
                <w:iCs w:val="0"/>
                <w:color w:val="000000"/>
                <w:sz w:val="20"/>
                <w:szCs w:val="20"/>
                <w:highlight w:val="none"/>
                <w:u w:val="none"/>
              </w:rPr>
            </w:pPr>
          </w:p>
        </w:tc>
        <w:tc>
          <w:tcPr>
            <w:tcW w:w="1703" w:type="pct"/>
            <w:gridSpan w:val="2"/>
            <w:tcBorders>
              <w:top w:val="nil"/>
              <w:left w:val="nil"/>
              <w:bottom w:val="nil"/>
              <w:right w:val="nil"/>
            </w:tcBorders>
            <w:shd w:val="clear" w:color="auto" w:fill="auto"/>
            <w:noWrap/>
            <w:vAlign w:val="bottom"/>
          </w:tcPr>
          <w:p w14:paraId="2A777B58">
            <w:pPr>
              <w:jc w:val="right"/>
              <w:rPr>
                <w:rFonts w:hint="eastAsia" w:ascii="宋体" w:hAnsi="宋体" w:eastAsia="宋体" w:cs="宋体"/>
                <w:i w:val="0"/>
                <w:iCs w:val="0"/>
                <w:color w:val="000000"/>
                <w:sz w:val="20"/>
                <w:szCs w:val="20"/>
                <w:highlight w:val="none"/>
                <w:u w:val="none"/>
              </w:rPr>
            </w:pPr>
          </w:p>
        </w:tc>
        <w:tc>
          <w:tcPr>
            <w:tcW w:w="416" w:type="pct"/>
            <w:gridSpan w:val="2"/>
            <w:tcBorders>
              <w:top w:val="nil"/>
              <w:left w:val="nil"/>
              <w:bottom w:val="nil"/>
              <w:right w:val="nil"/>
            </w:tcBorders>
            <w:shd w:val="clear" w:color="auto" w:fill="auto"/>
            <w:noWrap/>
            <w:vAlign w:val="bottom"/>
          </w:tcPr>
          <w:p w14:paraId="47C1C097">
            <w:pPr>
              <w:jc w:val="left"/>
              <w:rPr>
                <w:rFonts w:hint="eastAsia" w:ascii="宋体" w:hAnsi="宋体" w:eastAsia="宋体" w:cs="宋体"/>
                <w:i w:val="0"/>
                <w:iCs w:val="0"/>
                <w:color w:val="000000"/>
                <w:sz w:val="36"/>
                <w:szCs w:val="36"/>
                <w:highlight w:val="none"/>
                <w:u w:val="none"/>
              </w:rPr>
            </w:pPr>
          </w:p>
        </w:tc>
        <w:tc>
          <w:tcPr>
            <w:tcW w:w="274" w:type="pct"/>
            <w:gridSpan w:val="2"/>
            <w:tcBorders>
              <w:top w:val="nil"/>
              <w:left w:val="nil"/>
              <w:bottom w:val="nil"/>
              <w:right w:val="nil"/>
            </w:tcBorders>
            <w:shd w:val="clear" w:color="auto" w:fill="auto"/>
            <w:noWrap/>
            <w:vAlign w:val="bottom"/>
          </w:tcPr>
          <w:p w14:paraId="386BB34A">
            <w:pPr>
              <w:jc w:val="left"/>
              <w:rPr>
                <w:rFonts w:hint="eastAsia" w:ascii="宋体" w:hAnsi="宋体" w:eastAsia="宋体" w:cs="宋体"/>
                <w:i w:val="0"/>
                <w:iCs w:val="0"/>
                <w:color w:val="000000"/>
                <w:sz w:val="36"/>
                <w:szCs w:val="36"/>
                <w:highlight w:val="none"/>
                <w:u w:val="none"/>
              </w:rPr>
            </w:pPr>
          </w:p>
        </w:tc>
        <w:tc>
          <w:tcPr>
            <w:tcW w:w="1037" w:type="pct"/>
            <w:tcBorders>
              <w:top w:val="nil"/>
              <w:left w:val="nil"/>
              <w:bottom w:val="nil"/>
              <w:right w:val="nil"/>
            </w:tcBorders>
            <w:shd w:val="clear" w:color="auto" w:fill="auto"/>
            <w:noWrap/>
            <w:vAlign w:val="bottom"/>
          </w:tcPr>
          <w:p w14:paraId="3DBECE2A">
            <w:pPr>
              <w:jc w:val="left"/>
              <w:rPr>
                <w:rFonts w:hint="eastAsia" w:ascii="宋体" w:hAnsi="宋体" w:eastAsia="宋体" w:cs="宋体"/>
                <w:i w:val="0"/>
                <w:iCs w:val="0"/>
                <w:color w:val="000000"/>
                <w:sz w:val="36"/>
                <w:szCs w:val="36"/>
                <w:highlight w:val="none"/>
                <w:u w:val="none"/>
              </w:rPr>
            </w:pPr>
          </w:p>
        </w:tc>
        <w:tc>
          <w:tcPr>
            <w:tcW w:w="256" w:type="pct"/>
            <w:tcBorders>
              <w:top w:val="nil"/>
              <w:left w:val="nil"/>
              <w:bottom w:val="nil"/>
              <w:right w:val="nil"/>
            </w:tcBorders>
            <w:shd w:val="clear" w:color="auto" w:fill="auto"/>
            <w:noWrap/>
            <w:vAlign w:val="bottom"/>
          </w:tcPr>
          <w:p w14:paraId="75B37B23">
            <w:pPr>
              <w:jc w:val="left"/>
              <w:rPr>
                <w:rFonts w:hint="eastAsia" w:ascii="宋体" w:hAnsi="宋体" w:eastAsia="宋体" w:cs="宋体"/>
                <w:i w:val="0"/>
                <w:iCs w:val="0"/>
                <w:color w:val="000000"/>
                <w:sz w:val="36"/>
                <w:szCs w:val="36"/>
                <w:highlight w:val="none"/>
                <w:u w:val="none"/>
              </w:rPr>
            </w:pPr>
          </w:p>
        </w:tc>
        <w:tc>
          <w:tcPr>
            <w:tcW w:w="276" w:type="pct"/>
            <w:tcBorders>
              <w:top w:val="nil"/>
              <w:left w:val="nil"/>
              <w:bottom w:val="nil"/>
              <w:right w:val="nil"/>
            </w:tcBorders>
            <w:shd w:val="clear" w:color="auto" w:fill="auto"/>
            <w:noWrap/>
            <w:vAlign w:val="bottom"/>
          </w:tcPr>
          <w:p w14:paraId="6FFC4891">
            <w:pPr>
              <w:jc w:val="left"/>
              <w:rPr>
                <w:rFonts w:hint="eastAsia" w:ascii="宋体" w:hAnsi="宋体" w:eastAsia="宋体" w:cs="宋体"/>
                <w:i w:val="0"/>
                <w:iCs w:val="0"/>
                <w:color w:val="000000"/>
                <w:sz w:val="36"/>
                <w:szCs w:val="36"/>
                <w:highlight w:val="none"/>
                <w:u w:val="none"/>
              </w:rPr>
            </w:pPr>
          </w:p>
        </w:tc>
        <w:tc>
          <w:tcPr>
            <w:tcW w:w="701" w:type="pct"/>
            <w:tcBorders>
              <w:top w:val="nil"/>
              <w:left w:val="nil"/>
              <w:bottom w:val="nil"/>
              <w:right w:val="nil"/>
            </w:tcBorders>
            <w:shd w:val="clear" w:color="auto" w:fill="auto"/>
            <w:noWrap/>
            <w:vAlign w:val="bottom"/>
          </w:tcPr>
          <w:p w14:paraId="79CC6BC8">
            <w:pPr>
              <w:jc w:val="left"/>
              <w:rPr>
                <w:rFonts w:hint="eastAsia" w:ascii="宋体" w:hAnsi="宋体" w:eastAsia="宋体" w:cs="宋体"/>
                <w:i w:val="0"/>
                <w:iCs w:val="0"/>
                <w:color w:val="000000"/>
                <w:sz w:val="36"/>
                <w:szCs w:val="36"/>
                <w:highlight w:val="none"/>
                <w:u w:val="none"/>
              </w:rPr>
            </w:pPr>
          </w:p>
        </w:tc>
        <w:tc>
          <w:tcPr>
            <w:tcW w:w="173" w:type="pct"/>
            <w:tcBorders>
              <w:top w:val="nil"/>
              <w:left w:val="nil"/>
              <w:bottom w:val="nil"/>
              <w:right w:val="nil"/>
            </w:tcBorders>
            <w:shd w:val="clear" w:color="auto" w:fill="auto"/>
            <w:noWrap/>
            <w:vAlign w:val="center"/>
          </w:tcPr>
          <w:p w14:paraId="3A9136DB">
            <w:pPr>
              <w:jc w:val="center"/>
              <w:rPr>
                <w:rFonts w:hint="eastAsia" w:ascii="宋体" w:hAnsi="宋体" w:eastAsia="宋体" w:cs="宋体"/>
                <w:i w:val="0"/>
                <w:iCs w:val="0"/>
                <w:color w:val="000000"/>
                <w:sz w:val="20"/>
                <w:szCs w:val="20"/>
                <w:highlight w:val="none"/>
                <w:u w:val="none"/>
              </w:rPr>
            </w:pPr>
          </w:p>
        </w:tc>
      </w:tr>
      <w:tr w14:paraId="09D6D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159" w:type="pct"/>
            <w:tcBorders>
              <w:top w:val="nil"/>
              <w:left w:val="nil"/>
              <w:bottom w:val="nil"/>
              <w:right w:val="nil"/>
            </w:tcBorders>
            <w:shd w:val="clear" w:color="auto" w:fill="auto"/>
            <w:noWrap/>
            <w:vAlign w:val="center"/>
          </w:tcPr>
          <w:p w14:paraId="470245CD">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3C6D09AB">
            <w:pPr>
              <w:keepNext w:val="0"/>
              <w:keepLines w:val="0"/>
              <w:widowControl/>
              <w:suppressLineNumbers w:val="0"/>
              <w:jc w:val="right"/>
              <w:textAlignment w:val="bottom"/>
              <w:rPr>
                <w:rFonts w:hint="eastAsia" w:ascii="宋体" w:hAnsi="宋体" w:eastAsia="宋体" w:cs="宋体"/>
                <w:b/>
                <w:bCs/>
                <w:i w:val="0"/>
                <w:iCs w:val="0"/>
                <w:color w:val="000000"/>
                <w:sz w:val="28"/>
                <w:szCs w:val="28"/>
                <w:highlight w:val="none"/>
                <w:u w:val="none"/>
              </w:rPr>
            </w:pPr>
            <w:r>
              <w:rPr>
                <w:rFonts w:hint="eastAsia" w:ascii="宋体" w:hAnsi="宋体" w:cs="宋体"/>
                <w:b/>
                <w:bCs/>
                <w:i w:val="0"/>
                <w:iCs w:val="0"/>
                <w:color w:val="000000"/>
                <w:kern w:val="0"/>
                <w:sz w:val="28"/>
                <w:szCs w:val="28"/>
                <w:highlight w:val="none"/>
                <w:u w:val="none"/>
                <w:lang w:val="en-US" w:eastAsia="zh-CN" w:bidi="ar"/>
              </w:rPr>
              <w:t>报价总价：（</w:t>
            </w:r>
            <w:r>
              <w:rPr>
                <w:rFonts w:hint="eastAsia" w:ascii="宋体" w:hAnsi="宋体" w:eastAsia="宋体" w:cs="宋体"/>
                <w:b/>
                <w:bCs/>
                <w:i w:val="0"/>
                <w:iCs w:val="0"/>
                <w:color w:val="000000"/>
                <w:kern w:val="0"/>
                <w:sz w:val="28"/>
                <w:szCs w:val="28"/>
                <w:highlight w:val="none"/>
                <w:u w:val="none"/>
                <w:lang w:val="en-US" w:eastAsia="zh-CN" w:bidi="ar"/>
              </w:rPr>
              <w:t>小写</w:t>
            </w:r>
            <w:r>
              <w:rPr>
                <w:rFonts w:hint="eastAsia" w:ascii="宋体" w:hAnsi="宋体" w:cs="宋体"/>
                <w:b/>
                <w:bCs/>
                <w:i w:val="0"/>
                <w:iCs w:val="0"/>
                <w:color w:val="000000"/>
                <w:kern w:val="0"/>
                <w:sz w:val="28"/>
                <w:szCs w:val="28"/>
                <w:highlight w:val="none"/>
                <w:u w:val="none"/>
                <w:lang w:val="en-US" w:eastAsia="zh-CN" w:bidi="ar"/>
              </w:rPr>
              <w:t>）</w:t>
            </w:r>
          </w:p>
        </w:tc>
        <w:tc>
          <w:tcPr>
            <w:tcW w:w="2963" w:type="pct"/>
            <w:gridSpan w:val="8"/>
            <w:tcBorders>
              <w:top w:val="nil"/>
              <w:left w:val="nil"/>
              <w:bottom w:val="single" w:color="000000" w:sz="4" w:space="0"/>
              <w:right w:val="nil"/>
            </w:tcBorders>
            <w:shd w:val="clear" w:color="auto" w:fill="auto"/>
            <w:noWrap/>
            <w:vAlign w:val="bottom"/>
          </w:tcPr>
          <w:p w14:paraId="519220ED">
            <w:pPr>
              <w:jc w:val="left"/>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42939B6A">
            <w:pPr>
              <w:jc w:val="center"/>
              <w:rPr>
                <w:rFonts w:hint="eastAsia" w:ascii="宋体" w:hAnsi="宋体" w:eastAsia="宋体" w:cs="宋体"/>
                <w:i w:val="0"/>
                <w:iCs w:val="0"/>
                <w:color w:val="000000"/>
                <w:sz w:val="28"/>
                <w:szCs w:val="28"/>
                <w:highlight w:val="none"/>
                <w:u w:val="none"/>
              </w:rPr>
            </w:pPr>
          </w:p>
        </w:tc>
      </w:tr>
      <w:tr w14:paraId="79BE2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59" w:type="pct"/>
            <w:tcBorders>
              <w:top w:val="nil"/>
              <w:left w:val="nil"/>
              <w:bottom w:val="nil"/>
              <w:right w:val="nil"/>
            </w:tcBorders>
            <w:shd w:val="clear" w:color="auto" w:fill="auto"/>
            <w:noWrap/>
            <w:vAlign w:val="center"/>
          </w:tcPr>
          <w:p w14:paraId="30E9E7D5">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0CAB3DE6">
            <w:pPr>
              <w:keepNext w:val="0"/>
              <w:keepLines w:val="0"/>
              <w:widowControl/>
              <w:suppressLineNumbers w:val="0"/>
              <w:jc w:val="right"/>
              <w:textAlignment w:val="bottom"/>
              <w:rPr>
                <w:rFonts w:hint="eastAsia" w:ascii="宋体" w:hAnsi="宋体" w:eastAsia="宋体" w:cs="宋体"/>
                <w:b/>
                <w:bCs/>
                <w:i w:val="0"/>
                <w:iCs w:val="0"/>
                <w:color w:val="000000"/>
                <w:sz w:val="28"/>
                <w:szCs w:val="28"/>
                <w:highlight w:val="none"/>
                <w:u w:val="none"/>
              </w:rPr>
            </w:pPr>
            <w:r>
              <w:rPr>
                <w:rFonts w:hint="eastAsia" w:ascii="宋体" w:hAnsi="宋体" w:cs="宋体"/>
                <w:b/>
                <w:bCs/>
                <w:i w:val="0"/>
                <w:iCs w:val="0"/>
                <w:color w:val="000000"/>
                <w:kern w:val="0"/>
                <w:sz w:val="28"/>
                <w:szCs w:val="28"/>
                <w:highlight w:val="none"/>
                <w:u w:val="none"/>
                <w:lang w:val="en-US" w:eastAsia="zh-CN" w:bidi="ar"/>
              </w:rPr>
              <w:t>（</w:t>
            </w:r>
            <w:r>
              <w:rPr>
                <w:rFonts w:hint="eastAsia" w:ascii="宋体" w:hAnsi="宋体" w:eastAsia="宋体" w:cs="宋体"/>
                <w:b/>
                <w:bCs/>
                <w:i w:val="0"/>
                <w:iCs w:val="0"/>
                <w:color w:val="000000"/>
                <w:kern w:val="0"/>
                <w:sz w:val="28"/>
                <w:szCs w:val="28"/>
                <w:highlight w:val="none"/>
                <w:u w:val="none"/>
                <w:lang w:val="en-US" w:eastAsia="zh-CN" w:bidi="ar"/>
              </w:rPr>
              <w:t>大写</w:t>
            </w:r>
            <w:r>
              <w:rPr>
                <w:rFonts w:hint="eastAsia" w:ascii="宋体" w:hAnsi="宋体" w:cs="宋体"/>
                <w:b/>
                <w:bCs/>
                <w:i w:val="0"/>
                <w:iCs w:val="0"/>
                <w:color w:val="000000"/>
                <w:kern w:val="0"/>
                <w:sz w:val="28"/>
                <w:szCs w:val="28"/>
                <w:highlight w:val="none"/>
                <w:u w:val="none"/>
                <w:lang w:val="en-US" w:eastAsia="zh-CN" w:bidi="ar"/>
              </w:rPr>
              <w:t>）</w:t>
            </w:r>
          </w:p>
        </w:tc>
        <w:tc>
          <w:tcPr>
            <w:tcW w:w="2963" w:type="pct"/>
            <w:gridSpan w:val="8"/>
            <w:tcBorders>
              <w:top w:val="nil"/>
              <w:left w:val="nil"/>
              <w:bottom w:val="single" w:color="000000" w:sz="4" w:space="0"/>
              <w:right w:val="nil"/>
            </w:tcBorders>
            <w:shd w:val="clear" w:color="auto" w:fill="auto"/>
            <w:noWrap/>
            <w:vAlign w:val="bottom"/>
          </w:tcPr>
          <w:p w14:paraId="3E2D6602">
            <w:pPr>
              <w:jc w:val="left"/>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282E1143">
            <w:pPr>
              <w:jc w:val="center"/>
              <w:rPr>
                <w:rFonts w:hint="eastAsia" w:ascii="宋体" w:hAnsi="宋体" w:eastAsia="宋体" w:cs="宋体"/>
                <w:i w:val="0"/>
                <w:iCs w:val="0"/>
                <w:color w:val="000000"/>
                <w:sz w:val="28"/>
                <w:szCs w:val="28"/>
                <w:highlight w:val="none"/>
                <w:u w:val="none"/>
              </w:rPr>
            </w:pPr>
          </w:p>
        </w:tc>
      </w:tr>
      <w:tr w14:paraId="1E610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59" w:type="pct"/>
            <w:tcBorders>
              <w:top w:val="nil"/>
              <w:left w:val="nil"/>
              <w:bottom w:val="nil"/>
              <w:right w:val="nil"/>
            </w:tcBorders>
            <w:shd w:val="clear" w:color="auto" w:fill="auto"/>
            <w:noWrap/>
            <w:vAlign w:val="center"/>
          </w:tcPr>
          <w:p w14:paraId="185A175F">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15C53E2B">
            <w:pPr>
              <w:jc w:val="right"/>
              <w:rPr>
                <w:rFonts w:hint="eastAsia" w:ascii="宋体" w:hAnsi="宋体" w:eastAsia="宋体" w:cs="宋体"/>
                <w:i w:val="0"/>
                <w:iCs w:val="0"/>
                <w:color w:val="000000"/>
                <w:sz w:val="30"/>
                <w:szCs w:val="30"/>
                <w:highlight w:val="none"/>
                <w:u w:val="none"/>
              </w:rPr>
            </w:pPr>
          </w:p>
        </w:tc>
        <w:tc>
          <w:tcPr>
            <w:tcW w:w="416" w:type="pct"/>
            <w:gridSpan w:val="2"/>
            <w:tcBorders>
              <w:top w:val="nil"/>
              <w:left w:val="nil"/>
              <w:bottom w:val="nil"/>
              <w:right w:val="nil"/>
            </w:tcBorders>
            <w:shd w:val="clear" w:color="auto" w:fill="auto"/>
            <w:noWrap/>
            <w:vAlign w:val="bottom"/>
          </w:tcPr>
          <w:p w14:paraId="3630902B">
            <w:pPr>
              <w:jc w:val="left"/>
              <w:rPr>
                <w:rFonts w:hint="eastAsia" w:ascii="宋体" w:hAnsi="宋体" w:eastAsia="宋体" w:cs="宋体"/>
                <w:i w:val="0"/>
                <w:iCs w:val="0"/>
                <w:color w:val="000000"/>
                <w:sz w:val="36"/>
                <w:szCs w:val="36"/>
                <w:highlight w:val="none"/>
                <w:u w:val="none"/>
              </w:rPr>
            </w:pPr>
          </w:p>
        </w:tc>
        <w:tc>
          <w:tcPr>
            <w:tcW w:w="274" w:type="pct"/>
            <w:gridSpan w:val="2"/>
            <w:tcBorders>
              <w:top w:val="nil"/>
              <w:left w:val="nil"/>
              <w:bottom w:val="nil"/>
              <w:right w:val="nil"/>
            </w:tcBorders>
            <w:shd w:val="clear" w:color="auto" w:fill="auto"/>
            <w:noWrap/>
            <w:vAlign w:val="bottom"/>
          </w:tcPr>
          <w:p w14:paraId="1216D474">
            <w:pPr>
              <w:jc w:val="left"/>
              <w:rPr>
                <w:rFonts w:hint="eastAsia" w:ascii="宋体" w:hAnsi="宋体" w:eastAsia="宋体" w:cs="宋体"/>
                <w:i w:val="0"/>
                <w:iCs w:val="0"/>
                <w:color w:val="000000"/>
                <w:sz w:val="36"/>
                <w:szCs w:val="36"/>
                <w:highlight w:val="none"/>
                <w:u w:val="none"/>
              </w:rPr>
            </w:pPr>
          </w:p>
        </w:tc>
        <w:tc>
          <w:tcPr>
            <w:tcW w:w="1037" w:type="pct"/>
            <w:tcBorders>
              <w:top w:val="nil"/>
              <w:left w:val="nil"/>
              <w:bottom w:val="nil"/>
              <w:right w:val="nil"/>
            </w:tcBorders>
            <w:shd w:val="clear" w:color="auto" w:fill="auto"/>
            <w:noWrap/>
            <w:vAlign w:val="bottom"/>
          </w:tcPr>
          <w:p w14:paraId="400E1975">
            <w:pPr>
              <w:jc w:val="left"/>
              <w:rPr>
                <w:rFonts w:hint="eastAsia" w:ascii="宋体" w:hAnsi="宋体" w:eastAsia="宋体" w:cs="宋体"/>
                <w:i w:val="0"/>
                <w:iCs w:val="0"/>
                <w:color w:val="000000"/>
                <w:sz w:val="36"/>
                <w:szCs w:val="36"/>
                <w:highlight w:val="none"/>
                <w:u w:val="none"/>
              </w:rPr>
            </w:pPr>
          </w:p>
        </w:tc>
        <w:tc>
          <w:tcPr>
            <w:tcW w:w="256" w:type="pct"/>
            <w:tcBorders>
              <w:top w:val="nil"/>
              <w:left w:val="nil"/>
              <w:bottom w:val="nil"/>
              <w:right w:val="nil"/>
            </w:tcBorders>
            <w:shd w:val="clear" w:color="auto" w:fill="auto"/>
            <w:noWrap/>
            <w:vAlign w:val="bottom"/>
          </w:tcPr>
          <w:p w14:paraId="610AF7C0">
            <w:pPr>
              <w:jc w:val="left"/>
              <w:rPr>
                <w:rFonts w:hint="eastAsia" w:ascii="宋体" w:hAnsi="宋体" w:eastAsia="宋体" w:cs="宋体"/>
                <w:i w:val="0"/>
                <w:iCs w:val="0"/>
                <w:color w:val="000000"/>
                <w:sz w:val="36"/>
                <w:szCs w:val="36"/>
                <w:highlight w:val="none"/>
                <w:u w:val="none"/>
              </w:rPr>
            </w:pPr>
          </w:p>
        </w:tc>
        <w:tc>
          <w:tcPr>
            <w:tcW w:w="276" w:type="pct"/>
            <w:tcBorders>
              <w:top w:val="nil"/>
              <w:left w:val="nil"/>
              <w:bottom w:val="nil"/>
              <w:right w:val="nil"/>
            </w:tcBorders>
            <w:shd w:val="clear" w:color="auto" w:fill="auto"/>
            <w:noWrap/>
            <w:vAlign w:val="bottom"/>
          </w:tcPr>
          <w:p w14:paraId="7E1483B1">
            <w:pPr>
              <w:jc w:val="left"/>
              <w:rPr>
                <w:rFonts w:hint="eastAsia" w:ascii="宋体" w:hAnsi="宋体" w:eastAsia="宋体" w:cs="宋体"/>
                <w:i w:val="0"/>
                <w:iCs w:val="0"/>
                <w:color w:val="000000"/>
                <w:sz w:val="36"/>
                <w:szCs w:val="36"/>
                <w:highlight w:val="none"/>
                <w:u w:val="none"/>
              </w:rPr>
            </w:pPr>
          </w:p>
        </w:tc>
        <w:tc>
          <w:tcPr>
            <w:tcW w:w="701" w:type="pct"/>
            <w:tcBorders>
              <w:top w:val="nil"/>
              <w:left w:val="nil"/>
              <w:bottom w:val="nil"/>
              <w:right w:val="nil"/>
            </w:tcBorders>
            <w:shd w:val="clear" w:color="auto" w:fill="auto"/>
            <w:noWrap/>
            <w:vAlign w:val="bottom"/>
          </w:tcPr>
          <w:p w14:paraId="056A0C82">
            <w:pPr>
              <w:jc w:val="left"/>
              <w:rPr>
                <w:rFonts w:hint="eastAsia" w:ascii="宋体" w:hAnsi="宋体" w:eastAsia="宋体" w:cs="宋体"/>
                <w:i w:val="0"/>
                <w:iCs w:val="0"/>
                <w:color w:val="000000"/>
                <w:sz w:val="36"/>
                <w:szCs w:val="36"/>
                <w:highlight w:val="none"/>
                <w:u w:val="none"/>
              </w:rPr>
            </w:pPr>
          </w:p>
        </w:tc>
        <w:tc>
          <w:tcPr>
            <w:tcW w:w="173" w:type="pct"/>
            <w:tcBorders>
              <w:top w:val="nil"/>
              <w:left w:val="nil"/>
              <w:bottom w:val="nil"/>
              <w:right w:val="nil"/>
            </w:tcBorders>
            <w:shd w:val="clear" w:color="auto" w:fill="auto"/>
            <w:noWrap/>
            <w:vAlign w:val="center"/>
          </w:tcPr>
          <w:p w14:paraId="3742313C">
            <w:pPr>
              <w:jc w:val="center"/>
              <w:rPr>
                <w:rFonts w:hint="eastAsia" w:ascii="宋体" w:hAnsi="宋体" w:eastAsia="宋体" w:cs="宋体"/>
                <w:i w:val="0"/>
                <w:iCs w:val="0"/>
                <w:color w:val="000000"/>
                <w:sz w:val="28"/>
                <w:szCs w:val="28"/>
                <w:highlight w:val="none"/>
                <w:u w:val="none"/>
              </w:rPr>
            </w:pPr>
          </w:p>
        </w:tc>
      </w:tr>
      <w:tr w14:paraId="78970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159" w:type="pct"/>
            <w:tcBorders>
              <w:top w:val="nil"/>
              <w:left w:val="nil"/>
              <w:bottom w:val="nil"/>
              <w:right w:val="nil"/>
            </w:tcBorders>
            <w:shd w:val="clear" w:color="auto" w:fill="auto"/>
            <w:noWrap/>
            <w:vAlign w:val="center"/>
          </w:tcPr>
          <w:p w14:paraId="6A0142BF">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4A31D575">
            <w:pPr>
              <w:jc w:val="right"/>
              <w:rPr>
                <w:rFonts w:hint="eastAsia" w:ascii="宋体" w:hAnsi="宋体" w:eastAsia="宋体" w:cs="宋体"/>
                <w:i w:val="0"/>
                <w:iCs w:val="0"/>
                <w:color w:val="000000"/>
                <w:sz w:val="30"/>
                <w:szCs w:val="30"/>
                <w:highlight w:val="none"/>
                <w:u w:val="none"/>
              </w:rPr>
            </w:pPr>
          </w:p>
        </w:tc>
        <w:tc>
          <w:tcPr>
            <w:tcW w:w="416" w:type="pct"/>
            <w:gridSpan w:val="2"/>
            <w:tcBorders>
              <w:top w:val="nil"/>
              <w:left w:val="nil"/>
              <w:bottom w:val="nil"/>
              <w:right w:val="nil"/>
            </w:tcBorders>
            <w:shd w:val="clear" w:color="auto" w:fill="auto"/>
            <w:noWrap/>
            <w:vAlign w:val="bottom"/>
          </w:tcPr>
          <w:p w14:paraId="241F730C">
            <w:pPr>
              <w:jc w:val="left"/>
              <w:rPr>
                <w:rFonts w:hint="eastAsia" w:ascii="宋体" w:hAnsi="宋体" w:eastAsia="宋体" w:cs="宋体"/>
                <w:i w:val="0"/>
                <w:iCs w:val="0"/>
                <w:color w:val="000000"/>
                <w:sz w:val="36"/>
                <w:szCs w:val="36"/>
                <w:highlight w:val="none"/>
                <w:u w:val="none"/>
              </w:rPr>
            </w:pPr>
          </w:p>
        </w:tc>
        <w:tc>
          <w:tcPr>
            <w:tcW w:w="274" w:type="pct"/>
            <w:gridSpan w:val="2"/>
            <w:tcBorders>
              <w:top w:val="nil"/>
              <w:left w:val="nil"/>
              <w:bottom w:val="nil"/>
              <w:right w:val="nil"/>
            </w:tcBorders>
            <w:shd w:val="clear" w:color="auto" w:fill="auto"/>
            <w:noWrap/>
            <w:vAlign w:val="bottom"/>
          </w:tcPr>
          <w:p w14:paraId="51D7CF83">
            <w:pPr>
              <w:jc w:val="left"/>
              <w:rPr>
                <w:rFonts w:hint="eastAsia" w:ascii="宋体" w:hAnsi="宋体" w:eastAsia="宋体" w:cs="宋体"/>
                <w:i w:val="0"/>
                <w:iCs w:val="0"/>
                <w:color w:val="000000"/>
                <w:sz w:val="36"/>
                <w:szCs w:val="36"/>
                <w:highlight w:val="none"/>
                <w:u w:val="none"/>
              </w:rPr>
            </w:pPr>
          </w:p>
        </w:tc>
        <w:tc>
          <w:tcPr>
            <w:tcW w:w="1037" w:type="pct"/>
            <w:tcBorders>
              <w:top w:val="nil"/>
              <w:left w:val="nil"/>
              <w:bottom w:val="nil"/>
              <w:right w:val="nil"/>
            </w:tcBorders>
            <w:shd w:val="clear" w:color="auto" w:fill="auto"/>
            <w:noWrap/>
            <w:vAlign w:val="bottom"/>
          </w:tcPr>
          <w:p w14:paraId="711A7FDE">
            <w:pPr>
              <w:jc w:val="left"/>
              <w:rPr>
                <w:rFonts w:hint="eastAsia" w:ascii="宋体" w:hAnsi="宋体" w:eastAsia="宋体" w:cs="宋体"/>
                <w:i w:val="0"/>
                <w:iCs w:val="0"/>
                <w:color w:val="000000"/>
                <w:sz w:val="36"/>
                <w:szCs w:val="36"/>
                <w:highlight w:val="none"/>
                <w:u w:val="none"/>
              </w:rPr>
            </w:pPr>
          </w:p>
        </w:tc>
        <w:tc>
          <w:tcPr>
            <w:tcW w:w="256" w:type="pct"/>
            <w:tcBorders>
              <w:top w:val="nil"/>
              <w:left w:val="nil"/>
              <w:bottom w:val="nil"/>
              <w:right w:val="nil"/>
            </w:tcBorders>
            <w:shd w:val="clear" w:color="auto" w:fill="auto"/>
            <w:noWrap/>
            <w:vAlign w:val="bottom"/>
          </w:tcPr>
          <w:p w14:paraId="627F4218">
            <w:pPr>
              <w:jc w:val="left"/>
              <w:rPr>
                <w:rFonts w:hint="eastAsia" w:ascii="宋体" w:hAnsi="宋体" w:eastAsia="宋体" w:cs="宋体"/>
                <w:i w:val="0"/>
                <w:iCs w:val="0"/>
                <w:color w:val="000000"/>
                <w:sz w:val="36"/>
                <w:szCs w:val="36"/>
                <w:highlight w:val="none"/>
                <w:u w:val="none"/>
              </w:rPr>
            </w:pPr>
          </w:p>
        </w:tc>
        <w:tc>
          <w:tcPr>
            <w:tcW w:w="276" w:type="pct"/>
            <w:tcBorders>
              <w:top w:val="nil"/>
              <w:left w:val="nil"/>
              <w:bottom w:val="nil"/>
              <w:right w:val="nil"/>
            </w:tcBorders>
            <w:shd w:val="clear" w:color="auto" w:fill="auto"/>
            <w:noWrap/>
            <w:vAlign w:val="bottom"/>
          </w:tcPr>
          <w:p w14:paraId="1776E318">
            <w:pPr>
              <w:jc w:val="left"/>
              <w:rPr>
                <w:rFonts w:hint="eastAsia" w:ascii="宋体" w:hAnsi="宋体" w:eastAsia="宋体" w:cs="宋体"/>
                <w:i w:val="0"/>
                <w:iCs w:val="0"/>
                <w:color w:val="000000"/>
                <w:sz w:val="36"/>
                <w:szCs w:val="36"/>
                <w:highlight w:val="none"/>
                <w:u w:val="none"/>
              </w:rPr>
            </w:pPr>
          </w:p>
        </w:tc>
        <w:tc>
          <w:tcPr>
            <w:tcW w:w="701" w:type="pct"/>
            <w:tcBorders>
              <w:top w:val="nil"/>
              <w:left w:val="nil"/>
              <w:bottom w:val="nil"/>
              <w:right w:val="nil"/>
            </w:tcBorders>
            <w:shd w:val="clear" w:color="auto" w:fill="auto"/>
            <w:noWrap/>
            <w:vAlign w:val="bottom"/>
          </w:tcPr>
          <w:p w14:paraId="5D51606B">
            <w:pPr>
              <w:jc w:val="left"/>
              <w:rPr>
                <w:rFonts w:hint="eastAsia" w:ascii="宋体" w:hAnsi="宋体" w:eastAsia="宋体" w:cs="宋体"/>
                <w:i w:val="0"/>
                <w:iCs w:val="0"/>
                <w:color w:val="000000"/>
                <w:sz w:val="36"/>
                <w:szCs w:val="36"/>
                <w:highlight w:val="none"/>
                <w:u w:val="none"/>
              </w:rPr>
            </w:pPr>
          </w:p>
        </w:tc>
        <w:tc>
          <w:tcPr>
            <w:tcW w:w="173" w:type="pct"/>
            <w:tcBorders>
              <w:top w:val="nil"/>
              <w:left w:val="nil"/>
              <w:bottom w:val="nil"/>
              <w:right w:val="nil"/>
            </w:tcBorders>
            <w:shd w:val="clear" w:color="auto" w:fill="auto"/>
            <w:noWrap/>
            <w:vAlign w:val="center"/>
          </w:tcPr>
          <w:p w14:paraId="0EC5C9F3">
            <w:pPr>
              <w:jc w:val="center"/>
              <w:rPr>
                <w:rFonts w:hint="eastAsia" w:ascii="宋体" w:hAnsi="宋体" w:eastAsia="宋体" w:cs="宋体"/>
                <w:i w:val="0"/>
                <w:iCs w:val="0"/>
                <w:color w:val="000000"/>
                <w:sz w:val="28"/>
                <w:szCs w:val="28"/>
                <w:highlight w:val="none"/>
                <w:u w:val="none"/>
              </w:rPr>
            </w:pPr>
          </w:p>
        </w:tc>
      </w:tr>
      <w:tr w14:paraId="6E198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59" w:type="pct"/>
            <w:tcBorders>
              <w:top w:val="nil"/>
              <w:left w:val="nil"/>
              <w:bottom w:val="nil"/>
              <w:right w:val="nil"/>
            </w:tcBorders>
            <w:shd w:val="clear" w:color="auto" w:fill="auto"/>
            <w:noWrap/>
            <w:vAlign w:val="center"/>
          </w:tcPr>
          <w:p w14:paraId="398180A1">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553449AC">
            <w:pPr>
              <w:keepNext w:val="0"/>
              <w:keepLines w:val="0"/>
              <w:widowControl/>
              <w:suppressLineNumbers w:val="0"/>
              <w:jc w:val="right"/>
              <w:textAlignment w:val="bottom"/>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供  应  商：</w:t>
            </w:r>
          </w:p>
        </w:tc>
        <w:tc>
          <w:tcPr>
            <w:tcW w:w="2963" w:type="pct"/>
            <w:gridSpan w:val="8"/>
            <w:tcBorders>
              <w:top w:val="nil"/>
              <w:left w:val="nil"/>
              <w:bottom w:val="single" w:color="000000" w:sz="4" w:space="0"/>
              <w:right w:val="nil"/>
            </w:tcBorders>
            <w:shd w:val="clear" w:color="auto" w:fill="auto"/>
            <w:noWrap/>
            <w:vAlign w:val="bottom"/>
          </w:tcPr>
          <w:p w14:paraId="2CA96D7D">
            <w:pPr>
              <w:jc w:val="left"/>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7796F859">
            <w:pPr>
              <w:jc w:val="center"/>
              <w:rPr>
                <w:rFonts w:hint="eastAsia" w:ascii="宋体" w:hAnsi="宋体" w:eastAsia="宋体" w:cs="宋体"/>
                <w:i w:val="0"/>
                <w:iCs w:val="0"/>
                <w:color w:val="000000"/>
                <w:sz w:val="28"/>
                <w:szCs w:val="28"/>
                <w:highlight w:val="none"/>
                <w:u w:val="none"/>
              </w:rPr>
            </w:pPr>
          </w:p>
        </w:tc>
      </w:tr>
      <w:tr w14:paraId="45961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159" w:type="pct"/>
            <w:tcBorders>
              <w:top w:val="nil"/>
              <w:left w:val="nil"/>
              <w:bottom w:val="nil"/>
              <w:right w:val="nil"/>
            </w:tcBorders>
            <w:shd w:val="clear" w:color="auto" w:fill="auto"/>
            <w:noWrap/>
            <w:vAlign w:val="center"/>
          </w:tcPr>
          <w:p w14:paraId="45E13A6B">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vAlign w:val="bottom"/>
          </w:tcPr>
          <w:p w14:paraId="1923B720">
            <w:pPr>
              <w:keepNext w:val="0"/>
              <w:keepLines w:val="0"/>
              <w:widowControl/>
              <w:suppressLineNumbers w:val="0"/>
              <w:jc w:val="right"/>
              <w:textAlignment w:val="bottom"/>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法定代表人：</w:t>
            </w:r>
            <w:r>
              <w:rPr>
                <w:rFonts w:hint="eastAsia" w:ascii="宋体" w:hAnsi="宋体" w:eastAsia="宋体" w:cs="宋体"/>
                <w:b/>
                <w:bCs/>
                <w:i w:val="0"/>
                <w:iCs w:val="0"/>
                <w:color w:val="000000"/>
                <w:kern w:val="0"/>
                <w:sz w:val="28"/>
                <w:szCs w:val="28"/>
                <w:highlight w:val="none"/>
                <w:u w:val="none"/>
                <w:lang w:val="en-US" w:eastAsia="zh-CN" w:bidi="ar"/>
              </w:rPr>
              <w:br w:type="textWrapping"/>
            </w:r>
            <w:r>
              <w:rPr>
                <w:rFonts w:hint="eastAsia" w:ascii="宋体" w:hAnsi="宋体" w:eastAsia="宋体" w:cs="宋体"/>
                <w:b/>
                <w:bCs/>
                <w:i w:val="0"/>
                <w:iCs w:val="0"/>
                <w:color w:val="000000"/>
                <w:kern w:val="0"/>
                <w:sz w:val="28"/>
                <w:szCs w:val="28"/>
                <w:highlight w:val="none"/>
                <w:u w:val="none"/>
                <w:lang w:val="en-US" w:eastAsia="zh-CN" w:bidi="ar"/>
              </w:rPr>
              <w:t>或委托代理人：</w:t>
            </w:r>
          </w:p>
        </w:tc>
        <w:tc>
          <w:tcPr>
            <w:tcW w:w="2963" w:type="pct"/>
            <w:gridSpan w:val="8"/>
            <w:tcBorders>
              <w:top w:val="nil"/>
              <w:left w:val="nil"/>
              <w:bottom w:val="single" w:color="000000" w:sz="4" w:space="0"/>
              <w:right w:val="nil"/>
            </w:tcBorders>
            <w:shd w:val="clear" w:color="auto" w:fill="auto"/>
            <w:noWrap/>
            <w:vAlign w:val="bottom"/>
          </w:tcPr>
          <w:p w14:paraId="134E3251">
            <w:pPr>
              <w:jc w:val="left"/>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67C06E04">
            <w:pPr>
              <w:jc w:val="center"/>
              <w:rPr>
                <w:rFonts w:hint="eastAsia" w:ascii="宋体" w:hAnsi="宋体" w:eastAsia="宋体" w:cs="宋体"/>
                <w:i w:val="0"/>
                <w:iCs w:val="0"/>
                <w:color w:val="000000"/>
                <w:sz w:val="28"/>
                <w:szCs w:val="28"/>
                <w:highlight w:val="none"/>
                <w:u w:val="none"/>
              </w:rPr>
            </w:pPr>
          </w:p>
        </w:tc>
      </w:tr>
      <w:tr w14:paraId="4B5DB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9" w:type="pct"/>
            <w:tcBorders>
              <w:top w:val="nil"/>
              <w:left w:val="nil"/>
              <w:bottom w:val="nil"/>
              <w:right w:val="nil"/>
            </w:tcBorders>
            <w:shd w:val="clear" w:color="auto" w:fill="auto"/>
            <w:noWrap/>
            <w:vAlign w:val="center"/>
          </w:tcPr>
          <w:p w14:paraId="7E9D396F">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1843C189">
            <w:pPr>
              <w:jc w:val="right"/>
              <w:rPr>
                <w:rFonts w:hint="eastAsia" w:ascii="宋体" w:hAnsi="宋体" w:eastAsia="宋体" w:cs="宋体"/>
                <w:b/>
                <w:bCs/>
                <w:i w:val="0"/>
                <w:iCs w:val="0"/>
                <w:color w:val="000000"/>
                <w:sz w:val="28"/>
                <w:szCs w:val="28"/>
                <w:highlight w:val="none"/>
                <w:u w:val="none"/>
              </w:rPr>
            </w:pPr>
          </w:p>
        </w:tc>
        <w:tc>
          <w:tcPr>
            <w:tcW w:w="2963" w:type="pct"/>
            <w:gridSpan w:val="8"/>
            <w:tcBorders>
              <w:top w:val="nil"/>
              <w:left w:val="nil"/>
              <w:bottom w:val="nil"/>
              <w:right w:val="nil"/>
            </w:tcBorders>
            <w:shd w:val="clear" w:color="auto" w:fill="auto"/>
            <w:noWrap/>
            <w:vAlign w:val="bottom"/>
          </w:tcPr>
          <w:p w14:paraId="64C6ADD1">
            <w:pPr>
              <w:jc w:val="left"/>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0BDD71BA">
            <w:pPr>
              <w:jc w:val="center"/>
              <w:rPr>
                <w:rFonts w:hint="eastAsia" w:ascii="宋体" w:hAnsi="宋体" w:eastAsia="宋体" w:cs="宋体"/>
                <w:i w:val="0"/>
                <w:iCs w:val="0"/>
                <w:color w:val="000000"/>
                <w:sz w:val="28"/>
                <w:szCs w:val="28"/>
                <w:highlight w:val="none"/>
                <w:u w:val="none"/>
              </w:rPr>
            </w:pPr>
          </w:p>
        </w:tc>
      </w:tr>
      <w:tr w14:paraId="4C7AC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59" w:type="pct"/>
            <w:tcBorders>
              <w:top w:val="nil"/>
              <w:left w:val="nil"/>
              <w:bottom w:val="nil"/>
              <w:right w:val="nil"/>
            </w:tcBorders>
            <w:shd w:val="clear" w:color="auto" w:fill="auto"/>
            <w:noWrap/>
            <w:vAlign w:val="center"/>
          </w:tcPr>
          <w:p w14:paraId="33DD1F24">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6807A4E9">
            <w:pPr>
              <w:keepNext w:val="0"/>
              <w:keepLines w:val="0"/>
              <w:widowControl/>
              <w:suppressLineNumbers w:val="0"/>
              <w:jc w:val="right"/>
              <w:textAlignment w:val="bottom"/>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编 制 时间：</w:t>
            </w:r>
          </w:p>
        </w:tc>
        <w:tc>
          <w:tcPr>
            <w:tcW w:w="2963" w:type="pct"/>
            <w:gridSpan w:val="8"/>
            <w:tcBorders>
              <w:top w:val="nil"/>
              <w:left w:val="nil"/>
              <w:bottom w:val="single" w:color="000000" w:sz="4" w:space="0"/>
              <w:right w:val="nil"/>
            </w:tcBorders>
            <w:shd w:val="clear" w:color="auto" w:fill="auto"/>
            <w:noWrap/>
            <w:vAlign w:val="bottom"/>
          </w:tcPr>
          <w:p w14:paraId="793A4267">
            <w:pPr>
              <w:jc w:val="left"/>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66BCA870">
            <w:pPr>
              <w:jc w:val="center"/>
              <w:rPr>
                <w:rFonts w:hint="eastAsia" w:ascii="宋体" w:hAnsi="宋体" w:eastAsia="宋体" w:cs="宋体"/>
                <w:i w:val="0"/>
                <w:iCs w:val="0"/>
                <w:color w:val="000000"/>
                <w:sz w:val="28"/>
                <w:szCs w:val="28"/>
                <w:highlight w:val="none"/>
                <w:u w:val="none"/>
              </w:rPr>
            </w:pPr>
          </w:p>
        </w:tc>
      </w:tr>
      <w:tr w14:paraId="094B8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59" w:type="pct"/>
            <w:tcBorders>
              <w:top w:val="nil"/>
              <w:left w:val="nil"/>
              <w:bottom w:val="nil"/>
              <w:right w:val="nil"/>
            </w:tcBorders>
            <w:shd w:val="clear" w:color="auto" w:fill="auto"/>
            <w:noWrap/>
            <w:vAlign w:val="center"/>
          </w:tcPr>
          <w:p w14:paraId="6A242E72">
            <w:pPr>
              <w:jc w:val="center"/>
              <w:rPr>
                <w:rFonts w:hint="eastAsia" w:ascii="宋体" w:hAnsi="宋体" w:eastAsia="宋体" w:cs="宋体"/>
                <w:i w:val="0"/>
                <w:iCs w:val="0"/>
                <w:color w:val="000000"/>
                <w:sz w:val="28"/>
                <w:szCs w:val="28"/>
                <w:highlight w:val="none"/>
                <w:u w:val="none"/>
              </w:rPr>
            </w:pPr>
          </w:p>
        </w:tc>
        <w:tc>
          <w:tcPr>
            <w:tcW w:w="1703" w:type="pct"/>
            <w:gridSpan w:val="2"/>
            <w:tcBorders>
              <w:top w:val="nil"/>
              <w:left w:val="nil"/>
              <w:bottom w:val="nil"/>
              <w:right w:val="nil"/>
            </w:tcBorders>
            <w:shd w:val="clear" w:color="auto" w:fill="auto"/>
            <w:noWrap/>
            <w:vAlign w:val="bottom"/>
          </w:tcPr>
          <w:p w14:paraId="33D2A4A5">
            <w:pPr>
              <w:jc w:val="right"/>
              <w:rPr>
                <w:rFonts w:hint="eastAsia" w:ascii="宋体" w:hAnsi="宋体" w:eastAsia="宋体" w:cs="宋体"/>
                <w:i w:val="0"/>
                <w:iCs w:val="0"/>
                <w:color w:val="000000"/>
                <w:sz w:val="28"/>
                <w:szCs w:val="28"/>
                <w:highlight w:val="none"/>
                <w:u w:val="none"/>
              </w:rPr>
            </w:pPr>
          </w:p>
        </w:tc>
        <w:tc>
          <w:tcPr>
            <w:tcW w:w="416" w:type="pct"/>
            <w:gridSpan w:val="2"/>
            <w:tcBorders>
              <w:top w:val="nil"/>
              <w:left w:val="nil"/>
              <w:bottom w:val="nil"/>
              <w:right w:val="nil"/>
            </w:tcBorders>
            <w:shd w:val="clear" w:color="auto" w:fill="auto"/>
            <w:noWrap/>
            <w:vAlign w:val="bottom"/>
          </w:tcPr>
          <w:p w14:paraId="3EA6F85E">
            <w:pPr>
              <w:jc w:val="center"/>
              <w:rPr>
                <w:rFonts w:hint="eastAsia" w:ascii="宋体" w:hAnsi="宋体" w:eastAsia="宋体" w:cs="宋体"/>
                <w:i w:val="0"/>
                <w:iCs w:val="0"/>
                <w:color w:val="000000"/>
                <w:sz w:val="28"/>
                <w:szCs w:val="28"/>
                <w:highlight w:val="none"/>
                <w:u w:val="none"/>
              </w:rPr>
            </w:pPr>
          </w:p>
        </w:tc>
        <w:tc>
          <w:tcPr>
            <w:tcW w:w="274" w:type="pct"/>
            <w:gridSpan w:val="2"/>
            <w:tcBorders>
              <w:top w:val="nil"/>
              <w:left w:val="nil"/>
              <w:bottom w:val="nil"/>
              <w:right w:val="nil"/>
            </w:tcBorders>
            <w:shd w:val="clear" w:color="auto" w:fill="auto"/>
            <w:noWrap/>
            <w:vAlign w:val="bottom"/>
          </w:tcPr>
          <w:p w14:paraId="17BF7F6F">
            <w:pPr>
              <w:jc w:val="center"/>
              <w:rPr>
                <w:rFonts w:hint="eastAsia" w:ascii="宋体" w:hAnsi="宋体" w:eastAsia="宋体" w:cs="宋体"/>
                <w:i w:val="0"/>
                <w:iCs w:val="0"/>
                <w:color w:val="000000"/>
                <w:sz w:val="28"/>
                <w:szCs w:val="28"/>
                <w:highlight w:val="none"/>
                <w:u w:val="none"/>
              </w:rPr>
            </w:pPr>
          </w:p>
        </w:tc>
        <w:tc>
          <w:tcPr>
            <w:tcW w:w="1037" w:type="pct"/>
            <w:tcBorders>
              <w:top w:val="nil"/>
              <w:left w:val="nil"/>
              <w:bottom w:val="nil"/>
              <w:right w:val="nil"/>
            </w:tcBorders>
            <w:shd w:val="clear" w:color="auto" w:fill="auto"/>
            <w:noWrap/>
            <w:vAlign w:val="bottom"/>
          </w:tcPr>
          <w:p w14:paraId="7D115CBD">
            <w:pPr>
              <w:jc w:val="center"/>
              <w:rPr>
                <w:rFonts w:hint="eastAsia" w:ascii="宋体" w:hAnsi="宋体" w:eastAsia="宋体" w:cs="宋体"/>
                <w:i w:val="0"/>
                <w:iCs w:val="0"/>
                <w:color w:val="000000"/>
                <w:sz w:val="28"/>
                <w:szCs w:val="28"/>
                <w:highlight w:val="none"/>
                <w:u w:val="none"/>
              </w:rPr>
            </w:pPr>
          </w:p>
        </w:tc>
        <w:tc>
          <w:tcPr>
            <w:tcW w:w="256" w:type="pct"/>
            <w:tcBorders>
              <w:top w:val="nil"/>
              <w:left w:val="nil"/>
              <w:bottom w:val="nil"/>
              <w:right w:val="nil"/>
            </w:tcBorders>
            <w:shd w:val="clear" w:color="auto" w:fill="auto"/>
            <w:noWrap/>
            <w:vAlign w:val="bottom"/>
          </w:tcPr>
          <w:p w14:paraId="2E3A1EAD">
            <w:pPr>
              <w:jc w:val="center"/>
              <w:rPr>
                <w:rFonts w:hint="eastAsia" w:ascii="宋体" w:hAnsi="宋体" w:eastAsia="宋体" w:cs="宋体"/>
                <w:i w:val="0"/>
                <w:iCs w:val="0"/>
                <w:color w:val="000000"/>
                <w:sz w:val="28"/>
                <w:szCs w:val="28"/>
                <w:highlight w:val="none"/>
                <w:u w:val="none"/>
              </w:rPr>
            </w:pPr>
          </w:p>
        </w:tc>
        <w:tc>
          <w:tcPr>
            <w:tcW w:w="276" w:type="pct"/>
            <w:tcBorders>
              <w:top w:val="nil"/>
              <w:left w:val="nil"/>
              <w:bottom w:val="nil"/>
              <w:right w:val="nil"/>
            </w:tcBorders>
            <w:shd w:val="clear" w:color="auto" w:fill="auto"/>
            <w:noWrap/>
            <w:vAlign w:val="bottom"/>
          </w:tcPr>
          <w:p w14:paraId="220B04BC">
            <w:pPr>
              <w:jc w:val="center"/>
              <w:rPr>
                <w:rFonts w:hint="eastAsia" w:ascii="宋体" w:hAnsi="宋体" w:eastAsia="宋体" w:cs="宋体"/>
                <w:i w:val="0"/>
                <w:iCs w:val="0"/>
                <w:color w:val="000000"/>
                <w:sz w:val="28"/>
                <w:szCs w:val="28"/>
                <w:highlight w:val="none"/>
                <w:u w:val="none"/>
              </w:rPr>
            </w:pPr>
          </w:p>
        </w:tc>
        <w:tc>
          <w:tcPr>
            <w:tcW w:w="701" w:type="pct"/>
            <w:tcBorders>
              <w:top w:val="nil"/>
              <w:left w:val="nil"/>
              <w:bottom w:val="nil"/>
              <w:right w:val="nil"/>
            </w:tcBorders>
            <w:shd w:val="clear" w:color="auto" w:fill="auto"/>
            <w:noWrap/>
            <w:vAlign w:val="bottom"/>
          </w:tcPr>
          <w:p w14:paraId="71DB9B88">
            <w:pPr>
              <w:jc w:val="center"/>
              <w:rPr>
                <w:rFonts w:hint="eastAsia" w:ascii="宋体" w:hAnsi="宋体" w:eastAsia="宋体" w:cs="宋体"/>
                <w:i w:val="0"/>
                <w:iCs w:val="0"/>
                <w:color w:val="000000"/>
                <w:sz w:val="28"/>
                <w:szCs w:val="28"/>
                <w:highlight w:val="none"/>
                <w:u w:val="none"/>
              </w:rPr>
            </w:pPr>
          </w:p>
        </w:tc>
        <w:tc>
          <w:tcPr>
            <w:tcW w:w="173" w:type="pct"/>
            <w:tcBorders>
              <w:top w:val="nil"/>
              <w:left w:val="nil"/>
              <w:bottom w:val="nil"/>
              <w:right w:val="nil"/>
            </w:tcBorders>
            <w:shd w:val="clear" w:color="auto" w:fill="auto"/>
            <w:noWrap/>
            <w:vAlign w:val="center"/>
          </w:tcPr>
          <w:p w14:paraId="0FC4D514">
            <w:pPr>
              <w:jc w:val="center"/>
              <w:rPr>
                <w:rFonts w:hint="eastAsia" w:ascii="宋体" w:hAnsi="宋体" w:eastAsia="宋体" w:cs="宋体"/>
                <w:i w:val="0"/>
                <w:iCs w:val="0"/>
                <w:color w:val="000000"/>
                <w:sz w:val="28"/>
                <w:szCs w:val="28"/>
                <w:highlight w:val="none"/>
                <w:u w:val="none"/>
              </w:rPr>
            </w:pPr>
          </w:p>
        </w:tc>
      </w:tr>
      <w:tr w14:paraId="30364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5000" w:type="pct"/>
            <w:gridSpan w:val="12"/>
            <w:tcBorders>
              <w:top w:val="nil"/>
              <w:left w:val="nil"/>
              <w:bottom w:val="nil"/>
              <w:right w:val="nil"/>
            </w:tcBorders>
            <w:shd w:val="clear" w:color="auto" w:fill="auto"/>
            <w:noWrap/>
            <w:vAlign w:val="center"/>
          </w:tcPr>
          <w:p w14:paraId="2DAAC0BD">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工程项目总价表</w:t>
            </w:r>
          </w:p>
        </w:tc>
      </w:tr>
      <w:tr w14:paraId="381FF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3" w:type="pct"/>
            <w:gridSpan w:val="2"/>
            <w:tcBorders>
              <w:top w:val="nil"/>
              <w:left w:val="nil"/>
              <w:bottom w:val="nil"/>
              <w:right w:val="nil"/>
            </w:tcBorders>
            <w:shd w:val="clear" w:color="auto" w:fill="auto"/>
            <w:noWrap/>
            <w:vAlign w:val="center"/>
          </w:tcPr>
          <w:p w14:paraId="766B71AA">
            <w:pPr>
              <w:jc w:val="right"/>
              <w:rPr>
                <w:rFonts w:hint="eastAsia" w:ascii="宋体" w:hAnsi="宋体" w:eastAsia="宋体" w:cs="宋体"/>
                <w:i w:val="0"/>
                <w:iCs w:val="0"/>
                <w:color w:val="000000"/>
                <w:sz w:val="24"/>
                <w:szCs w:val="24"/>
                <w:highlight w:val="none"/>
                <w:u w:val="none"/>
              </w:rPr>
            </w:pPr>
          </w:p>
        </w:tc>
        <w:tc>
          <w:tcPr>
            <w:tcW w:w="4136" w:type="pct"/>
            <w:gridSpan w:val="10"/>
            <w:tcBorders>
              <w:top w:val="nil"/>
              <w:left w:val="nil"/>
              <w:bottom w:val="nil"/>
              <w:right w:val="nil"/>
            </w:tcBorders>
            <w:shd w:val="clear" w:color="auto" w:fill="auto"/>
            <w:noWrap/>
            <w:vAlign w:val="center"/>
          </w:tcPr>
          <w:p w14:paraId="0A68FDC9">
            <w:pPr>
              <w:jc w:val="left"/>
              <w:rPr>
                <w:rFonts w:hint="eastAsia" w:ascii="宋体" w:hAnsi="宋体" w:eastAsia="宋体" w:cs="宋体"/>
                <w:i w:val="0"/>
                <w:iCs w:val="0"/>
                <w:color w:val="000000"/>
                <w:sz w:val="24"/>
                <w:szCs w:val="24"/>
                <w:highlight w:val="none"/>
                <w:u w:val="none"/>
              </w:rPr>
            </w:pPr>
          </w:p>
        </w:tc>
      </w:tr>
      <w:tr w14:paraId="42B6E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5000" w:type="pct"/>
            <w:gridSpan w:val="12"/>
            <w:tcBorders>
              <w:top w:val="nil"/>
              <w:left w:val="nil"/>
              <w:bottom w:val="single" w:color="000000" w:sz="4" w:space="0"/>
              <w:right w:val="nil"/>
            </w:tcBorders>
            <w:shd w:val="clear" w:color="auto" w:fill="auto"/>
            <w:noWrap/>
            <w:vAlign w:val="center"/>
          </w:tcPr>
          <w:p w14:paraId="35C590E7">
            <w:pPr>
              <w:keepNext w:val="0"/>
              <w:keepLines w:val="0"/>
              <w:widowControl/>
              <w:suppressLineNumbers w:val="0"/>
              <w:jc w:val="left"/>
              <w:textAlignment w:val="center"/>
              <w:rPr>
                <w:rFonts w:hint="eastAsia" w:ascii="宋体" w:hAnsi="宋体" w:eastAsia="宋体" w:cs="宋体"/>
                <w:i w:val="0"/>
                <w:iCs w:val="0"/>
                <w:color w:val="FF0000"/>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项目名称：</w:t>
            </w:r>
            <w:r>
              <w:rPr>
                <w:rFonts w:hint="eastAsia" w:ascii="宋体" w:hAnsi="宋体" w:eastAsia="宋体" w:cs="宋体"/>
                <w:i w:val="0"/>
                <w:iCs w:val="0"/>
                <w:color w:val="000000"/>
                <w:kern w:val="0"/>
                <w:sz w:val="20"/>
                <w:szCs w:val="20"/>
                <w:highlight w:val="none"/>
                <w:u w:val="none"/>
                <w:lang w:val="en-US" w:eastAsia="zh-CN" w:bidi="ar"/>
              </w:rPr>
              <w:t>红河县后山二台水库除险加固工程</w:t>
            </w:r>
          </w:p>
        </w:tc>
      </w:tr>
      <w:tr w14:paraId="1B9D4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6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8DFD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411F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项目名称</w:t>
            </w:r>
          </w:p>
        </w:tc>
        <w:tc>
          <w:tcPr>
            <w:tcW w:w="63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74576">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金额（元）</w:t>
            </w:r>
          </w:p>
        </w:tc>
        <w:tc>
          <w:tcPr>
            <w:tcW w:w="2458"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A95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备注</w:t>
            </w:r>
          </w:p>
        </w:tc>
      </w:tr>
      <w:tr w14:paraId="587F1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8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B07A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A1B8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建筑工程</w:t>
            </w:r>
          </w:p>
        </w:tc>
        <w:tc>
          <w:tcPr>
            <w:tcW w:w="63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6E7B">
            <w:pPr>
              <w:jc w:val="center"/>
              <w:rPr>
                <w:rFonts w:hint="eastAsia" w:ascii="宋体" w:hAnsi="宋体" w:eastAsia="宋体" w:cs="宋体"/>
                <w:b/>
                <w:bCs/>
                <w:i w:val="0"/>
                <w:iCs w:val="0"/>
                <w:color w:val="000000"/>
                <w:sz w:val="20"/>
                <w:szCs w:val="20"/>
                <w:highlight w:val="none"/>
                <w:u w:val="none"/>
              </w:rPr>
            </w:pPr>
          </w:p>
        </w:tc>
        <w:tc>
          <w:tcPr>
            <w:tcW w:w="2458"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7CF92">
            <w:pPr>
              <w:jc w:val="center"/>
              <w:rPr>
                <w:rFonts w:hint="eastAsia" w:ascii="宋体" w:hAnsi="宋体" w:eastAsia="宋体" w:cs="宋体"/>
                <w:b/>
                <w:bCs/>
                <w:i w:val="0"/>
                <w:iCs w:val="0"/>
                <w:color w:val="000000"/>
                <w:sz w:val="20"/>
                <w:szCs w:val="20"/>
                <w:highlight w:val="none"/>
                <w:u w:val="none"/>
              </w:rPr>
            </w:pPr>
          </w:p>
        </w:tc>
      </w:tr>
      <w:tr w14:paraId="31BD5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8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B165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E39041">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金属结构设备及安装工程</w:t>
            </w:r>
          </w:p>
        </w:tc>
        <w:tc>
          <w:tcPr>
            <w:tcW w:w="63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9A79">
            <w:pPr>
              <w:jc w:val="center"/>
              <w:rPr>
                <w:rFonts w:hint="eastAsia" w:ascii="宋体" w:hAnsi="宋体" w:eastAsia="宋体" w:cs="宋体"/>
                <w:b/>
                <w:bCs/>
                <w:i w:val="0"/>
                <w:iCs w:val="0"/>
                <w:color w:val="000000"/>
                <w:sz w:val="20"/>
                <w:szCs w:val="20"/>
                <w:highlight w:val="none"/>
                <w:u w:val="none"/>
              </w:rPr>
            </w:pPr>
          </w:p>
        </w:tc>
        <w:tc>
          <w:tcPr>
            <w:tcW w:w="2458"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F22A">
            <w:pPr>
              <w:jc w:val="center"/>
              <w:rPr>
                <w:rFonts w:hint="eastAsia" w:ascii="宋体" w:hAnsi="宋体" w:eastAsia="宋体" w:cs="宋体"/>
                <w:b/>
                <w:bCs/>
                <w:i w:val="0"/>
                <w:iCs w:val="0"/>
                <w:color w:val="000000"/>
                <w:sz w:val="20"/>
                <w:szCs w:val="20"/>
                <w:highlight w:val="none"/>
                <w:u w:val="none"/>
              </w:rPr>
            </w:pPr>
          </w:p>
        </w:tc>
      </w:tr>
      <w:tr w14:paraId="080EF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86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AC7ED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w:t>
            </w:r>
          </w:p>
        </w:tc>
        <w:tc>
          <w:tcPr>
            <w:tcW w:w="104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4861C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措施项目</w:t>
            </w:r>
          </w:p>
        </w:tc>
        <w:tc>
          <w:tcPr>
            <w:tcW w:w="63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73324">
            <w:pPr>
              <w:jc w:val="center"/>
              <w:rPr>
                <w:rFonts w:hint="eastAsia" w:ascii="宋体" w:hAnsi="宋体" w:eastAsia="宋体" w:cs="宋体"/>
                <w:b/>
                <w:bCs/>
                <w:i w:val="0"/>
                <w:iCs w:val="0"/>
                <w:color w:val="000000"/>
                <w:sz w:val="20"/>
                <w:szCs w:val="20"/>
                <w:highlight w:val="none"/>
                <w:u w:val="none"/>
              </w:rPr>
            </w:pPr>
          </w:p>
        </w:tc>
        <w:tc>
          <w:tcPr>
            <w:tcW w:w="2458"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7F483">
            <w:pPr>
              <w:jc w:val="center"/>
              <w:rPr>
                <w:rFonts w:hint="eastAsia" w:ascii="宋体" w:hAnsi="宋体" w:eastAsia="宋体" w:cs="宋体"/>
                <w:b/>
                <w:bCs/>
                <w:i w:val="0"/>
                <w:iCs w:val="0"/>
                <w:color w:val="000000"/>
                <w:sz w:val="20"/>
                <w:szCs w:val="20"/>
                <w:highlight w:val="none"/>
                <w:u w:val="none"/>
              </w:rPr>
            </w:pPr>
          </w:p>
        </w:tc>
      </w:tr>
      <w:tr w14:paraId="3783F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1904"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282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    计</w:t>
            </w:r>
          </w:p>
        </w:tc>
        <w:tc>
          <w:tcPr>
            <w:tcW w:w="63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CCEF">
            <w:pPr>
              <w:jc w:val="center"/>
              <w:rPr>
                <w:rFonts w:hint="eastAsia" w:ascii="宋体" w:hAnsi="宋体" w:eastAsia="宋体" w:cs="宋体"/>
                <w:b/>
                <w:bCs/>
                <w:i w:val="0"/>
                <w:iCs w:val="0"/>
                <w:color w:val="000000"/>
                <w:sz w:val="20"/>
                <w:szCs w:val="20"/>
                <w:highlight w:val="none"/>
                <w:u w:val="none"/>
              </w:rPr>
            </w:pPr>
          </w:p>
        </w:tc>
        <w:tc>
          <w:tcPr>
            <w:tcW w:w="2458"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04FCE">
            <w:pPr>
              <w:jc w:val="center"/>
              <w:rPr>
                <w:rFonts w:hint="eastAsia" w:ascii="宋体" w:hAnsi="宋体" w:eastAsia="宋体" w:cs="宋体"/>
                <w:b/>
                <w:bCs/>
                <w:i w:val="0"/>
                <w:iCs w:val="0"/>
                <w:color w:val="000000"/>
                <w:sz w:val="20"/>
                <w:szCs w:val="20"/>
                <w:highlight w:val="none"/>
                <w:u w:val="none"/>
              </w:rPr>
            </w:pPr>
          </w:p>
        </w:tc>
      </w:tr>
      <w:tr w14:paraId="2387A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5000" w:type="pct"/>
            <w:gridSpan w:val="12"/>
            <w:tcBorders>
              <w:top w:val="nil"/>
              <w:left w:val="nil"/>
              <w:bottom w:val="nil"/>
              <w:right w:val="nil"/>
            </w:tcBorders>
            <w:shd w:val="clear" w:color="auto" w:fill="auto"/>
            <w:noWrap/>
            <w:vAlign w:val="center"/>
          </w:tcPr>
          <w:p w14:paraId="276D7FF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000000"/>
                <w:sz w:val="22"/>
                <w:szCs w:val="22"/>
                <w:highlight w:val="none"/>
                <w:u w:val="none"/>
              </w:rPr>
            </w:pPr>
          </w:p>
        </w:tc>
      </w:tr>
    </w:tbl>
    <w:p w14:paraId="5EE81AFC">
      <w:pPr>
        <w:spacing w:line="360" w:lineRule="auto"/>
        <w:ind w:firstLine="420" w:firstLineChars="200"/>
        <w:rPr>
          <w:rFonts w:hint="eastAsia" w:ascii="宋体" w:hAnsi="宋体" w:eastAsia="宋体" w:cs="宋体"/>
          <w:color w:val="auto"/>
          <w:sz w:val="21"/>
          <w:szCs w:val="21"/>
          <w:highlight w:val="none"/>
          <w:lang w:val="en-US" w:eastAsia="zh-CN"/>
        </w:rPr>
      </w:pPr>
    </w:p>
    <w:p w14:paraId="614E2CBF">
      <w:pPr>
        <w:spacing w:line="360" w:lineRule="auto"/>
        <w:ind w:firstLine="420" w:firstLineChars="200"/>
        <w:rPr>
          <w:rFonts w:hint="eastAsia" w:ascii="宋体" w:hAnsi="宋体" w:eastAsia="宋体" w:cs="宋体"/>
          <w:color w:val="auto"/>
          <w:sz w:val="21"/>
          <w:szCs w:val="21"/>
          <w:highlight w:val="none"/>
          <w:lang w:val="en-US" w:eastAsia="zh-CN"/>
        </w:rPr>
      </w:pPr>
    </w:p>
    <w:p w14:paraId="3C6EAFFC">
      <w:pPr>
        <w:rPr>
          <w:rFonts w:hint="eastAsia" w:ascii="黑体" w:hAnsi="黑体" w:eastAsia="黑体" w:cs="黑体"/>
          <w:color w:val="auto"/>
          <w:sz w:val="36"/>
          <w:szCs w:val="36"/>
          <w:highlight w:val="none"/>
        </w:rPr>
      </w:pPr>
      <w:bookmarkStart w:id="354" w:name="_Toc10924"/>
      <w:bookmarkStart w:id="355" w:name="_Toc4416"/>
      <w:bookmarkStart w:id="356" w:name="_Toc19920"/>
      <w:bookmarkStart w:id="357" w:name="_Toc29738"/>
      <w:bookmarkStart w:id="358" w:name="_Toc15681"/>
      <w:bookmarkStart w:id="359" w:name="Book23"/>
      <w:r>
        <w:rPr>
          <w:rFonts w:hint="eastAsia" w:ascii="黑体" w:hAnsi="黑体" w:eastAsia="黑体" w:cs="黑体"/>
          <w:color w:val="auto"/>
          <w:sz w:val="36"/>
          <w:szCs w:val="36"/>
          <w:highlight w:val="none"/>
        </w:rPr>
        <w:br w:type="page"/>
      </w:r>
    </w:p>
    <w:tbl>
      <w:tblPr>
        <w:tblStyle w:val="3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9"/>
        <w:gridCol w:w="1501"/>
        <w:gridCol w:w="2677"/>
        <w:gridCol w:w="646"/>
        <w:gridCol w:w="888"/>
        <w:gridCol w:w="716"/>
        <w:gridCol w:w="1027"/>
        <w:gridCol w:w="1259"/>
      </w:tblGrid>
      <w:tr w14:paraId="50F9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83" w:type="dxa"/>
            <w:gridSpan w:val="8"/>
            <w:tcBorders>
              <w:top w:val="nil"/>
              <w:left w:val="nil"/>
              <w:bottom w:val="nil"/>
              <w:right w:val="nil"/>
            </w:tcBorders>
            <w:shd w:val="clear" w:color="auto" w:fill="auto"/>
            <w:noWrap/>
            <w:vAlign w:val="center"/>
          </w:tcPr>
          <w:p w14:paraId="57E1EBE6">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建筑工程分类分项工程量清单计价表</w:t>
            </w:r>
          </w:p>
        </w:tc>
      </w:tr>
      <w:tr w14:paraId="299F0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483" w:type="dxa"/>
            <w:gridSpan w:val="8"/>
            <w:tcBorders>
              <w:top w:val="nil"/>
              <w:left w:val="nil"/>
              <w:bottom w:val="single" w:color="000000" w:sz="4" w:space="0"/>
              <w:right w:val="nil"/>
            </w:tcBorders>
            <w:shd w:val="clear" w:color="auto" w:fill="auto"/>
            <w:vAlign w:val="center"/>
          </w:tcPr>
          <w:p w14:paraId="77B0E56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项目名称：红河县后山二台水库除险加固工程</w:t>
            </w:r>
          </w:p>
        </w:tc>
      </w:tr>
      <w:tr w14:paraId="35F83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38E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序号</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960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项目编码</w:t>
            </w:r>
          </w:p>
        </w:tc>
        <w:tc>
          <w:tcPr>
            <w:tcW w:w="2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F58A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BC1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计量</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单位</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1785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工程</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数量</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FA46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单价</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元</w:t>
            </w:r>
            <w:r>
              <w:rPr>
                <w:rFonts w:hint="eastAsia" w:ascii="宋体" w:hAnsi="宋体" w:cs="宋体"/>
                <w:i w:val="0"/>
                <w:iCs w:val="0"/>
                <w:color w:val="000000"/>
                <w:kern w:val="0"/>
                <w:sz w:val="20"/>
                <w:szCs w:val="20"/>
                <w:highlight w:val="none"/>
                <w:u w:val="none"/>
                <w:lang w:val="en-US" w:eastAsia="zh-CN" w:bidi="ar"/>
              </w:rPr>
              <w:t>）</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57E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合价</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元</w:t>
            </w:r>
            <w:r>
              <w:rPr>
                <w:rFonts w:hint="eastAsia" w:ascii="宋体" w:hAnsi="宋体" w:cs="宋体"/>
                <w:i w:val="0"/>
                <w:iCs w:val="0"/>
                <w:color w:val="000000"/>
                <w:kern w:val="0"/>
                <w:sz w:val="20"/>
                <w:szCs w:val="20"/>
                <w:highlight w:val="none"/>
                <w:u w:val="none"/>
                <w:lang w:val="en-US" w:eastAsia="zh-CN" w:bidi="ar"/>
              </w:rPr>
              <w:t>）</w:t>
            </w: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EA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备注</w:t>
            </w:r>
          </w:p>
        </w:tc>
      </w:tr>
      <w:tr w14:paraId="1C3B8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261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4B6A">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45D60">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拦河坝工程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064FA38D">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69A66DA8">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31C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1F53">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7DF6">
            <w:pPr>
              <w:jc w:val="center"/>
              <w:rPr>
                <w:rFonts w:hint="eastAsia" w:ascii="宋体" w:hAnsi="宋体" w:eastAsia="宋体" w:cs="宋体"/>
                <w:b/>
                <w:bCs/>
                <w:i w:val="0"/>
                <w:iCs w:val="0"/>
                <w:color w:val="000000"/>
                <w:sz w:val="20"/>
                <w:szCs w:val="20"/>
                <w:highlight w:val="none"/>
                <w:u w:val="none"/>
              </w:rPr>
            </w:pPr>
          </w:p>
        </w:tc>
      </w:tr>
      <w:tr w14:paraId="424AB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828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6CB6">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A786">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坝顶工程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2236B125">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7088B822">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F15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453C">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D0DF5">
            <w:pPr>
              <w:jc w:val="center"/>
              <w:rPr>
                <w:rFonts w:hint="eastAsia" w:ascii="宋体" w:hAnsi="宋体" w:eastAsia="宋体" w:cs="宋体"/>
                <w:b/>
                <w:bCs/>
                <w:i w:val="0"/>
                <w:iCs w:val="0"/>
                <w:color w:val="000000"/>
                <w:sz w:val="20"/>
                <w:szCs w:val="20"/>
                <w:highlight w:val="none"/>
                <w:u w:val="none"/>
              </w:rPr>
            </w:pPr>
          </w:p>
        </w:tc>
      </w:tr>
      <w:tr w14:paraId="63F1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58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F1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500109011001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056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拆除C15砼防浪墙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C15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B88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3.97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191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21C9C">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1C59">
            <w:pPr>
              <w:jc w:val="center"/>
              <w:rPr>
                <w:rFonts w:hint="eastAsia" w:ascii="宋体" w:hAnsi="宋体" w:eastAsia="宋体" w:cs="宋体"/>
                <w:i w:val="0"/>
                <w:iCs w:val="0"/>
                <w:color w:val="000000"/>
                <w:sz w:val="20"/>
                <w:szCs w:val="20"/>
                <w:highlight w:val="none"/>
                <w:u w:val="none"/>
              </w:rPr>
            </w:pPr>
          </w:p>
        </w:tc>
      </w:tr>
      <w:tr w14:paraId="02725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24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CE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500101002001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2FA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清除坝顶路面泥沙、杂草 </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平均厚150mm</w:t>
            </w:r>
            <w:r>
              <w:rPr>
                <w:rFonts w:hint="eastAsia" w:ascii="宋体" w:hAnsi="宋体" w:cs="宋体"/>
                <w:i w:val="0"/>
                <w:iCs w:val="0"/>
                <w:color w:val="000000"/>
                <w:kern w:val="0"/>
                <w:sz w:val="20"/>
                <w:szCs w:val="20"/>
                <w:highlight w:val="none"/>
                <w:u w:val="none"/>
                <w:lang w:val="en-US" w:eastAsia="zh-CN" w:bidi="ar"/>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1CA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78A8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11.91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259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6A7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F3F7">
            <w:pPr>
              <w:jc w:val="center"/>
              <w:rPr>
                <w:rFonts w:hint="eastAsia" w:ascii="宋体" w:hAnsi="宋体" w:eastAsia="宋体" w:cs="宋体"/>
                <w:i w:val="0"/>
                <w:iCs w:val="0"/>
                <w:color w:val="000000"/>
                <w:sz w:val="20"/>
                <w:szCs w:val="20"/>
                <w:highlight w:val="none"/>
                <w:u w:val="none"/>
              </w:rPr>
            </w:pPr>
          </w:p>
        </w:tc>
      </w:tr>
      <w:tr w14:paraId="5D26E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C8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8C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C00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坝顶砂石路面 </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平均厚 100mm</w:t>
            </w:r>
            <w:r>
              <w:rPr>
                <w:rFonts w:hint="eastAsia" w:ascii="宋体" w:hAnsi="宋体" w:cs="宋体"/>
                <w:i w:val="0"/>
                <w:iCs w:val="0"/>
                <w:color w:val="000000"/>
                <w:kern w:val="0"/>
                <w:sz w:val="20"/>
                <w:szCs w:val="20"/>
                <w:highlight w:val="none"/>
                <w:u w:val="none"/>
                <w:lang w:val="en-US" w:eastAsia="zh-CN" w:bidi="ar"/>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E89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C27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79.38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8F2D">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2D35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B32C">
            <w:pPr>
              <w:jc w:val="center"/>
              <w:rPr>
                <w:rFonts w:hint="eastAsia" w:ascii="宋体" w:hAnsi="宋体" w:eastAsia="宋体" w:cs="宋体"/>
                <w:i w:val="0"/>
                <w:iCs w:val="0"/>
                <w:color w:val="000000"/>
                <w:sz w:val="20"/>
                <w:szCs w:val="20"/>
                <w:highlight w:val="none"/>
                <w:u w:val="none"/>
              </w:rPr>
            </w:pPr>
          </w:p>
        </w:tc>
      </w:tr>
      <w:tr w14:paraId="6DEF3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BB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DC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54A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钢筋砼防浪墙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2E0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F11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14.99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4FD5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9B66">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5445">
            <w:pPr>
              <w:jc w:val="center"/>
              <w:rPr>
                <w:rFonts w:hint="eastAsia" w:ascii="宋体" w:hAnsi="宋体" w:eastAsia="宋体" w:cs="宋体"/>
                <w:i w:val="0"/>
                <w:iCs w:val="0"/>
                <w:color w:val="000000"/>
                <w:sz w:val="20"/>
                <w:szCs w:val="20"/>
                <w:highlight w:val="none"/>
                <w:u w:val="none"/>
              </w:rPr>
            </w:pPr>
          </w:p>
        </w:tc>
      </w:tr>
      <w:tr w14:paraId="07B14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22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63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500109008001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8AB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651 型橡胶止水带</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C57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BAD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2.84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C6CB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3FF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83038">
            <w:pPr>
              <w:jc w:val="center"/>
              <w:rPr>
                <w:rFonts w:hint="eastAsia" w:ascii="宋体" w:hAnsi="宋体" w:eastAsia="宋体" w:cs="宋体"/>
                <w:i w:val="0"/>
                <w:iCs w:val="0"/>
                <w:color w:val="000000"/>
                <w:sz w:val="18"/>
                <w:szCs w:val="18"/>
                <w:highlight w:val="none"/>
                <w:u w:val="none"/>
              </w:rPr>
            </w:pPr>
          </w:p>
        </w:tc>
      </w:tr>
      <w:tr w14:paraId="76E8E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F5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88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500109009001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ABD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沥青木板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66B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F019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1.07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2F49">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13B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6206">
            <w:pPr>
              <w:jc w:val="center"/>
              <w:rPr>
                <w:rFonts w:hint="eastAsia" w:ascii="宋体" w:hAnsi="宋体" w:eastAsia="宋体" w:cs="宋体"/>
                <w:i w:val="0"/>
                <w:iCs w:val="0"/>
                <w:color w:val="000000"/>
                <w:sz w:val="20"/>
                <w:szCs w:val="20"/>
                <w:highlight w:val="none"/>
                <w:u w:val="none"/>
              </w:rPr>
            </w:pPr>
          </w:p>
        </w:tc>
      </w:tr>
      <w:tr w14:paraId="605B5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E6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AD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500111001001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3DE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钢筋制安</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CB9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54BD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1.14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9A21">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12FE">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6DC8">
            <w:pPr>
              <w:jc w:val="center"/>
              <w:rPr>
                <w:rFonts w:hint="eastAsia" w:ascii="宋体" w:hAnsi="宋体" w:eastAsia="宋体" w:cs="宋体"/>
                <w:i w:val="0"/>
                <w:iCs w:val="0"/>
                <w:color w:val="000000"/>
                <w:sz w:val="20"/>
                <w:szCs w:val="20"/>
                <w:highlight w:val="none"/>
                <w:u w:val="none"/>
              </w:rPr>
            </w:pPr>
          </w:p>
        </w:tc>
      </w:tr>
      <w:tr w14:paraId="5491C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5AA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6490">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D71B">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上游坝面局部修整</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1E04366B">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472224E3">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1D385">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9BDD">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6027">
            <w:pPr>
              <w:jc w:val="center"/>
              <w:rPr>
                <w:rFonts w:hint="eastAsia" w:ascii="宋体" w:hAnsi="宋体" w:eastAsia="宋体" w:cs="宋体"/>
                <w:b/>
                <w:bCs/>
                <w:i w:val="0"/>
                <w:iCs w:val="0"/>
                <w:color w:val="000000"/>
                <w:sz w:val="20"/>
                <w:szCs w:val="20"/>
                <w:highlight w:val="none"/>
                <w:u w:val="none"/>
              </w:rPr>
            </w:pPr>
          </w:p>
        </w:tc>
      </w:tr>
      <w:tr w14:paraId="48214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DD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85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3A9A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拆除上游护坡干块石</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1CA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EA70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120.01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B36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744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E3DF">
            <w:pPr>
              <w:jc w:val="center"/>
              <w:rPr>
                <w:rFonts w:hint="eastAsia" w:ascii="宋体" w:hAnsi="宋体" w:eastAsia="宋体" w:cs="宋体"/>
                <w:b/>
                <w:bCs/>
                <w:i w:val="0"/>
                <w:iCs w:val="0"/>
                <w:color w:val="000000"/>
                <w:sz w:val="20"/>
                <w:szCs w:val="20"/>
                <w:highlight w:val="none"/>
                <w:u w:val="none"/>
              </w:rPr>
            </w:pPr>
          </w:p>
        </w:tc>
      </w:tr>
      <w:tr w14:paraId="67156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29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9A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500101002002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C1C2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坝面修整开挖土方</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7D6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4D7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48.00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44E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EF23">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8300">
            <w:pPr>
              <w:jc w:val="center"/>
              <w:rPr>
                <w:rFonts w:hint="eastAsia" w:ascii="宋体" w:hAnsi="宋体" w:eastAsia="宋体" w:cs="宋体"/>
                <w:b/>
                <w:bCs/>
                <w:i w:val="0"/>
                <w:iCs w:val="0"/>
                <w:color w:val="000000"/>
                <w:sz w:val="20"/>
                <w:szCs w:val="20"/>
                <w:highlight w:val="none"/>
                <w:u w:val="none"/>
              </w:rPr>
            </w:pPr>
          </w:p>
        </w:tc>
      </w:tr>
      <w:tr w14:paraId="3025A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31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A0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5B0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干砌块石护坡</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F29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25D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120.01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820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E71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B9E4">
            <w:pPr>
              <w:jc w:val="center"/>
              <w:rPr>
                <w:rFonts w:hint="eastAsia" w:ascii="宋体" w:hAnsi="宋体" w:eastAsia="宋体" w:cs="宋体"/>
                <w:i w:val="0"/>
                <w:iCs w:val="0"/>
                <w:color w:val="000000"/>
                <w:sz w:val="20"/>
                <w:szCs w:val="20"/>
                <w:highlight w:val="none"/>
                <w:u w:val="none"/>
              </w:rPr>
            </w:pPr>
          </w:p>
        </w:tc>
      </w:tr>
      <w:tr w14:paraId="0B391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FD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F1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500103007001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656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护坡碎石垫层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C52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D678">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174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895A">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C46E">
            <w:pPr>
              <w:jc w:val="center"/>
              <w:rPr>
                <w:rFonts w:hint="eastAsia" w:ascii="宋体" w:hAnsi="宋体" w:eastAsia="宋体" w:cs="宋体"/>
                <w:i w:val="0"/>
                <w:iCs w:val="0"/>
                <w:color w:val="000000"/>
                <w:sz w:val="20"/>
                <w:szCs w:val="20"/>
                <w:highlight w:val="none"/>
                <w:u w:val="none"/>
              </w:rPr>
            </w:pPr>
          </w:p>
        </w:tc>
      </w:tr>
      <w:tr w14:paraId="2D311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C2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AA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500103007002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536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护坡砂砾石垫层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D4DB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2E7B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941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5D0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FE99">
            <w:pPr>
              <w:jc w:val="center"/>
              <w:rPr>
                <w:rFonts w:hint="eastAsia" w:ascii="宋体" w:hAnsi="宋体" w:eastAsia="宋体" w:cs="宋体"/>
                <w:i w:val="0"/>
                <w:iCs w:val="0"/>
                <w:color w:val="000000"/>
                <w:sz w:val="18"/>
                <w:szCs w:val="18"/>
                <w:highlight w:val="none"/>
                <w:u w:val="none"/>
              </w:rPr>
            </w:pPr>
          </w:p>
        </w:tc>
      </w:tr>
      <w:tr w14:paraId="64522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D3927">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8876A">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EB6B">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下游坝面、排水沟工程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0FA90A64">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484532B3">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27D1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B8AF">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6BF9">
            <w:pPr>
              <w:jc w:val="center"/>
              <w:rPr>
                <w:rFonts w:hint="eastAsia" w:ascii="宋体" w:hAnsi="宋体" w:eastAsia="宋体" w:cs="宋体"/>
                <w:b/>
                <w:bCs/>
                <w:i w:val="0"/>
                <w:iCs w:val="0"/>
                <w:color w:val="000000"/>
                <w:sz w:val="20"/>
                <w:szCs w:val="20"/>
                <w:highlight w:val="none"/>
                <w:u w:val="none"/>
              </w:rPr>
            </w:pPr>
          </w:p>
        </w:tc>
      </w:tr>
      <w:tr w14:paraId="59D3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F6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59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500101002003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297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清除坝脚泥沙、杂草（平均厚 100mm）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66E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5C9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9.21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0DB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773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875D3">
            <w:pPr>
              <w:jc w:val="center"/>
              <w:rPr>
                <w:rFonts w:hint="eastAsia" w:ascii="宋体" w:hAnsi="宋体" w:eastAsia="宋体" w:cs="宋体"/>
                <w:i w:val="0"/>
                <w:iCs w:val="0"/>
                <w:color w:val="000000"/>
                <w:sz w:val="18"/>
                <w:szCs w:val="18"/>
                <w:highlight w:val="none"/>
                <w:u w:val="none"/>
              </w:rPr>
            </w:pPr>
          </w:p>
        </w:tc>
      </w:tr>
      <w:tr w14:paraId="07BB0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828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（四）</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78C9">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2264">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帷幕灌浆</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3115B047">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0C9574B7">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DCB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2DAE">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80B3">
            <w:pPr>
              <w:jc w:val="center"/>
              <w:rPr>
                <w:rFonts w:hint="eastAsia" w:ascii="宋体" w:hAnsi="宋体" w:eastAsia="宋体" w:cs="宋体"/>
                <w:b/>
                <w:bCs/>
                <w:i w:val="0"/>
                <w:iCs w:val="0"/>
                <w:color w:val="000000"/>
                <w:sz w:val="18"/>
                <w:szCs w:val="18"/>
                <w:highlight w:val="none"/>
                <w:u w:val="none"/>
              </w:rPr>
            </w:pPr>
          </w:p>
        </w:tc>
      </w:tr>
      <w:tr w14:paraId="27C0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E2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5B651">
            <w:pPr>
              <w:jc w:val="center"/>
              <w:rPr>
                <w:rFonts w:hint="eastAsia" w:ascii="宋体" w:hAnsi="宋体" w:eastAsia="宋体" w:cs="宋体"/>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EEF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钻孔进尺</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244F75EC">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61D38B1A">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3F0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FA8D">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A43E">
            <w:pPr>
              <w:jc w:val="center"/>
              <w:rPr>
                <w:rFonts w:hint="eastAsia" w:ascii="宋体" w:hAnsi="宋体" w:eastAsia="宋体" w:cs="宋体"/>
                <w:b/>
                <w:bCs/>
                <w:i w:val="0"/>
                <w:iCs w:val="0"/>
                <w:color w:val="000000"/>
                <w:sz w:val="18"/>
                <w:szCs w:val="18"/>
                <w:highlight w:val="none"/>
                <w:u w:val="none"/>
              </w:rPr>
            </w:pPr>
          </w:p>
        </w:tc>
      </w:tr>
      <w:tr w14:paraId="22C51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3D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FB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500107015001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C11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钻机钻坝体土</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4E3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B2B1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193.06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8AF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C56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EA11">
            <w:pPr>
              <w:jc w:val="center"/>
              <w:rPr>
                <w:rFonts w:hint="eastAsia" w:ascii="宋体" w:hAnsi="宋体" w:eastAsia="宋体" w:cs="宋体"/>
                <w:b/>
                <w:bCs/>
                <w:i w:val="0"/>
                <w:iCs w:val="0"/>
                <w:color w:val="000000"/>
                <w:sz w:val="18"/>
                <w:szCs w:val="18"/>
                <w:highlight w:val="none"/>
                <w:u w:val="none"/>
              </w:rPr>
            </w:pPr>
          </w:p>
        </w:tc>
      </w:tr>
      <w:tr w14:paraId="0A582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32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A9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500107003001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039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钻机钻全风化层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C1C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AFD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409.85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851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4F3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B44C">
            <w:pPr>
              <w:jc w:val="center"/>
              <w:rPr>
                <w:rFonts w:hint="eastAsia" w:ascii="宋体" w:hAnsi="宋体" w:eastAsia="宋体" w:cs="宋体"/>
                <w:i w:val="0"/>
                <w:iCs w:val="0"/>
                <w:color w:val="000000"/>
                <w:sz w:val="20"/>
                <w:szCs w:val="20"/>
                <w:highlight w:val="none"/>
                <w:u w:val="none"/>
              </w:rPr>
            </w:pPr>
          </w:p>
        </w:tc>
      </w:tr>
      <w:tr w14:paraId="563C7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48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58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500107003002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01A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钻机钻强风化层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3DA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84E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64.43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0F3A">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348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47D1">
            <w:pPr>
              <w:jc w:val="center"/>
              <w:rPr>
                <w:rFonts w:hint="eastAsia" w:ascii="宋体" w:hAnsi="宋体" w:eastAsia="宋体" w:cs="宋体"/>
                <w:i w:val="0"/>
                <w:iCs w:val="0"/>
                <w:color w:val="000000"/>
                <w:sz w:val="20"/>
                <w:szCs w:val="20"/>
                <w:highlight w:val="none"/>
                <w:u w:val="none"/>
              </w:rPr>
            </w:pPr>
          </w:p>
        </w:tc>
      </w:tr>
      <w:tr w14:paraId="43C63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52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C881">
            <w:pPr>
              <w:jc w:val="center"/>
              <w:rPr>
                <w:rFonts w:hint="eastAsia" w:ascii="宋体" w:hAnsi="宋体" w:eastAsia="宋体" w:cs="宋体"/>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3A25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灌浆进尺</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41204609">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68A449D4">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C12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8620E">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850E">
            <w:pPr>
              <w:jc w:val="center"/>
              <w:rPr>
                <w:rFonts w:hint="eastAsia" w:ascii="宋体" w:hAnsi="宋体" w:eastAsia="宋体" w:cs="宋体"/>
                <w:i w:val="0"/>
                <w:iCs w:val="0"/>
                <w:color w:val="000000"/>
                <w:sz w:val="20"/>
                <w:szCs w:val="20"/>
                <w:highlight w:val="none"/>
                <w:u w:val="none"/>
              </w:rPr>
            </w:pPr>
          </w:p>
        </w:tc>
      </w:tr>
      <w:tr w14:paraId="71F70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33E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F5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500107015002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684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灌注坝体土</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3D2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A02B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150.44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49E0">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A8EC">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56FE">
            <w:pPr>
              <w:jc w:val="center"/>
              <w:rPr>
                <w:rFonts w:hint="eastAsia" w:ascii="宋体" w:hAnsi="宋体" w:eastAsia="宋体" w:cs="宋体"/>
                <w:i w:val="0"/>
                <w:iCs w:val="0"/>
                <w:color w:val="000000"/>
                <w:sz w:val="20"/>
                <w:szCs w:val="20"/>
                <w:highlight w:val="none"/>
                <w:u w:val="none"/>
              </w:rPr>
            </w:pPr>
          </w:p>
        </w:tc>
      </w:tr>
      <w:tr w14:paraId="509CE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097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4B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500107005001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83D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灌注全风化层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556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169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392.06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2D7B0">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66D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C506C">
            <w:pPr>
              <w:jc w:val="center"/>
              <w:rPr>
                <w:rFonts w:hint="eastAsia" w:ascii="宋体" w:hAnsi="宋体" w:eastAsia="宋体" w:cs="宋体"/>
                <w:i w:val="0"/>
                <w:iCs w:val="0"/>
                <w:color w:val="000000"/>
                <w:sz w:val="20"/>
                <w:szCs w:val="20"/>
                <w:highlight w:val="none"/>
                <w:u w:val="none"/>
              </w:rPr>
            </w:pPr>
          </w:p>
        </w:tc>
      </w:tr>
      <w:tr w14:paraId="4015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C6B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37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500107005002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2DB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灌注强风化层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0968">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88B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64.43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E08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DD8D">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F3D19">
            <w:pPr>
              <w:jc w:val="center"/>
              <w:rPr>
                <w:rFonts w:hint="eastAsia" w:ascii="宋体" w:hAnsi="宋体" w:eastAsia="宋体" w:cs="宋体"/>
                <w:i w:val="0"/>
                <w:iCs w:val="0"/>
                <w:color w:val="000000"/>
                <w:sz w:val="20"/>
                <w:szCs w:val="20"/>
                <w:highlight w:val="none"/>
                <w:u w:val="none"/>
              </w:rPr>
            </w:pPr>
          </w:p>
        </w:tc>
      </w:tr>
      <w:tr w14:paraId="082F2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4C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E1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500107015003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954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未灌段钻孔封孔</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C4C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62AE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60.41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7EB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29D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69D37">
            <w:pPr>
              <w:jc w:val="center"/>
              <w:rPr>
                <w:rFonts w:hint="eastAsia" w:ascii="宋体" w:hAnsi="宋体" w:eastAsia="宋体" w:cs="宋体"/>
                <w:i w:val="0"/>
                <w:iCs w:val="0"/>
                <w:color w:val="000000"/>
                <w:sz w:val="20"/>
                <w:szCs w:val="20"/>
                <w:highlight w:val="none"/>
                <w:u w:val="none"/>
              </w:rPr>
            </w:pPr>
          </w:p>
        </w:tc>
      </w:tr>
      <w:tr w14:paraId="10BA3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93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4C64">
            <w:pPr>
              <w:jc w:val="center"/>
              <w:rPr>
                <w:rFonts w:hint="eastAsia" w:ascii="宋体" w:hAnsi="宋体" w:eastAsia="宋体" w:cs="宋体"/>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28E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检查孔</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B055">
            <w:pPr>
              <w:jc w:val="center"/>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116A">
            <w:pPr>
              <w:jc w:val="center"/>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0EC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9EEA">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8947">
            <w:pPr>
              <w:jc w:val="center"/>
              <w:rPr>
                <w:rFonts w:hint="eastAsia" w:ascii="宋体" w:hAnsi="宋体" w:eastAsia="宋体" w:cs="宋体"/>
                <w:i w:val="0"/>
                <w:iCs w:val="0"/>
                <w:color w:val="000000"/>
                <w:sz w:val="20"/>
                <w:szCs w:val="20"/>
                <w:highlight w:val="none"/>
                <w:u w:val="none"/>
              </w:rPr>
            </w:pPr>
          </w:p>
        </w:tc>
      </w:tr>
      <w:tr w14:paraId="70F68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EF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E2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500107008001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18D4">
            <w:pPr>
              <w:keepNext w:val="0"/>
              <w:keepLines w:val="0"/>
              <w:widowControl/>
              <w:suppressLineNumbers w:val="0"/>
              <w:jc w:val="left"/>
              <w:textAlignment w:val="center"/>
              <w:rPr>
                <w:rFonts w:ascii="宋体" w:hAnsi="宋体" w:eastAsia="宋体" w:cs="宋体"/>
                <w:i w:val="0"/>
                <w:iCs w:val="0"/>
                <w:color w:val="000000"/>
                <w:sz w:val="20"/>
                <w:szCs w:val="20"/>
                <w:highlight w:val="none"/>
                <w:u w:val="none"/>
              </w:rPr>
            </w:pPr>
            <w:r>
              <w:rPr>
                <w:rFonts w:ascii="宋体" w:hAnsi="宋体" w:eastAsia="宋体" w:cs="宋体"/>
                <w:i w:val="0"/>
                <w:iCs w:val="0"/>
                <w:color w:val="000000"/>
                <w:kern w:val="0"/>
                <w:sz w:val="20"/>
                <w:szCs w:val="20"/>
                <w:highlight w:val="none"/>
                <w:u w:val="none"/>
                <w:lang w:val="en-US" w:eastAsia="zh-CN" w:bidi="ar"/>
              </w:rPr>
              <w:t>帷幕灌浆钻检查孔进尺</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255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308D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66.73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24CA0">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2B60">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B8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含灌浆和封孔</w:t>
            </w:r>
          </w:p>
        </w:tc>
      </w:tr>
      <w:tr w14:paraId="01B11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13B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89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500107009001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614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检查孔压水试验</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4FA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试段</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E778">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12.00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12C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D5B0">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62CF">
            <w:pPr>
              <w:jc w:val="center"/>
              <w:rPr>
                <w:rFonts w:hint="eastAsia" w:ascii="宋体" w:hAnsi="宋体" w:eastAsia="宋体" w:cs="宋体"/>
                <w:i w:val="0"/>
                <w:iCs w:val="0"/>
                <w:color w:val="000000"/>
                <w:sz w:val="20"/>
                <w:szCs w:val="20"/>
                <w:highlight w:val="none"/>
                <w:u w:val="none"/>
              </w:rPr>
            </w:pPr>
          </w:p>
        </w:tc>
      </w:tr>
      <w:tr w14:paraId="69AC2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4B31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cs="宋体"/>
                <w:b/>
                <w:bCs/>
                <w:i w:val="0"/>
                <w:iCs w:val="0"/>
                <w:color w:val="000000"/>
                <w:kern w:val="0"/>
                <w:sz w:val="20"/>
                <w:szCs w:val="20"/>
                <w:highlight w:val="none"/>
                <w:u w:val="none"/>
                <w:lang w:val="en-US" w:eastAsia="zh-CN" w:bidi="ar"/>
              </w:rPr>
              <w:t>（</w:t>
            </w:r>
            <w:r>
              <w:rPr>
                <w:rFonts w:hint="eastAsia" w:ascii="宋体" w:hAnsi="宋体" w:eastAsia="宋体" w:cs="宋体"/>
                <w:b/>
                <w:bCs/>
                <w:i w:val="0"/>
                <w:iCs w:val="0"/>
                <w:color w:val="000000"/>
                <w:kern w:val="0"/>
                <w:sz w:val="20"/>
                <w:szCs w:val="20"/>
                <w:highlight w:val="none"/>
                <w:u w:val="none"/>
                <w:lang w:val="en-US" w:eastAsia="zh-CN" w:bidi="ar"/>
              </w:rPr>
              <w:t>五</w:t>
            </w:r>
            <w:r>
              <w:rPr>
                <w:rFonts w:hint="eastAsia" w:ascii="宋体" w:hAnsi="宋体" w:cs="宋体"/>
                <w:b/>
                <w:bCs/>
                <w:i w:val="0"/>
                <w:iCs w:val="0"/>
                <w:color w:val="000000"/>
                <w:kern w:val="0"/>
                <w:sz w:val="20"/>
                <w:szCs w:val="20"/>
                <w:highlight w:val="none"/>
                <w:u w:val="none"/>
                <w:lang w:val="en-US" w:eastAsia="zh-CN" w:bidi="ar"/>
              </w:rPr>
              <w:t>）</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3A79">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9AD7">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监测设施</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5C2EC6C9">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51DD1E56">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5668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F7981">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8D725">
            <w:pPr>
              <w:jc w:val="center"/>
              <w:rPr>
                <w:rFonts w:hint="eastAsia" w:ascii="宋体" w:hAnsi="宋体" w:eastAsia="宋体" w:cs="宋体"/>
                <w:b/>
                <w:bCs/>
                <w:i w:val="0"/>
                <w:iCs w:val="0"/>
                <w:color w:val="000000"/>
                <w:sz w:val="20"/>
                <w:szCs w:val="20"/>
                <w:highlight w:val="none"/>
                <w:u w:val="none"/>
              </w:rPr>
            </w:pPr>
          </w:p>
        </w:tc>
      </w:tr>
      <w:tr w14:paraId="279C9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7F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4856">
            <w:pPr>
              <w:jc w:val="center"/>
              <w:rPr>
                <w:rFonts w:hint="eastAsia" w:ascii="宋体" w:hAnsi="宋体" w:eastAsia="宋体" w:cs="宋体"/>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927C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三角形量水堰</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172239D7">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1605A0FF">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AFB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EB25">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2E5B">
            <w:pPr>
              <w:jc w:val="center"/>
              <w:rPr>
                <w:rFonts w:hint="eastAsia" w:ascii="宋体" w:hAnsi="宋体" w:eastAsia="宋体" w:cs="宋体"/>
                <w:i w:val="0"/>
                <w:iCs w:val="0"/>
                <w:color w:val="000000"/>
                <w:sz w:val="20"/>
                <w:szCs w:val="20"/>
                <w:highlight w:val="none"/>
                <w:u w:val="none"/>
              </w:rPr>
            </w:pPr>
          </w:p>
        </w:tc>
      </w:tr>
      <w:tr w14:paraId="64B8A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D75B">
            <w:pPr>
              <w:keepNext w:val="0"/>
              <w:keepLines w:val="0"/>
              <w:widowControl/>
              <w:suppressLineNumbers w:val="0"/>
              <w:ind w:firstLine="200" w:firstLineChars="10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CE1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9EF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不锈钢板</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δ=6mm）</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236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807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0.02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D91B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57E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828D">
            <w:pPr>
              <w:jc w:val="center"/>
              <w:rPr>
                <w:rFonts w:hint="eastAsia" w:ascii="宋体" w:hAnsi="宋体" w:eastAsia="宋体" w:cs="宋体"/>
                <w:i w:val="0"/>
                <w:iCs w:val="0"/>
                <w:color w:val="000000"/>
                <w:sz w:val="20"/>
                <w:szCs w:val="20"/>
                <w:highlight w:val="none"/>
                <w:u w:val="none"/>
              </w:rPr>
            </w:pPr>
          </w:p>
        </w:tc>
      </w:tr>
      <w:tr w14:paraId="680D8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7E0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3C28">
            <w:pPr>
              <w:jc w:val="center"/>
              <w:rPr>
                <w:rFonts w:hint="eastAsia" w:ascii="宋体" w:hAnsi="宋体" w:eastAsia="宋体" w:cs="宋体"/>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746A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水位尺</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56324B07">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19B1F986">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32B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3D1C9">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73C9">
            <w:pPr>
              <w:jc w:val="center"/>
              <w:rPr>
                <w:rFonts w:hint="eastAsia" w:ascii="宋体" w:hAnsi="宋体" w:eastAsia="宋体" w:cs="宋体"/>
                <w:i w:val="0"/>
                <w:iCs w:val="0"/>
                <w:color w:val="000000"/>
                <w:sz w:val="20"/>
                <w:szCs w:val="20"/>
                <w:highlight w:val="none"/>
                <w:u w:val="none"/>
              </w:rPr>
            </w:pPr>
          </w:p>
        </w:tc>
      </w:tr>
      <w:tr w14:paraId="5DD2D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62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12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500114001002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DF8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DN75 镀锌钢管</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4F4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4061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10.92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C95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4C9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27F9">
            <w:pPr>
              <w:jc w:val="center"/>
              <w:rPr>
                <w:rFonts w:hint="eastAsia" w:ascii="宋体" w:hAnsi="宋体" w:eastAsia="宋体" w:cs="宋体"/>
                <w:b/>
                <w:bCs/>
                <w:i w:val="0"/>
                <w:iCs w:val="0"/>
                <w:color w:val="000000"/>
                <w:sz w:val="20"/>
                <w:szCs w:val="20"/>
                <w:highlight w:val="none"/>
                <w:u w:val="none"/>
              </w:rPr>
            </w:pPr>
          </w:p>
        </w:tc>
      </w:tr>
      <w:tr w14:paraId="625C2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25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7E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500114001003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C52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观测搪瓷水尺</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F82E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61B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A2C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AF13">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8AAC">
            <w:pPr>
              <w:jc w:val="center"/>
              <w:rPr>
                <w:rFonts w:hint="eastAsia" w:ascii="宋体" w:hAnsi="宋体" w:eastAsia="宋体" w:cs="宋体"/>
                <w:i w:val="0"/>
                <w:iCs w:val="0"/>
                <w:color w:val="000000"/>
                <w:sz w:val="20"/>
                <w:szCs w:val="20"/>
                <w:highlight w:val="none"/>
                <w:u w:val="none"/>
              </w:rPr>
            </w:pPr>
          </w:p>
        </w:tc>
      </w:tr>
      <w:tr w14:paraId="4A877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D0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3C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44B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C20 砼充填</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7AA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DE76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0.05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DD39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850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4337">
            <w:pPr>
              <w:jc w:val="center"/>
              <w:rPr>
                <w:rFonts w:hint="eastAsia" w:ascii="宋体" w:hAnsi="宋体" w:eastAsia="宋体" w:cs="宋体"/>
                <w:i w:val="0"/>
                <w:iCs w:val="0"/>
                <w:color w:val="000000"/>
                <w:sz w:val="20"/>
                <w:szCs w:val="20"/>
                <w:highlight w:val="none"/>
                <w:u w:val="none"/>
              </w:rPr>
            </w:pPr>
          </w:p>
        </w:tc>
      </w:tr>
      <w:tr w14:paraId="6F9AC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324F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A492">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5085E">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溢洪道工程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4CF7F774">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2D0A8D3D">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092D">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E437">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B693">
            <w:pPr>
              <w:jc w:val="center"/>
              <w:rPr>
                <w:rFonts w:hint="eastAsia" w:ascii="宋体" w:hAnsi="宋体" w:eastAsia="宋体" w:cs="宋体"/>
                <w:b/>
                <w:bCs/>
                <w:i w:val="0"/>
                <w:iCs w:val="0"/>
                <w:color w:val="000000"/>
                <w:sz w:val="20"/>
                <w:szCs w:val="20"/>
                <w:highlight w:val="none"/>
                <w:u w:val="none"/>
              </w:rPr>
            </w:pPr>
          </w:p>
        </w:tc>
      </w:tr>
      <w:tr w14:paraId="02199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620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7AEC">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05AC8">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 xml:space="preserve">泄槽Ⅰ段 </w:t>
            </w:r>
            <w:r>
              <w:rPr>
                <w:rFonts w:hint="eastAsia" w:ascii="宋体" w:hAnsi="宋体" w:cs="宋体"/>
                <w:b/>
                <w:bCs/>
                <w:i w:val="0"/>
                <w:iCs w:val="0"/>
                <w:color w:val="000000"/>
                <w:kern w:val="0"/>
                <w:sz w:val="20"/>
                <w:szCs w:val="20"/>
                <w:highlight w:val="none"/>
                <w:u w:val="none"/>
                <w:lang w:val="en-US" w:eastAsia="zh-CN" w:bidi="ar"/>
              </w:rPr>
              <w:t>（</w:t>
            </w:r>
            <w:r>
              <w:rPr>
                <w:rFonts w:hint="eastAsia" w:ascii="宋体" w:hAnsi="宋体" w:eastAsia="宋体" w:cs="宋体"/>
                <w:b/>
                <w:bCs/>
                <w:i w:val="0"/>
                <w:iCs w:val="0"/>
                <w:color w:val="000000"/>
                <w:kern w:val="0"/>
                <w:sz w:val="20"/>
                <w:szCs w:val="20"/>
                <w:highlight w:val="none"/>
                <w:u w:val="none"/>
                <w:lang w:val="en-US" w:eastAsia="zh-CN" w:bidi="ar"/>
              </w:rPr>
              <w:t>涵管段改造）</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330C4989">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04CC425C">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4D6D0">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6B8F">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3D48">
            <w:pPr>
              <w:jc w:val="center"/>
              <w:rPr>
                <w:rFonts w:hint="eastAsia" w:ascii="宋体" w:hAnsi="宋体" w:eastAsia="宋体" w:cs="宋体"/>
                <w:b/>
                <w:bCs/>
                <w:i w:val="0"/>
                <w:iCs w:val="0"/>
                <w:color w:val="000000"/>
                <w:sz w:val="20"/>
                <w:szCs w:val="20"/>
                <w:highlight w:val="none"/>
                <w:u w:val="none"/>
              </w:rPr>
            </w:pPr>
          </w:p>
        </w:tc>
      </w:tr>
      <w:tr w14:paraId="2911C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7A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56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C0E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C7B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2D3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12.05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5C3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EB3E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2474">
            <w:pPr>
              <w:jc w:val="center"/>
              <w:rPr>
                <w:rFonts w:hint="eastAsia" w:ascii="宋体" w:hAnsi="宋体" w:eastAsia="宋体" w:cs="宋体"/>
                <w:i w:val="0"/>
                <w:iCs w:val="0"/>
                <w:color w:val="000000"/>
                <w:sz w:val="20"/>
                <w:szCs w:val="20"/>
                <w:highlight w:val="none"/>
                <w:u w:val="none"/>
              </w:rPr>
            </w:pPr>
          </w:p>
        </w:tc>
      </w:tr>
      <w:tr w14:paraId="4DAB0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11D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7B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951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土方开挖 </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就近堆放</w:t>
            </w:r>
            <w:r>
              <w:rPr>
                <w:rFonts w:hint="eastAsia" w:ascii="宋体" w:hAnsi="宋体" w:cs="宋体"/>
                <w:i w:val="0"/>
                <w:iCs w:val="0"/>
                <w:color w:val="000000"/>
                <w:kern w:val="0"/>
                <w:sz w:val="20"/>
                <w:szCs w:val="20"/>
                <w:highlight w:val="none"/>
                <w:u w:val="none"/>
                <w:lang w:val="en-US" w:eastAsia="zh-CN" w:bidi="ar"/>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028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393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6.49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A25E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ED9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71DF3">
            <w:pPr>
              <w:jc w:val="center"/>
              <w:rPr>
                <w:rFonts w:hint="eastAsia" w:ascii="宋体" w:hAnsi="宋体" w:eastAsia="宋体" w:cs="宋体"/>
                <w:i w:val="0"/>
                <w:iCs w:val="0"/>
                <w:color w:val="000000"/>
                <w:sz w:val="20"/>
                <w:szCs w:val="20"/>
                <w:highlight w:val="none"/>
                <w:u w:val="none"/>
              </w:rPr>
            </w:pPr>
          </w:p>
        </w:tc>
      </w:tr>
      <w:tr w14:paraId="148DE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5CF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B4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0D0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回填土方（夯实）</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644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E7C5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5.51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9EA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EF96">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C70F">
            <w:pPr>
              <w:jc w:val="center"/>
              <w:rPr>
                <w:rFonts w:hint="eastAsia" w:ascii="宋体" w:hAnsi="宋体" w:eastAsia="宋体" w:cs="宋体"/>
                <w:i w:val="0"/>
                <w:iCs w:val="0"/>
                <w:color w:val="000000"/>
                <w:sz w:val="20"/>
                <w:szCs w:val="20"/>
                <w:highlight w:val="none"/>
                <w:u w:val="none"/>
              </w:rPr>
            </w:pPr>
          </w:p>
        </w:tc>
      </w:tr>
      <w:tr w14:paraId="5C471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33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AB2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500109011001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823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拆除混凝土预制管道（DN800mm）</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86C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8D3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7.88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8110">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6B2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D097">
            <w:pPr>
              <w:jc w:val="center"/>
              <w:rPr>
                <w:rFonts w:hint="eastAsia" w:ascii="宋体" w:hAnsi="宋体" w:eastAsia="宋体" w:cs="宋体"/>
                <w:i w:val="0"/>
                <w:iCs w:val="0"/>
                <w:color w:val="000000"/>
                <w:sz w:val="20"/>
                <w:szCs w:val="20"/>
                <w:highlight w:val="none"/>
                <w:u w:val="none"/>
              </w:rPr>
            </w:pPr>
          </w:p>
        </w:tc>
      </w:tr>
      <w:tr w14:paraId="7D0F9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48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AD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51A5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浆砌块石基座</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526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532A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1.55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5ED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E06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81CC">
            <w:pPr>
              <w:jc w:val="center"/>
              <w:rPr>
                <w:rFonts w:hint="eastAsia" w:ascii="宋体" w:hAnsi="宋体" w:eastAsia="宋体" w:cs="宋体"/>
                <w:i w:val="0"/>
                <w:iCs w:val="0"/>
                <w:color w:val="000000"/>
                <w:sz w:val="20"/>
                <w:szCs w:val="20"/>
                <w:highlight w:val="none"/>
                <w:u w:val="none"/>
              </w:rPr>
            </w:pPr>
          </w:p>
        </w:tc>
      </w:tr>
      <w:tr w14:paraId="31354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DC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90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8FA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E64C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CA5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6.30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82B5">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15023">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ADFC2">
            <w:pPr>
              <w:jc w:val="center"/>
              <w:rPr>
                <w:rFonts w:hint="eastAsia" w:ascii="宋体" w:hAnsi="宋体" w:eastAsia="宋体" w:cs="宋体"/>
                <w:b/>
                <w:bCs/>
                <w:i w:val="0"/>
                <w:iCs w:val="0"/>
                <w:color w:val="000000"/>
                <w:sz w:val="20"/>
                <w:szCs w:val="20"/>
                <w:highlight w:val="none"/>
                <w:u w:val="none"/>
              </w:rPr>
            </w:pPr>
          </w:p>
        </w:tc>
      </w:tr>
      <w:tr w14:paraId="7D0B2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64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5F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9058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D8E8">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B04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5.04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BBD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AD3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4119">
            <w:pPr>
              <w:jc w:val="center"/>
              <w:rPr>
                <w:rFonts w:hint="eastAsia" w:ascii="宋体" w:hAnsi="宋体" w:eastAsia="宋体" w:cs="宋体"/>
                <w:i w:val="0"/>
                <w:iCs w:val="0"/>
                <w:color w:val="000000"/>
                <w:sz w:val="20"/>
                <w:szCs w:val="20"/>
                <w:highlight w:val="none"/>
                <w:u w:val="none"/>
              </w:rPr>
            </w:pPr>
          </w:p>
        </w:tc>
      </w:tr>
      <w:tr w14:paraId="15305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F04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51B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500105003001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354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M7.5 浆砌块石基础</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503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86F9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5.04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5E4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53D0">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4958">
            <w:pPr>
              <w:jc w:val="center"/>
              <w:rPr>
                <w:rFonts w:hint="eastAsia" w:ascii="宋体" w:hAnsi="宋体" w:eastAsia="宋体" w:cs="宋体"/>
                <w:i w:val="0"/>
                <w:iCs w:val="0"/>
                <w:color w:val="000000"/>
                <w:sz w:val="20"/>
                <w:szCs w:val="20"/>
                <w:highlight w:val="none"/>
                <w:u w:val="none"/>
              </w:rPr>
            </w:pPr>
          </w:p>
        </w:tc>
      </w:tr>
      <w:tr w14:paraId="52C67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B8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0A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500111001002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7E0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钢筋制安</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3322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FBAB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0.91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AF84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37B3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DDADD">
            <w:pPr>
              <w:jc w:val="center"/>
              <w:rPr>
                <w:rFonts w:hint="eastAsia" w:ascii="宋体" w:hAnsi="宋体" w:eastAsia="宋体" w:cs="宋体"/>
                <w:i w:val="0"/>
                <w:iCs w:val="0"/>
                <w:color w:val="000000"/>
                <w:sz w:val="20"/>
                <w:szCs w:val="20"/>
                <w:highlight w:val="none"/>
                <w:u w:val="none"/>
              </w:rPr>
            </w:pPr>
          </w:p>
        </w:tc>
      </w:tr>
      <w:tr w14:paraId="3881B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53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BF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500109008002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C8E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651 型橡胶止水带</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EEE6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002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7.14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34A5">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C7C3A">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8B5D">
            <w:pPr>
              <w:jc w:val="center"/>
              <w:rPr>
                <w:rFonts w:hint="eastAsia" w:ascii="宋体" w:hAnsi="宋体" w:eastAsia="宋体" w:cs="宋体"/>
                <w:i w:val="0"/>
                <w:iCs w:val="0"/>
                <w:color w:val="000000"/>
                <w:sz w:val="20"/>
                <w:szCs w:val="20"/>
                <w:highlight w:val="none"/>
                <w:u w:val="none"/>
              </w:rPr>
            </w:pPr>
          </w:p>
        </w:tc>
      </w:tr>
      <w:tr w14:paraId="5130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EB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07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500109009002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375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沥青木板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004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B29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2.86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D15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7E9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24FE">
            <w:pPr>
              <w:jc w:val="center"/>
              <w:rPr>
                <w:rFonts w:hint="eastAsia" w:ascii="宋体" w:hAnsi="宋体" w:eastAsia="宋体" w:cs="宋体"/>
                <w:i w:val="0"/>
                <w:iCs w:val="0"/>
                <w:color w:val="000000"/>
                <w:sz w:val="20"/>
                <w:szCs w:val="20"/>
                <w:highlight w:val="none"/>
                <w:u w:val="none"/>
              </w:rPr>
            </w:pPr>
          </w:p>
        </w:tc>
      </w:tr>
      <w:tr w14:paraId="5DB41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3AB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B81A">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A094">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泄槽Ⅱ段</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7F41285E">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2EC252E0">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BC31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2BE7">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3B0B">
            <w:pPr>
              <w:jc w:val="center"/>
              <w:rPr>
                <w:rFonts w:hint="eastAsia" w:ascii="宋体" w:hAnsi="宋体" w:eastAsia="宋体" w:cs="宋体"/>
                <w:b/>
                <w:bCs/>
                <w:i w:val="0"/>
                <w:iCs w:val="0"/>
                <w:color w:val="000000"/>
                <w:sz w:val="20"/>
                <w:szCs w:val="20"/>
                <w:highlight w:val="none"/>
                <w:u w:val="none"/>
              </w:rPr>
            </w:pPr>
          </w:p>
        </w:tc>
      </w:tr>
      <w:tr w14:paraId="742AD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2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83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16F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9F1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493C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68.49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9D5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32D2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FB20">
            <w:pPr>
              <w:jc w:val="center"/>
              <w:rPr>
                <w:rFonts w:hint="eastAsia" w:ascii="宋体" w:hAnsi="宋体" w:eastAsia="宋体" w:cs="宋体"/>
                <w:i w:val="0"/>
                <w:iCs w:val="0"/>
                <w:color w:val="000000"/>
                <w:sz w:val="20"/>
                <w:szCs w:val="20"/>
                <w:highlight w:val="none"/>
                <w:u w:val="none"/>
              </w:rPr>
            </w:pPr>
          </w:p>
        </w:tc>
      </w:tr>
      <w:tr w14:paraId="6E66E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22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5B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356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土方开挖 </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就近堆放</w:t>
            </w:r>
            <w:r>
              <w:rPr>
                <w:rFonts w:hint="eastAsia" w:ascii="宋体" w:hAnsi="宋体" w:cs="宋体"/>
                <w:i w:val="0"/>
                <w:iCs w:val="0"/>
                <w:color w:val="000000"/>
                <w:kern w:val="0"/>
                <w:sz w:val="20"/>
                <w:szCs w:val="20"/>
                <w:highlight w:val="none"/>
                <w:u w:val="none"/>
                <w:lang w:val="en-US" w:eastAsia="zh-CN" w:bidi="ar"/>
              </w:rPr>
              <w:t>）</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287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6C2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41.29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105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210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929B">
            <w:pPr>
              <w:jc w:val="center"/>
              <w:rPr>
                <w:rFonts w:hint="eastAsia" w:ascii="宋体" w:hAnsi="宋体" w:eastAsia="宋体" w:cs="宋体"/>
                <w:i w:val="0"/>
                <w:iCs w:val="0"/>
                <w:color w:val="000000"/>
                <w:sz w:val="20"/>
                <w:szCs w:val="20"/>
                <w:highlight w:val="none"/>
                <w:u w:val="none"/>
              </w:rPr>
            </w:pPr>
          </w:p>
        </w:tc>
      </w:tr>
      <w:tr w14:paraId="3575F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59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3F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186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回填土方（夯实）</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6D1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508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35.10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B84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6BF5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BFB4">
            <w:pPr>
              <w:jc w:val="center"/>
              <w:rPr>
                <w:rFonts w:hint="eastAsia" w:ascii="宋体" w:hAnsi="宋体" w:eastAsia="宋体" w:cs="宋体"/>
                <w:b/>
                <w:bCs/>
                <w:i w:val="0"/>
                <w:iCs w:val="0"/>
                <w:color w:val="000000"/>
                <w:sz w:val="20"/>
                <w:szCs w:val="20"/>
                <w:highlight w:val="none"/>
                <w:u w:val="none"/>
              </w:rPr>
            </w:pPr>
          </w:p>
        </w:tc>
      </w:tr>
      <w:tr w14:paraId="32BCF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92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A1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6A5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53D0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4B6A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30.86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556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50A9">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2B30">
            <w:pPr>
              <w:jc w:val="center"/>
              <w:rPr>
                <w:rFonts w:hint="eastAsia" w:ascii="宋体" w:hAnsi="宋体" w:eastAsia="宋体" w:cs="宋体"/>
                <w:i w:val="0"/>
                <w:iCs w:val="0"/>
                <w:color w:val="000000"/>
                <w:sz w:val="20"/>
                <w:szCs w:val="20"/>
                <w:highlight w:val="none"/>
                <w:u w:val="none"/>
              </w:rPr>
            </w:pPr>
          </w:p>
        </w:tc>
      </w:tr>
      <w:tr w14:paraId="36C6C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73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C2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4876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EC6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DB7A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17.92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46A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127E">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2D8FC">
            <w:pPr>
              <w:jc w:val="center"/>
              <w:rPr>
                <w:rFonts w:hint="eastAsia" w:ascii="宋体" w:hAnsi="宋体" w:eastAsia="宋体" w:cs="宋体"/>
                <w:i w:val="0"/>
                <w:iCs w:val="0"/>
                <w:color w:val="000000"/>
                <w:sz w:val="20"/>
                <w:szCs w:val="20"/>
                <w:highlight w:val="none"/>
                <w:u w:val="none"/>
              </w:rPr>
            </w:pPr>
          </w:p>
        </w:tc>
      </w:tr>
      <w:tr w14:paraId="664C4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93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C7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500109011001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353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C20 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9DAD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D3F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1.99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715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F9B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3A88">
            <w:pPr>
              <w:jc w:val="center"/>
              <w:rPr>
                <w:rFonts w:hint="eastAsia" w:ascii="宋体" w:hAnsi="宋体" w:eastAsia="宋体" w:cs="宋体"/>
                <w:i w:val="0"/>
                <w:iCs w:val="0"/>
                <w:color w:val="000000"/>
                <w:sz w:val="20"/>
                <w:szCs w:val="20"/>
                <w:highlight w:val="none"/>
                <w:u w:val="none"/>
              </w:rPr>
            </w:pPr>
          </w:p>
        </w:tc>
      </w:tr>
      <w:tr w14:paraId="76BD5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AAD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16A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DFD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611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345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13.23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5C62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9497">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3DDB">
            <w:pPr>
              <w:jc w:val="center"/>
              <w:rPr>
                <w:rFonts w:hint="eastAsia" w:ascii="宋体" w:hAnsi="宋体" w:eastAsia="宋体" w:cs="宋体"/>
                <w:i w:val="0"/>
                <w:iCs w:val="0"/>
                <w:color w:val="000000"/>
                <w:sz w:val="20"/>
                <w:szCs w:val="20"/>
                <w:highlight w:val="none"/>
                <w:u w:val="none"/>
              </w:rPr>
            </w:pPr>
          </w:p>
        </w:tc>
      </w:tr>
      <w:tr w14:paraId="4714B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53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99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A15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BD6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74A6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13.07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8F5F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6B5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4593C">
            <w:pPr>
              <w:jc w:val="center"/>
              <w:rPr>
                <w:rFonts w:hint="eastAsia" w:ascii="宋体" w:hAnsi="宋体" w:eastAsia="宋体" w:cs="宋体"/>
                <w:i w:val="0"/>
                <w:iCs w:val="0"/>
                <w:color w:val="000000"/>
                <w:sz w:val="20"/>
                <w:szCs w:val="20"/>
                <w:highlight w:val="none"/>
                <w:u w:val="none"/>
              </w:rPr>
            </w:pPr>
          </w:p>
        </w:tc>
      </w:tr>
      <w:tr w14:paraId="631DB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E4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D9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500105003002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195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M7.5 浆砌块石基础</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C099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FAA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11.76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855D">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EF2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45C7">
            <w:pPr>
              <w:jc w:val="center"/>
              <w:rPr>
                <w:rFonts w:hint="eastAsia" w:ascii="宋体" w:hAnsi="宋体" w:eastAsia="宋体" w:cs="宋体"/>
                <w:i w:val="0"/>
                <w:iCs w:val="0"/>
                <w:color w:val="000000"/>
                <w:sz w:val="20"/>
                <w:szCs w:val="20"/>
                <w:highlight w:val="none"/>
                <w:u w:val="none"/>
              </w:rPr>
            </w:pPr>
          </w:p>
        </w:tc>
      </w:tr>
      <w:tr w14:paraId="136D7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7D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B7B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500111001003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9BC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钢筋制安</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F30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F2E7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2.10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5DF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3EB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A9E71">
            <w:pPr>
              <w:jc w:val="center"/>
              <w:rPr>
                <w:rFonts w:hint="eastAsia" w:ascii="宋体" w:hAnsi="宋体" w:eastAsia="宋体" w:cs="宋体"/>
                <w:i w:val="0"/>
                <w:iCs w:val="0"/>
                <w:color w:val="000000"/>
                <w:sz w:val="20"/>
                <w:szCs w:val="20"/>
                <w:highlight w:val="none"/>
                <w:u w:val="none"/>
              </w:rPr>
            </w:pPr>
          </w:p>
        </w:tc>
      </w:tr>
      <w:tr w14:paraId="60410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736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A22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500109008003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D49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651 型橡胶止水带</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5EB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455C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10.71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4D1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AB3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A490">
            <w:pPr>
              <w:jc w:val="center"/>
              <w:rPr>
                <w:rFonts w:hint="eastAsia" w:ascii="宋体" w:hAnsi="宋体" w:eastAsia="宋体" w:cs="宋体"/>
                <w:b/>
                <w:bCs/>
                <w:i w:val="0"/>
                <w:iCs w:val="0"/>
                <w:color w:val="000000"/>
                <w:sz w:val="20"/>
                <w:szCs w:val="20"/>
                <w:highlight w:val="none"/>
                <w:u w:val="none"/>
              </w:rPr>
            </w:pPr>
          </w:p>
        </w:tc>
      </w:tr>
      <w:tr w14:paraId="55106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67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CB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500109009003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FD4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沥青木板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A94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806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4.28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5A1A">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A98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54AB">
            <w:pPr>
              <w:jc w:val="center"/>
              <w:rPr>
                <w:rFonts w:hint="eastAsia" w:ascii="宋体" w:hAnsi="宋体" w:eastAsia="宋体" w:cs="宋体"/>
                <w:i w:val="0"/>
                <w:iCs w:val="0"/>
                <w:color w:val="000000"/>
                <w:sz w:val="20"/>
                <w:szCs w:val="20"/>
                <w:highlight w:val="none"/>
                <w:u w:val="none"/>
              </w:rPr>
            </w:pPr>
          </w:p>
        </w:tc>
      </w:tr>
      <w:tr w14:paraId="4C71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7CAE">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183E">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B99C">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圆弧段</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5154F7C4">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0437F062">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2D8B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E61A">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BB51D">
            <w:pPr>
              <w:jc w:val="center"/>
              <w:rPr>
                <w:rFonts w:hint="eastAsia" w:ascii="宋体" w:hAnsi="宋体" w:eastAsia="宋体" w:cs="宋体"/>
                <w:b/>
                <w:bCs/>
                <w:i w:val="0"/>
                <w:iCs w:val="0"/>
                <w:color w:val="000000"/>
                <w:sz w:val="20"/>
                <w:szCs w:val="20"/>
                <w:highlight w:val="none"/>
                <w:u w:val="none"/>
              </w:rPr>
            </w:pPr>
          </w:p>
        </w:tc>
      </w:tr>
      <w:tr w14:paraId="24A31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78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137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5EF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回填土方（夯实）</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5CD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D69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24.63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7F95">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D82E">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D9B89">
            <w:pPr>
              <w:jc w:val="center"/>
              <w:rPr>
                <w:rFonts w:hint="eastAsia" w:ascii="宋体" w:hAnsi="宋体" w:eastAsia="宋体" w:cs="宋体"/>
                <w:i w:val="0"/>
                <w:iCs w:val="0"/>
                <w:color w:val="000000"/>
                <w:sz w:val="20"/>
                <w:szCs w:val="20"/>
                <w:highlight w:val="none"/>
                <w:u w:val="none"/>
              </w:rPr>
            </w:pPr>
          </w:p>
        </w:tc>
      </w:tr>
      <w:tr w14:paraId="078DF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8D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D6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500109001007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34C8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46AD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229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9.74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497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80C5D">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6217">
            <w:pPr>
              <w:jc w:val="center"/>
              <w:rPr>
                <w:rFonts w:hint="eastAsia" w:ascii="宋体" w:hAnsi="宋体" w:eastAsia="宋体" w:cs="宋体"/>
                <w:i w:val="0"/>
                <w:iCs w:val="0"/>
                <w:color w:val="000000"/>
                <w:sz w:val="20"/>
                <w:szCs w:val="20"/>
                <w:highlight w:val="none"/>
                <w:u w:val="none"/>
              </w:rPr>
            </w:pPr>
          </w:p>
        </w:tc>
      </w:tr>
      <w:tr w14:paraId="638BE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26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3F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500109001008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A30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3F8E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7EA0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9.09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674C1">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456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086D">
            <w:pPr>
              <w:jc w:val="center"/>
              <w:rPr>
                <w:rFonts w:hint="eastAsia" w:ascii="宋体" w:hAnsi="宋体" w:eastAsia="宋体" w:cs="宋体"/>
                <w:i w:val="0"/>
                <w:iCs w:val="0"/>
                <w:color w:val="000000"/>
                <w:sz w:val="20"/>
                <w:szCs w:val="20"/>
                <w:highlight w:val="none"/>
                <w:u w:val="none"/>
              </w:rPr>
            </w:pPr>
          </w:p>
        </w:tc>
      </w:tr>
      <w:tr w14:paraId="36E5F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A8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00B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500105003003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5312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M7.5 浆砌块石基础</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DD6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E25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8.66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AA4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5B75">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BE9A">
            <w:pPr>
              <w:jc w:val="center"/>
              <w:rPr>
                <w:rFonts w:hint="eastAsia" w:ascii="宋体" w:hAnsi="宋体" w:eastAsia="宋体" w:cs="宋体"/>
                <w:i w:val="0"/>
                <w:iCs w:val="0"/>
                <w:color w:val="000000"/>
                <w:sz w:val="20"/>
                <w:szCs w:val="20"/>
                <w:highlight w:val="none"/>
                <w:u w:val="none"/>
              </w:rPr>
            </w:pPr>
          </w:p>
        </w:tc>
      </w:tr>
      <w:tr w14:paraId="06D37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C9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76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500111001004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D10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钢筋制安</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A13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A68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1.51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AC15">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710A">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6C3E">
            <w:pPr>
              <w:jc w:val="center"/>
              <w:rPr>
                <w:rFonts w:hint="eastAsia" w:ascii="宋体" w:hAnsi="宋体" w:eastAsia="宋体" w:cs="宋体"/>
                <w:i w:val="0"/>
                <w:iCs w:val="0"/>
                <w:color w:val="000000"/>
                <w:sz w:val="20"/>
                <w:szCs w:val="20"/>
                <w:highlight w:val="none"/>
                <w:u w:val="none"/>
              </w:rPr>
            </w:pPr>
          </w:p>
        </w:tc>
      </w:tr>
      <w:tr w14:paraId="1A024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02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A2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500109008004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D75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651 型橡胶止水带</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B3B3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769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3.57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285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1950">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1F31">
            <w:pPr>
              <w:jc w:val="center"/>
              <w:rPr>
                <w:rFonts w:hint="eastAsia" w:ascii="宋体" w:hAnsi="宋体" w:eastAsia="宋体" w:cs="宋体"/>
                <w:b/>
                <w:bCs/>
                <w:i w:val="0"/>
                <w:iCs w:val="0"/>
                <w:color w:val="000000"/>
                <w:sz w:val="20"/>
                <w:szCs w:val="20"/>
                <w:highlight w:val="none"/>
                <w:u w:val="none"/>
              </w:rPr>
            </w:pPr>
          </w:p>
        </w:tc>
      </w:tr>
      <w:tr w14:paraId="52BDD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F7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88C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500109009004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423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沥青木板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B69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6D0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1.43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4C09">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4E5C">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1427">
            <w:pPr>
              <w:jc w:val="center"/>
              <w:rPr>
                <w:rFonts w:hint="eastAsia" w:ascii="宋体" w:hAnsi="宋体" w:eastAsia="宋体" w:cs="宋体"/>
                <w:i w:val="0"/>
                <w:iCs w:val="0"/>
                <w:color w:val="000000"/>
                <w:sz w:val="20"/>
                <w:szCs w:val="20"/>
                <w:highlight w:val="none"/>
                <w:u w:val="none"/>
              </w:rPr>
            </w:pPr>
          </w:p>
        </w:tc>
      </w:tr>
      <w:tr w14:paraId="516A7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0E4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（四）</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A2446">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FF7D">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陡槽段</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5CEE98EC">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0A4919DB">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D57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5BB8">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7496">
            <w:pPr>
              <w:jc w:val="center"/>
              <w:rPr>
                <w:rFonts w:hint="eastAsia" w:ascii="宋体" w:hAnsi="宋体" w:eastAsia="宋体" w:cs="宋体"/>
                <w:b/>
                <w:bCs/>
                <w:i w:val="0"/>
                <w:iCs w:val="0"/>
                <w:color w:val="000000"/>
                <w:sz w:val="20"/>
                <w:szCs w:val="20"/>
                <w:highlight w:val="none"/>
                <w:u w:val="none"/>
              </w:rPr>
            </w:pPr>
          </w:p>
        </w:tc>
      </w:tr>
      <w:tr w14:paraId="425DF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FE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C0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0C3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0C48">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E10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39.45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BBE4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4CB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ABF1">
            <w:pPr>
              <w:jc w:val="center"/>
              <w:rPr>
                <w:rFonts w:hint="eastAsia" w:ascii="宋体" w:hAnsi="宋体" w:eastAsia="宋体" w:cs="宋体"/>
                <w:i w:val="0"/>
                <w:iCs w:val="0"/>
                <w:color w:val="000000"/>
                <w:sz w:val="20"/>
                <w:szCs w:val="20"/>
                <w:highlight w:val="none"/>
                <w:u w:val="none"/>
              </w:rPr>
            </w:pPr>
          </w:p>
        </w:tc>
      </w:tr>
      <w:tr w14:paraId="5A476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57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E0F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416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土方开挖（就近堆放）</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7B01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0A7A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14.58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8F5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4FF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DC55E">
            <w:pPr>
              <w:jc w:val="center"/>
              <w:rPr>
                <w:rFonts w:hint="eastAsia" w:ascii="宋体" w:hAnsi="宋体" w:eastAsia="宋体" w:cs="宋体"/>
                <w:i w:val="0"/>
                <w:iCs w:val="0"/>
                <w:color w:val="000000"/>
                <w:sz w:val="20"/>
                <w:szCs w:val="20"/>
                <w:highlight w:val="none"/>
                <w:u w:val="none"/>
              </w:rPr>
            </w:pPr>
          </w:p>
        </w:tc>
      </w:tr>
      <w:tr w14:paraId="74002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418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B4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FEE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回填土方（夯实）</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6A8F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60C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12.39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C42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F287">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736F">
            <w:pPr>
              <w:jc w:val="center"/>
              <w:rPr>
                <w:rFonts w:hint="eastAsia" w:ascii="宋体" w:hAnsi="宋体" w:eastAsia="宋体" w:cs="宋体"/>
                <w:i w:val="0"/>
                <w:iCs w:val="0"/>
                <w:color w:val="000000"/>
                <w:sz w:val="20"/>
                <w:szCs w:val="20"/>
                <w:highlight w:val="none"/>
                <w:u w:val="none"/>
              </w:rPr>
            </w:pPr>
          </w:p>
        </w:tc>
      </w:tr>
      <w:tr w14:paraId="6D500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A6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20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BB9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5B6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AEB8">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18.15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F36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AC6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B5FB">
            <w:pPr>
              <w:jc w:val="center"/>
              <w:rPr>
                <w:rFonts w:hint="eastAsia" w:ascii="宋体" w:hAnsi="宋体" w:eastAsia="宋体" w:cs="宋体"/>
                <w:i w:val="0"/>
                <w:iCs w:val="0"/>
                <w:color w:val="000000"/>
                <w:sz w:val="20"/>
                <w:szCs w:val="20"/>
                <w:highlight w:val="none"/>
                <w:u w:val="none"/>
              </w:rPr>
            </w:pPr>
          </w:p>
        </w:tc>
      </w:tr>
      <w:tr w14:paraId="1598F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6B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28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0F7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D2F7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304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10.54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7198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0CCA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E405">
            <w:pPr>
              <w:jc w:val="center"/>
              <w:rPr>
                <w:rFonts w:hint="eastAsia" w:ascii="宋体" w:hAnsi="宋体" w:eastAsia="宋体" w:cs="宋体"/>
                <w:i w:val="0"/>
                <w:iCs w:val="0"/>
                <w:color w:val="000000"/>
                <w:sz w:val="20"/>
                <w:szCs w:val="20"/>
                <w:highlight w:val="none"/>
                <w:u w:val="none"/>
              </w:rPr>
            </w:pPr>
          </w:p>
        </w:tc>
      </w:tr>
      <w:tr w14:paraId="0381E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5D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F4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500109011001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4EF7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C20 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532E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801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1.17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8DA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F0C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09ADB">
            <w:pPr>
              <w:jc w:val="center"/>
              <w:rPr>
                <w:rFonts w:hint="eastAsia" w:ascii="宋体" w:hAnsi="宋体" w:eastAsia="宋体" w:cs="宋体"/>
                <w:i w:val="0"/>
                <w:iCs w:val="0"/>
                <w:color w:val="000000"/>
                <w:sz w:val="20"/>
                <w:szCs w:val="20"/>
                <w:highlight w:val="none"/>
                <w:u w:val="none"/>
              </w:rPr>
            </w:pPr>
          </w:p>
        </w:tc>
      </w:tr>
      <w:tr w14:paraId="7D6C9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03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E0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500109001009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812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F9D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AC5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6.97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2BC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654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9149D">
            <w:pPr>
              <w:jc w:val="center"/>
              <w:rPr>
                <w:rFonts w:hint="eastAsia" w:ascii="宋体" w:hAnsi="宋体" w:eastAsia="宋体" w:cs="宋体"/>
                <w:b/>
                <w:bCs/>
                <w:i w:val="0"/>
                <w:iCs w:val="0"/>
                <w:color w:val="000000"/>
                <w:sz w:val="20"/>
                <w:szCs w:val="20"/>
                <w:highlight w:val="none"/>
                <w:u w:val="none"/>
              </w:rPr>
            </w:pPr>
          </w:p>
        </w:tc>
      </w:tr>
      <w:tr w14:paraId="4CF2C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8F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96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500109001010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25F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9DC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277A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6.63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A3D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9A70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33D8">
            <w:pPr>
              <w:jc w:val="center"/>
              <w:rPr>
                <w:rFonts w:hint="eastAsia" w:ascii="宋体" w:hAnsi="宋体" w:eastAsia="宋体" w:cs="宋体"/>
                <w:i w:val="0"/>
                <w:iCs w:val="0"/>
                <w:color w:val="000000"/>
                <w:sz w:val="20"/>
                <w:szCs w:val="20"/>
                <w:highlight w:val="none"/>
                <w:u w:val="none"/>
              </w:rPr>
            </w:pPr>
          </w:p>
        </w:tc>
      </w:tr>
      <w:tr w14:paraId="5697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54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AE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500105003004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DCD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M7.5 浆砌块石基础</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EDA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D77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6.20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F66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9A6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6D49">
            <w:pPr>
              <w:jc w:val="center"/>
              <w:rPr>
                <w:rFonts w:hint="eastAsia" w:ascii="宋体" w:hAnsi="宋体" w:eastAsia="宋体" w:cs="宋体"/>
                <w:i w:val="0"/>
                <w:iCs w:val="0"/>
                <w:color w:val="000000"/>
                <w:sz w:val="20"/>
                <w:szCs w:val="20"/>
                <w:highlight w:val="none"/>
                <w:u w:val="none"/>
              </w:rPr>
            </w:pPr>
          </w:p>
        </w:tc>
      </w:tr>
      <w:tr w14:paraId="27B4C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B2E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47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500111001005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66B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钢筋制安</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177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EC4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1.09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65A3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9880">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D2BFC">
            <w:pPr>
              <w:jc w:val="center"/>
              <w:rPr>
                <w:rFonts w:hint="eastAsia" w:ascii="宋体" w:hAnsi="宋体" w:eastAsia="宋体" w:cs="宋体"/>
                <w:i w:val="0"/>
                <w:iCs w:val="0"/>
                <w:color w:val="000000"/>
                <w:sz w:val="20"/>
                <w:szCs w:val="20"/>
                <w:highlight w:val="none"/>
                <w:u w:val="none"/>
              </w:rPr>
            </w:pPr>
          </w:p>
        </w:tc>
      </w:tr>
      <w:tr w14:paraId="35162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D8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9B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500109008005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823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651 型橡胶止水带</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C82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678A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3.57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CBD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E076">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510D">
            <w:pPr>
              <w:jc w:val="center"/>
              <w:rPr>
                <w:rFonts w:hint="eastAsia" w:ascii="宋体" w:hAnsi="宋体" w:eastAsia="宋体" w:cs="宋体"/>
                <w:i w:val="0"/>
                <w:iCs w:val="0"/>
                <w:color w:val="000000"/>
                <w:sz w:val="20"/>
                <w:szCs w:val="20"/>
                <w:highlight w:val="none"/>
                <w:u w:val="none"/>
              </w:rPr>
            </w:pPr>
          </w:p>
        </w:tc>
      </w:tr>
      <w:tr w14:paraId="3388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B8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6D2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500109009005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1A0C0">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沥青木板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040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393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1.43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9EE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686D">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8E0B">
            <w:pPr>
              <w:jc w:val="center"/>
              <w:rPr>
                <w:rFonts w:hint="eastAsia" w:ascii="宋体" w:hAnsi="宋体" w:eastAsia="宋体" w:cs="宋体"/>
                <w:i w:val="0"/>
                <w:iCs w:val="0"/>
                <w:color w:val="000000"/>
                <w:sz w:val="20"/>
                <w:szCs w:val="20"/>
                <w:highlight w:val="none"/>
                <w:u w:val="none"/>
              </w:rPr>
            </w:pPr>
          </w:p>
        </w:tc>
      </w:tr>
      <w:tr w14:paraId="59C13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914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（五）</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EEFE1">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C8D4">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消力池</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04447F32">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70EF521F">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0BE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EB0D">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AA13">
            <w:pPr>
              <w:jc w:val="center"/>
              <w:rPr>
                <w:rFonts w:hint="eastAsia" w:ascii="宋体" w:hAnsi="宋体" w:eastAsia="宋体" w:cs="宋体"/>
                <w:b/>
                <w:bCs/>
                <w:i w:val="0"/>
                <w:iCs w:val="0"/>
                <w:color w:val="000000"/>
                <w:sz w:val="20"/>
                <w:szCs w:val="20"/>
                <w:highlight w:val="none"/>
                <w:u w:val="none"/>
              </w:rPr>
            </w:pPr>
          </w:p>
        </w:tc>
      </w:tr>
      <w:tr w14:paraId="33576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64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C4B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500101004007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8933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743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21D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22.70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329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ECA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5C6A">
            <w:pPr>
              <w:jc w:val="center"/>
              <w:rPr>
                <w:rFonts w:hint="eastAsia" w:ascii="宋体" w:hAnsi="宋体" w:eastAsia="宋体" w:cs="宋体"/>
                <w:i w:val="0"/>
                <w:iCs w:val="0"/>
                <w:color w:val="000000"/>
                <w:sz w:val="20"/>
                <w:szCs w:val="20"/>
                <w:highlight w:val="none"/>
                <w:u w:val="none"/>
              </w:rPr>
            </w:pPr>
          </w:p>
        </w:tc>
      </w:tr>
      <w:tr w14:paraId="7551A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E3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12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500101004008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A7C5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土方开挖（就近堆放）</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FFD3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90F4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20.62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5D8D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DD3F">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23AF">
            <w:pPr>
              <w:jc w:val="center"/>
              <w:rPr>
                <w:rFonts w:hint="eastAsia" w:ascii="宋体" w:hAnsi="宋体" w:eastAsia="宋体" w:cs="宋体"/>
                <w:b/>
                <w:bCs/>
                <w:i w:val="0"/>
                <w:iCs w:val="0"/>
                <w:color w:val="000000"/>
                <w:sz w:val="20"/>
                <w:szCs w:val="20"/>
                <w:highlight w:val="none"/>
                <w:u w:val="none"/>
              </w:rPr>
            </w:pPr>
          </w:p>
        </w:tc>
      </w:tr>
      <w:tr w14:paraId="31434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10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BD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B0A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回填土方（夯实）</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4FF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7F9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17.53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E17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42B3">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758D2">
            <w:pPr>
              <w:jc w:val="center"/>
              <w:rPr>
                <w:rFonts w:hint="eastAsia" w:ascii="宋体" w:hAnsi="宋体" w:eastAsia="宋体" w:cs="宋体"/>
                <w:i w:val="0"/>
                <w:iCs w:val="0"/>
                <w:color w:val="000000"/>
                <w:sz w:val="20"/>
                <w:szCs w:val="20"/>
                <w:highlight w:val="none"/>
                <w:u w:val="none"/>
              </w:rPr>
            </w:pPr>
          </w:p>
        </w:tc>
      </w:tr>
      <w:tr w14:paraId="78CC9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C65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B3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500105009007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6DB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EED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0D3A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4.03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9C115">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E788">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E54E">
            <w:pPr>
              <w:jc w:val="center"/>
              <w:rPr>
                <w:rFonts w:hint="eastAsia" w:ascii="宋体" w:hAnsi="宋体" w:eastAsia="宋体" w:cs="宋体"/>
                <w:i w:val="0"/>
                <w:iCs w:val="0"/>
                <w:color w:val="000000"/>
                <w:sz w:val="20"/>
                <w:szCs w:val="20"/>
                <w:highlight w:val="none"/>
                <w:u w:val="none"/>
              </w:rPr>
            </w:pPr>
          </w:p>
        </w:tc>
      </w:tr>
      <w:tr w14:paraId="291FA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B6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D1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500105009008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E0E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M7.5 浆砌块石底板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C975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A16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4.40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0E4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C26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7C78">
            <w:pPr>
              <w:jc w:val="center"/>
              <w:rPr>
                <w:rFonts w:hint="eastAsia" w:ascii="宋体" w:hAnsi="宋体" w:eastAsia="宋体" w:cs="宋体"/>
                <w:b/>
                <w:bCs/>
                <w:i w:val="0"/>
                <w:iCs w:val="0"/>
                <w:color w:val="000000"/>
                <w:sz w:val="20"/>
                <w:szCs w:val="20"/>
                <w:highlight w:val="none"/>
                <w:u w:val="none"/>
              </w:rPr>
            </w:pPr>
          </w:p>
        </w:tc>
      </w:tr>
      <w:tr w14:paraId="594E2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DB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3E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500109011001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0EB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拆除 C20 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DBE2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78A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0.28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EA2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D771">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E97C">
            <w:pPr>
              <w:jc w:val="center"/>
              <w:rPr>
                <w:rFonts w:hint="eastAsia" w:ascii="宋体" w:hAnsi="宋体" w:eastAsia="宋体" w:cs="宋体"/>
                <w:i w:val="0"/>
                <w:iCs w:val="0"/>
                <w:color w:val="000000"/>
                <w:sz w:val="20"/>
                <w:szCs w:val="20"/>
                <w:highlight w:val="none"/>
                <w:u w:val="none"/>
              </w:rPr>
            </w:pPr>
          </w:p>
        </w:tc>
      </w:tr>
      <w:tr w14:paraId="00290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C4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FB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500109001011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03B2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钢筋砼边墙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5D2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DD7F">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13.61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F1CA">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9F0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4F9C3">
            <w:pPr>
              <w:jc w:val="center"/>
              <w:rPr>
                <w:rFonts w:hint="eastAsia" w:ascii="宋体" w:hAnsi="宋体" w:eastAsia="宋体" w:cs="宋体"/>
                <w:i w:val="0"/>
                <w:iCs w:val="0"/>
                <w:color w:val="000000"/>
                <w:sz w:val="20"/>
                <w:szCs w:val="20"/>
                <w:highlight w:val="none"/>
                <w:u w:val="none"/>
              </w:rPr>
            </w:pPr>
          </w:p>
        </w:tc>
      </w:tr>
      <w:tr w14:paraId="2992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1C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9E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500109001012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7F4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C25 钢筋砼底板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CC5E">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DE9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13.67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CDFD">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8ED6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384F">
            <w:pPr>
              <w:jc w:val="center"/>
              <w:rPr>
                <w:rFonts w:hint="eastAsia" w:ascii="宋体" w:hAnsi="宋体" w:eastAsia="宋体" w:cs="宋体"/>
                <w:i w:val="0"/>
                <w:iCs w:val="0"/>
                <w:color w:val="000000"/>
                <w:sz w:val="20"/>
                <w:szCs w:val="20"/>
                <w:highlight w:val="none"/>
                <w:u w:val="none"/>
              </w:rPr>
            </w:pPr>
          </w:p>
        </w:tc>
      </w:tr>
      <w:tr w14:paraId="3F0D2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74A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25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500105003005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093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M7.5 浆砌块石基础</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2A8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40C4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9.21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527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29B39">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3E14">
            <w:pPr>
              <w:jc w:val="center"/>
              <w:rPr>
                <w:rFonts w:hint="eastAsia" w:ascii="宋体" w:hAnsi="宋体" w:eastAsia="宋体" w:cs="宋体"/>
                <w:i w:val="0"/>
                <w:iCs w:val="0"/>
                <w:color w:val="000000"/>
                <w:sz w:val="20"/>
                <w:szCs w:val="20"/>
                <w:highlight w:val="none"/>
                <w:u w:val="none"/>
              </w:rPr>
            </w:pPr>
          </w:p>
        </w:tc>
      </w:tr>
      <w:tr w14:paraId="0119B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F16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8B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500111001006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9C0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钢筋制安</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675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t</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FFD9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2.18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5265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64F7">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2B2A">
            <w:pPr>
              <w:jc w:val="center"/>
              <w:rPr>
                <w:rFonts w:hint="eastAsia" w:ascii="宋体" w:hAnsi="宋体" w:eastAsia="宋体" w:cs="宋体"/>
                <w:i w:val="0"/>
                <w:iCs w:val="0"/>
                <w:color w:val="000000"/>
                <w:sz w:val="20"/>
                <w:szCs w:val="20"/>
                <w:highlight w:val="none"/>
                <w:u w:val="none"/>
              </w:rPr>
            </w:pPr>
          </w:p>
        </w:tc>
      </w:tr>
      <w:tr w14:paraId="5EF6A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598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AD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500109008006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3DC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651 型橡胶止水带</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FE8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9FE8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0.59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1DA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7DB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0B21">
            <w:pPr>
              <w:jc w:val="center"/>
              <w:rPr>
                <w:rFonts w:hint="eastAsia" w:ascii="宋体" w:hAnsi="宋体" w:eastAsia="宋体" w:cs="宋体"/>
                <w:i w:val="0"/>
                <w:iCs w:val="0"/>
                <w:color w:val="000000"/>
                <w:sz w:val="20"/>
                <w:szCs w:val="20"/>
                <w:highlight w:val="none"/>
                <w:u w:val="none"/>
              </w:rPr>
            </w:pPr>
          </w:p>
        </w:tc>
      </w:tr>
      <w:tr w14:paraId="5719C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74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33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500109009006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843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沥青木板</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436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75BB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2.69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A6BC">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B46A">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A2C7">
            <w:pPr>
              <w:jc w:val="center"/>
              <w:rPr>
                <w:rFonts w:hint="eastAsia" w:ascii="宋体" w:hAnsi="宋体" w:eastAsia="宋体" w:cs="宋体"/>
                <w:i w:val="0"/>
                <w:iCs w:val="0"/>
                <w:color w:val="000000"/>
                <w:sz w:val="20"/>
                <w:szCs w:val="20"/>
                <w:highlight w:val="none"/>
                <w:u w:val="none"/>
              </w:rPr>
            </w:pPr>
          </w:p>
        </w:tc>
      </w:tr>
      <w:tr w14:paraId="49B0C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E03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9422">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EA83C">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下游左岸渗流处理工程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6A95387B">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5484CA10">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619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3E70A">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E472">
            <w:pPr>
              <w:jc w:val="center"/>
              <w:rPr>
                <w:rFonts w:hint="eastAsia" w:ascii="宋体" w:hAnsi="宋体" w:eastAsia="宋体" w:cs="宋体"/>
                <w:b/>
                <w:bCs/>
                <w:i w:val="0"/>
                <w:iCs w:val="0"/>
                <w:color w:val="000000"/>
                <w:sz w:val="20"/>
                <w:szCs w:val="20"/>
                <w:highlight w:val="none"/>
                <w:u w:val="none"/>
              </w:rPr>
            </w:pPr>
          </w:p>
        </w:tc>
      </w:tr>
      <w:tr w14:paraId="7EF07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94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C5D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500101002004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14AF">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4D2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DD49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9.40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A1C0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4F8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4609">
            <w:pPr>
              <w:jc w:val="center"/>
              <w:rPr>
                <w:rFonts w:hint="eastAsia" w:ascii="宋体" w:hAnsi="宋体" w:eastAsia="宋体" w:cs="宋体"/>
                <w:i w:val="0"/>
                <w:iCs w:val="0"/>
                <w:color w:val="000000"/>
                <w:sz w:val="20"/>
                <w:szCs w:val="20"/>
                <w:highlight w:val="none"/>
                <w:u w:val="none"/>
              </w:rPr>
            </w:pPr>
          </w:p>
        </w:tc>
      </w:tr>
      <w:tr w14:paraId="5E8BA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63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8C1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500105001002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C644">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干砌块石</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BFB6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7FA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4.63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281B">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1DCC">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7385">
            <w:pPr>
              <w:jc w:val="center"/>
              <w:rPr>
                <w:rFonts w:hint="eastAsia" w:ascii="宋体" w:hAnsi="宋体" w:eastAsia="宋体" w:cs="宋体"/>
                <w:i w:val="0"/>
                <w:iCs w:val="0"/>
                <w:color w:val="000000"/>
                <w:sz w:val="20"/>
                <w:szCs w:val="20"/>
                <w:highlight w:val="none"/>
                <w:u w:val="none"/>
              </w:rPr>
            </w:pPr>
          </w:p>
        </w:tc>
      </w:tr>
      <w:tr w14:paraId="25EE5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38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1A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500103016007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A2F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碎石垫层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53E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A7E09">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2.33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C46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0D0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0BB8">
            <w:pPr>
              <w:jc w:val="center"/>
              <w:rPr>
                <w:rFonts w:hint="eastAsia" w:ascii="宋体" w:hAnsi="宋体" w:eastAsia="宋体" w:cs="宋体"/>
                <w:b/>
                <w:bCs/>
                <w:i w:val="0"/>
                <w:iCs w:val="0"/>
                <w:color w:val="000000"/>
                <w:sz w:val="20"/>
                <w:szCs w:val="20"/>
                <w:highlight w:val="none"/>
                <w:u w:val="none"/>
              </w:rPr>
            </w:pPr>
          </w:p>
        </w:tc>
      </w:tr>
      <w:tr w14:paraId="3F4FB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E4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77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500103016008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957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砂砾石垫层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2A7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70D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2.11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0752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06C4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B6FE3">
            <w:pPr>
              <w:jc w:val="center"/>
              <w:rPr>
                <w:rFonts w:hint="eastAsia" w:ascii="宋体" w:hAnsi="宋体" w:eastAsia="宋体" w:cs="宋体"/>
                <w:b/>
                <w:bCs/>
                <w:i w:val="0"/>
                <w:iCs w:val="0"/>
                <w:color w:val="000000"/>
                <w:sz w:val="20"/>
                <w:szCs w:val="20"/>
                <w:highlight w:val="none"/>
                <w:u w:val="none"/>
              </w:rPr>
            </w:pPr>
          </w:p>
        </w:tc>
      </w:tr>
      <w:tr w14:paraId="2D5E8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0A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43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500103014001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E4E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土工布</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C83D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AF8FA">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22.76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282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3696D">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F468">
            <w:pPr>
              <w:jc w:val="center"/>
              <w:rPr>
                <w:rFonts w:hint="eastAsia" w:ascii="宋体" w:hAnsi="宋体" w:eastAsia="宋体" w:cs="宋体"/>
                <w:i w:val="0"/>
                <w:iCs w:val="0"/>
                <w:color w:val="000000"/>
                <w:sz w:val="20"/>
                <w:szCs w:val="20"/>
                <w:highlight w:val="none"/>
                <w:u w:val="none"/>
              </w:rPr>
            </w:pPr>
          </w:p>
        </w:tc>
      </w:tr>
      <w:tr w14:paraId="292E7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F84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四</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21E5">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8F95">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施工临时工程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651FD594">
            <w:pPr>
              <w:jc w:val="center"/>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1474AB2E">
            <w:pPr>
              <w:jc w:val="center"/>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46CF8">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0A06">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5453">
            <w:pPr>
              <w:jc w:val="center"/>
              <w:rPr>
                <w:rFonts w:hint="eastAsia" w:ascii="宋体" w:hAnsi="宋体" w:eastAsia="宋体" w:cs="宋体"/>
                <w:b/>
                <w:bCs/>
                <w:i w:val="0"/>
                <w:iCs w:val="0"/>
                <w:color w:val="000000"/>
                <w:sz w:val="20"/>
                <w:szCs w:val="20"/>
                <w:highlight w:val="none"/>
                <w:u w:val="none"/>
              </w:rPr>
            </w:pPr>
          </w:p>
        </w:tc>
      </w:tr>
      <w:tr w14:paraId="0040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8B9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9EA2">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A6C3">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施工导流工程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772D2092">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72CF7B8C">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2552">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D6FD">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C215">
            <w:pPr>
              <w:jc w:val="center"/>
              <w:rPr>
                <w:rFonts w:hint="eastAsia" w:ascii="宋体" w:hAnsi="宋体" w:eastAsia="宋体" w:cs="宋体"/>
                <w:b/>
                <w:bCs/>
                <w:i w:val="0"/>
                <w:iCs w:val="0"/>
                <w:color w:val="000000"/>
                <w:sz w:val="20"/>
                <w:szCs w:val="20"/>
                <w:highlight w:val="none"/>
                <w:u w:val="none"/>
              </w:rPr>
            </w:pPr>
          </w:p>
        </w:tc>
      </w:tr>
      <w:tr w14:paraId="5EE08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51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B6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500101002005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1A8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土方开挖</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3DE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7F93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78.00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4D5FA">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59D7">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36F5">
            <w:pPr>
              <w:jc w:val="center"/>
              <w:rPr>
                <w:rFonts w:hint="eastAsia" w:ascii="宋体" w:hAnsi="宋体" w:eastAsia="宋体" w:cs="宋体"/>
                <w:b/>
                <w:bCs/>
                <w:i w:val="0"/>
                <w:iCs w:val="0"/>
                <w:color w:val="000000"/>
                <w:sz w:val="20"/>
                <w:szCs w:val="20"/>
                <w:highlight w:val="none"/>
                <w:u w:val="none"/>
              </w:rPr>
            </w:pPr>
          </w:p>
        </w:tc>
      </w:tr>
      <w:tr w14:paraId="16FFB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20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5C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500103016009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BBD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碾压填筑溢洪道开挖料</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1150">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E23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232.96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FDCA">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3A5C">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E736">
            <w:pPr>
              <w:jc w:val="center"/>
              <w:rPr>
                <w:rFonts w:hint="eastAsia" w:ascii="宋体" w:hAnsi="宋体" w:eastAsia="宋体" w:cs="宋体"/>
                <w:b/>
                <w:bCs/>
                <w:i w:val="0"/>
                <w:iCs w:val="0"/>
                <w:color w:val="000000"/>
                <w:sz w:val="20"/>
                <w:szCs w:val="20"/>
                <w:highlight w:val="none"/>
                <w:u w:val="none"/>
              </w:rPr>
            </w:pPr>
          </w:p>
        </w:tc>
      </w:tr>
      <w:tr w14:paraId="262F4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D3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7C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500103016010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E0848">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砂垫层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320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38B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10.32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959F">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7090">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257E">
            <w:pPr>
              <w:jc w:val="center"/>
              <w:rPr>
                <w:rFonts w:hint="eastAsia" w:ascii="宋体" w:hAnsi="宋体" w:eastAsia="宋体" w:cs="宋体"/>
                <w:b/>
                <w:bCs/>
                <w:i w:val="0"/>
                <w:iCs w:val="0"/>
                <w:color w:val="000000"/>
                <w:sz w:val="20"/>
                <w:szCs w:val="20"/>
                <w:highlight w:val="none"/>
                <w:u w:val="none"/>
              </w:rPr>
            </w:pPr>
          </w:p>
        </w:tc>
      </w:tr>
      <w:tr w14:paraId="0977E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45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BA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500103016011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65A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编织袋装土护坡</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B49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AA55">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25.80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1453">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9A36">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0EAF7">
            <w:pPr>
              <w:jc w:val="center"/>
              <w:rPr>
                <w:rFonts w:hint="eastAsia" w:ascii="宋体" w:hAnsi="宋体" w:eastAsia="宋体" w:cs="宋体"/>
                <w:b/>
                <w:bCs/>
                <w:i w:val="0"/>
                <w:iCs w:val="0"/>
                <w:color w:val="000000"/>
                <w:sz w:val="20"/>
                <w:szCs w:val="20"/>
                <w:highlight w:val="none"/>
                <w:u w:val="none"/>
              </w:rPr>
            </w:pPr>
          </w:p>
        </w:tc>
      </w:tr>
      <w:tr w14:paraId="0DF81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75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E4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500103014002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5A8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土工膜</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32383">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458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51.60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A966">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DC0F4">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0B25">
            <w:pPr>
              <w:jc w:val="center"/>
              <w:rPr>
                <w:rFonts w:hint="eastAsia" w:ascii="宋体" w:hAnsi="宋体" w:eastAsia="宋体" w:cs="宋体"/>
                <w:b/>
                <w:bCs/>
                <w:i w:val="0"/>
                <w:iCs w:val="0"/>
                <w:color w:val="000000"/>
                <w:sz w:val="20"/>
                <w:szCs w:val="20"/>
                <w:highlight w:val="none"/>
                <w:u w:val="none"/>
              </w:rPr>
            </w:pPr>
          </w:p>
        </w:tc>
      </w:tr>
      <w:tr w14:paraId="61AFC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72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A2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500112006001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CD7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DN300 预制砼管</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456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834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20.00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7F67">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CCF75">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44848">
            <w:pPr>
              <w:jc w:val="center"/>
              <w:rPr>
                <w:rFonts w:hint="eastAsia" w:ascii="宋体" w:hAnsi="宋体" w:eastAsia="宋体" w:cs="宋体"/>
                <w:b/>
                <w:bCs/>
                <w:i w:val="0"/>
                <w:iCs w:val="0"/>
                <w:color w:val="000000"/>
                <w:sz w:val="20"/>
                <w:szCs w:val="20"/>
                <w:highlight w:val="none"/>
                <w:u w:val="none"/>
              </w:rPr>
            </w:pPr>
          </w:p>
        </w:tc>
      </w:tr>
      <w:tr w14:paraId="7DDEF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1EAC2">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6601">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9261">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施工交通工程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64171351">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76BF82D1">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4BCD">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F192">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AD4C1">
            <w:pPr>
              <w:jc w:val="center"/>
              <w:rPr>
                <w:rFonts w:hint="eastAsia" w:ascii="宋体" w:hAnsi="宋体" w:eastAsia="宋体" w:cs="宋体"/>
                <w:b/>
                <w:bCs/>
                <w:i w:val="0"/>
                <w:iCs w:val="0"/>
                <w:color w:val="000000"/>
                <w:sz w:val="20"/>
                <w:szCs w:val="20"/>
                <w:highlight w:val="none"/>
                <w:u w:val="none"/>
              </w:rPr>
            </w:pPr>
          </w:p>
        </w:tc>
      </w:tr>
      <w:tr w14:paraId="41630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A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83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500114002001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9592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临时施工道路（泥结碎石路面</w:t>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路面净宽 3 米）</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03224">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km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1CB2">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0.21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2BB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D4CB">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D301">
            <w:pPr>
              <w:jc w:val="center"/>
              <w:rPr>
                <w:rFonts w:hint="eastAsia" w:ascii="宋体" w:hAnsi="宋体" w:eastAsia="宋体" w:cs="宋体"/>
                <w:b/>
                <w:bCs/>
                <w:i w:val="0"/>
                <w:iCs w:val="0"/>
                <w:color w:val="000000"/>
                <w:sz w:val="20"/>
                <w:szCs w:val="20"/>
                <w:highlight w:val="none"/>
                <w:u w:val="none"/>
              </w:rPr>
            </w:pPr>
          </w:p>
        </w:tc>
      </w:tr>
      <w:tr w14:paraId="6DCE6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24D7">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A0412">
            <w:pPr>
              <w:jc w:val="center"/>
              <w:rPr>
                <w:rFonts w:hint="eastAsia" w:ascii="宋体" w:hAnsi="宋体" w:eastAsia="宋体" w:cs="宋体"/>
                <w:b/>
                <w:bCs/>
                <w:i w:val="0"/>
                <w:iCs w:val="0"/>
                <w:color w:val="000000"/>
                <w:sz w:val="20"/>
                <w:szCs w:val="20"/>
                <w:highlight w:val="none"/>
                <w:u w:val="none"/>
              </w:rPr>
            </w:pP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0C28">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施工房屋建筑工程</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top"/>
          </w:tcPr>
          <w:p w14:paraId="105E8CFC">
            <w:pPr>
              <w:jc w:val="left"/>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top"/>
          </w:tcPr>
          <w:p w14:paraId="013501B0">
            <w:pPr>
              <w:jc w:val="left"/>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889A">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988A">
            <w:pPr>
              <w:jc w:val="center"/>
              <w:rPr>
                <w:rFonts w:hint="eastAsia" w:ascii="宋体" w:hAnsi="宋体" w:eastAsia="宋体" w:cs="宋体"/>
                <w:b/>
                <w:bCs/>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9D55">
            <w:pPr>
              <w:jc w:val="center"/>
              <w:rPr>
                <w:rFonts w:hint="eastAsia" w:ascii="宋体" w:hAnsi="宋体" w:eastAsia="宋体" w:cs="宋体"/>
                <w:b/>
                <w:bCs/>
                <w:i w:val="0"/>
                <w:iCs w:val="0"/>
                <w:color w:val="000000"/>
                <w:sz w:val="20"/>
                <w:szCs w:val="20"/>
                <w:highlight w:val="none"/>
                <w:u w:val="none"/>
              </w:rPr>
            </w:pPr>
          </w:p>
        </w:tc>
      </w:tr>
      <w:tr w14:paraId="25DA3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FE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919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500114002002 </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DC36">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施工仓库</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92E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m</w:t>
            </w:r>
            <w:r>
              <w:rPr>
                <w:rFonts w:hint="eastAsia" w:ascii="宋体" w:hAnsi="宋体" w:eastAsia="宋体" w:cs="宋体"/>
                <w:i w:val="0"/>
                <w:iCs w:val="0"/>
                <w:color w:val="000000"/>
                <w:kern w:val="0"/>
                <w:sz w:val="20"/>
                <w:szCs w:val="20"/>
                <w:highlight w:val="none"/>
                <w:u w:val="none"/>
                <w:vertAlign w:val="superscript"/>
                <w:lang w:val="en-US" w:eastAsia="zh-CN" w:bidi="ar"/>
              </w:rPr>
              <w:t>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4766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200.00 </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A554">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8F62">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9FFA">
            <w:pPr>
              <w:jc w:val="center"/>
              <w:rPr>
                <w:rFonts w:hint="eastAsia" w:ascii="宋体" w:hAnsi="宋体" w:eastAsia="宋体" w:cs="宋体"/>
                <w:b/>
                <w:bCs/>
                <w:i w:val="0"/>
                <w:iCs w:val="0"/>
                <w:color w:val="000000"/>
                <w:sz w:val="20"/>
                <w:szCs w:val="20"/>
                <w:highlight w:val="none"/>
                <w:u w:val="none"/>
              </w:rPr>
            </w:pPr>
          </w:p>
        </w:tc>
      </w:tr>
      <w:tr w14:paraId="40C50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94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C811">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09C223">
            <w:pPr>
              <w:jc w:val="center"/>
              <w:rPr>
                <w:highlight w:val="none"/>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9BB96">
            <w:pPr>
              <w:jc w:val="center"/>
              <w:rPr>
                <w:highlight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3C5E">
            <w:pPr>
              <w:jc w:val="center"/>
              <w:rPr>
                <w:highlight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22D3">
            <w:pPr>
              <w:jc w:val="center"/>
              <w:rPr>
                <w:rFonts w:hint="eastAsia" w:ascii="宋体" w:hAnsi="宋体" w:eastAsia="宋体" w:cs="宋体"/>
                <w:i w:val="0"/>
                <w:iCs w:val="0"/>
                <w:color w:val="000000"/>
                <w:sz w:val="20"/>
                <w:szCs w:val="20"/>
                <w:highlight w:val="none"/>
                <w:u w:val="none"/>
              </w:rPr>
            </w:pPr>
          </w:p>
        </w:tc>
        <w:tc>
          <w:tcPr>
            <w:tcW w:w="125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5E9D07">
            <w:pPr>
              <w:jc w:val="center"/>
              <w:rPr>
                <w:rFonts w:hint="eastAsia" w:ascii="宋体" w:hAnsi="宋体" w:eastAsia="宋体" w:cs="宋体"/>
                <w:i w:val="0"/>
                <w:iCs w:val="0"/>
                <w:color w:val="000000"/>
                <w:sz w:val="20"/>
                <w:szCs w:val="20"/>
                <w:highlight w:val="none"/>
                <w:u w:val="none"/>
              </w:rPr>
            </w:pPr>
          </w:p>
        </w:tc>
      </w:tr>
    </w:tbl>
    <w:p w14:paraId="1AECD47A">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1"/>
        <w:gridCol w:w="1416"/>
        <w:gridCol w:w="2016"/>
        <w:gridCol w:w="416"/>
        <w:gridCol w:w="732"/>
        <w:gridCol w:w="578"/>
        <w:gridCol w:w="782"/>
        <w:gridCol w:w="1015"/>
        <w:gridCol w:w="617"/>
        <w:gridCol w:w="870"/>
        <w:gridCol w:w="573"/>
      </w:tblGrid>
      <w:tr w14:paraId="097DA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9576" w:type="dxa"/>
            <w:gridSpan w:val="11"/>
            <w:tcBorders>
              <w:top w:val="nil"/>
              <w:left w:val="nil"/>
              <w:bottom w:val="nil"/>
              <w:right w:val="nil"/>
            </w:tcBorders>
            <w:shd w:val="clear" w:color="auto" w:fill="FFFFFF"/>
            <w:noWrap/>
            <w:vAlign w:val="center"/>
          </w:tcPr>
          <w:p w14:paraId="54163227">
            <w:pPr>
              <w:keepNext w:val="0"/>
              <w:keepLines w:val="0"/>
              <w:widowControl/>
              <w:suppressLineNumbers w:val="0"/>
              <w:jc w:val="center"/>
              <w:textAlignment w:val="center"/>
              <w:rPr>
                <w:rFonts w:hint="eastAsia" w:ascii="宋体" w:hAnsi="宋体" w:eastAsia="宋体" w:cs="宋体"/>
                <w:i w:val="0"/>
                <w:iCs w:val="0"/>
                <w:color w:val="000000"/>
                <w:sz w:val="32"/>
                <w:szCs w:val="32"/>
                <w:highlight w:val="none"/>
                <w:u w:val="none"/>
              </w:rPr>
            </w:pPr>
            <w:r>
              <w:rPr>
                <w:rFonts w:hint="eastAsia" w:ascii="宋体" w:hAnsi="宋体" w:eastAsia="宋体" w:cs="宋体"/>
                <w:i w:val="0"/>
                <w:iCs w:val="0"/>
                <w:color w:val="000000"/>
                <w:kern w:val="0"/>
                <w:sz w:val="32"/>
                <w:szCs w:val="32"/>
                <w:highlight w:val="none"/>
                <w:u w:val="none"/>
                <w:lang w:val="en-US" w:eastAsia="zh-CN" w:bidi="ar"/>
              </w:rPr>
              <w:t>金属结构设备及安装工程分类分项工程量清单计价表</w:t>
            </w:r>
          </w:p>
        </w:tc>
      </w:tr>
      <w:tr w14:paraId="7245E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9576" w:type="dxa"/>
            <w:gridSpan w:val="11"/>
            <w:tcBorders>
              <w:top w:val="nil"/>
              <w:left w:val="nil"/>
              <w:bottom w:val="single" w:color="000000" w:sz="4" w:space="0"/>
              <w:right w:val="nil"/>
            </w:tcBorders>
            <w:shd w:val="clear" w:color="auto" w:fill="FFFFFF"/>
            <w:noWrap/>
            <w:vAlign w:val="center"/>
          </w:tcPr>
          <w:p w14:paraId="5C4350B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项目名称：红河县后山二台水库除险加固工程</w:t>
            </w:r>
          </w:p>
        </w:tc>
      </w:tr>
      <w:tr w14:paraId="4932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6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F3B5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序号</w:t>
            </w:r>
          </w:p>
        </w:tc>
        <w:tc>
          <w:tcPr>
            <w:tcW w:w="107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5E0F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项目编码</w:t>
            </w:r>
          </w:p>
        </w:tc>
        <w:tc>
          <w:tcPr>
            <w:tcW w:w="147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71308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w:t>
            </w:r>
          </w:p>
        </w:tc>
        <w:tc>
          <w:tcPr>
            <w:tcW w:w="36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F0796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计量单位</w:t>
            </w:r>
          </w:p>
        </w:tc>
        <w:tc>
          <w:tcPr>
            <w:tcW w:w="7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130E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工程</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数量</w:t>
            </w:r>
          </w:p>
        </w:tc>
        <w:tc>
          <w:tcPr>
            <w:tcW w:w="15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09695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单价（元）</w:t>
            </w:r>
          </w:p>
        </w:tc>
        <w:tc>
          <w:tcPr>
            <w:tcW w:w="208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08E6E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合价（元）</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7AE7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合计（元）</w:t>
            </w:r>
          </w:p>
        </w:tc>
        <w:tc>
          <w:tcPr>
            <w:tcW w:w="75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7D67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备注</w:t>
            </w:r>
          </w:p>
        </w:tc>
      </w:tr>
      <w:tr w14:paraId="1FEBA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8DEE4E">
            <w:pPr>
              <w:jc w:val="center"/>
              <w:rPr>
                <w:rFonts w:hint="eastAsia" w:ascii="宋体" w:hAnsi="宋体" w:eastAsia="宋体" w:cs="宋体"/>
                <w:i w:val="0"/>
                <w:iCs w:val="0"/>
                <w:color w:val="000000"/>
                <w:sz w:val="20"/>
                <w:szCs w:val="20"/>
                <w:highlight w:val="none"/>
                <w:u w:val="none"/>
              </w:rPr>
            </w:pPr>
          </w:p>
        </w:tc>
        <w:tc>
          <w:tcPr>
            <w:tcW w:w="10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8E212A">
            <w:pPr>
              <w:jc w:val="center"/>
              <w:rPr>
                <w:rFonts w:hint="eastAsia" w:ascii="宋体" w:hAnsi="宋体" w:eastAsia="宋体" w:cs="宋体"/>
                <w:i w:val="0"/>
                <w:iCs w:val="0"/>
                <w:color w:val="000000"/>
                <w:sz w:val="20"/>
                <w:szCs w:val="20"/>
                <w:highlight w:val="none"/>
                <w:u w:val="none"/>
              </w:rPr>
            </w:pPr>
          </w:p>
        </w:tc>
        <w:tc>
          <w:tcPr>
            <w:tcW w:w="147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A334EF">
            <w:pPr>
              <w:jc w:val="center"/>
              <w:rPr>
                <w:rFonts w:hint="eastAsia" w:ascii="宋体" w:hAnsi="宋体" w:eastAsia="宋体" w:cs="宋体"/>
                <w:i w:val="0"/>
                <w:iCs w:val="0"/>
                <w:color w:val="000000"/>
                <w:sz w:val="20"/>
                <w:szCs w:val="20"/>
                <w:highlight w:val="none"/>
                <w:u w:val="none"/>
              </w:rPr>
            </w:pPr>
          </w:p>
        </w:tc>
        <w:tc>
          <w:tcPr>
            <w:tcW w:w="3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918CDD">
            <w:pPr>
              <w:jc w:val="center"/>
              <w:rPr>
                <w:highlight w:val="none"/>
              </w:rPr>
            </w:pPr>
          </w:p>
        </w:tc>
        <w:tc>
          <w:tcPr>
            <w:tcW w:w="7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538AD3">
            <w:pPr>
              <w:jc w:val="center"/>
              <w:rPr>
                <w:rFonts w:hint="eastAsia" w:ascii="宋体" w:hAnsi="宋体" w:eastAsia="宋体" w:cs="宋体"/>
                <w:i w:val="0"/>
                <w:iCs w:val="0"/>
                <w:color w:val="000000"/>
                <w:sz w:val="20"/>
                <w:szCs w:val="20"/>
                <w:highlight w:val="none"/>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4F3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设备费</w:t>
            </w:r>
          </w:p>
        </w:tc>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F14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安装费</w:t>
            </w:r>
          </w:p>
        </w:tc>
        <w:tc>
          <w:tcPr>
            <w:tcW w:w="10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ACA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设备费</w:t>
            </w:r>
          </w:p>
        </w:tc>
        <w:tc>
          <w:tcPr>
            <w:tcW w:w="10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153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安装费</w:t>
            </w: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DE16C6">
            <w:pPr>
              <w:jc w:val="center"/>
              <w:rPr>
                <w:rFonts w:hint="eastAsia" w:ascii="宋体" w:hAnsi="宋体" w:eastAsia="宋体" w:cs="宋体"/>
                <w:i w:val="0"/>
                <w:iCs w:val="0"/>
                <w:color w:val="000000"/>
                <w:sz w:val="20"/>
                <w:szCs w:val="20"/>
                <w:highlight w:val="none"/>
                <w:u w:val="none"/>
              </w:rPr>
            </w:pPr>
          </w:p>
        </w:tc>
        <w:tc>
          <w:tcPr>
            <w:tcW w:w="75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F8D3F9">
            <w:pPr>
              <w:jc w:val="center"/>
              <w:rPr>
                <w:rFonts w:hint="eastAsia" w:ascii="宋体" w:hAnsi="宋体" w:eastAsia="宋体" w:cs="宋体"/>
                <w:i w:val="0"/>
                <w:iCs w:val="0"/>
                <w:color w:val="000000"/>
                <w:sz w:val="20"/>
                <w:szCs w:val="20"/>
                <w:highlight w:val="none"/>
                <w:u w:val="none"/>
              </w:rPr>
            </w:pPr>
          </w:p>
        </w:tc>
      </w:tr>
      <w:tr w14:paraId="66FC5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568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w:t>
            </w:r>
          </w:p>
        </w:tc>
        <w:tc>
          <w:tcPr>
            <w:tcW w:w="1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48A5E2">
            <w:pPr>
              <w:jc w:val="center"/>
              <w:rPr>
                <w:rFonts w:hint="eastAsia" w:ascii="宋体" w:hAnsi="宋体" w:eastAsia="宋体" w:cs="宋体"/>
                <w:b/>
                <w:bCs/>
                <w:i w:val="0"/>
                <w:iCs w:val="0"/>
                <w:color w:val="000000"/>
                <w:sz w:val="20"/>
                <w:szCs w:val="20"/>
                <w:highlight w:val="none"/>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5E5A">
            <w:pPr>
              <w:keepNext w:val="0"/>
              <w:keepLines w:val="0"/>
              <w:widowControl/>
              <w:suppressLineNumbers w:val="0"/>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输水涵管工程</w:t>
            </w:r>
          </w:p>
        </w:tc>
        <w:tc>
          <w:tcPr>
            <w:tcW w:w="369" w:type="dxa"/>
            <w:tcBorders>
              <w:top w:val="single" w:color="000000" w:sz="4" w:space="0"/>
              <w:left w:val="single" w:color="000000" w:sz="4" w:space="0"/>
              <w:bottom w:val="single" w:color="000000" w:sz="4" w:space="0"/>
              <w:right w:val="single" w:color="000000" w:sz="4" w:space="0"/>
            </w:tcBorders>
            <w:shd w:val="clear" w:color="auto" w:fill="auto"/>
            <w:vAlign w:val="top"/>
          </w:tcPr>
          <w:p w14:paraId="13C26E31">
            <w:pPr>
              <w:jc w:val="left"/>
              <w:rPr>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top"/>
          </w:tcPr>
          <w:p w14:paraId="0298C6B3">
            <w:pPr>
              <w:jc w:val="left"/>
              <w:rPr>
                <w:rFonts w:hint="eastAsia" w:ascii="宋体" w:hAnsi="宋体" w:eastAsia="宋体" w:cs="宋体"/>
                <w:b/>
                <w:bCs/>
                <w:i w:val="0"/>
                <w:iCs w:val="0"/>
                <w:color w:val="000000"/>
                <w:sz w:val="20"/>
                <w:szCs w:val="20"/>
                <w:highlight w:val="none"/>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544A">
            <w:pPr>
              <w:jc w:val="center"/>
              <w:rPr>
                <w:rFonts w:hint="eastAsia" w:ascii="宋体" w:hAnsi="宋体" w:eastAsia="宋体" w:cs="宋体"/>
                <w:b/>
                <w:bCs/>
                <w:i w:val="0"/>
                <w:iCs w:val="0"/>
                <w:color w:val="000000"/>
                <w:sz w:val="20"/>
                <w:szCs w:val="20"/>
                <w:highlight w:val="none"/>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02B15">
            <w:pPr>
              <w:jc w:val="center"/>
              <w:rPr>
                <w:rFonts w:hint="eastAsia" w:ascii="宋体" w:hAnsi="宋体" w:eastAsia="宋体" w:cs="宋体"/>
                <w:b/>
                <w:bCs/>
                <w:i w:val="0"/>
                <w:iCs w:val="0"/>
                <w:color w:val="000000"/>
                <w:sz w:val="20"/>
                <w:szCs w:val="20"/>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05936">
            <w:pPr>
              <w:jc w:val="center"/>
              <w:rPr>
                <w:rFonts w:hint="eastAsia" w:ascii="宋体" w:hAnsi="宋体" w:eastAsia="宋体" w:cs="宋体"/>
                <w:b/>
                <w:bCs/>
                <w:i w:val="0"/>
                <w:iCs w:val="0"/>
                <w:color w:val="000000"/>
                <w:sz w:val="20"/>
                <w:szCs w:val="20"/>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FED9B">
            <w:pPr>
              <w:jc w:val="center"/>
              <w:rPr>
                <w:rFonts w:hint="eastAsia" w:ascii="宋体" w:hAnsi="宋体" w:eastAsia="宋体" w:cs="宋体"/>
                <w:b/>
                <w:bCs/>
                <w:i w:val="0"/>
                <w:iCs w:val="0"/>
                <w:color w:val="000000"/>
                <w:sz w:val="20"/>
                <w:szCs w:val="20"/>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020AD">
            <w:pPr>
              <w:jc w:val="center"/>
              <w:rPr>
                <w:rFonts w:hint="eastAsia" w:ascii="宋体" w:hAnsi="宋体" w:eastAsia="宋体" w:cs="宋体"/>
                <w:b/>
                <w:bCs/>
                <w:i w:val="0"/>
                <w:iCs w:val="0"/>
                <w:color w:val="000000"/>
                <w:sz w:val="20"/>
                <w:szCs w:val="20"/>
                <w:highlight w:val="none"/>
                <w:u w:val="none"/>
              </w:rPr>
            </w:pPr>
          </w:p>
        </w:tc>
        <w:tc>
          <w:tcPr>
            <w:tcW w:w="7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C6D2CD">
            <w:pPr>
              <w:jc w:val="center"/>
              <w:rPr>
                <w:rFonts w:hint="eastAsia" w:ascii="宋体" w:hAnsi="宋体" w:eastAsia="宋体" w:cs="宋体"/>
                <w:b/>
                <w:bCs/>
                <w:i w:val="0"/>
                <w:iCs w:val="0"/>
                <w:color w:val="000000"/>
                <w:sz w:val="20"/>
                <w:szCs w:val="20"/>
                <w:highlight w:val="none"/>
                <w:u w:val="none"/>
              </w:rPr>
            </w:pPr>
          </w:p>
        </w:tc>
      </w:tr>
      <w:tr w14:paraId="7D388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D2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CA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500202009001</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171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更换闸阀（DN300-PN0.3MPa）</w:t>
            </w:r>
          </w:p>
        </w:tc>
        <w:tc>
          <w:tcPr>
            <w:tcW w:w="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F6E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2E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F035">
            <w:pPr>
              <w:jc w:val="center"/>
              <w:rPr>
                <w:rFonts w:hint="eastAsia" w:ascii="宋体" w:hAnsi="宋体" w:eastAsia="宋体" w:cs="宋体"/>
                <w:i w:val="0"/>
                <w:iCs w:val="0"/>
                <w:color w:val="000000"/>
                <w:sz w:val="20"/>
                <w:szCs w:val="20"/>
                <w:highlight w:val="none"/>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DDEC7">
            <w:pPr>
              <w:jc w:val="center"/>
              <w:rPr>
                <w:rFonts w:hint="eastAsia" w:ascii="宋体" w:hAnsi="宋体" w:eastAsia="宋体" w:cs="宋体"/>
                <w:b/>
                <w:bCs/>
                <w:i w:val="0"/>
                <w:iCs w:val="0"/>
                <w:color w:val="000000"/>
                <w:sz w:val="20"/>
                <w:szCs w:val="20"/>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FA4D3">
            <w:pPr>
              <w:jc w:val="center"/>
              <w:rPr>
                <w:rFonts w:hint="eastAsia" w:ascii="宋体" w:hAnsi="宋体" w:eastAsia="宋体" w:cs="宋体"/>
                <w:b/>
                <w:bCs/>
                <w:i w:val="0"/>
                <w:iCs w:val="0"/>
                <w:color w:val="000000"/>
                <w:sz w:val="20"/>
                <w:szCs w:val="20"/>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4FE4B">
            <w:pPr>
              <w:jc w:val="center"/>
              <w:rPr>
                <w:rFonts w:hint="eastAsia" w:ascii="宋体" w:hAnsi="宋体" w:eastAsia="宋体" w:cs="宋体"/>
                <w:i w:val="0"/>
                <w:iCs w:val="0"/>
                <w:color w:val="000000"/>
                <w:sz w:val="20"/>
                <w:szCs w:val="20"/>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DB6F45">
            <w:pPr>
              <w:jc w:val="center"/>
              <w:rPr>
                <w:rFonts w:hint="eastAsia" w:ascii="宋体" w:hAnsi="宋体" w:eastAsia="宋体" w:cs="宋体"/>
                <w:i w:val="0"/>
                <w:iCs w:val="0"/>
                <w:color w:val="000000"/>
                <w:sz w:val="20"/>
                <w:szCs w:val="20"/>
                <w:highlight w:val="none"/>
                <w:u w:val="none"/>
              </w:rPr>
            </w:pPr>
          </w:p>
        </w:tc>
        <w:tc>
          <w:tcPr>
            <w:tcW w:w="7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2B961">
            <w:pPr>
              <w:jc w:val="center"/>
              <w:rPr>
                <w:rFonts w:hint="eastAsia" w:ascii="宋体" w:hAnsi="宋体" w:eastAsia="宋体" w:cs="宋体"/>
                <w:i w:val="0"/>
                <w:iCs w:val="0"/>
                <w:color w:val="000000"/>
                <w:sz w:val="20"/>
                <w:szCs w:val="20"/>
                <w:highlight w:val="none"/>
                <w:u w:val="none"/>
              </w:rPr>
            </w:pPr>
          </w:p>
        </w:tc>
      </w:tr>
      <w:tr w14:paraId="5F613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21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C3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500202009002 </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7162">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更换闸阀（DN50-PN0.2MPa）</w:t>
            </w:r>
          </w:p>
        </w:tc>
        <w:tc>
          <w:tcPr>
            <w:tcW w:w="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B6FAB">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A0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17DA">
            <w:pPr>
              <w:jc w:val="center"/>
              <w:rPr>
                <w:rFonts w:hint="eastAsia" w:ascii="宋体" w:hAnsi="宋体" w:eastAsia="宋体" w:cs="宋体"/>
                <w:i w:val="0"/>
                <w:iCs w:val="0"/>
                <w:color w:val="000000"/>
                <w:sz w:val="20"/>
                <w:szCs w:val="20"/>
                <w:highlight w:val="none"/>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5DE2">
            <w:pPr>
              <w:jc w:val="center"/>
              <w:rPr>
                <w:rFonts w:hint="eastAsia" w:ascii="宋体" w:hAnsi="宋体" w:eastAsia="宋体" w:cs="宋体"/>
                <w:i w:val="0"/>
                <w:iCs w:val="0"/>
                <w:color w:val="000000"/>
                <w:sz w:val="20"/>
                <w:szCs w:val="20"/>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92C5F">
            <w:pPr>
              <w:jc w:val="center"/>
              <w:rPr>
                <w:rFonts w:hint="eastAsia" w:ascii="宋体" w:hAnsi="宋体" w:eastAsia="宋体" w:cs="宋体"/>
                <w:i w:val="0"/>
                <w:iCs w:val="0"/>
                <w:color w:val="000000"/>
                <w:sz w:val="20"/>
                <w:szCs w:val="20"/>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84BA3">
            <w:pPr>
              <w:jc w:val="center"/>
              <w:rPr>
                <w:rFonts w:hint="eastAsia" w:ascii="宋体" w:hAnsi="宋体" w:eastAsia="宋体" w:cs="宋体"/>
                <w:i w:val="0"/>
                <w:iCs w:val="0"/>
                <w:color w:val="000000"/>
                <w:sz w:val="20"/>
                <w:szCs w:val="20"/>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8CAAA">
            <w:pPr>
              <w:jc w:val="center"/>
              <w:rPr>
                <w:rFonts w:hint="eastAsia" w:ascii="宋体" w:hAnsi="宋体" w:eastAsia="宋体" w:cs="宋体"/>
                <w:i w:val="0"/>
                <w:iCs w:val="0"/>
                <w:color w:val="000000"/>
                <w:sz w:val="20"/>
                <w:szCs w:val="20"/>
                <w:highlight w:val="none"/>
                <w:u w:val="none"/>
              </w:rPr>
            </w:pPr>
          </w:p>
        </w:tc>
        <w:tc>
          <w:tcPr>
            <w:tcW w:w="7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E2952">
            <w:pPr>
              <w:jc w:val="center"/>
              <w:rPr>
                <w:rFonts w:hint="eastAsia" w:ascii="宋体" w:hAnsi="宋体" w:eastAsia="宋体" w:cs="宋体"/>
                <w:i w:val="0"/>
                <w:iCs w:val="0"/>
                <w:color w:val="000000"/>
                <w:sz w:val="20"/>
                <w:szCs w:val="20"/>
                <w:highlight w:val="none"/>
                <w:u w:val="none"/>
              </w:rPr>
            </w:pPr>
          </w:p>
        </w:tc>
      </w:tr>
      <w:tr w14:paraId="74585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32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C4C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w:t>
            </w:r>
          </w:p>
        </w:tc>
        <w:tc>
          <w:tcPr>
            <w:tcW w:w="3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63C6">
            <w:pPr>
              <w:jc w:val="center"/>
              <w:rPr>
                <w:highlight w:val="none"/>
              </w:rPr>
            </w:pPr>
          </w:p>
        </w:tc>
        <w:tc>
          <w:tcPr>
            <w:tcW w:w="7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0F5D9">
            <w:pPr>
              <w:jc w:val="center"/>
              <w:rPr>
                <w:rFonts w:hint="eastAsia" w:ascii="宋体" w:hAnsi="宋体" w:eastAsia="宋体" w:cs="宋体"/>
                <w:i w:val="0"/>
                <w:iCs w:val="0"/>
                <w:color w:val="000000"/>
                <w:sz w:val="20"/>
                <w:szCs w:val="20"/>
                <w:highlight w:val="none"/>
                <w:u w:val="none"/>
              </w:rPr>
            </w:pPr>
          </w:p>
        </w:tc>
        <w:tc>
          <w:tcPr>
            <w:tcW w:w="7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7DDEB">
            <w:pPr>
              <w:jc w:val="center"/>
              <w:rPr>
                <w:rFonts w:hint="eastAsia" w:ascii="宋体" w:hAnsi="宋体" w:eastAsia="宋体" w:cs="宋体"/>
                <w:i w:val="0"/>
                <w:iCs w:val="0"/>
                <w:color w:val="000000"/>
                <w:sz w:val="20"/>
                <w:szCs w:val="20"/>
                <w:highlight w:val="none"/>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41F3E">
            <w:pPr>
              <w:jc w:val="center"/>
              <w:rPr>
                <w:rFonts w:hint="eastAsia" w:ascii="宋体" w:hAnsi="宋体" w:eastAsia="宋体" w:cs="宋体"/>
                <w:i w:val="0"/>
                <w:iCs w:val="0"/>
                <w:color w:val="000000"/>
                <w:sz w:val="20"/>
                <w:szCs w:val="20"/>
                <w:highlight w:val="none"/>
                <w:u w:val="none"/>
              </w:rPr>
            </w:pPr>
          </w:p>
        </w:tc>
        <w:tc>
          <w:tcPr>
            <w:tcW w:w="10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8F6F7">
            <w:pPr>
              <w:jc w:val="center"/>
              <w:rPr>
                <w:rFonts w:hint="eastAsia" w:ascii="宋体" w:hAnsi="宋体" w:eastAsia="宋体" w:cs="宋体"/>
                <w:i w:val="0"/>
                <w:iCs w:val="0"/>
                <w:color w:val="000000"/>
                <w:sz w:val="20"/>
                <w:szCs w:val="20"/>
                <w:highlight w:val="none"/>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67DE3">
            <w:pPr>
              <w:jc w:val="center"/>
              <w:rPr>
                <w:rFonts w:hint="eastAsia" w:ascii="宋体" w:hAnsi="宋体" w:eastAsia="宋体" w:cs="宋体"/>
                <w:i w:val="0"/>
                <w:iCs w:val="0"/>
                <w:color w:val="000000"/>
                <w:sz w:val="20"/>
                <w:szCs w:val="20"/>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7459B">
            <w:pPr>
              <w:jc w:val="center"/>
              <w:rPr>
                <w:rFonts w:hint="eastAsia" w:ascii="宋体" w:hAnsi="宋体" w:eastAsia="宋体" w:cs="宋体"/>
                <w:b/>
                <w:bCs/>
                <w:i w:val="0"/>
                <w:iCs w:val="0"/>
                <w:color w:val="000000"/>
                <w:sz w:val="20"/>
                <w:szCs w:val="20"/>
                <w:highlight w:val="none"/>
                <w:u w:val="none"/>
              </w:rPr>
            </w:pPr>
          </w:p>
        </w:tc>
        <w:tc>
          <w:tcPr>
            <w:tcW w:w="7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38CB9">
            <w:pPr>
              <w:jc w:val="center"/>
              <w:rPr>
                <w:rFonts w:hint="eastAsia" w:ascii="宋体" w:hAnsi="宋体" w:eastAsia="宋体" w:cs="宋体"/>
                <w:i w:val="0"/>
                <w:iCs w:val="0"/>
                <w:color w:val="000000"/>
                <w:sz w:val="20"/>
                <w:szCs w:val="20"/>
                <w:highlight w:val="none"/>
                <w:u w:val="none"/>
              </w:rPr>
            </w:pPr>
          </w:p>
        </w:tc>
      </w:tr>
    </w:tbl>
    <w:p w14:paraId="0CF75105">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r>
    </w:p>
    <w:tbl>
      <w:tblPr>
        <w:tblStyle w:val="32"/>
        <w:tblW w:w="94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6"/>
        <w:gridCol w:w="1416"/>
        <w:gridCol w:w="3372"/>
        <w:gridCol w:w="1639"/>
        <w:gridCol w:w="2525"/>
      </w:tblGrid>
      <w:tr w14:paraId="73E03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468" w:type="dxa"/>
            <w:gridSpan w:val="5"/>
            <w:tcBorders>
              <w:top w:val="nil"/>
              <w:left w:val="nil"/>
              <w:bottom w:val="nil"/>
              <w:right w:val="nil"/>
            </w:tcBorders>
            <w:shd w:val="clear" w:color="auto" w:fill="auto"/>
            <w:noWrap/>
            <w:vAlign w:val="center"/>
          </w:tcPr>
          <w:p w14:paraId="255DA2BA">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措施项目清单计价表</w:t>
            </w:r>
          </w:p>
        </w:tc>
      </w:tr>
      <w:tr w14:paraId="05AE6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468" w:type="dxa"/>
            <w:gridSpan w:val="5"/>
            <w:tcBorders>
              <w:top w:val="nil"/>
              <w:left w:val="nil"/>
              <w:bottom w:val="single" w:color="000000" w:sz="4" w:space="0"/>
              <w:right w:val="nil"/>
            </w:tcBorders>
            <w:shd w:val="clear" w:color="auto" w:fill="auto"/>
            <w:vAlign w:val="center"/>
          </w:tcPr>
          <w:p w14:paraId="7D5D791E">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项目名称：红河县后山二台水库除险加固工程</w:t>
            </w:r>
          </w:p>
        </w:tc>
      </w:tr>
      <w:tr w14:paraId="5FB5C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EB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序号</w:t>
            </w:r>
          </w:p>
        </w:tc>
        <w:tc>
          <w:tcPr>
            <w:tcW w:w="1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81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项目编码</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DD4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32D9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金额</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元</w:t>
            </w:r>
            <w:r>
              <w:rPr>
                <w:rFonts w:hint="eastAsia" w:ascii="宋体" w:hAnsi="宋体" w:cs="宋体"/>
                <w:i w:val="0"/>
                <w:iCs w:val="0"/>
                <w:color w:val="000000"/>
                <w:kern w:val="0"/>
                <w:sz w:val="20"/>
                <w:szCs w:val="20"/>
                <w:highlight w:val="none"/>
                <w:u w:val="none"/>
                <w:lang w:val="en-US" w:eastAsia="zh-CN" w:bidi="ar"/>
              </w:rPr>
              <w:t>）</w:t>
            </w: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42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备注</w:t>
            </w:r>
          </w:p>
        </w:tc>
      </w:tr>
      <w:tr w14:paraId="016C3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1CB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93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500114002003 </w:t>
            </w:r>
          </w:p>
        </w:tc>
        <w:tc>
          <w:tcPr>
            <w:tcW w:w="33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495C">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施工安全生产措施费</w:t>
            </w:r>
          </w:p>
        </w:tc>
        <w:tc>
          <w:tcPr>
            <w:tcW w:w="16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3BFD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20000.00 </w:t>
            </w: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EC83">
            <w:pPr>
              <w:jc w:val="center"/>
              <w:rPr>
                <w:rFonts w:hint="eastAsia" w:ascii="宋体" w:hAnsi="宋体" w:eastAsia="宋体" w:cs="宋体"/>
                <w:i w:val="0"/>
                <w:iCs w:val="0"/>
                <w:color w:val="000000"/>
                <w:sz w:val="20"/>
                <w:szCs w:val="20"/>
                <w:highlight w:val="none"/>
                <w:u w:val="none"/>
              </w:rPr>
            </w:pPr>
          </w:p>
        </w:tc>
      </w:tr>
      <w:tr w14:paraId="76D4E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843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C3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500114002004 </w:t>
            </w:r>
          </w:p>
        </w:tc>
        <w:tc>
          <w:tcPr>
            <w:tcW w:w="3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9362">
            <w:pPr>
              <w:keepNext w:val="0"/>
              <w:keepLines w:val="0"/>
              <w:widowControl/>
              <w:suppressLineNumbers w:val="0"/>
              <w:jc w:val="left"/>
              <w:textAlignment w:val="center"/>
              <w:rPr>
                <w:rFonts w:ascii="宋体" w:hAnsi="宋体" w:eastAsia="宋体" w:cs="宋体"/>
                <w:i w:val="0"/>
                <w:iCs w:val="0"/>
                <w:color w:val="000000"/>
                <w:sz w:val="20"/>
                <w:szCs w:val="20"/>
                <w:highlight w:val="none"/>
                <w:u w:val="none"/>
              </w:rPr>
            </w:pPr>
            <w:r>
              <w:rPr>
                <w:rFonts w:ascii="宋体" w:hAnsi="宋体" w:eastAsia="宋体" w:cs="宋体"/>
                <w:i w:val="0"/>
                <w:iCs w:val="0"/>
                <w:color w:val="000000"/>
                <w:kern w:val="0"/>
                <w:sz w:val="20"/>
                <w:szCs w:val="20"/>
                <w:highlight w:val="none"/>
                <w:u w:val="none"/>
                <w:lang w:val="en-US" w:eastAsia="zh-CN" w:bidi="ar"/>
              </w:rPr>
              <w:t>办公 、生活及文化福利建筑</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B5B6">
            <w:pPr>
              <w:jc w:val="center"/>
              <w:rPr>
                <w:highlight w:val="none"/>
              </w:rPr>
            </w:pP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35AA">
            <w:pPr>
              <w:jc w:val="center"/>
              <w:rPr>
                <w:rFonts w:hint="eastAsia" w:ascii="宋体" w:hAnsi="宋体" w:eastAsia="宋体" w:cs="宋体"/>
                <w:i w:val="0"/>
                <w:iCs w:val="0"/>
                <w:color w:val="000000"/>
                <w:sz w:val="20"/>
                <w:szCs w:val="20"/>
                <w:highlight w:val="none"/>
                <w:u w:val="none"/>
              </w:rPr>
            </w:pPr>
          </w:p>
        </w:tc>
      </w:tr>
      <w:tr w14:paraId="04520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CF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三</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2E6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500114002005 </w:t>
            </w:r>
          </w:p>
        </w:tc>
        <w:tc>
          <w:tcPr>
            <w:tcW w:w="3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16788">
            <w:pPr>
              <w:keepNext w:val="0"/>
              <w:keepLines w:val="0"/>
              <w:widowControl/>
              <w:suppressLineNumbers w:val="0"/>
              <w:jc w:val="left"/>
              <w:textAlignment w:val="center"/>
              <w:rPr>
                <w:rFonts w:ascii="宋体" w:hAnsi="宋体" w:eastAsia="宋体" w:cs="宋体"/>
                <w:i w:val="0"/>
                <w:iCs w:val="0"/>
                <w:color w:val="000000"/>
                <w:sz w:val="20"/>
                <w:szCs w:val="20"/>
                <w:highlight w:val="none"/>
                <w:u w:val="none"/>
              </w:rPr>
            </w:pPr>
            <w:r>
              <w:rPr>
                <w:rFonts w:ascii="宋体" w:hAnsi="宋体" w:eastAsia="宋体" w:cs="宋体"/>
                <w:i w:val="0"/>
                <w:iCs w:val="0"/>
                <w:color w:val="000000"/>
                <w:kern w:val="0"/>
                <w:sz w:val="20"/>
                <w:szCs w:val="20"/>
                <w:highlight w:val="none"/>
                <w:u w:val="none"/>
                <w:lang w:val="en-US" w:eastAsia="zh-CN" w:bidi="ar"/>
              </w:rPr>
              <w:t>其他施工临时工程</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76F4">
            <w:pPr>
              <w:jc w:val="center"/>
              <w:rPr>
                <w:highlight w:val="none"/>
              </w:rPr>
            </w:pP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AD1F">
            <w:pPr>
              <w:jc w:val="center"/>
              <w:rPr>
                <w:rFonts w:hint="eastAsia" w:ascii="宋体" w:hAnsi="宋体" w:eastAsia="宋体" w:cs="宋体"/>
                <w:i w:val="0"/>
                <w:iCs w:val="0"/>
                <w:color w:val="000000"/>
                <w:sz w:val="20"/>
                <w:szCs w:val="20"/>
                <w:highlight w:val="none"/>
                <w:u w:val="none"/>
              </w:rPr>
            </w:pPr>
          </w:p>
        </w:tc>
      </w:tr>
      <w:tr w14:paraId="21254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53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07A95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ECE6">
            <w:pPr>
              <w:jc w:val="center"/>
              <w:rPr>
                <w:highlight w:val="none"/>
              </w:rPr>
            </w:pPr>
          </w:p>
        </w:tc>
        <w:tc>
          <w:tcPr>
            <w:tcW w:w="25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BD3734">
            <w:pPr>
              <w:jc w:val="center"/>
              <w:rPr>
                <w:rFonts w:hint="eastAsia" w:ascii="宋体" w:hAnsi="宋体" w:eastAsia="宋体" w:cs="宋体"/>
                <w:i w:val="0"/>
                <w:iCs w:val="0"/>
                <w:color w:val="000000"/>
                <w:sz w:val="20"/>
                <w:szCs w:val="20"/>
                <w:highlight w:val="none"/>
                <w:u w:val="none"/>
              </w:rPr>
            </w:pPr>
          </w:p>
        </w:tc>
      </w:tr>
      <w:tr w14:paraId="4709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468" w:type="dxa"/>
            <w:gridSpan w:val="5"/>
            <w:tcBorders>
              <w:top w:val="nil"/>
              <w:left w:val="nil"/>
              <w:bottom w:val="nil"/>
              <w:right w:val="nil"/>
            </w:tcBorders>
            <w:shd w:val="clear" w:color="auto" w:fill="auto"/>
            <w:noWrap/>
            <w:vAlign w:val="center"/>
          </w:tcPr>
          <w:p w14:paraId="53A7D33B">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备注：供应商报价时不得修改工程量清单中采购人列明的施工安全生产措施费金额。</w:t>
            </w:r>
          </w:p>
        </w:tc>
      </w:tr>
    </w:tbl>
    <w:p w14:paraId="451E8ACA">
      <w:pPr>
        <w:rPr>
          <w:rFonts w:hint="eastAsia" w:ascii="黑体" w:hAnsi="黑体" w:eastAsia="黑体" w:cs="黑体"/>
          <w:color w:val="auto"/>
          <w:sz w:val="36"/>
          <w:szCs w:val="36"/>
          <w:highlight w:val="red"/>
        </w:rPr>
      </w:pPr>
    </w:p>
    <w:p w14:paraId="36DCD95D">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936"/>
        <w:gridCol w:w="576"/>
        <w:gridCol w:w="756"/>
        <w:gridCol w:w="756"/>
        <w:gridCol w:w="756"/>
        <w:gridCol w:w="756"/>
        <w:gridCol w:w="756"/>
        <w:gridCol w:w="756"/>
        <w:gridCol w:w="576"/>
        <w:gridCol w:w="576"/>
        <w:gridCol w:w="936"/>
        <w:gridCol w:w="576"/>
      </w:tblGrid>
      <w:tr w14:paraId="20D48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13"/>
            <w:tcBorders>
              <w:top w:val="nil"/>
              <w:left w:val="nil"/>
              <w:bottom w:val="nil"/>
              <w:right w:val="nil"/>
            </w:tcBorders>
            <w:shd w:val="clear" w:color="auto" w:fill="auto"/>
            <w:noWrap/>
            <w:vAlign w:val="center"/>
          </w:tcPr>
          <w:p w14:paraId="3395CBEA">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工程量清单单价汇总表</w:t>
            </w:r>
          </w:p>
        </w:tc>
      </w:tr>
      <w:tr w14:paraId="44CC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13"/>
            <w:tcBorders>
              <w:top w:val="nil"/>
              <w:left w:val="nil"/>
              <w:bottom w:val="nil"/>
              <w:right w:val="nil"/>
            </w:tcBorders>
            <w:shd w:val="clear" w:color="auto" w:fill="auto"/>
            <w:noWrap/>
            <w:vAlign w:val="center"/>
          </w:tcPr>
          <w:p w14:paraId="47F784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（此表仅供参考，格式自拟）</w:t>
            </w:r>
          </w:p>
        </w:tc>
      </w:tr>
      <w:tr w14:paraId="494A2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11"/>
            <w:tcBorders>
              <w:top w:val="nil"/>
              <w:left w:val="nil"/>
              <w:bottom w:val="nil"/>
              <w:right w:val="nil"/>
            </w:tcBorders>
            <w:shd w:val="clear" w:color="auto" w:fill="auto"/>
            <w:noWrap/>
            <w:vAlign w:val="center"/>
          </w:tcPr>
          <w:p w14:paraId="484BE4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kern w:val="0"/>
                <w:sz w:val="18"/>
                <w:szCs w:val="18"/>
                <w:highlight w:val="none"/>
                <w:u w:val="none"/>
                <w:lang w:val="en-US" w:eastAsia="zh-CN" w:bidi="ar"/>
              </w:rPr>
              <w:t>项目</w:t>
            </w:r>
            <w:r>
              <w:rPr>
                <w:rFonts w:hint="eastAsia" w:ascii="宋体" w:hAnsi="宋体" w:eastAsia="宋体" w:cs="宋体"/>
                <w:i w:val="0"/>
                <w:iCs w:val="0"/>
                <w:color w:val="000000"/>
                <w:kern w:val="0"/>
                <w:sz w:val="18"/>
                <w:szCs w:val="18"/>
                <w:highlight w:val="none"/>
                <w:u w:val="none"/>
                <w:lang w:val="en-US" w:eastAsia="zh-CN" w:bidi="ar"/>
              </w:rPr>
              <w:t>名称：</w:t>
            </w:r>
          </w:p>
        </w:tc>
        <w:tc>
          <w:tcPr>
            <w:tcW w:w="0" w:type="auto"/>
            <w:tcBorders>
              <w:top w:val="nil"/>
              <w:left w:val="nil"/>
              <w:bottom w:val="nil"/>
              <w:right w:val="nil"/>
            </w:tcBorders>
            <w:shd w:val="clear" w:color="auto" w:fill="auto"/>
            <w:noWrap/>
            <w:vAlign w:val="center"/>
          </w:tcPr>
          <w:p w14:paraId="783D70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单位：元</w:t>
            </w:r>
          </w:p>
        </w:tc>
        <w:tc>
          <w:tcPr>
            <w:tcW w:w="0" w:type="auto"/>
            <w:tcBorders>
              <w:top w:val="nil"/>
              <w:left w:val="nil"/>
              <w:bottom w:val="nil"/>
              <w:right w:val="nil"/>
            </w:tcBorders>
            <w:shd w:val="clear" w:color="auto" w:fill="auto"/>
            <w:noWrap/>
            <w:vAlign w:val="center"/>
          </w:tcPr>
          <w:p w14:paraId="1AA5F5CD">
            <w:pPr>
              <w:jc w:val="right"/>
              <w:rPr>
                <w:rFonts w:hint="eastAsia" w:ascii="宋体" w:hAnsi="宋体" w:eastAsia="宋体" w:cs="宋体"/>
                <w:i w:val="0"/>
                <w:iCs w:val="0"/>
                <w:color w:val="000000"/>
                <w:sz w:val="18"/>
                <w:szCs w:val="18"/>
                <w:highlight w:val="none"/>
                <w:u w:val="none"/>
              </w:rPr>
            </w:pPr>
          </w:p>
        </w:tc>
      </w:tr>
      <w:tr w14:paraId="2B9D3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0F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编号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293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0A7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13A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24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1A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96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A84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直接费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232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间接费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FBD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利润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B5C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价差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908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6CA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r>
      <w:tr w14:paraId="0778D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A652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CB4F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314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2A32F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66C8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2E2EB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097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B61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2F47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B5B2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7F3C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506F8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104E4">
            <w:pPr>
              <w:jc w:val="center"/>
              <w:rPr>
                <w:rFonts w:hint="eastAsia" w:ascii="宋体" w:hAnsi="宋体" w:eastAsia="宋体" w:cs="宋体"/>
                <w:i w:val="0"/>
                <w:iCs w:val="0"/>
                <w:color w:val="000000"/>
                <w:sz w:val="18"/>
                <w:szCs w:val="18"/>
                <w:highlight w:val="none"/>
                <w:u w:val="none"/>
              </w:rPr>
            </w:pPr>
          </w:p>
        </w:tc>
      </w:tr>
      <w:tr w14:paraId="3CB94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347C9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2353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3E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F5597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E702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0B97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17A2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3D7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A955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5EEA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021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6FD6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C74269">
            <w:pPr>
              <w:jc w:val="center"/>
              <w:rPr>
                <w:rFonts w:hint="eastAsia" w:ascii="宋体" w:hAnsi="宋体" w:eastAsia="宋体" w:cs="宋体"/>
                <w:i w:val="0"/>
                <w:iCs w:val="0"/>
                <w:color w:val="000000"/>
                <w:sz w:val="18"/>
                <w:szCs w:val="18"/>
                <w:highlight w:val="none"/>
                <w:u w:val="none"/>
              </w:rPr>
            </w:pPr>
          </w:p>
        </w:tc>
      </w:tr>
      <w:tr w14:paraId="350A7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162F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DDE3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31D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223F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9770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0B3F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678A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51EC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7B91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87D5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524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818B4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22201A">
            <w:pPr>
              <w:jc w:val="center"/>
              <w:rPr>
                <w:rFonts w:hint="eastAsia" w:ascii="宋体" w:hAnsi="宋体" w:eastAsia="宋体" w:cs="宋体"/>
                <w:i w:val="0"/>
                <w:iCs w:val="0"/>
                <w:color w:val="000000"/>
                <w:sz w:val="18"/>
                <w:szCs w:val="18"/>
                <w:highlight w:val="none"/>
                <w:u w:val="none"/>
              </w:rPr>
            </w:pPr>
          </w:p>
        </w:tc>
      </w:tr>
      <w:tr w14:paraId="1232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2BD6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1BE1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727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F0C3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507A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2FE7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02DB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D7F35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2B5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F5D7D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D2A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B76CE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9934D">
            <w:pPr>
              <w:jc w:val="center"/>
              <w:rPr>
                <w:rFonts w:hint="eastAsia" w:ascii="宋体" w:hAnsi="宋体" w:eastAsia="宋体" w:cs="宋体"/>
                <w:i w:val="0"/>
                <w:iCs w:val="0"/>
                <w:color w:val="000000"/>
                <w:sz w:val="18"/>
                <w:szCs w:val="18"/>
                <w:highlight w:val="none"/>
                <w:u w:val="none"/>
              </w:rPr>
            </w:pPr>
          </w:p>
        </w:tc>
      </w:tr>
      <w:tr w14:paraId="36BD7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9295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585F1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F94B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DABB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6893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D01DF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5D32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C291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C4C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806A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CDA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8C9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E7C4C1">
            <w:pPr>
              <w:jc w:val="center"/>
              <w:rPr>
                <w:rFonts w:hint="eastAsia" w:ascii="宋体" w:hAnsi="宋体" w:eastAsia="宋体" w:cs="宋体"/>
                <w:i w:val="0"/>
                <w:iCs w:val="0"/>
                <w:color w:val="000000"/>
                <w:sz w:val="18"/>
                <w:szCs w:val="18"/>
                <w:highlight w:val="none"/>
                <w:u w:val="none"/>
              </w:rPr>
            </w:pPr>
          </w:p>
        </w:tc>
      </w:tr>
      <w:tr w14:paraId="04DDE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558CB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AE38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1B88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411A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C478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7E7B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15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2786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1E3F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300C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FBD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38A3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63CAA">
            <w:pPr>
              <w:jc w:val="center"/>
              <w:rPr>
                <w:rFonts w:hint="eastAsia" w:ascii="宋体" w:hAnsi="宋体" w:eastAsia="宋体" w:cs="宋体"/>
                <w:i w:val="0"/>
                <w:iCs w:val="0"/>
                <w:color w:val="000000"/>
                <w:sz w:val="18"/>
                <w:szCs w:val="18"/>
                <w:highlight w:val="none"/>
                <w:u w:val="none"/>
              </w:rPr>
            </w:pPr>
          </w:p>
        </w:tc>
      </w:tr>
      <w:tr w14:paraId="5FF89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7BA6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A15F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09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EA1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72CE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97EA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5E8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F5A5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12509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B314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681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9A85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9AECC2">
            <w:pPr>
              <w:jc w:val="center"/>
              <w:rPr>
                <w:rFonts w:hint="eastAsia" w:ascii="宋体" w:hAnsi="宋体" w:eastAsia="宋体" w:cs="宋体"/>
                <w:i w:val="0"/>
                <w:iCs w:val="0"/>
                <w:color w:val="000000"/>
                <w:sz w:val="18"/>
                <w:szCs w:val="18"/>
                <w:highlight w:val="none"/>
                <w:u w:val="none"/>
              </w:rPr>
            </w:pPr>
          </w:p>
        </w:tc>
      </w:tr>
      <w:tr w14:paraId="24415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6A5C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8F5FA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997A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4438A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EBF6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49965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FD0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214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1D1C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151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8623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3E7D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05798">
            <w:pPr>
              <w:jc w:val="center"/>
              <w:rPr>
                <w:rFonts w:hint="eastAsia" w:ascii="宋体" w:hAnsi="宋体" w:eastAsia="宋体" w:cs="宋体"/>
                <w:i w:val="0"/>
                <w:iCs w:val="0"/>
                <w:color w:val="000000"/>
                <w:sz w:val="18"/>
                <w:szCs w:val="18"/>
                <w:highlight w:val="none"/>
                <w:u w:val="none"/>
              </w:rPr>
            </w:pPr>
          </w:p>
        </w:tc>
      </w:tr>
      <w:tr w14:paraId="5CE89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25C4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8302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A0E9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86A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9290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3D9F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75E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F4B6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872C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F672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B22E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AC4D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FB705">
            <w:pPr>
              <w:jc w:val="center"/>
              <w:rPr>
                <w:rFonts w:hint="eastAsia" w:ascii="宋体" w:hAnsi="宋体" w:eastAsia="宋体" w:cs="宋体"/>
                <w:i w:val="0"/>
                <w:iCs w:val="0"/>
                <w:color w:val="000000"/>
                <w:sz w:val="18"/>
                <w:szCs w:val="18"/>
                <w:highlight w:val="none"/>
                <w:u w:val="none"/>
              </w:rPr>
            </w:pPr>
          </w:p>
        </w:tc>
      </w:tr>
      <w:tr w14:paraId="49EA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E33E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A0BD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C8E2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5B59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3C94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99CE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C00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78A3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88B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573A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660DF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86AB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0DD91">
            <w:pPr>
              <w:jc w:val="center"/>
              <w:rPr>
                <w:rFonts w:hint="eastAsia" w:ascii="宋体" w:hAnsi="宋体" w:eastAsia="宋体" w:cs="宋体"/>
                <w:i w:val="0"/>
                <w:iCs w:val="0"/>
                <w:color w:val="000000"/>
                <w:sz w:val="18"/>
                <w:szCs w:val="18"/>
                <w:highlight w:val="none"/>
                <w:u w:val="none"/>
              </w:rPr>
            </w:pPr>
          </w:p>
        </w:tc>
      </w:tr>
      <w:tr w14:paraId="3D386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036D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BEED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26D6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78E6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F5BD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5BE5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D3E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DE47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1343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1D4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A7A0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FDFB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C9EA7">
            <w:pPr>
              <w:jc w:val="center"/>
              <w:rPr>
                <w:rFonts w:hint="eastAsia" w:ascii="宋体" w:hAnsi="宋体" w:eastAsia="宋体" w:cs="宋体"/>
                <w:i w:val="0"/>
                <w:iCs w:val="0"/>
                <w:color w:val="000000"/>
                <w:sz w:val="18"/>
                <w:szCs w:val="18"/>
                <w:highlight w:val="none"/>
                <w:u w:val="none"/>
              </w:rPr>
            </w:pPr>
          </w:p>
        </w:tc>
      </w:tr>
      <w:tr w14:paraId="08A67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5A93F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19FB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B2E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832C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790B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DB98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9AED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57C2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A5FF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6A5A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6747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1B32F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72E43">
            <w:pPr>
              <w:jc w:val="center"/>
              <w:rPr>
                <w:rFonts w:hint="eastAsia" w:ascii="宋体" w:hAnsi="宋体" w:eastAsia="宋体" w:cs="宋体"/>
                <w:i w:val="0"/>
                <w:iCs w:val="0"/>
                <w:color w:val="000000"/>
                <w:sz w:val="18"/>
                <w:szCs w:val="18"/>
                <w:highlight w:val="none"/>
                <w:u w:val="none"/>
              </w:rPr>
            </w:pPr>
          </w:p>
        </w:tc>
      </w:tr>
      <w:tr w14:paraId="7DA3C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6EFC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D3819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449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C9B5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33F1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DA12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5F0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0105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3405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7AA16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68A4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CB49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FD60B4">
            <w:pPr>
              <w:jc w:val="center"/>
              <w:rPr>
                <w:rFonts w:hint="eastAsia" w:ascii="宋体" w:hAnsi="宋体" w:eastAsia="宋体" w:cs="宋体"/>
                <w:i w:val="0"/>
                <w:iCs w:val="0"/>
                <w:color w:val="000000"/>
                <w:sz w:val="18"/>
                <w:szCs w:val="18"/>
                <w:highlight w:val="none"/>
                <w:u w:val="none"/>
              </w:rPr>
            </w:pPr>
          </w:p>
        </w:tc>
      </w:tr>
      <w:tr w14:paraId="74145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F2F8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709C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EDF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E46B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E31F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396D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3733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6DC2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68B8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A506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65C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7E25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67AA0">
            <w:pPr>
              <w:jc w:val="center"/>
              <w:rPr>
                <w:rFonts w:hint="eastAsia" w:ascii="宋体" w:hAnsi="宋体" w:eastAsia="宋体" w:cs="宋体"/>
                <w:i w:val="0"/>
                <w:iCs w:val="0"/>
                <w:color w:val="000000"/>
                <w:sz w:val="18"/>
                <w:szCs w:val="18"/>
                <w:highlight w:val="none"/>
                <w:u w:val="none"/>
              </w:rPr>
            </w:pPr>
          </w:p>
        </w:tc>
      </w:tr>
      <w:tr w14:paraId="57627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E993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E454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AAD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9AA0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DFF4A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5E85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B2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A073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81D9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1B42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7606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45F3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B4F32">
            <w:pPr>
              <w:jc w:val="center"/>
              <w:rPr>
                <w:rFonts w:hint="eastAsia" w:ascii="宋体" w:hAnsi="宋体" w:eastAsia="宋体" w:cs="宋体"/>
                <w:i w:val="0"/>
                <w:iCs w:val="0"/>
                <w:color w:val="000000"/>
                <w:sz w:val="18"/>
                <w:szCs w:val="18"/>
                <w:highlight w:val="none"/>
                <w:u w:val="none"/>
              </w:rPr>
            </w:pPr>
          </w:p>
        </w:tc>
      </w:tr>
      <w:tr w14:paraId="5489B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0700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E59BE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7D7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5D03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EA20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BFF2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40C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A40A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BD7B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E05D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B1E2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FD6E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BE3037">
            <w:pPr>
              <w:jc w:val="center"/>
              <w:rPr>
                <w:rFonts w:hint="eastAsia" w:ascii="宋体" w:hAnsi="宋体" w:eastAsia="宋体" w:cs="宋体"/>
                <w:i w:val="0"/>
                <w:iCs w:val="0"/>
                <w:color w:val="000000"/>
                <w:sz w:val="18"/>
                <w:szCs w:val="18"/>
                <w:highlight w:val="none"/>
                <w:u w:val="none"/>
              </w:rPr>
            </w:pPr>
          </w:p>
        </w:tc>
      </w:tr>
      <w:tr w14:paraId="73995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63A31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A255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10A8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94D2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C0FA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E030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10A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CC7F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AE3C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4523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49C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CAB9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05DF2">
            <w:pPr>
              <w:jc w:val="center"/>
              <w:rPr>
                <w:rFonts w:hint="eastAsia" w:ascii="宋体" w:hAnsi="宋体" w:eastAsia="宋体" w:cs="宋体"/>
                <w:i w:val="0"/>
                <w:iCs w:val="0"/>
                <w:color w:val="000000"/>
                <w:sz w:val="18"/>
                <w:szCs w:val="18"/>
                <w:highlight w:val="none"/>
                <w:u w:val="none"/>
              </w:rPr>
            </w:pPr>
          </w:p>
        </w:tc>
      </w:tr>
      <w:tr w14:paraId="165CB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B68F3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FFFD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3D9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9075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D5AE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D6DD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81E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29CB2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FD5B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9AEF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C9C7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6A53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025C1">
            <w:pPr>
              <w:jc w:val="center"/>
              <w:rPr>
                <w:rFonts w:hint="eastAsia" w:ascii="宋体" w:hAnsi="宋体" w:eastAsia="宋体" w:cs="宋体"/>
                <w:i w:val="0"/>
                <w:iCs w:val="0"/>
                <w:color w:val="000000"/>
                <w:sz w:val="18"/>
                <w:szCs w:val="18"/>
                <w:highlight w:val="none"/>
                <w:u w:val="none"/>
              </w:rPr>
            </w:pPr>
          </w:p>
        </w:tc>
      </w:tr>
      <w:tr w14:paraId="08DD7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0F345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DABD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92B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B420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E552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B63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D4D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12D3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6B1C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2A5CC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AE04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A041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DB0F3">
            <w:pPr>
              <w:jc w:val="center"/>
              <w:rPr>
                <w:rFonts w:hint="eastAsia" w:ascii="宋体" w:hAnsi="宋体" w:eastAsia="宋体" w:cs="宋体"/>
                <w:i w:val="0"/>
                <w:iCs w:val="0"/>
                <w:color w:val="000000"/>
                <w:sz w:val="18"/>
                <w:szCs w:val="18"/>
                <w:highlight w:val="none"/>
                <w:u w:val="none"/>
              </w:rPr>
            </w:pPr>
          </w:p>
        </w:tc>
      </w:tr>
    </w:tbl>
    <w:p w14:paraId="1DDBF252">
      <w:pPr>
        <w:rPr>
          <w:rFonts w:hint="eastAsia" w:ascii="黑体" w:hAnsi="黑体" w:eastAsia="黑体" w:cs="黑体"/>
          <w:color w:val="auto"/>
          <w:sz w:val="36"/>
          <w:szCs w:val="36"/>
          <w:highlight w:val="red"/>
        </w:rPr>
      </w:pPr>
    </w:p>
    <w:p w14:paraId="60FBB28D">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0"/>
        <w:gridCol w:w="2557"/>
        <w:gridCol w:w="1396"/>
        <w:gridCol w:w="1477"/>
        <w:gridCol w:w="1385"/>
        <w:gridCol w:w="1362"/>
        <w:gridCol w:w="659"/>
      </w:tblGrid>
      <w:tr w14:paraId="3AAAA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9576" w:type="dxa"/>
            <w:gridSpan w:val="7"/>
            <w:tcBorders>
              <w:top w:val="nil"/>
              <w:left w:val="nil"/>
              <w:bottom w:val="nil"/>
              <w:right w:val="nil"/>
            </w:tcBorders>
            <w:shd w:val="clear" w:color="auto" w:fill="auto"/>
            <w:noWrap/>
            <w:vAlign w:val="center"/>
          </w:tcPr>
          <w:p w14:paraId="36A2AFD5">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工程单价费</w:t>
            </w:r>
            <w:r>
              <w:rPr>
                <w:rFonts w:hint="eastAsia" w:ascii="宋体" w:hAnsi="宋体" w:cs="宋体"/>
                <w:b/>
                <w:bCs/>
                <w:i w:val="0"/>
                <w:iCs w:val="0"/>
                <w:color w:val="000000"/>
                <w:kern w:val="0"/>
                <w:sz w:val="36"/>
                <w:szCs w:val="36"/>
                <w:highlight w:val="none"/>
                <w:u w:val="none"/>
                <w:lang w:val="en-US" w:eastAsia="zh-CN" w:bidi="ar"/>
              </w:rPr>
              <w:t>（</w:t>
            </w:r>
            <w:r>
              <w:rPr>
                <w:rFonts w:hint="eastAsia" w:ascii="宋体" w:hAnsi="宋体" w:eastAsia="宋体" w:cs="宋体"/>
                <w:b/>
                <w:bCs/>
                <w:i w:val="0"/>
                <w:iCs w:val="0"/>
                <w:color w:val="000000"/>
                <w:kern w:val="0"/>
                <w:sz w:val="36"/>
                <w:szCs w:val="36"/>
                <w:highlight w:val="none"/>
                <w:u w:val="none"/>
                <w:lang w:val="en-US" w:eastAsia="zh-CN" w:bidi="ar"/>
              </w:rPr>
              <w:t>税</w:t>
            </w:r>
            <w:r>
              <w:rPr>
                <w:rFonts w:hint="eastAsia" w:ascii="宋体" w:hAnsi="宋体" w:cs="宋体"/>
                <w:b/>
                <w:bCs/>
                <w:i w:val="0"/>
                <w:iCs w:val="0"/>
                <w:color w:val="000000"/>
                <w:kern w:val="0"/>
                <w:sz w:val="36"/>
                <w:szCs w:val="36"/>
                <w:highlight w:val="none"/>
                <w:u w:val="none"/>
                <w:lang w:val="en-US" w:eastAsia="zh-CN" w:bidi="ar"/>
              </w:rPr>
              <w:t>）</w:t>
            </w:r>
            <w:r>
              <w:rPr>
                <w:rFonts w:hint="eastAsia" w:ascii="宋体" w:hAnsi="宋体" w:eastAsia="宋体" w:cs="宋体"/>
                <w:b/>
                <w:bCs/>
                <w:i w:val="0"/>
                <w:iCs w:val="0"/>
                <w:color w:val="000000"/>
                <w:kern w:val="0"/>
                <w:sz w:val="36"/>
                <w:szCs w:val="36"/>
                <w:highlight w:val="none"/>
                <w:u w:val="none"/>
                <w:lang w:val="en-US" w:eastAsia="zh-CN" w:bidi="ar"/>
              </w:rPr>
              <w:t>率汇总表</w:t>
            </w:r>
          </w:p>
        </w:tc>
      </w:tr>
      <w:tr w14:paraId="183FE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576" w:type="dxa"/>
            <w:gridSpan w:val="7"/>
            <w:tcBorders>
              <w:top w:val="nil"/>
              <w:left w:val="nil"/>
              <w:bottom w:val="nil"/>
              <w:right w:val="nil"/>
            </w:tcBorders>
            <w:shd w:val="clear" w:color="auto" w:fill="auto"/>
            <w:noWrap/>
            <w:vAlign w:val="center"/>
          </w:tcPr>
          <w:p w14:paraId="51E36A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（此表仅供参考，格式自拟）</w:t>
            </w:r>
          </w:p>
        </w:tc>
      </w:tr>
      <w:tr w14:paraId="3E4D2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555" w:type="dxa"/>
            <w:gridSpan w:val="5"/>
            <w:tcBorders>
              <w:top w:val="nil"/>
              <w:left w:val="nil"/>
              <w:bottom w:val="nil"/>
              <w:right w:val="nil"/>
            </w:tcBorders>
            <w:shd w:val="clear" w:color="auto" w:fill="auto"/>
            <w:vAlign w:val="center"/>
          </w:tcPr>
          <w:p w14:paraId="6647300A">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项目名称：</w:t>
            </w:r>
          </w:p>
        </w:tc>
        <w:tc>
          <w:tcPr>
            <w:tcW w:w="2021" w:type="dxa"/>
            <w:gridSpan w:val="2"/>
            <w:tcBorders>
              <w:top w:val="nil"/>
              <w:left w:val="nil"/>
              <w:bottom w:val="nil"/>
              <w:right w:val="nil"/>
            </w:tcBorders>
            <w:shd w:val="clear" w:color="auto" w:fill="auto"/>
            <w:noWrap/>
            <w:vAlign w:val="center"/>
          </w:tcPr>
          <w:p w14:paraId="7B381230">
            <w:pPr>
              <w:jc w:val="right"/>
              <w:rPr>
                <w:rFonts w:hint="eastAsia" w:ascii="宋体" w:hAnsi="宋体" w:eastAsia="宋体" w:cs="宋体"/>
                <w:i w:val="0"/>
                <w:iCs w:val="0"/>
                <w:color w:val="000000"/>
                <w:sz w:val="20"/>
                <w:szCs w:val="20"/>
                <w:highlight w:val="none"/>
                <w:u w:val="none"/>
              </w:rPr>
            </w:pPr>
          </w:p>
        </w:tc>
      </w:tr>
      <w:tr w14:paraId="43C51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9E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25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80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工程类别</w:t>
            </w:r>
          </w:p>
        </w:tc>
        <w:tc>
          <w:tcPr>
            <w:tcW w:w="562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DC81">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2"/>
                <w:szCs w:val="22"/>
                <w:highlight w:val="none"/>
                <w:u w:val="none"/>
                <w:lang w:val="en-US" w:eastAsia="zh-CN" w:bidi="ar"/>
              </w:rPr>
              <w:t>工程单价费</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税</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率 (%)</w:t>
            </w:r>
          </w:p>
        </w:tc>
        <w:tc>
          <w:tcPr>
            <w:tcW w:w="65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C3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w:t>
            </w:r>
          </w:p>
        </w:tc>
      </w:tr>
      <w:tr w14:paraId="7CCF2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4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6C79">
            <w:pPr>
              <w:jc w:val="center"/>
              <w:rPr>
                <w:rFonts w:hint="eastAsia" w:ascii="宋体" w:hAnsi="宋体" w:eastAsia="宋体" w:cs="宋体"/>
                <w:i w:val="0"/>
                <w:iCs w:val="0"/>
                <w:color w:val="000000"/>
                <w:sz w:val="22"/>
                <w:szCs w:val="22"/>
                <w:highlight w:val="none"/>
                <w:u w:val="none"/>
              </w:rPr>
            </w:pPr>
          </w:p>
        </w:tc>
        <w:tc>
          <w:tcPr>
            <w:tcW w:w="255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A167">
            <w:pPr>
              <w:jc w:val="center"/>
              <w:rPr>
                <w:rFonts w:hint="eastAsia" w:ascii="宋体" w:hAnsi="宋体" w:eastAsia="宋体" w:cs="宋体"/>
                <w:i w:val="0"/>
                <w:iCs w:val="0"/>
                <w:color w:val="000000"/>
                <w:sz w:val="22"/>
                <w:szCs w:val="22"/>
                <w:highlight w:val="none"/>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BB0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2"/>
                <w:szCs w:val="22"/>
                <w:highlight w:val="none"/>
                <w:u w:val="none"/>
                <w:lang w:val="en-US" w:eastAsia="zh-CN" w:bidi="ar"/>
              </w:rPr>
              <w:t>其它直接费</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82B1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22"/>
                <w:szCs w:val="22"/>
                <w:highlight w:val="none"/>
                <w:u w:val="none"/>
                <w:lang w:val="en-US" w:eastAsia="zh-CN" w:bidi="ar"/>
              </w:rPr>
              <w:t>间接费</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43E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利润</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D9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税金</w:t>
            </w:r>
          </w:p>
        </w:tc>
        <w:tc>
          <w:tcPr>
            <w:tcW w:w="65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3177">
            <w:pPr>
              <w:jc w:val="center"/>
              <w:rPr>
                <w:rFonts w:hint="eastAsia" w:ascii="宋体" w:hAnsi="宋体" w:eastAsia="宋体" w:cs="宋体"/>
                <w:i w:val="0"/>
                <w:iCs w:val="0"/>
                <w:color w:val="000000"/>
                <w:sz w:val="22"/>
                <w:szCs w:val="22"/>
                <w:highlight w:val="none"/>
                <w:u w:val="none"/>
              </w:rPr>
            </w:pPr>
          </w:p>
        </w:tc>
      </w:tr>
      <w:tr w14:paraId="2C9F9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A3F0C">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1D1A">
            <w:pPr>
              <w:jc w:val="left"/>
              <w:rPr>
                <w:rFonts w:hint="eastAsia" w:ascii="宋体" w:hAnsi="宋体" w:eastAsia="宋体" w:cs="宋体"/>
                <w:b/>
                <w:bCs/>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2A1D">
            <w:pPr>
              <w:jc w:val="left"/>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F5076">
            <w:pPr>
              <w:jc w:val="left"/>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06FB">
            <w:pPr>
              <w:jc w:val="left"/>
              <w:rPr>
                <w:rFonts w:hint="eastAsia" w:ascii="宋体" w:hAnsi="宋体" w:eastAsia="宋体" w:cs="宋体"/>
                <w:b/>
                <w:bCs/>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E2F01">
            <w:pPr>
              <w:jc w:val="left"/>
              <w:rPr>
                <w:rFonts w:hint="eastAsia" w:ascii="宋体" w:hAnsi="宋体" w:eastAsia="宋体" w:cs="宋体"/>
                <w:b/>
                <w:bCs/>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3DE72">
            <w:pPr>
              <w:jc w:val="left"/>
              <w:rPr>
                <w:rFonts w:hint="eastAsia" w:ascii="宋体" w:hAnsi="宋体" w:eastAsia="宋体" w:cs="宋体"/>
                <w:b/>
                <w:bCs/>
                <w:i w:val="0"/>
                <w:iCs w:val="0"/>
                <w:color w:val="000000"/>
                <w:sz w:val="22"/>
                <w:szCs w:val="22"/>
                <w:highlight w:val="yellow"/>
                <w:u w:val="none"/>
              </w:rPr>
            </w:pPr>
          </w:p>
        </w:tc>
      </w:tr>
      <w:tr w14:paraId="3065A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18C79">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CB84">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08DC">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A838">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FA7A">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399C">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114F">
            <w:pPr>
              <w:jc w:val="center"/>
              <w:rPr>
                <w:rFonts w:hint="eastAsia" w:ascii="宋体" w:hAnsi="宋体" w:eastAsia="宋体" w:cs="宋体"/>
                <w:i w:val="0"/>
                <w:iCs w:val="0"/>
                <w:color w:val="000000"/>
                <w:sz w:val="22"/>
                <w:szCs w:val="22"/>
                <w:highlight w:val="yellow"/>
                <w:u w:val="none"/>
              </w:rPr>
            </w:pPr>
          </w:p>
        </w:tc>
      </w:tr>
      <w:tr w14:paraId="3E563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329A4">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C70E">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0182">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77F4">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D9E7">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BCDC">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1A26">
            <w:pPr>
              <w:jc w:val="center"/>
              <w:rPr>
                <w:rFonts w:hint="eastAsia" w:ascii="宋体" w:hAnsi="宋体" w:eastAsia="宋体" w:cs="宋体"/>
                <w:i w:val="0"/>
                <w:iCs w:val="0"/>
                <w:color w:val="000000"/>
                <w:sz w:val="22"/>
                <w:szCs w:val="22"/>
                <w:highlight w:val="yellow"/>
                <w:u w:val="none"/>
              </w:rPr>
            </w:pPr>
          </w:p>
        </w:tc>
      </w:tr>
      <w:tr w14:paraId="31109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7A1D">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CFE5">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39BE">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F4A5">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125B">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13EE">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21676">
            <w:pPr>
              <w:jc w:val="center"/>
              <w:rPr>
                <w:rFonts w:hint="eastAsia" w:ascii="宋体" w:hAnsi="宋体" w:eastAsia="宋体" w:cs="宋体"/>
                <w:i w:val="0"/>
                <w:iCs w:val="0"/>
                <w:color w:val="000000"/>
                <w:sz w:val="22"/>
                <w:szCs w:val="22"/>
                <w:highlight w:val="yellow"/>
                <w:u w:val="none"/>
              </w:rPr>
            </w:pPr>
          </w:p>
        </w:tc>
      </w:tr>
      <w:tr w14:paraId="15E38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26DE6">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E129">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4EE3">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CEF4">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E8CA8">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1D770">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A912">
            <w:pPr>
              <w:jc w:val="center"/>
              <w:rPr>
                <w:rFonts w:hint="eastAsia" w:ascii="宋体" w:hAnsi="宋体" w:eastAsia="宋体" w:cs="宋体"/>
                <w:i w:val="0"/>
                <w:iCs w:val="0"/>
                <w:color w:val="000000"/>
                <w:sz w:val="22"/>
                <w:szCs w:val="22"/>
                <w:highlight w:val="yellow"/>
                <w:u w:val="none"/>
              </w:rPr>
            </w:pPr>
          </w:p>
        </w:tc>
      </w:tr>
      <w:tr w14:paraId="4D58F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F0C06">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9EE5">
            <w:pPr>
              <w:jc w:val="left"/>
              <w:rPr>
                <w:rFonts w:hint="eastAsia" w:ascii="宋体" w:hAnsi="宋体" w:eastAsia="宋体" w:cs="宋体"/>
                <w:b/>
                <w:bCs/>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8717D">
            <w:pPr>
              <w:jc w:val="left"/>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276EC">
            <w:pPr>
              <w:jc w:val="left"/>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6049">
            <w:pPr>
              <w:jc w:val="left"/>
              <w:rPr>
                <w:rFonts w:hint="eastAsia" w:ascii="宋体" w:hAnsi="宋体" w:eastAsia="宋体" w:cs="宋体"/>
                <w:b/>
                <w:bCs/>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2286">
            <w:pPr>
              <w:jc w:val="left"/>
              <w:rPr>
                <w:rFonts w:hint="eastAsia" w:ascii="宋体" w:hAnsi="宋体" w:eastAsia="宋体" w:cs="宋体"/>
                <w:b/>
                <w:bCs/>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783A1">
            <w:pPr>
              <w:jc w:val="left"/>
              <w:rPr>
                <w:rFonts w:hint="eastAsia" w:ascii="宋体" w:hAnsi="宋体" w:eastAsia="宋体" w:cs="宋体"/>
                <w:b/>
                <w:bCs/>
                <w:i w:val="0"/>
                <w:iCs w:val="0"/>
                <w:color w:val="000000"/>
                <w:sz w:val="22"/>
                <w:szCs w:val="22"/>
                <w:highlight w:val="yellow"/>
                <w:u w:val="none"/>
              </w:rPr>
            </w:pPr>
          </w:p>
        </w:tc>
      </w:tr>
      <w:tr w14:paraId="5CD3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7747">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CF434">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A00C">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412E">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057B">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083E">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99423">
            <w:pPr>
              <w:jc w:val="center"/>
              <w:rPr>
                <w:rFonts w:hint="eastAsia" w:ascii="宋体" w:hAnsi="宋体" w:eastAsia="宋体" w:cs="宋体"/>
                <w:i w:val="0"/>
                <w:iCs w:val="0"/>
                <w:color w:val="000000"/>
                <w:sz w:val="22"/>
                <w:szCs w:val="22"/>
                <w:highlight w:val="yellow"/>
                <w:u w:val="none"/>
              </w:rPr>
            </w:pPr>
          </w:p>
        </w:tc>
      </w:tr>
      <w:tr w14:paraId="43438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FF24E">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2284">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A7B7">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F4145">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1A49">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ECA1">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F0D7">
            <w:pPr>
              <w:jc w:val="center"/>
              <w:rPr>
                <w:rFonts w:hint="eastAsia" w:ascii="宋体" w:hAnsi="宋体" w:eastAsia="宋体" w:cs="宋体"/>
                <w:i w:val="0"/>
                <w:iCs w:val="0"/>
                <w:color w:val="000000"/>
                <w:sz w:val="22"/>
                <w:szCs w:val="22"/>
                <w:highlight w:val="yellow"/>
                <w:u w:val="none"/>
              </w:rPr>
            </w:pPr>
          </w:p>
        </w:tc>
      </w:tr>
      <w:tr w14:paraId="09203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8D981">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D3CE">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0DFC">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F0464">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5319">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FFF2">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411C">
            <w:pPr>
              <w:jc w:val="center"/>
              <w:rPr>
                <w:rFonts w:hint="eastAsia" w:ascii="宋体" w:hAnsi="宋体" w:eastAsia="宋体" w:cs="宋体"/>
                <w:i w:val="0"/>
                <w:iCs w:val="0"/>
                <w:color w:val="000000"/>
                <w:sz w:val="22"/>
                <w:szCs w:val="22"/>
                <w:highlight w:val="yellow"/>
                <w:u w:val="none"/>
              </w:rPr>
            </w:pPr>
          </w:p>
        </w:tc>
      </w:tr>
      <w:tr w14:paraId="2172A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CB00D">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2FB9">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2380">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D99A6">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43D38">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504F">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C3662">
            <w:pPr>
              <w:jc w:val="center"/>
              <w:rPr>
                <w:rFonts w:hint="eastAsia" w:ascii="宋体" w:hAnsi="宋体" w:eastAsia="宋体" w:cs="宋体"/>
                <w:i w:val="0"/>
                <w:iCs w:val="0"/>
                <w:color w:val="000000"/>
                <w:sz w:val="22"/>
                <w:szCs w:val="22"/>
                <w:highlight w:val="yellow"/>
                <w:u w:val="none"/>
              </w:rPr>
            </w:pPr>
          </w:p>
        </w:tc>
      </w:tr>
      <w:tr w14:paraId="6033B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2C39F">
            <w:pPr>
              <w:jc w:val="center"/>
              <w:rPr>
                <w:rFonts w:hint="eastAsia" w:ascii="宋体" w:hAnsi="宋体" w:eastAsia="宋体" w:cs="宋体"/>
                <w:i w:val="0"/>
                <w:iCs w:val="0"/>
                <w:color w:val="000000"/>
                <w:sz w:val="22"/>
                <w:szCs w:val="22"/>
                <w:highlight w:val="yellow"/>
                <w:u w:val="none"/>
              </w:rPr>
            </w:pPr>
          </w:p>
        </w:tc>
        <w:tc>
          <w:tcPr>
            <w:tcW w:w="2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F702">
            <w:pPr>
              <w:jc w:val="left"/>
              <w:rPr>
                <w:rFonts w:hint="eastAsia" w:ascii="宋体" w:hAnsi="宋体" w:eastAsia="宋体" w:cs="宋体"/>
                <w:i w:val="0"/>
                <w:iCs w:val="0"/>
                <w:color w:val="000000"/>
                <w:sz w:val="22"/>
                <w:szCs w:val="22"/>
                <w:highlight w:val="yellow"/>
                <w:u w:val="none"/>
              </w:rPr>
            </w:pPr>
          </w:p>
        </w:tc>
        <w:tc>
          <w:tcPr>
            <w:tcW w:w="13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7215">
            <w:pPr>
              <w:jc w:val="center"/>
              <w:rPr>
                <w:highlight w:val="yellow"/>
              </w:rPr>
            </w:pP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27AB">
            <w:pPr>
              <w:jc w:val="center"/>
              <w:rPr>
                <w:highlight w:val="yellow"/>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24C6C">
            <w:pPr>
              <w:jc w:val="center"/>
              <w:rPr>
                <w:rFonts w:hint="eastAsia" w:ascii="宋体" w:hAnsi="宋体" w:eastAsia="宋体" w:cs="宋体"/>
                <w:i w:val="0"/>
                <w:iCs w:val="0"/>
                <w:color w:val="000000"/>
                <w:sz w:val="22"/>
                <w:szCs w:val="22"/>
                <w:highlight w:val="yellow"/>
                <w:u w:val="none"/>
              </w:rPr>
            </w:pP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FD48E">
            <w:pPr>
              <w:jc w:val="center"/>
              <w:rPr>
                <w:rFonts w:hint="eastAsia" w:ascii="宋体" w:hAnsi="宋体" w:eastAsia="宋体" w:cs="宋体"/>
                <w:i w:val="0"/>
                <w:iCs w:val="0"/>
                <w:color w:val="000000"/>
                <w:sz w:val="22"/>
                <w:szCs w:val="22"/>
                <w:highlight w:val="yellow"/>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E63F">
            <w:pPr>
              <w:jc w:val="center"/>
              <w:rPr>
                <w:rFonts w:hint="eastAsia" w:ascii="宋体" w:hAnsi="宋体" w:eastAsia="宋体" w:cs="宋体"/>
                <w:i w:val="0"/>
                <w:iCs w:val="0"/>
                <w:color w:val="000000"/>
                <w:sz w:val="22"/>
                <w:szCs w:val="22"/>
                <w:highlight w:val="yellow"/>
                <w:u w:val="none"/>
              </w:rPr>
            </w:pPr>
          </w:p>
        </w:tc>
      </w:tr>
    </w:tbl>
    <w:p w14:paraId="004E85D9">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3"/>
        <w:gridCol w:w="1373"/>
        <w:gridCol w:w="681"/>
        <w:gridCol w:w="807"/>
        <w:gridCol w:w="1085"/>
        <w:gridCol w:w="911"/>
        <w:gridCol w:w="923"/>
        <w:gridCol w:w="970"/>
        <w:gridCol w:w="1084"/>
        <w:gridCol w:w="1179"/>
      </w:tblGrid>
      <w:tr w14:paraId="7B4C5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9576" w:type="dxa"/>
            <w:gridSpan w:val="10"/>
            <w:tcBorders>
              <w:top w:val="nil"/>
              <w:left w:val="nil"/>
              <w:bottom w:val="nil"/>
              <w:right w:val="nil"/>
            </w:tcBorders>
            <w:shd w:val="clear" w:color="auto" w:fill="auto"/>
            <w:vAlign w:val="center"/>
          </w:tcPr>
          <w:p w14:paraId="62954C9B">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混凝土及砂浆配合比材料费表</w:t>
            </w:r>
          </w:p>
        </w:tc>
      </w:tr>
      <w:tr w14:paraId="2EAE9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576" w:type="dxa"/>
            <w:gridSpan w:val="10"/>
            <w:tcBorders>
              <w:top w:val="nil"/>
              <w:left w:val="nil"/>
              <w:bottom w:val="nil"/>
              <w:right w:val="nil"/>
            </w:tcBorders>
            <w:shd w:val="clear" w:color="auto" w:fill="auto"/>
            <w:vAlign w:val="center"/>
          </w:tcPr>
          <w:p w14:paraId="5E3ECC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（此表仅供参考，格式自拟）</w:t>
            </w:r>
          </w:p>
        </w:tc>
      </w:tr>
      <w:tr w14:paraId="57B25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313" w:type="dxa"/>
            <w:gridSpan w:val="8"/>
            <w:tcBorders>
              <w:top w:val="nil"/>
              <w:left w:val="nil"/>
              <w:bottom w:val="nil"/>
              <w:right w:val="nil"/>
            </w:tcBorders>
            <w:shd w:val="clear" w:color="auto" w:fill="auto"/>
            <w:noWrap/>
            <w:vAlign w:val="center"/>
          </w:tcPr>
          <w:p w14:paraId="11BAB2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2263" w:type="dxa"/>
            <w:gridSpan w:val="2"/>
            <w:tcBorders>
              <w:top w:val="nil"/>
              <w:left w:val="nil"/>
              <w:bottom w:val="nil"/>
              <w:right w:val="nil"/>
            </w:tcBorders>
            <w:shd w:val="clear" w:color="auto" w:fill="auto"/>
            <w:noWrap/>
            <w:vAlign w:val="center"/>
          </w:tcPr>
          <w:p w14:paraId="18577821">
            <w:pPr>
              <w:jc w:val="right"/>
              <w:rPr>
                <w:rFonts w:hint="eastAsia" w:ascii="宋体" w:hAnsi="宋体" w:eastAsia="宋体" w:cs="宋体"/>
                <w:i w:val="0"/>
                <w:iCs w:val="0"/>
                <w:color w:val="000000"/>
                <w:sz w:val="18"/>
                <w:szCs w:val="18"/>
                <w:highlight w:val="none"/>
                <w:u w:val="none"/>
              </w:rPr>
            </w:pPr>
          </w:p>
        </w:tc>
      </w:tr>
      <w:tr w14:paraId="6774C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5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124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13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B9D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砼或砂浆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标号</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039826">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18"/>
                <w:szCs w:val="18"/>
                <w:highlight w:val="none"/>
                <w:u w:val="none"/>
                <w:lang w:val="en-US" w:eastAsia="zh-CN" w:bidi="ar"/>
              </w:rPr>
              <w:t>级配</w:t>
            </w:r>
          </w:p>
        </w:tc>
        <w:tc>
          <w:tcPr>
            <w:tcW w:w="8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948357">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18"/>
                <w:szCs w:val="18"/>
                <w:highlight w:val="none"/>
                <w:u w:val="none"/>
                <w:lang w:val="en-US" w:eastAsia="zh-CN" w:bidi="ar"/>
              </w:rPr>
              <w:t>水泥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强度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等级</w:t>
            </w:r>
          </w:p>
        </w:tc>
        <w:tc>
          <w:tcPr>
            <w:tcW w:w="497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C43B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预算用量</w:t>
            </w:r>
          </w:p>
        </w:tc>
        <w:tc>
          <w:tcPr>
            <w:tcW w:w="11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6E4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元</w:t>
            </w:r>
            <w:r>
              <w:rPr>
                <w:rFonts w:hint="eastAsia" w:ascii="宋体" w:hAnsi="宋体" w:cs="宋体"/>
                <w:i w:val="0"/>
                <w:iCs w:val="0"/>
                <w:color w:val="000000"/>
                <w:kern w:val="0"/>
                <w:sz w:val="18"/>
                <w:szCs w:val="18"/>
                <w:highlight w:val="none"/>
                <w:u w:val="none"/>
                <w:lang w:val="en-US" w:eastAsia="zh-CN" w:bidi="ar"/>
              </w:rPr>
              <w:t>）</w:t>
            </w:r>
          </w:p>
        </w:tc>
      </w:tr>
      <w:tr w14:paraId="0ECF6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5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F7B7">
            <w:pPr>
              <w:jc w:val="center"/>
              <w:rPr>
                <w:rFonts w:hint="eastAsia" w:ascii="宋体" w:hAnsi="宋体" w:eastAsia="宋体" w:cs="宋体"/>
                <w:i w:val="0"/>
                <w:iCs w:val="0"/>
                <w:color w:val="000000"/>
                <w:sz w:val="18"/>
                <w:szCs w:val="18"/>
                <w:highlight w:val="none"/>
                <w:u w:val="none"/>
              </w:rPr>
            </w:pPr>
          </w:p>
        </w:tc>
        <w:tc>
          <w:tcPr>
            <w:tcW w:w="13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E3F6B5">
            <w:pPr>
              <w:jc w:val="center"/>
              <w:rPr>
                <w:rFonts w:hint="eastAsia" w:ascii="宋体" w:hAnsi="宋体" w:eastAsia="宋体" w:cs="宋体"/>
                <w:i w:val="0"/>
                <w:iCs w:val="0"/>
                <w:color w:val="000000"/>
                <w:sz w:val="18"/>
                <w:szCs w:val="18"/>
                <w:highlight w:val="none"/>
                <w:u w:val="none"/>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61052">
            <w:pPr>
              <w:jc w:val="center"/>
              <w:rPr>
                <w:highlight w:val="none"/>
              </w:rPr>
            </w:pPr>
          </w:p>
        </w:tc>
        <w:tc>
          <w:tcPr>
            <w:tcW w:w="8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13ED4">
            <w:pPr>
              <w:jc w:val="center"/>
              <w:rPr>
                <w:highlight w:val="none"/>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1C22D">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18"/>
                <w:szCs w:val="18"/>
                <w:highlight w:val="none"/>
                <w:u w:val="none"/>
                <w:lang w:val="en-US" w:eastAsia="zh-CN" w:bidi="ar"/>
              </w:rPr>
              <w:t>水泥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(kg)</w:t>
            </w: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880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(m³)</w:t>
            </w: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E3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石子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(m³)</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BD05C">
            <w:pPr>
              <w:keepNext w:val="0"/>
              <w:keepLines w:val="0"/>
              <w:widowControl/>
              <w:suppressLineNumbers w:val="0"/>
              <w:jc w:val="center"/>
              <w:textAlignment w:val="center"/>
              <w:rPr>
                <w:highlight w:val="none"/>
              </w:rPr>
            </w:pPr>
            <w:r>
              <w:rPr>
                <w:rFonts w:hint="eastAsia" w:ascii="宋体" w:hAnsi="宋体" w:eastAsia="宋体" w:cs="宋体"/>
                <w:i w:val="0"/>
                <w:iCs w:val="0"/>
                <w:color w:val="000000"/>
                <w:kern w:val="0"/>
                <w:sz w:val="18"/>
                <w:szCs w:val="18"/>
                <w:highlight w:val="none"/>
                <w:u w:val="none"/>
                <w:lang w:val="en-US" w:eastAsia="zh-CN" w:bidi="ar"/>
              </w:rPr>
              <w:t>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(m³)</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5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外加剂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(kg)</w:t>
            </w: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54477">
            <w:pPr>
              <w:jc w:val="center"/>
              <w:rPr>
                <w:rFonts w:hint="eastAsia" w:ascii="宋体" w:hAnsi="宋体" w:eastAsia="宋体" w:cs="宋体"/>
                <w:i w:val="0"/>
                <w:iCs w:val="0"/>
                <w:color w:val="000000"/>
                <w:sz w:val="18"/>
                <w:szCs w:val="18"/>
                <w:highlight w:val="none"/>
                <w:u w:val="none"/>
              </w:rPr>
            </w:pPr>
          </w:p>
        </w:tc>
      </w:tr>
      <w:tr w14:paraId="77D74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2DA9C">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48CB">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C78FB">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0DB1">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DD26">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244C">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D4EA3">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6262">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9DB1E">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C245">
            <w:pPr>
              <w:jc w:val="center"/>
              <w:rPr>
                <w:rFonts w:hint="eastAsia" w:ascii="宋体" w:hAnsi="宋体" w:eastAsia="宋体" w:cs="宋体"/>
                <w:i w:val="0"/>
                <w:iCs w:val="0"/>
                <w:color w:val="000000"/>
                <w:sz w:val="18"/>
                <w:szCs w:val="18"/>
                <w:highlight w:val="yellow"/>
                <w:u w:val="none"/>
              </w:rPr>
            </w:pPr>
          </w:p>
        </w:tc>
      </w:tr>
      <w:tr w14:paraId="3E1A6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45A6">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5C97">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E21B">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F0E2">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3C0A">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434E">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71FD">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1737">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5C8B7">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1FF3">
            <w:pPr>
              <w:jc w:val="center"/>
              <w:rPr>
                <w:rFonts w:hint="eastAsia" w:ascii="宋体" w:hAnsi="宋体" w:eastAsia="宋体" w:cs="宋体"/>
                <w:i w:val="0"/>
                <w:iCs w:val="0"/>
                <w:color w:val="000000"/>
                <w:sz w:val="18"/>
                <w:szCs w:val="18"/>
                <w:highlight w:val="yellow"/>
                <w:u w:val="none"/>
              </w:rPr>
            </w:pPr>
          </w:p>
        </w:tc>
      </w:tr>
      <w:tr w14:paraId="22576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7184">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239A">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7EDC">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F069">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B118">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0C0BC">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CDD0">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2228">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009E">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6503">
            <w:pPr>
              <w:jc w:val="center"/>
              <w:rPr>
                <w:rFonts w:hint="eastAsia" w:ascii="宋体" w:hAnsi="宋体" w:eastAsia="宋体" w:cs="宋体"/>
                <w:i w:val="0"/>
                <w:iCs w:val="0"/>
                <w:color w:val="000000"/>
                <w:sz w:val="18"/>
                <w:szCs w:val="18"/>
                <w:highlight w:val="yellow"/>
                <w:u w:val="none"/>
              </w:rPr>
            </w:pPr>
          </w:p>
        </w:tc>
      </w:tr>
      <w:tr w14:paraId="61656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8A551">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21A30">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EAF5">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2F738">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37C4">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AAE2B">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C473C">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AE843">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77EC">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E9F9A">
            <w:pPr>
              <w:jc w:val="center"/>
              <w:rPr>
                <w:rFonts w:hint="eastAsia" w:ascii="宋体" w:hAnsi="宋体" w:eastAsia="宋体" w:cs="宋体"/>
                <w:i w:val="0"/>
                <w:iCs w:val="0"/>
                <w:color w:val="000000"/>
                <w:sz w:val="18"/>
                <w:szCs w:val="18"/>
                <w:highlight w:val="yellow"/>
                <w:u w:val="none"/>
              </w:rPr>
            </w:pPr>
          </w:p>
        </w:tc>
      </w:tr>
      <w:tr w14:paraId="1D463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CA69">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B70F9">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E2EAB">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BF543">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9EC00">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8B029">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660E7">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4828A">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D92D6">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4804">
            <w:pPr>
              <w:jc w:val="center"/>
              <w:rPr>
                <w:rFonts w:hint="eastAsia" w:ascii="宋体" w:hAnsi="宋体" w:eastAsia="宋体" w:cs="宋体"/>
                <w:i w:val="0"/>
                <w:iCs w:val="0"/>
                <w:color w:val="000000"/>
                <w:sz w:val="18"/>
                <w:szCs w:val="18"/>
                <w:highlight w:val="yellow"/>
                <w:u w:val="none"/>
              </w:rPr>
            </w:pPr>
          </w:p>
        </w:tc>
      </w:tr>
      <w:tr w14:paraId="74427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A782">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1839">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5CC6">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76290">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305C3">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5B21">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F1415">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1DED">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B653">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84DDA">
            <w:pPr>
              <w:jc w:val="center"/>
              <w:rPr>
                <w:rFonts w:hint="eastAsia" w:ascii="宋体" w:hAnsi="宋体" w:eastAsia="宋体" w:cs="宋体"/>
                <w:i w:val="0"/>
                <w:iCs w:val="0"/>
                <w:color w:val="000000"/>
                <w:sz w:val="18"/>
                <w:szCs w:val="18"/>
                <w:highlight w:val="yellow"/>
                <w:u w:val="none"/>
              </w:rPr>
            </w:pPr>
          </w:p>
        </w:tc>
      </w:tr>
      <w:tr w14:paraId="68DE9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6F92">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15C9">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4192">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BC9D">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1D333">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4442">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6C955">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2846E">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67F4">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3735">
            <w:pPr>
              <w:jc w:val="center"/>
              <w:rPr>
                <w:rFonts w:hint="eastAsia" w:ascii="宋体" w:hAnsi="宋体" w:eastAsia="宋体" w:cs="宋体"/>
                <w:i w:val="0"/>
                <w:iCs w:val="0"/>
                <w:color w:val="000000"/>
                <w:sz w:val="18"/>
                <w:szCs w:val="18"/>
                <w:highlight w:val="yellow"/>
                <w:u w:val="none"/>
              </w:rPr>
            </w:pPr>
          </w:p>
        </w:tc>
      </w:tr>
      <w:tr w14:paraId="7AFAC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85C0B">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BC04">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019A">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719A">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FA34">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3ED7">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8CAE1">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BB10">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3F6C">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5B98">
            <w:pPr>
              <w:jc w:val="center"/>
              <w:rPr>
                <w:rFonts w:hint="eastAsia" w:ascii="宋体" w:hAnsi="宋体" w:eastAsia="宋体" w:cs="宋体"/>
                <w:i w:val="0"/>
                <w:iCs w:val="0"/>
                <w:color w:val="000000"/>
                <w:sz w:val="18"/>
                <w:szCs w:val="18"/>
                <w:highlight w:val="yellow"/>
                <w:u w:val="none"/>
              </w:rPr>
            </w:pPr>
          </w:p>
        </w:tc>
      </w:tr>
      <w:tr w14:paraId="02134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8F68">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3025">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5A406">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E01D">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9FC0">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67AB">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2F7A">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191DF">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B00C">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D3A4">
            <w:pPr>
              <w:jc w:val="center"/>
              <w:rPr>
                <w:rFonts w:hint="eastAsia" w:ascii="宋体" w:hAnsi="宋体" w:eastAsia="宋体" w:cs="宋体"/>
                <w:i w:val="0"/>
                <w:iCs w:val="0"/>
                <w:color w:val="000000"/>
                <w:sz w:val="18"/>
                <w:szCs w:val="18"/>
                <w:highlight w:val="yellow"/>
                <w:u w:val="none"/>
              </w:rPr>
            </w:pPr>
          </w:p>
        </w:tc>
      </w:tr>
      <w:tr w14:paraId="7D81E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2007">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DA00F">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66654">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D418">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44D1">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474E8">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A008">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D3288">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11BD">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5D9E8">
            <w:pPr>
              <w:jc w:val="center"/>
              <w:rPr>
                <w:rFonts w:hint="eastAsia" w:ascii="宋体" w:hAnsi="宋体" w:eastAsia="宋体" w:cs="宋体"/>
                <w:i w:val="0"/>
                <w:iCs w:val="0"/>
                <w:color w:val="000000"/>
                <w:sz w:val="18"/>
                <w:szCs w:val="18"/>
                <w:highlight w:val="yellow"/>
                <w:u w:val="none"/>
              </w:rPr>
            </w:pPr>
          </w:p>
        </w:tc>
      </w:tr>
      <w:tr w14:paraId="524A1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C9B38">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D77F">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53340">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21A5D">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5756">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2375">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E5C6">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A6E3">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46E0">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5B9D7">
            <w:pPr>
              <w:jc w:val="center"/>
              <w:rPr>
                <w:rFonts w:hint="eastAsia" w:ascii="宋体" w:hAnsi="宋体" w:eastAsia="宋体" w:cs="宋体"/>
                <w:i w:val="0"/>
                <w:iCs w:val="0"/>
                <w:color w:val="000000"/>
                <w:sz w:val="18"/>
                <w:szCs w:val="18"/>
                <w:highlight w:val="yellow"/>
                <w:u w:val="none"/>
              </w:rPr>
            </w:pPr>
          </w:p>
        </w:tc>
      </w:tr>
      <w:tr w14:paraId="41190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98F4">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F23AA">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7579">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389DB">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779C">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B7F06">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E33D">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5193">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E3C59">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C672">
            <w:pPr>
              <w:jc w:val="center"/>
              <w:rPr>
                <w:rFonts w:hint="eastAsia" w:ascii="宋体" w:hAnsi="宋体" w:eastAsia="宋体" w:cs="宋体"/>
                <w:i w:val="0"/>
                <w:iCs w:val="0"/>
                <w:color w:val="000000"/>
                <w:sz w:val="18"/>
                <w:szCs w:val="18"/>
                <w:highlight w:val="yellow"/>
                <w:u w:val="none"/>
              </w:rPr>
            </w:pPr>
          </w:p>
        </w:tc>
      </w:tr>
      <w:tr w14:paraId="1E369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A694">
            <w:pPr>
              <w:jc w:val="center"/>
              <w:rPr>
                <w:rFonts w:hint="eastAsia" w:ascii="宋体" w:hAnsi="宋体" w:eastAsia="宋体" w:cs="宋体"/>
                <w:i w:val="0"/>
                <w:iCs w:val="0"/>
                <w:color w:val="000000"/>
                <w:sz w:val="18"/>
                <w:szCs w:val="18"/>
                <w:highlight w:val="yellow"/>
                <w:u w:val="none"/>
              </w:rPr>
            </w:pP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6BB1">
            <w:pPr>
              <w:jc w:val="left"/>
              <w:rPr>
                <w:rFonts w:hint="eastAsia" w:ascii="宋体" w:hAnsi="宋体" w:eastAsia="宋体" w:cs="宋体"/>
                <w:i w:val="0"/>
                <w:iCs w:val="0"/>
                <w:color w:val="000000"/>
                <w:sz w:val="18"/>
                <w:szCs w:val="18"/>
                <w:highlight w:val="yellow"/>
                <w:u w:val="none"/>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3754E">
            <w:pPr>
              <w:jc w:val="center"/>
              <w:rPr>
                <w:highlight w:val="yellow"/>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385B">
            <w:pPr>
              <w:jc w:val="center"/>
              <w:rPr>
                <w:highlight w:val="yellow"/>
              </w:rPr>
            </w:pPr>
          </w:p>
        </w:tc>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1845">
            <w:pPr>
              <w:jc w:val="center"/>
              <w:rPr>
                <w:highlight w:val="yellow"/>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B2C">
            <w:pPr>
              <w:jc w:val="center"/>
              <w:rPr>
                <w:rFonts w:hint="eastAsia" w:ascii="宋体" w:hAnsi="宋体" w:eastAsia="宋体" w:cs="宋体"/>
                <w:i w:val="0"/>
                <w:iCs w:val="0"/>
                <w:color w:val="000000"/>
                <w:sz w:val="18"/>
                <w:szCs w:val="18"/>
                <w:highlight w:val="yellow"/>
                <w:u w:val="none"/>
              </w:rPr>
            </w:pPr>
          </w:p>
        </w:tc>
        <w:tc>
          <w:tcPr>
            <w:tcW w:w="9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A80A">
            <w:pPr>
              <w:jc w:val="center"/>
              <w:rPr>
                <w:rFonts w:hint="eastAsia" w:ascii="宋体" w:hAnsi="宋体" w:eastAsia="宋体" w:cs="宋体"/>
                <w:i w:val="0"/>
                <w:iCs w:val="0"/>
                <w:color w:val="000000"/>
                <w:sz w:val="18"/>
                <w:szCs w:val="18"/>
                <w:highlight w:val="yellow"/>
                <w:u w:val="none"/>
              </w:rPr>
            </w:pP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35F99">
            <w:pPr>
              <w:jc w:val="center"/>
              <w:rPr>
                <w:highlight w:val="yellow"/>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2FF60">
            <w:pPr>
              <w:jc w:val="center"/>
              <w:rPr>
                <w:rFonts w:hint="eastAsia" w:ascii="宋体" w:hAnsi="宋体" w:eastAsia="宋体" w:cs="宋体"/>
                <w:i w:val="0"/>
                <w:iCs w:val="0"/>
                <w:color w:val="000000"/>
                <w:sz w:val="18"/>
                <w:szCs w:val="18"/>
                <w:highlight w:val="yellow"/>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E295">
            <w:pPr>
              <w:jc w:val="center"/>
              <w:rPr>
                <w:rFonts w:hint="eastAsia" w:ascii="宋体" w:hAnsi="宋体" w:eastAsia="宋体" w:cs="宋体"/>
                <w:i w:val="0"/>
                <w:iCs w:val="0"/>
                <w:color w:val="000000"/>
                <w:sz w:val="18"/>
                <w:szCs w:val="18"/>
                <w:highlight w:val="yellow"/>
                <w:u w:val="none"/>
              </w:rPr>
            </w:pPr>
          </w:p>
        </w:tc>
      </w:tr>
      <w:tr w14:paraId="72A2C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576" w:type="dxa"/>
            <w:gridSpan w:val="10"/>
            <w:tcBorders>
              <w:top w:val="nil"/>
              <w:left w:val="nil"/>
              <w:bottom w:val="nil"/>
              <w:right w:val="nil"/>
            </w:tcBorders>
            <w:shd w:val="clear" w:color="auto" w:fill="auto"/>
            <w:noWrap/>
            <w:vAlign w:val="center"/>
          </w:tcPr>
          <w:p w14:paraId="4A2EA8C9">
            <w:pPr>
              <w:keepNext w:val="0"/>
              <w:keepLines w:val="0"/>
              <w:widowControl/>
              <w:suppressLineNumbers w:val="0"/>
              <w:jc w:val="center"/>
              <w:textAlignment w:val="center"/>
              <w:rPr>
                <w:rFonts w:hint="eastAsia" w:ascii="宋体" w:hAnsi="宋体" w:eastAsia="宋体" w:cs="宋体"/>
                <w:i w:val="0"/>
                <w:iCs w:val="0"/>
                <w:color w:val="000000"/>
                <w:sz w:val="20"/>
                <w:szCs w:val="20"/>
                <w:highlight w:val="yellow"/>
                <w:u w:val="none"/>
              </w:rPr>
            </w:pPr>
          </w:p>
        </w:tc>
      </w:tr>
    </w:tbl>
    <w:p w14:paraId="4CB2ED8A">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969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4"/>
        <w:gridCol w:w="1892"/>
        <w:gridCol w:w="1164"/>
        <w:gridCol w:w="4306"/>
        <w:gridCol w:w="1166"/>
      </w:tblGrid>
      <w:tr w14:paraId="03AC0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692" w:type="dxa"/>
            <w:gridSpan w:val="5"/>
            <w:tcBorders>
              <w:top w:val="nil"/>
              <w:left w:val="nil"/>
              <w:bottom w:val="nil"/>
              <w:right w:val="nil"/>
            </w:tcBorders>
            <w:shd w:val="clear" w:color="auto" w:fill="auto"/>
            <w:noWrap/>
            <w:vAlign w:val="center"/>
          </w:tcPr>
          <w:p w14:paraId="4DEBEA26">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主要材料预算价格汇总表</w:t>
            </w:r>
          </w:p>
        </w:tc>
      </w:tr>
      <w:tr w14:paraId="1C4F5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center"/>
          </w:tcPr>
          <w:p w14:paraId="0D133BA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（此表仅供参考，格式自拟）</w:t>
            </w:r>
          </w:p>
        </w:tc>
      </w:tr>
      <w:tr w14:paraId="78C54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692" w:type="dxa"/>
            <w:gridSpan w:val="5"/>
            <w:tcBorders>
              <w:top w:val="nil"/>
              <w:left w:val="nil"/>
              <w:bottom w:val="nil"/>
              <w:right w:val="nil"/>
            </w:tcBorders>
            <w:shd w:val="clear" w:color="auto" w:fill="auto"/>
            <w:vAlign w:val="center"/>
          </w:tcPr>
          <w:p w14:paraId="5FDA38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kern w:val="0"/>
                <w:sz w:val="18"/>
                <w:szCs w:val="18"/>
                <w:highlight w:val="none"/>
                <w:u w:val="none"/>
                <w:lang w:val="en-US" w:eastAsia="zh-CN" w:bidi="ar"/>
              </w:rPr>
              <w:t>项目</w:t>
            </w:r>
            <w:r>
              <w:rPr>
                <w:rFonts w:hint="eastAsia" w:ascii="宋体" w:hAnsi="宋体" w:eastAsia="宋体" w:cs="宋体"/>
                <w:i w:val="0"/>
                <w:iCs w:val="0"/>
                <w:color w:val="000000"/>
                <w:kern w:val="0"/>
                <w:sz w:val="18"/>
                <w:szCs w:val="18"/>
                <w:highlight w:val="none"/>
                <w:u w:val="none"/>
                <w:lang w:val="en-US" w:eastAsia="zh-CN" w:bidi="ar"/>
              </w:rPr>
              <w:t>名称：</w:t>
            </w:r>
          </w:p>
        </w:tc>
      </w:tr>
      <w:tr w14:paraId="05B5A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A4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27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A75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8BE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预算价格</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D7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73219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D4FD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36E6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D6B0">
            <w:pPr>
              <w:jc w:val="center"/>
              <w:rPr>
                <w:rFonts w:hint="eastAsia" w:ascii="宋体" w:hAnsi="宋体" w:eastAsia="宋体" w:cs="宋体"/>
                <w:i w:val="0"/>
                <w:iCs w:val="0"/>
                <w:color w:val="000000"/>
                <w:sz w:val="18"/>
                <w:szCs w:val="18"/>
                <w:highlight w:val="none"/>
                <w:u w:val="none"/>
              </w:rPr>
            </w:pP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682F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24AC">
            <w:pPr>
              <w:jc w:val="center"/>
              <w:rPr>
                <w:rFonts w:hint="eastAsia" w:ascii="宋体" w:hAnsi="宋体" w:eastAsia="宋体" w:cs="宋体"/>
                <w:i w:val="0"/>
                <w:iCs w:val="0"/>
                <w:color w:val="000000"/>
                <w:sz w:val="18"/>
                <w:szCs w:val="18"/>
                <w:highlight w:val="none"/>
                <w:u w:val="none"/>
              </w:rPr>
            </w:pPr>
          </w:p>
        </w:tc>
      </w:tr>
      <w:tr w14:paraId="4FA57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B9C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60D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4DBB">
            <w:pPr>
              <w:jc w:val="center"/>
              <w:rPr>
                <w:rFonts w:hint="eastAsia" w:ascii="宋体" w:hAnsi="宋体" w:eastAsia="宋体" w:cs="宋体"/>
                <w:i w:val="0"/>
                <w:iCs w:val="0"/>
                <w:color w:val="000000"/>
                <w:sz w:val="18"/>
                <w:szCs w:val="18"/>
                <w:highlight w:val="none"/>
                <w:u w:val="none"/>
              </w:rPr>
            </w:pP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1BE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E3691">
            <w:pPr>
              <w:jc w:val="center"/>
              <w:rPr>
                <w:rFonts w:hint="eastAsia" w:ascii="宋体" w:hAnsi="宋体" w:eastAsia="宋体" w:cs="宋体"/>
                <w:i w:val="0"/>
                <w:iCs w:val="0"/>
                <w:color w:val="000000"/>
                <w:sz w:val="18"/>
                <w:szCs w:val="18"/>
                <w:highlight w:val="none"/>
                <w:u w:val="none"/>
              </w:rPr>
            </w:pPr>
          </w:p>
        </w:tc>
      </w:tr>
      <w:tr w14:paraId="443F3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2B3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AF8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91D2">
            <w:pPr>
              <w:jc w:val="center"/>
              <w:rPr>
                <w:rFonts w:hint="eastAsia" w:ascii="宋体" w:hAnsi="宋体" w:eastAsia="宋体" w:cs="宋体"/>
                <w:i w:val="0"/>
                <w:iCs w:val="0"/>
                <w:color w:val="000000"/>
                <w:sz w:val="18"/>
                <w:szCs w:val="18"/>
                <w:highlight w:val="none"/>
                <w:u w:val="none"/>
              </w:rPr>
            </w:pP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3E3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C49F">
            <w:pPr>
              <w:jc w:val="center"/>
              <w:rPr>
                <w:rFonts w:hint="eastAsia" w:ascii="宋体" w:hAnsi="宋体" w:eastAsia="宋体" w:cs="宋体"/>
                <w:i w:val="0"/>
                <w:iCs w:val="0"/>
                <w:color w:val="000000"/>
                <w:sz w:val="18"/>
                <w:szCs w:val="18"/>
                <w:highlight w:val="none"/>
                <w:u w:val="none"/>
              </w:rPr>
            </w:pPr>
          </w:p>
        </w:tc>
      </w:tr>
      <w:tr w14:paraId="3C6C7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416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04C7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2AF8">
            <w:pPr>
              <w:jc w:val="center"/>
              <w:rPr>
                <w:rFonts w:hint="eastAsia" w:ascii="宋体" w:hAnsi="宋体" w:eastAsia="宋体" w:cs="宋体"/>
                <w:i w:val="0"/>
                <w:iCs w:val="0"/>
                <w:color w:val="000000"/>
                <w:sz w:val="18"/>
                <w:szCs w:val="18"/>
                <w:highlight w:val="none"/>
                <w:u w:val="none"/>
              </w:rPr>
            </w:pP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2AE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5F91">
            <w:pPr>
              <w:jc w:val="center"/>
              <w:rPr>
                <w:rFonts w:hint="eastAsia" w:ascii="宋体" w:hAnsi="宋体" w:eastAsia="宋体" w:cs="宋体"/>
                <w:i w:val="0"/>
                <w:iCs w:val="0"/>
                <w:color w:val="000000"/>
                <w:sz w:val="18"/>
                <w:szCs w:val="18"/>
                <w:highlight w:val="none"/>
                <w:u w:val="none"/>
              </w:rPr>
            </w:pPr>
          </w:p>
        </w:tc>
      </w:tr>
      <w:tr w14:paraId="4CFC6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5473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874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59B99">
            <w:pPr>
              <w:jc w:val="center"/>
              <w:rPr>
                <w:rFonts w:hint="eastAsia" w:ascii="宋体" w:hAnsi="宋体" w:eastAsia="宋体" w:cs="宋体"/>
                <w:i w:val="0"/>
                <w:iCs w:val="0"/>
                <w:color w:val="000000"/>
                <w:sz w:val="18"/>
                <w:szCs w:val="18"/>
                <w:highlight w:val="none"/>
                <w:u w:val="none"/>
              </w:rPr>
            </w:pPr>
          </w:p>
        </w:tc>
        <w:tc>
          <w:tcPr>
            <w:tcW w:w="3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964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B25C">
            <w:pPr>
              <w:jc w:val="center"/>
              <w:rPr>
                <w:rFonts w:hint="eastAsia" w:ascii="宋体" w:hAnsi="宋体" w:eastAsia="宋体" w:cs="宋体"/>
                <w:i w:val="0"/>
                <w:iCs w:val="0"/>
                <w:color w:val="000000"/>
                <w:sz w:val="18"/>
                <w:szCs w:val="18"/>
                <w:highlight w:val="none"/>
                <w:u w:val="none"/>
              </w:rPr>
            </w:pPr>
          </w:p>
        </w:tc>
      </w:tr>
      <w:tr w14:paraId="74AC1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B96E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93DC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EDC8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3E7D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FDB8">
            <w:pPr>
              <w:jc w:val="center"/>
              <w:rPr>
                <w:rFonts w:hint="eastAsia" w:ascii="宋体" w:hAnsi="宋体" w:eastAsia="宋体" w:cs="宋体"/>
                <w:i w:val="0"/>
                <w:iCs w:val="0"/>
                <w:color w:val="000000"/>
                <w:sz w:val="18"/>
                <w:szCs w:val="18"/>
                <w:highlight w:val="none"/>
                <w:u w:val="none"/>
              </w:rPr>
            </w:pPr>
          </w:p>
        </w:tc>
      </w:tr>
      <w:tr w14:paraId="09DCC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6C26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CFB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A79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98CA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89F6">
            <w:pPr>
              <w:jc w:val="center"/>
              <w:rPr>
                <w:rFonts w:hint="eastAsia" w:ascii="宋体" w:hAnsi="宋体" w:eastAsia="宋体" w:cs="宋体"/>
                <w:i w:val="0"/>
                <w:iCs w:val="0"/>
                <w:color w:val="000000"/>
                <w:sz w:val="18"/>
                <w:szCs w:val="18"/>
                <w:highlight w:val="none"/>
                <w:u w:val="none"/>
              </w:rPr>
            </w:pPr>
          </w:p>
        </w:tc>
      </w:tr>
      <w:tr w14:paraId="53D76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CFB7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76F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96B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B11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4C5B">
            <w:pPr>
              <w:jc w:val="center"/>
              <w:rPr>
                <w:rFonts w:hint="eastAsia" w:ascii="宋体" w:hAnsi="宋体" w:eastAsia="宋体" w:cs="宋体"/>
                <w:i w:val="0"/>
                <w:iCs w:val="0"/>
                <w:color w:val="000000"/>
                <w:sz w:val="18"/>
                <w:szCs w:val="18"/>
                <w:highlight w:val="none"/>
                <w:u w:val="none"/>
              </w:rPr>
            </w:pPr>
          </w:p>
        </w:tc>
      </w:tr>
      <w:tr w14:paraId="265E2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4570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C0F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794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4AA0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AEFB">
            <w:pPr>
              <w:jc w:val="center"/>
              <w:rPr>
                <w:rFonts w:hint="eastAsia" w:ascii="宋体" w:hAnsi="宋体" w:eastAsia="宋体" w:cs="宋体"/>
                <w:i w:val="0"/>
                <w:iCs w:val="0"/>
                <w:color w:val="000000"/>
                <w:sz w:val="18"/>
                <w:szCs w:val="18"/>
                <w:highlight w:val="none"/>
                <w:u w:val="none"/>
              </w:rPr>
            </w:pPr>
          </w:p>
        </w:tc>
      </w:tr>
      <w:tr w14:paraId="65518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F92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12A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2213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336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A853">
            <w:pPr>
              <w:jc w:val="center"/>
              <w:rPr>
                <w:rFonts w:hint="eastAsia" w:ascii="宋体" w:hAnsi="宋体" w:eastAsia="宋体" w:cs="宋体"/>
                <w:i w:val="0"/>
                <w:iCs w:val="0"/>
                <w:color w:val="000000"/>
                <w:sz w:val="18"/>
                <w:szCs w:val="18"/>
                <w:highlight w:val="none"/>
                <w:u w:val="none"/>
              </w:rPr>
            </w:pPr>
          </w:p>
        </w:tc>
      </w:tr>
      <w:tr w14:paraId="2846A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349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650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26D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691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673B6">
            <w:pPr>
              <w:jc w:val="center"/>
              <w:rPr>
                <w:rFonts w:hint="eastAsia" w:ascii="宋体" w:hAnsi="宋体" w:eastAsia="宋体" w:cs="宋体"/>
                <w:i w:val="0"/>
                <w:iCs w:val="0"/>
                <w:color w:val="000000"/>
                <w:sz w:val="18"/>
                <w:szCs w:val="18"/>
                <w:highlight w:val="none"/>
                <w:u w:val="none"/>
              </w:rPr>
            </w:pPr>
          </w:p>
        </w:tc>
      </w:tr>
      <w:tr w14:paraId="03EAD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EE5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78D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7C0C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B93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D2693">
            <w:pPr>
              <w:jc w:val="center"/>
              <w:rPr>
                <w:rFonts w:hint="eastAsia" w:ascii="宋体" w:hAnsi="宋体" w:eastAsia="宋体" w:cs="宋体"/>
                <w:i w:val="0"/>
                <w:iCs w:val="0"/>
                <w:color w:val="000000"/>
                <w:sz w:val="18"/>
                <w:szCs w:val="18"/>
                <w:highlight w:val="none"/>
                <w:u w:val="none"/>
              </w:rPr>
            </w:pPr>
          </w:p>
        </w:tc>
      </w:tr>
      <w:tr w14:paraId="47F0C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92D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4DB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BB2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80D0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F029F">
            <w:pPr>
              <w:jc w:val="center"/>
              <w:rPr>
                <w:rFonts w:hint="eastAsia" w:ascii="宋体" w:hAnsi="宋体" w:eastAsia="宋体" w:cs="宋体"/>
                <w:i w:val="0"/>
                <w:iCs w:val="0"/>
                <w:color w:val="000000"/>
                <w:sz w:val="18"/>
                <w:szCs w:val="18"/>
                <w:highlight w:val="none"/>
                <w:u w:val="none"/>
              </w:rPr>
            </w:pPr>
          </w:p>
        </w:tc>
      </w:tr>
      <w:tr w14:paraId="7C3EE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ADB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3B49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2F4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642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6F61">
            <w:pPr>
              <w:jc w:val="center"/>
              <w:rPr>
                <w:rFonts w:hint="eastAsia" w:ascii="宋体" w:hAnsi="宋体" w:eastAsia="宋体" w:cs="宋体"/>
                <w:i w:val="0"/>
                <w:iCs w:val="0"/>
                <w:color w:val="000000"/>
                <w:sz w:val="18"/>
                <w:szCs w:val="18"/>
                <w:highlight w:val="none"/>
                <w:u w:val="none"/>
              </w:rPr>
            </w:pPr>
          </w:p>
        </w:tc>
      </w:tr>
      <w:tr w14:paraId="74973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8935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DD49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D57C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331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C967">
            <w:pPr>
              <w:jc w:val="center"/>
              <w:rPr>
                <w:rFonts w:hint="eastAsia" w:ascii="宋体" w:hAnsi="宋体" w:eastAsia="宋体" w:cs="宋体"/>
                <w:i w:val="0"/>
                <w:iCs w:val="0"/>
                <w:color w:val="000000"/>
                <w:sz w:val="18"/>
                <w:szCs w:val="18"/>
                <w:highlight w:val="none"/>
                <w:u w:val="none"/>
              </w:rPr>
            </w:pPr>
          </w:p>
        </w:tc>
      </w:tr>
      <w:tr w14:paraId="0575C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997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E430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711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95DA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45059">
            <w:pPr>
              <w:jc w:val="center"/>
              <w:rPr>
                <w:rFonts w:hint="eastAsia" w:ascii="宋体" w:hAnsi="宋体" w:eastAsia="宋体" w:cs="宋体"/>
                <w:i w:val="0"/>
                <w:iCs w:val="0"/>
                <w:color w:val="000000"/>
                <w:sz w:val="18"/>
                <w:szCs w:val="18"/>
                <w:highlight w:val="none"/>
                <w:u w:val="none"/>
              </w:rPr>
            </w:pPr>
          </w:p>
        </w:tc>
      </w:tr>
      <w:tr w14:paraId="3D3B4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A88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103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FF61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158F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A7E2B">
            <w:pPr>
              <w:jc w:val="center"/>
              <w:rPr>
                <w:rFonts w:hint="eastAsia" w:ascii="宋体" w:hAnsi="宋体" w:eastAsia="宋体" w:cs="宋体"/>
                <w:i w:val="0"/>
                <w:iCs w:val="0"/>
                <w:color w:val="000000"/>
                <w:sz w:val="18"/>
                <w:szCs w:val="18"/>
                <w:highlight w:val="none"/>
                <w:u w:val="none"/>
              </w:rPr>
            </w:pPr>
          </w:p>
        </w:tc>
      </w:tr>
      <w:tr w14:paraId="09B51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2DE3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AB1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7F8F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0EE3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077A">
            <w:pPr>
              <w:jc w:val="center"/>
              <w:rPr>
                <w:rFonts w:hint="eastAsia" w:ascii="宋体" w:hAnsi="宋体" w:eastAsia="宋体" w:cs="宋体"/>
                <w:i w:val="0"/>
                <w:iCs w:val="0"/>
                <w:color w:val="000000"/>
                <w:sz w:val="18"/>
                <w:szCs w:val="18"/>
                <w:highlight w:val="none"/>
                <w:u w:val="none"/>
              </w:rPr>
            </w:pPr>
          </w:p>
        </w:tc>
      </w:tr>
      <w:tr w14:paraId="42B4F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6C5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AB4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7614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3C5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EA59">
            <w:pPr>
              <w:jc w:val="center"/>
              <w:rPr>
                <w:rFonts w:hint="eastAsia" w:ascii="宋体" w:hAnsi="宋体" w:eastAsia="宋体" w:cs="宋体"/>
                <w:i w:val="0"/>
                <w:iCs w:val="0"/>
                <w:color w:val="000000"/>
                <w:sz w:val="18"/>
                <w:szCs w:val="18"/>
                <w:highlight w:val="none"/>
                <w:u w:val="none"/>
              </w:rPr>
            </w:pPr>
          </w:p>
        </w:tc>
      </w:tr>
      <w:tr w14:paraId="20DC3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A2CD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21F7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4864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FC0B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361C2">
            <w:pPr>
              <w:jc w:val="center"/>
              <w:rPr>
                <w:rFonts w:hint="eastAsia" w:ascii="宋体" w:hAnsi="宋体" w:eastAsia="宋体" w:cs="宋体"/>
                <w:i w:val="0"/>
                <w:iCs w:val="0"/>
                <w:color w:val="000000"/>
                <w:sz w:val="18"/>
                <w:szCs w:val="18"/>
                <w:highlight w:val="none"/>
                <w:u w:val="none"/>
              </w:rPr>
            </w:pPr>
          </w:p>
        </w:tc>
      </w:tr>
      <w:tr w14:paraId="5CB8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743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66F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FE3F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F8B9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A023">
            <w:pPr>
              <w:jc w:val="center"/>
              <w:rPr>
                <w:rFonts w:hint="eastAsia" w:ascii="宋体" w:hAnsi="宋体" w:eastAsia="宋体" w:cs="宋体"/>
                <w:i w:val="0"/>
                <w:iCs w:val="0"/>
                <w:color w:val="000000"/>
                <w:sz w:val="18"/>
                <w:szCs w:val="18"/>
                <w:highlight w:val="none"/>
                <w:u w:val="none"/>
              </w:rPr>
            </w:pPr>
          </w:p>
        </w:tc>
      </w:tr>
      <w:tr w14:paraId="146DA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268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B7A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DF6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451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C7EBE">
            <w:pPr>
              <w:jc w:val="center"/>
              <w:rPr>
                <w:rFonts w:hint="eastAsia" w:ascii="宋体" w:hAnsi="宋体" w:eastAsia="宋体" w:cs="宋体"/>
                <w:i w:val="0"/>
                <w:iCs w:val="0"/>
                <w:color w:val="000000"/>
                <w:sz w:val="18"/>
                <w:szCs w:val="18"/>
                <w:highlight w:val="none"/>
                <w:u w:val="none"/>
              </w:rPr>
            </w:pPr>
          </w:p>
        </w:tc>
      </w:tr>
      <w:tr w14:paraId="3B29E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7C08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419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1667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DCDD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07F6">
            <w:pPr>
              <w:jc w:val="center"/>
              <w:rPr>
                <w:rFonts w:hint="eastAsia" w:ascii="宋体" w:hAnsi="宋体" w:eastAsia="宋体" w:cs="宋体"/>
                <w:i w:val="0"/>
                <w:iCs w:val="0"/>
                <w:color w:val="000000"/>
                <w:sz w:val="18"/>
                <w:szCs w:val="18"/>
                <w:highlight w:val="none"/>
                <w:u w:val="none"/>
              </w:rPr>
            </w:pPr>
          </w:p>
        </w:tc>
      </w:tr>
      <w:tr w14:paraId="02E92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56E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2AE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81E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B57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BAAB">
            <w:pPr>
              <w:jc w:val="center"/>
              <w:rPr>
                <w:rFonts w:hint="eastAsia" w:ascii="宋体" w:hAnsi="宋体" w:eastAsia="宋体" w:cs="宋体"/>
                <w:i w:val="0"/>
                <w:iCs w:val="0"/>
                <w:color w:val="000000"/>
                <w:sz w:val="18"/>
                <w:szCs w:val="18"/>
                <w:highlight w:val="none"/>
                <w:u w:val="none"/>
              </w:rPr>
            </w:pPr>
          </w:p>
        </w:tc>
      </w:tr>
      <w:tr w14:paraId="0E0CD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B550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665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5BD7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C24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FC2E">
            <w:pPr>
              <w:jc w:val="center"/>
              <w:rPr>
                <w:rFonts w:hint="eastAsia" w:ascii="宋体" w:hAnsi="宋体" w:eastAsia="宋体" w:cs="宋体"/>
                <w:i w:val="0"/>
                <w:iCs w:val="0"/>
                <w:color w:val="000000"/>
                <w:sz w:val="18"/>
                <w:szCs w:val="18"/>
                <w:highlight w:val="none"/>
                <w:u w:val="none"/>
              </w:rPr>
            </w:pPr>
          </w:p>
        </w:tc>
      </w:tr>
      <w:tr w14:paraId="6AB5A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43C2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570A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8610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49E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8EF8">
            <w:pPr>
              <w:jc w:val="center"/>
              <w:rPr>
                <w:rFonts w:hint="eastAsia" w:ascii="宋体" w:hAnsi="宋体" w:eastAsia="宋体" w:cs="宋体"/>
                <w:i w:val="0"/>
                <w:iCs w:val="0"/>
                <w:color w:val="000000"/>
                <w:sz w:val="18"/>
                <w:szCs w:val="18"/>
                <w:highlight w:val="none"/>
                <w:u w:val="none"/>
              </w:rPr>
            </w:pPr>
          </w:p>
        </w:tc>
      </w:tr>
      <w:tr w14:paraId="7E6CB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701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8ED7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3E3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649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4DD6">
            <w:pPr>
              <w:jc w:val="center"/>
              <w:rPr>
                <w:rFonts w:hint="eastAsia" w:ascii="宋体" w:hAnsi="宋体" w:eastAsia="宋体" w:cs="宋体"/>
                <w:i w:val="0"/>
                <w:iCs w:val="0"/>
                <w:color w:val="000000"/>
                <w:sz w:val="18"/>
                <w:szCs w:val="18"/>
                <w:highlight w:val="none"/>
                <w:u w:val="none"/>
              </w:rPr>
            </w:pPr>
          </w:p>
        </w:tc>
      </w:tr>
      <w:tr w14:paraId="2863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B8F0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226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0A7E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64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8CD2">
            <w:pPr>
              <w:jc w:val="center"/>
              <w:rPr>
                <w:rFonts w:hint="eastAsia" w:ascii="宋体" w:hAnsi="宋体" w:eastAsia="宋体" w:cs="宋体"/>
                <w:i w:val="0"/>
                <w:iCs w:val="0"/>
                <w:color w:val="000000"/>
                <w:sz w:val="18"/>
                <w:szCs w:val="18"/>
                <w:highlight w:val="none"/>
                <w:u w:val="none"/>
              </w:rPr>
            </w:pPr>
          </w:p>
        </w:tc>
      </w:tr>
      <w:tr w14:paraId="05901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368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1C1D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8AA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E4F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4A3B">
            <w:pPr>
              <w:jc w:val="center"/>
              <w:rPr>
                <w:rFonts w:hint="eastAsia" w:ascii="宋体" w:hAnsi="宋体" w:eastAsia="宋体" w:cs="宋体"/>
                <w:i w:val="0"/>
                <w:iCs w:val="0"/>
                <w:color w:val="000000"/>
                <w:sz w:val="18"/>
                <w:szCs w:val="18"/>
                <w:highlight w:val="none"/>
                <w:u w:val="none"/>
              </w:rPr>
            </w:pPr>
          </w:p>
        </w:tc>
      </w:tr>
      <w:tr w14:paraId="1CEE7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B6F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0B07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52F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8C1E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BE446">
            <w:pPr>
              <w:jc w:val="center"/>
              <w:rPr>
                <w:rFonts w:hint="eastAsia" w:ascii="宋体" w:hAnsi="宋体" w:eastAsia="宋体" w:cs="宋体"/>
                <w:i w:val="0"/>
                <w:iCs w:val="0"/>
                <w:color w:val="000000"/>
                <w:sz w:val="18"/>
                <w:szCs w:val="18"/>
                <w:highlight w:val="none"/>
                <w:u w:val="none"/>
              </w:rPr>
            </w:pPr>
          </w:p>
        </w:tc>
      </w:tr>
    </w:tbl>
    <w:p w14:paraId="1BFA5B3A">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97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5"/>
        <w:gridCol w:w="1356"/>
        <w:gridCol w:w="3122"/>
        <w:gridCol w:w="1068"/>
        <w:gridCol w:w="1171"/>
        <w:gridCol w:w="1201"/>
        <w:gridCol w:w="1220"/>
      </w:tblGrid>
      <w:tr w14:paraId="286A9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9793" w:type="dxa"/>
            <w:gridSpan w:val="7"/>
            <w:tcBorders>
              <w:top w:val="nil"/>
              <w:left w:val="nil"/>
              <w:bottom w:val="nil"/>
              <w:right w:val="nil"/>
            </w:tcBorders>
            <w:shd w:val="clear" w:color="auto" w:fill="auto"/>
            <w:noWrap/>
            <w:vAlign w:val="center"/>
          </w:tcPr>
          <w:p w14:paraId="2DE84A6D">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施工机械台时汇总表</w:t>
            </w:r>
          </w:p>
        </w:tc>
      </w:tr>
      <w:tr w14:paraId="58A57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322573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（此表仅供参考，格式自拟）</w:t>
            </w:r>
          </w:p>
        </w:tc>
      </w:tr>
      <w:tr w14:paraId="6CC3F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8573" w:type="dxa"/>
            <w:gridSpan w:val="6"/>
            <w:tcBorders>
              <w:top w:val="nil"/>
              <w:left w:val="nil"/>
              <w:bottom w:val="nil"/>
              <w:right w:val="nil"/>
            </w:tcBorders>
            <w:shd w:val="clear" w:color="auto" w:fill="auto"/>
            <w:vAlign w:val="center"/>
          </w:tcPr>
          <w:p w14:paraId="03B952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kern w:val="0"/>
                <w:sz w:val="18"/>
                <w:szCs w:val="18"/>
                <w:highlight w:val="none"/>
                <w:u w:val="none"/>
                <w:lang w:val="en-US" w:eastAsia="zh-CN" w:bidi="ar"/>
              </w:rPr>
              <w:t>项目</w:t>
            </w:r>
            <w:r>
              <w:rPr>
                <w:rFonts w:hint="eastAsia" w:ascii="宋体" w:hAnsi="宋体" w:eastAsia="宋体" w:cs="宋体"/>
                <w:i w:val="0"/>
                <w:iCs w:val="0"/>
                <w:color w:val="000000"/>
                <w:kern w:val="0"/>
                <w:sz w:val="18"/>
                <w:szCs w:val="18"/>
                <w:highlight w:val="none"/>
                <w:u w:val="none"/>
                <w:lang w:val="en-US" w:eastAsia="zh-CN" w:bidi="ar"/>
              </w:rPr>
              <w:t>名称：</w:t>
            </w:r>
          </w:p>
        </w:tc>
        <w:tc>
          <w:tcPr>
            <w:tcW w:w="0" w:type="auto"/>
            <w:tcBorders>
              <w:top w:val="nil"/>
              <w:left w:val="nil"/>
              <w:bottom w:val="nil"/>
              <w:right w:val="nil"/>
            </w:tcBorders>
            <w:shd w:val="clear" w:color="auto" w:fill="auto"/>
            <w:noWrap/>
            <w:vAlign w:val="center"/>
          </w:tcPr>
          <w:p w14:paraId="1A44BC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单位：元</w:t>
            </w:r>
          </w:p>
        </w:tc>
      </w:tr>
      <w:tr w14:paraId="305B0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1C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39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581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19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台时费</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1C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   中</w:t>
            </w:r>
          </w:p>
        </w:tc>
      </w:tr>
      <w:tr w14:paraId="7DA6E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C22A">
            <w:pPr>
              <w:jc w:val="center"/>
              <w:rPr>
                <w:rFonts w:hint="eastAsia" w:ascii="宋体" w:hAnsi="宋体" w:eastAsia="宋体" w:cs="宋体"/>
                <w:i w:val="0"/>
                <w:iCs w:val="0"/>
                <w:color w:val="000000"/>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C564">
            <w:pPr>
              <w:jc w:val="center"/>
              <w:rPr>
                <w:rFonts w:hint="eastAsia" w:ascii="宋体" w:hAnsi="宋体" w:eastAsia="宋体" w:cs="宋体"/>
                <w:i w:val="0"/>
                <w:iCs w:val="0"/>
                <w:color w:val="000000"/>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DC79">
            <w:pPr>
              <w:jc w:val="center"/>
              <w:rPr>
                <w:rFonts w:hint="eastAsia" w:ascii="宋体" w:hAnsi="宋体" w:eastAsia="宋体" w:cs="宋体"/>
                <w:i w:val="0"/>
                <w:iCs w:val="0"/>
                <w:color w:val="000000"/>
                <w:sz w:val="18"/>
                <w:szCs w:val="1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EECD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0C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一类费用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A13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二类费用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20D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三类费用</w:t>
            </w:r>
          </w:p>
        </w:tc>
      </w:tr>
      <w:tr w14:paraId="59C78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E87A">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3D561">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33860">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08029">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FEF4">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E43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AE50">
            <w:pPr>
              <w:jc w:val="center"/>
              <w:rPr>
                <w:rFonts w:hint="eastAsia" w:ascii="宋体" w:hAnsi="宋体" w:eastAsia="宋体" w:cs="宋体"/>
                <w:i w:val="0"/>
                <w:iCs w:val="0"/>
                <w:color w:val="000000"/>
                <w:sz w:val="18"/>
                <w:szCs w:val="18"/>
                <w:highlight w:val="none"/>
                <w:u w:val="none"/>
              </w:rPr>
            </w:pPr>
          </w:p>
        </w:tc>
      </w:tr>
      <w:tr w14:paraId="6674F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53031">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2B50F">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32988">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237F">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44E6">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1BF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9E064">
            <w:pPr>
              <w:jc w:val="center"/>
              <w:rPr>
                <w:rFonts w:hint="eastAsia" w:ascii="宋体" w:hAnsi="宋体" w:eastAsia="宋体" w:cs="宋体"/>
                <w:i w:val="0"/>
                <w:iCs w:val="0"/>
                <w:color w:val="000000"/>
                <w:sz w:val="18"/>
                <w:szCs w:val="18"/>
                <w:highlight w:val="none"/>
                <w:u w:val="none"/>
              </w:rPr>
            </w:pPr>
          </w:p>
        </w:tc>
      </w:tr>
      <w:tr w14:paraId="148DD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249D">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2172">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E41E">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DA10">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16FF">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F9B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6464">
            <w:pPr>
              <w:jc w:val="center"/>
              <w:rPr>
                <w:rFonts w:hint="eastAsia" w:ascii="宋体" w:hAnsi="宋体" w:eastAsia="宋体" w:cs="宋体"/>
                <w:i w:val="0"/>
                <w:iCs w:val="0"/>
                <w:color w:val="000000"/>
                <w:sz w:val="18"/>
                <w:szCs w:val="18"/>
                <w:highlight w:val="none"/>
                <w:u w:val="none"/>
              </w:rPr>
            </w:pPr>
          </w:p>
        </w:tc>
      </w:tr>
      <w:tr w14:paraId="2A73A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E003">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4958">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1DA8">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55D3">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88D9">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58A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898A7">
            <w:pPr>
              <w:jc w:val="center"/>
              <w:rPr>
                <w:rFonts w:hint="eastAsia" w:ascii="宋体" w:hAnsi="宋体" w:eastAsia="宋体" w:cs="宋体"/>
                <w:i w:val="0"/>
                <w:iCs w:val="0"/>
                <w:color w:val="000000"/>
                <w:sz w:val="18"/>
                <w:szCs w:val="18"/>
                <w:highlight w:val="none"/>
                <w:u w:val="none"/>
              </w:rPr>
            </w:pPr>
          </w:p>
        </w:tc>
      </w:tr>
      <w:tr w14:paraId="34EE5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8F8F">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A9787">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BDF7">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7B5E">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1EC4">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994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A7B99">
            <w:pPr>
              <w:jc w:val="center"/>
              <w:rPr>
                <w:rFonts w:hint="eastAsia" w:ascii="宋体" w:hAnsi="宋体" w:eastAsia="宋体" w:cs="宋体"/>
                <w:i w:val="0"/>
                <w:iCs w:val="0"/>
                <w:color w:val="000000"/>
                <w:sz w:val="18"/>
                <w:szCs w:val="18"/>
                <w:highlight w:val="none"/>
                <w:u w:val="none"/>
              </w:rPr>
            </w:pPr>
          </w:p>
        </w:tc>
      </w:tr>
      <w:tr w14:paraId="69DB6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74B2">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A0CC">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4ED70">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776B">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5100">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1C3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74B5">
            <w:pPr>
              <w:jc w:val="center"/>
              <w:rPr>
                <w:rFonts w:hint="eastAsia" w:ascii="宋体" w:hAnsi="宋体" w:eastAsia="宋体" w:cs="宋体"/>
                <w:i w:val="0"/>
                <w:iCs w:val="0"/>
                <w:color w:val="000000"/>
                <w:sz w:val="18"/>
                <w:szCs w:val="18"/>
                <w:highlight w:val="none"/>
                <w:u w:val="none"/>
              </w:rPr>
            </w:pPr>
          </w:p>
        </w:tc>
      </w:tr>
      <w:tr w14:paraId="2483F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6EE5">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EDF1">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334A">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F0E1">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B21B">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5E4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14E2">
            <w:pPr>
              <w:jc w:val="center"/>
              <w:rPr>
                <w:rFonts w:hint="eastAsia" w:ascii="宋体" w:hAnsi="宋体" w:eastAsia="宋体" w:cs="宋体"/>
                <w:i w:val="0"/>
                <w:iCs w:val="0"/>
                <w:color w:val="000000"/>
                <w:sz w:val="18"/>
                <w:szCs w:val="18"/>
                <w:highlight w:val="none"/>
                <w:u w:val="none"/>
              </w:rPr>
            </w:pPr>
          </w:p>
        </w:tc>
      </w:tr>
      <w:tr w14:paraId="5AB5D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A28E">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94B2">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1D1E">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1E69">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EAD1">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F94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F80C">
            <w:pPr>
              <w:jc w:val="center"/>
              <w:rPr>
                <w:rFonts w:hint="eastAsia" w:ascii="宋体" w:hAnsi="宋体" w:eastAsia="宋体" w:cs="宋体"/>
                <w:i w:val="0"/>
                <w:iCs w:val="0"/>
                <w:color w:val="000000"/>
                <w:sz w:val="18"/>
                <w:szCs w:val="18"/>
                <w:highlight w:val="none"/>
                <w:u w:val="none"/>
              </w:rPr>
            </w:pPr>
          </w:p>
        </w:tc>
      </w:tr>
      <w:tr w14:paraId="6E020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165D">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FC16">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E665">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DD2B">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F270A">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AD6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C5E3">
            <w:pPr>
              <w:jc w:val="center"/>
              <w:rPr>
                <w:rFonts w:hint="eastAsia" w:ascii="宋体" w:hAnsi="宋体" w:eastAsia="宋体" w:cs="宋体"/>
                <w:i w:val="0"/>
                <w:iCs w:val="0"/>
                <w:color w:val="000000"/>
                <w:sz w:val="18"/>
                <w:szCs w:val="18"/>
                <w:highlight w:val="none"/>
                <w:u w:val="none"/>
              </w:rPr>
            </w:pPr>
          </w:p>
        </w:tc>
      </w:tr>
      <w:tr w14:paraId="3166E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4C00">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BA64">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A186">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004D">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3CD1">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5592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2656">
            <w:pPr>
              <w:jc w:val="center"/>
              <w:rPr>
                <w:rFonts w:hint="eastAsia" w:ascii="宋体" w:hAnsi="宋体" w:eastAsia="宋体" w:cs="宋体"/>
                <w:i w:val="0"/>
                <w:iCs w:val="0"/>
                <w:color w:val="000000"/>
                <w:sz w:val="18"/>
                <w:szCs w:val="18"/>
                <w:highlight w:val="none"/>
                <w:u w:val="none"/>
              </w:rPr>
            </w:pPr>
          </w:p>
        </w:tc>
      </w:tr>
      <w:tr w14:paraId="2BCDB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666EB">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2AF32">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2C45">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704CC">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A8974">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091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CFB26">
            <w:pPr>
              <w:jc w:val="center"/>
              <w:rPr>
                <w:rFonts w:hint="eastAsia" w:ascii="宋体" w:hAnsi="宋体" w:eastAsia="宋体" w:cs="宋体"/>
                <w:i w:val="0"/>
                <w:iCs w:val="0"/>
                <w:color w:val="000000"/>
                <w:sz w:val="18"/>
                <w:szCs w:val="18"/>
                <w:highlight w:val="none"/>
                <w:u w:val="none"/>
              </w:rPr>
            </w:pPr>
          </w:p>
        </w:tc>
      </w:tr>
      <w:tr w14:paraId="4391B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E364E">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4D26">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2FBD">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A247">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2671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627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35EAD">
            <w:pPr>
              <w:jc w:val="center"/>
              <w:rPr>
                <w:rFonts w:hint="eastAsia" w:ascii="宋体" w:hAnsi="宋体" w:eastAsia="宋体" w:cs="宋体"/>
                <w:i w:val="0"/>
                <w:iCs w:val="0"/>
                <w:color w:val="000000"/>
                <w:sz w:val="18"/>
                <w:szCs w:val="18"/>
                <w:highlight w:val="none"/>
                <w:u w:val="none"/>
              </w:rPr>
            </w:pPr>
          </w:p>
        </w:tc>
      </w:tr>
      <w:tr w14:paraId="3A1CD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3CAD9">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90BA">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9F26">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1366">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6A78">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D3C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8EB4">
            <w:pPr>
              <w:jc w:val="center"/>
              <w:rPr>
                <w:rFonts w:hint="eastAsia" w:ascii="宋体" w:hAnsi="宋体" w:eastAsia="宋体" w:cs="宋体"/>
                <w:i w:val="0"/>
                <w:iCs w:val="0"/>
                <w:color w:val="000000"/>
                <w:sz w:val="18"/>
                <w:szCs w:val="18"/>
                <w:highlight w:val="none"/>
                <w:u w:val="none"/>
              </w:rPr>
            </w:pPr>
          </w:p>
        </w:tc>
      </w:tr>
      <w:tr w14:paraId="18A61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431A">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7C40">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5502">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AF5E">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2FA2">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0582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ADDF">
            <w:pPr>
              <w:jc w:val="center"/>
              <w:rPr>
                <w:rFonts w:hint="eastAsia" w:ascii="宋体" w:hAnsi="宋体" w:eastAsia="宋体" w:cs="宋体"/>
                <w:i w:val="0"/>
                <w:iCs w:val="0"/>
                <w:color w:val="000000"/>
                <w:sz w:val="18"/>
                <w:szCs w:val="18"/>
                <w:highlight w:val="none"/>
                <w:u w:val="none"/>
              </w:rPr>
            </w:pPr>
          </w:p>
        </w:tc>
      </w:tr>
      <w:tr w14:paraId="336E0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74DF">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14C5">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446A">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61D47">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8CDF0">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AB8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ABDC5">
            <w:pPr>
              <w:jc w:val="center"/>
              <w:rPr>
                <w:rFonts w:hint="eastAsia" w:ascii="宋体" w:hAnsi="宋体" w:eastAsia="宋体" w:cs="宋体"/>
                <w:i w:val="0"/>
                <w:iCs w:val="0"/>
                <w:color w:val="000000"/>
                <w:sz w:val="18"/>
                <w:szCs w:val="18"/>
                <w:highlight w:val="none"/>
                <w:u w:val="none"/>
              </w:rPr>
            </w:pPr>
          </w:p>
        </w:tc>
      </w:tr>
      <w:tr w14:paraId="4EC6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475F">
            <w:pPr>
              <w:jc w:val="center"/>
              <w:rPr>
                <w:rFonts w:hint="eastAsia" w:ascii="宋体" w:hAnsi="宋体" w:eastAsia="宋体" w:cs="宋体"/>
                <w:i w:val="0"/>
                <w:iCs w:val="0"/>
                <w:color w:val="000000"/>
                <w:sz w:val="18"/>
                <w:szCs w:val="18"/>
                <w:highlight w:val="none"/>
                <w:u w:val="none"/>
              </w:rPr>
            </w:pPr>
          </w:p>
        </w:tc>
        <w:tc>
          <w:tcPr>
            <w:tcW w:w="1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4105">
            <w:pPr>
              <w:jc w:val="center"/>
              <w:rPr>
                <w:rFonts w:hint="eastAsia" w:ascii="宋体" w:hAnsi="宋体" w:eastAsia="宋体" w:cs="宋体"/>
                <w:i w:val="0"/>
                <w:iCs w:val="0"/>
                <w:color w:val="000000"/>
                <w:sz w:val="18"/>
                <w:szCs w:val="18"/>
                <w:highlight w:val="none"/>
                <w:u w:val="none"/>
              </w:rPr>
            </w:pPr>
          </w:p>
        </w:tc>
        <w:tc>
          <w:tcPr>
            <w:tcW w:w="3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DB4A">
            <w:pPr>
              <w:jc w:val="left"/>
              <w:rPr>
                <w:rFonts w:hint="eastAsia" w:ascii="宋体" w:hAnsi="宋体" w:eastAsia="宋体" w:cs="宋体"/>
                <w:i w:val="0"/>
                <w:iCs w:val="0"/>
                <w:color w:val="000000"/>
                <w:sz w:val="18"/>
                <w:szCs w:val="18"/>
                <w:highlight w:val="none"/>
                <w:u w:val="none"/>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2F01">
            <w:pPr>
              <w:jc w:val="center"/>
              <w:rPr>
                <w:rFonts w:hint="eastAsia" w:ascii="宋体" w:hAnsi="宋体" w:eastAsia="宋体" w:cs="宋体"/>
                <w:i w:val="0"/>
                <w:iCs w:val="0"/>
                <w:color w:val="000000"/>
                <w:sz w:val="18"/>
                <w:szCs w:val="18"/>
                <w:highlight w:val="none"/>
                <w:u w:val="none"/>
              </w:rPr>
            </w:pPr>
          </w:p>
        </w:tc>
        <w:tc>
          <w:tcPr>
            <w:tcW w:w="1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197C">
            <w:pPr>
              <w:jc w:val="center"/>
              <w:rPr>
                <w:rFonts w:hint="eastAsia" w:ascii="宋体" w:hAnsi="宋体" w:eastAsia="宋体" w:cs="宋体"/>
                <w:i w:val="0"/>
                <w:iCs w:val="0"/>
                <w:color w:val="000000"/>
                <w:sz w:val="18"/>
                <w:szCs w:val="18"/>
                <w:highlight w:val="none"/>
                <w:u w:val="none"/>
              </w:rPr>
            </w:pP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1A3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A1B73">
            <w:pPr>
              <w:jc w:val="center"/>
              <w:rPr>
                <w:rFonts w:hint="eastAsia" w:ascii="宋体" w:hAnsi="宋体" w:eastAsia="宋体" w:cs="宋体"/>
                <w:i w:val="0"/>
                <w:iCs w:val="0"/>
                <w:color w:val="000000"/>
                <w:sz w:val="18"/>
                <w:szCs w:val="18"/>
                <w:highlight w:val="none"/>
                <w:u w:val="none"/>
              </w:rPr>
            </w:pPr>
          </w:p>
        </w:tc>
      </w:tr>
      <w:tr w14:paraId="7DE96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B35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2633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AC62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D208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E55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44D9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00EF">
            <w:pPr>
              <w:jc w:val="center"/>
              <w:rPr>
                <w:rFonts w:hint="eastAsia" w:ascii="宋体" w:hAnsi="宋体" w:eastAsia="宋体" w:cs="宋体"/>
                <w:i w:val="0"/>
                <w:iCs w:val="0"/>
                <w:color w:val="000000"/>
                <w:sz w:val="18"/>
                <w:szCs w:val="18"/>
                <w:highlight w:val="none"/>
                <w:u w:val="none"/>
              </w:rPr>
            </w:pPr>
          </w:p>
        </w:tc>
      </w:tr>
      <w:tr w14:paraId="6B6CA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505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04F9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4161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F5F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6D5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75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D33C">
            <w:pPr>
              <w:jc w:val="center"/>
              <w:rPr>
                <w:rFonts w:hint="eastAsia" w:ascii="宋体" w:hAnsi="宋体" w:eastAsia="宋体" w:cs="宋体"/>
                <w:i w:val="0"/>
                <w:iCs w:val="0"/>
                <w:color w:val="000000"/>
                <w:sz w:val="18"/>
                <w:szCs w:val="18"/>
                <w:highlight w:val="none"/>
                <w:u w:val="none"/>
              </w:rPr>
            </w:pPr>
          </w:p>
        </w:tc>
      </w:tr>
      <w:tr w14:paraId="1A249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AF1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D0E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8751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AE8E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1009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4DA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0690D">
            <w:pPr>
              <w:jc w:val="center"/>
              <w:rPr>
                <w:rFonts w:hint="eastAsia" w:ascii="宋体" w:hAnsi="宋体" w:eastAsia="宋体" w:cs="宋体"/>
                <w:i w:val="0"/>
                <w:iCs w:val="0"/>
                <w:color w:val="000000"/>
                <w:sz w:val="18"/>
                <w:szCs w:val="18"/>
                <w:highlight w:val="none"/>
                <w:u w:val="none"/>
              </w:rPr>
            </w:pPr>
          </w:p>
        </w:tc>
      </w:tr>
      <w:tr w14:paraId="2E988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CD03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B2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D58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5F3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C350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AC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1558">
            <w:pPr>
              <w:jc w:val="center"/>
              <w:rPr>
                <w:rFonts w:hint="eastAsia" w:ascii="宋体" w:hAnsi="宋体" w:eastAsia="宋体" w:cs="宋体"/>
                <w:i w:val="0"/>
                <w:iCs w:val="0"/>
                <w:color w:val="000000"/>
                <w:sz w:val="18"/>
                <w:szCs w:val="18"/>
                <w:highlight w:val="none"/>
                <w:u w:val="none"/>
              </w:rPr>
            </w:pPr>
          </w:p>
        </w:tc>
      </w:tr>
      <w:tr w14:paraId="70052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588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A93F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D702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E3C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FDD9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FDBA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5F6A4">
            <w:pPr>
              <w:jc w:val="center"/>
              <w:rPr>
                <w:rFonts w:hint="eastAsia" w:ascii="宋体" w:hAnsi="宋体" w:eastAsia="宋体" w:cs="宋体"/>
                <w:i w:val="0"/>
                <w:iCs w:val="0"/>
                <w:color w:val="000000"/>
                <w:sz w:val="18"/>
                <w:szCs w:val="18"/>
                <w:highlight w:val="none"/>
                <w:u w:val="none"/>
              </w:rPr>
            </w:pPr>
          </w:p>
        </w:tc>
      </w:tr>
      <w:tr w14:paraId="2E577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9779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D5B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8A7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BFD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BCE0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F6C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DD2F">
            <w:pPr>
              <w:jc w:val="center"/>
              <w:rPr>
                <w:rFonts w:hint="eastAsia" w:ascii="宋体" w:hAnsi="宋体" w:eastAsia="宋体" w:cs="宋体"/>
                <w:i w:val="0"/>
                <w:iCs w:val="0"/>
                <w:color w:val="000000"/>
                <w:sz w:val="18"/>
                <w:szCs w:val="18"/>
                <w:highlight w:val="none"/>
                <w:u w:val="none"/>
              </w:rPr>
            </w:pPr>
          </w:p>
        </w:tc>
      </w:tr>
      <w:tr w14:paraId="46A8E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586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F15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E981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4FA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B6E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4C76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FD8FF">
            <w:pPr>
              <w:jc w:val="center"/>
              <w:rPr>
                <w:rFonts w:hint="eastAsia" w:ascii="宋体" w:hAnsi="宋体" w:eastAsia="宋体" w:cs="宋体"/>
                <w:i w:val="0"/>
                <w:iCs w:val="0"/>
                <w:color w:val="000000"/>
                <w:sz w:val="18"/>
                <w:szCs w:val="18"/>
                <w:highlight w:val="none"/>
                <w:u w:val="none"/>
              </w:rPr>
            </w:pPr>
          </w:p>
        </w:tc>
      </w:tr>
      <w:tr w14:paraId="797ED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054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921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5672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FBFE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503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826E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3916">
            <w:pPr>
              <w:jc w:val="center"/>
              <w:rPr>
                <w:rFonts w:hint="eastAsia" w:ascii="宋体" w:hAnsi="宋体" w:eastAsia="宋体" w:cs="宋体"/>
                <w:i w:val="0"/>
                <w:iCs w:val="0"/>
                <w:color w:val="000000"/>
                <w:sz w:val="18"/>
                <w:szCs w:val="18"/>
                <w:highlight w:val="none"/>
                <w:u w:val="none"/>
              </w:rPr>
            </w:pPr>
          </w:p>
        </w:tc>
      </w:tr>
      <w:tr w14:paraId="090E6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0C4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97A3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8ED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2E17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E6D0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944D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3FF8">
            <w:pPr>
              <w:jc w:val="center"/>
              <w:rPr>
                <w:rFonts w:hint="eastAsia" w:ascii="宋体" w:hAnsi="宋体" w:eastAsia="宋体" w:cs="宋体"/>
                <w:i w:val="0"/>
                <w:iCs w:val="0"/>
                <w:color w:val="000000"/>
                <w:sz w:val="18"/>
                <w:szCs w:val="18"/>
                <w:highlight w:val="none"/>
                <w:u w:val="none"/>
              </w:rPr>
            </w:pPr>
          </w:p>
        </w:tc>
      </w:tr>
      <w:tr w14:paraId="2226E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0F9A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CB13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E66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8FC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CC3F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421F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FB38">
            <w:pPr>
              <w:jc w:val="center"/>
              <w:rPr>
                <w:rFonts w:hint="eastAsia" w:ascii="宋体" w:hAnsi="宋体" w:eastAsia="宋体" w:cs="宋体"/>
                <w:i w:val="0"/>
                <w:iCs w:val="0"/>
                <w:color w:val="000000"/>
                <w:sz w:val="18"/>
                <w:szCs w:val="18"/>
                <w:highlight w:val="none"/>
                <w:u w:val="none"/>
              </w:rPr>
            </w:pPr>
          </w:p>
        </w:tc>
      </w:tr>
      <w:tr w14:paraId="1D3D5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6BA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D5B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AD38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1DF2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0B1E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8908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5845D">
            <w:pPr>
              <w:jc w:val="center"/>
              <w:rPr>
                <w:rFonts w:hint="eastAsia" w:ascii="宋体" w:hAnsi="宋体" w:eastAsia="宋体" w:cs="宋体"/>
                <w:i w:val="0"/>
                <w:iCs w:val="0"/>
                <w:color w:val="000000"/>
                <w:sz w:val="18"/>
                <w:szCs w:val="18"/>
                <w:highlight w:val="none"/>
                <w:u w:val="none"/>
              </w:rPr>
            </w:pPr>
          </w:p>
        </w:tc>
      </w:tr>
      <w:tr w14:paraId="0BA8A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8C5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5661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6366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33E0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6044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0164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766B1">
            <w:pPr>
              <w:jc w:val="center"/>
              <w:rPr>
                <w:rFonts w:hint="eastAsia" w:ascii="宋体" w:hAnsi="宋体" w:eastAsia="宋体" w:cs="宋体"/>
                <w:i w:val="0"/>
                <w:iCs w:val="0"/>
                <w:color w:val="000000"/>
                <w:sz w:val="18"/>
                <w:szCs w:val="18"/>
                <w:highlight w:val="none"/>
                <w:u w:val="none"/>
              </w:rPr>
            </w:pPr>
          </w:p>
        </w:tc>
      </w:tr>
    </w:tbl>
    <w:p w14:paraId="7B27C7AF">
      <w:pPr>
        <w:rPr>
          <w:rFonts w:hint="eastAsia" w:ascii="黑体" w:hAnsi="黑体" w:eastAsia="黑体" w:cs="黑体"/>
          <w:color w:val="auto"/>
          <w:sz w:val="36"/>
          <w:szCs w:val="36"/>
          <w:highlight w:val="red"/>
        </w:rPr>
      </w:pPr>
    </w:p>
    <w:p w14:paraId="5D52D5D1">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97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33"/>
        <w:gridCol w:w="2145"/>
        <w:gridCol w:w="1320"/>
        <w:gridCol w:w="2912"/>
        <w:gridCol w:w="1321"/>
      </w:tblGrid>
      <w:tr w14:paraId="7662F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731" w:type="dxa"/>
            <w:gridSpan w:val="5"/>
            <w:tcBorders>
              <w:top w:val="nil"/>
              <w:left w:val="nil"/>
              <w:bottom w:val="nil"/>
              <w:right w:val="nil"/>
            </w:tcBorders>
            <w:shd w:val="clear" w:color="auto" w:fill="auto"/>
            <w:noWrap/>
            <w:vAlign w:val="center"/>
          </w:tcPr>
          <w:p w14:paraId="47B357D3">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电、风、水、砂石基础单价汇总表</w:t>
            </w:r>
          </w:p>
        </w:tc>
      </w:tr>
      <w:tr w14:paraId="3B8F3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center"/>
          </w:tcPr>
          <w:p w14:paraId="5B834E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（此表仅供参考，格式自拟）</w:t>
            </w:r>
          </w:p>
        </w:tc>
      </w:tr>
      <w:tr w14:paraId="52B3F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9731" w:type="dxa"/>
            <w:gridSpan w:val="5"/>
            <w:tcBorders>
              <w:top w:val="nil"/>
              <w:left w:val="nil"/>
              <w:bottom w:val="nil"/>
              <w:right w:val="nil"/>
            </w:tcBorders>
            <w:shd w:val="clear" w:color="auto" w:fill="auto"/>
            <w:vAlign w:val="center"/>
          </w:tcPr>
          <w:p w14:paraId="338BF8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kern w:val="0"/>
                <w:sz w:val="18"/>
                <w:szCs w:val="18"/>
                <w:highlight w:val="none"/>
                <w:u w:val="none"/>
                <w:lang w:val="en-US" w:eastAsia="zh-CN" w:bidi="ar"/>
              </w:rPr>
              <w:t>项目</w:t>
            </w:r>
            <w:r>
              <w:rPr>
                <w:rFonts w:hint="eastAsia" w:ascii="宋体" w:hAnsi="宋体" w:eastAsia="宋体" w:cs="宋体"/>
                <w:i w:val="0"/>
                <w:iCs w:val="0"/>
                <w:color w:val="000000"/>
                <w:kern w:val="0"/>
                <w:sz w:val="18"/>
                <w:szCs w:val="18"/>
                <w:highlight w:val="none"/>
                <w:u w:val="none"/>
                <w:lang w:val="en-US" w:eastAsia="zh-CN" w:bidi="ar"/>
              </w:rPr>
              <w:t>名称：</w:t>
            </w:r>
          </w:p>
        </w:tc>
      </w:tr>
      <w:tr w14:paraId="6F197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EDA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0D7D">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2C2E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776A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5271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备注</w:t>
            </w:r>
          </w:p>
        </w:tc>
      </w:tr>
      <w:tr w14:paraId="6123D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E0C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B1B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70D0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BE99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6AD2">
            <w:pPr>
              <w:jc w:val="center"/>
              <w:rPr>
                <w:rFonts w:hint="eastAsia" w:ascii="宋体" w:hAnsi="宋体" w:eastAsia="宋体" w:cs="宋体"/>
                <w:i w:val="0"/>
                <w:iCs w:val="0"/>
                <w:color w:val="000000"/>
                <w:sz w:val="18"/>
                <w:szCs w:val="18"/>
                <w:highlight w:val="none"/>
                <w:u w:val="none"/>
              </w:rPr>
            </w:pPr>
          </w:p>
        </w:tc>
      </w:tr>
      <w:tr w14:paraId="73651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E7E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D64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FAC1">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8F1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DEDC">
            <w:pPr>
              <w:jc w:val="center"/>
              <w:rPr>
                <w:rFonts w:hint="eastAsia" w:ascii="宋体" w:hAnsi="宋体" w:eastAsia="宋体" w:cs="宋体"/>
                <w:i w:val="0"/>
                <w:iCs w:val="0"/>
                <w:color w:val="000000"/>
                <w:sz w:val="18"/>
                <w:szCs w:val="18"/>
                <w:highlight w:val="none"/>
                <w:u w:val="none"/>
              </w:rPr>
            </w:pPr>
          </w:p>
        </w:tc>
      </w:tr>
      <w:tr w14:paraId="3A9A7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8493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60C0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2D66F">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379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1E9E">
            <w:pPr>
              <w:jc w:val="center"/>
              <w:rPr>
                <w:rFonts w:hint="eastAsia" w:ascii="宋体" w:hAnsi="宋体" w:eastAsia="宋体" w:cs="宋体"/>
                <w:i w:val="0"/>
                <w:iCs w:val="0"/>
                <w:color w:val="000000"/>
                <w:sz w:val="18"/>
                <w:szCs w:val="18"/>
                <w:highlight w:val="none"/>
                <w:u w:val="none"/>
              </w:rPr>
            </w:pPr>
          </w:p>
        </w:tc>
      </w:tr>
      <w:tr w14:paraId="6CE3D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73D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1C1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8DB8">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83A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4902">
            <w:pPr>
              <w:jc w:val="center"/>
              <w:rPr>
                <w:rFonts w:hint="eastAsia" w:ascii="宋体" w:hAnsi="宋体" w:eastAsia="宋体" w:cs="宋体"/>
                <w:i w:val="0"/>
                <w:iCs w:val="0"/>
                <w:color w:val="000000"/>
                <w:sz w:val="18"/>
                <w:szCs w:val="18"/>
                <w:highlight w:val="none"/>
                <w:u w:val="none"/>
              </w:rPr>
            </w:pPr>
          </w:p>
        </w:tc>
      </w:tr>
      <w:tr w14:paraId="74BF8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27EA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64BB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EBF20">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782C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7A53">
            <w:pPr>
              <w:jc w:val="center"/>
              <w:rPr>
                <w:rFonts w:hint="eastAsia" w:ascii="宋体" w:hAnsi="宋体" w:eastAsia="宋体" w:cs="宋体"/>
                <w:i w:val="0"/>
                <w:iCs w:val="0"/>
                <w:color w:val="000000"/>
                <w:sz w:val="18"/>
                <w:szCs w:val="18"/>
                <w:highlight w:val="none"/>
                <w:u w:val="none"/>
              </w:rPr>
            </w:pPr>
          </w:p>
        </w:tc>
      </w:tr>
      <w:tr w14:paraId="66C72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7CB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B75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3B974">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2FA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1200D">
            <w:pPr>
              <w:jc w:val="center"/>
              <w:rPr>
                <w:rFonts w:hint="eastAsia" w:ascii="宋体" w:hAnsi="宋体" w:eastAsia="宋体" w:cs="宋体"/>
                <w:i w:val="0"/>
                <w:iCs w:val="0"/>
                <w:color w:val="000000"/>
                <w:sz w:val="18"/>
                <w:szCs w:val="18"/>
                <w:highlight w:val="none"/>
                <w:u w:val="none"/>
              </w:rPr>
            </w:pPr>
          </w:p>
        </w:tc>
      </w:tr>
      <w:tr w14:paraId="2F4C4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F16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8E9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DDB5">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101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D32B">
            <w:pPr>
              <w:jc w:val="center"/>
              <w:rPr>
                <w:rFonts w:hint="eastAsia" w:ascii="宋体" w:hAnsi="宋体" w:eastAsia="宋体" w:cs="宋体"/>
                <w:i w:val="0"/>
                <w:iCs w:val="0"/>
                <w:color w:val="000000"/>
                <w:sz w:val="18"/>
                <w:szCs w:val="18"/>
                <w:highlight w:val="none"/>
                <w:u w:val="none"/>
              </w:rPr>
            </w:pPr>
          </w:p>
        </w:tc>
      </w:tr>
      <w:tr w14:paraId="66B2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1D62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5486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FCAF4">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F77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13DF6">
            <w:pPr>
              <w:jc w:val="center"/>
              <w:rPr>
                <w:rFonts w:hint="eastAsia" w:ascii="宋体" w:hAnsi="宋体" w:eastAsia="宋体" w:cs="宋体"/>
                <w:i w:val="0"/>
                <w:iCs w:val="0"/>
                <w:color w:val="000000"/>
                <w:sz w:val="18"/>
                <w:szCs w:val="18"/>
                <w:highlight w:val="none"/>
                <w:u w:val="none"/>
              </w:rPr>
            </w:pPr>
          </w:p>
        </w:tc>
      </w:tr>
      <w:tr w14:paraId="5BAC6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474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057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7C7E0">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04B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3731">
            <w:pPr>
              <w:jc w:val="center"/>
              <w:rPr>
                <w:rFonts w:hint="eastAsia" w:ascii="宋体" w:hAnsi="宋体" w:eastAsia="宋体" w:cs="宋体"/>
                <w:i w:val="0"/>
                <w:iCs w:val="0"/>
                <w:color w:val="000000"/>
                <w:sz w:val="18"/>
                <w:szCs w:val="18"/>
                <w:highlight w:val="none"/>
                <w:u w:val="none"/>
              </w:rPr>
            </w:pPr>
          </w:p>
        </w:tc>
      </w:tr>
      <w:tr w14:paraId="59C51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59C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541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E673">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17D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CD803">
            <w:pPr>
              <w:jc w:val="center"/>
              <w:rPr>
                <w:rFonts w:hint="eastAsia" w:ascii="宋体" w:hAnsi="宋体" w:eastAsia="宋体" w:cs="宋体"/>
                <w:i w:val="0"/>
                <w:iCs w:val="0"/>
                <w:color w:val="000000"/>
                <w:sz w:val="18"/>
                <w:szCs w:val="18"/>
                <w:highlight w:val="none"/>
                <w:u w:val="none"/>
              </w:rPr>
            </w:pPr>
          </w:p>
        </w:tc>
      </w:tr>
      <w:tr w14:paraId="43066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FA8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0E31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50C3D">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E70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83F57">
            <w:pPr>
              <w:jc w:val="center"/>
              <w:rPr>
                <w:rFonts w:hint="eastAsia" w:ascii="宋体" w:hAnsi="宋体" w:eastAsia="宋体" w:cs="宋体"/>
                <w:i w:val="0"/>
                <w:iCs w:val="0"/>
                <w:color w:val="000000"/>
                <w:sz w:val="18"/>
                <w:szCs w:val="18"/>
                <w:highlight w:val="none"/>
                <w:u w:val="none"/>
              </w:rPr>
            </w:pPr>
          </w:p>
        </w:tc>
      </w:tr>
      <w:tr w14:paraId="233E6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95C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403C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D122E">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776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F3E4">
            <w:pPr>
              <w:jc w:val="center"/>
              <w:rPr>
                <w:rFonts w:hint="eastAsia" w:ascii="宋体" w:hAnsi="宋体" w:eastAsia="宋体" w:cs="宋体"/>
                <w:i w:val="0"/>
                <w:iCs w:val="0"/>
                <w:color w:val="000000"/>
                <w:sz w:val="18"/>
                <w:szCs w:val="18"/>
                <w:highlight w:val="none"/>
                <w:u w:val="none"/>
              </w:rPr>
            </w:pPr>
          </w:p>
        </w:tc>
      </w:tr>
      <w:tr w14:paraId="16F30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A58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ED5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66783">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05A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B48DF">
            <w:pPr>
              <w:jc w:val="center"/>
              <w:rPr>
                <w:rFonts w:hint="eastAsia" w:ascii="宋体" w:hAnsi="宋体" w:eastAsia="宋体" w:cs="宋体"/>
                <w:i w:val="0"/>
                <w:iCs w:val="0"/>
                <w:color w:val="000000"/>
                <w:sz w:val="18"/>
                <w:szCs w:val="18"/>
                <w:highlight w:val="none"/>
                <w:u w:val="none"/>
              </w:rPr>
            </w:pPr>
          </w:p>
        </w:tc>
      </w:tr>
      <w:tr w14:paraId="10747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676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7717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D006">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1ED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8E4D">
            <w:pPr>
              <w:jc w:val="center"/>
              <w:rPr>
                <w:rFonts w:hint="eastAsia" w:ascii="宋体" w:hAnsi="宋体" w:eastAsia="宋体" w:cs="宋体"/>
                <w:i w:val="0"/>
                <w:iCs w:val="0"/>
                <w:color w:val="000000"/>
                <w:sz w:val="18"/>
                <w:szCs w:val="18"/>
                <w:highlight w:val="none"/>
                <w:u w:val="none"/>
              </w:rPr>
            </w:pPr>
          </w:p>
        </w:tc>
      </w:tr>
      <w:tr w14:paraId="05F3A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3A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C8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1B6C">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6FC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2671">
            <w:pPr>
              <w:jc w:val="center"/>
              <w:rPr>
                <w:rFonts w:hint="eastAsia" w:ascii="宋体" w:hAnsi="宋体" w:eastAsia="宋体" w:cs="宋体"/>
                <w:i w:val="0"/>
                <w:iCs w:val="0"/>
                <w:color w:val="000000"/>
                <w:sz w:val="18"/>
                <w:szCs w:val="18"/>
                <w:highlight w:val="none"/>
                <w:u w:val="none"/>
              </w:rPr>
            </w:pPr>
          </w:p>
        </w:tc>
      </w:tr>
      <w:tr w14:paraId="70D9D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F587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90F1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D2BF7">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2E6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7F32B">
            <w:pPr>
              <w:jc w:val="center"/>
              <w:rPr>
                <w:rFonts w:hint="eastAsia" w:ascii="宋体" w:hAnsi="宋体" w:eastAsia="宋体" w:cs="宋体"/>
                <w:i w:val="0"/>
                <w:iCs w:val="0"/>
                <w:color w:val="000000"/>
                <w:sz w:val="18"/>
                <w:szCs w:val="18"/>
                <w:highlight w:val="none"/>
                <w:u w:val="none"/>
              </w:rPr>
            </w:pPr>
          </w:p>
        </w:tc>
      </w:tr>
      <w:tr w14:paraId="202CB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AFD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32D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F561">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DBE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A689">
            <w:pPr>
              <w:jc w:val="center"/>
              <w:rPr>
                <w:rFonts w:hint="eastAsia" w:ascii="宋体" w:hAnsi="宋体" w:eastAsia="宋体" w:cs="宋体"/>
                <w:i w:val="0"/>
                <w:iCs w:val="0"/>
                <w:color w:val="000000"/>
                <w:sz w:val="18"/>
                <w:szCs w:val="18"/>
                <w:highlight w:val="none"/>
                <w:u w:val="none"/>
              </w:rPr>
            </w:pPr>
          </w:p>
        </w:tc>
      </w:tr>
      <w:tr w14:paraId="1A3D4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AC26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19F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DCCF7">
            <w:pPr>
              <w:jc w:val="center"/>
              <w:rPr>
                <w:rFonts w:hint="eastAsia" w:ascii="宋体" w:hAnsi="宋体" w:eastAsia="宋体" w:cs="宋体"/>
                <w:i w:val="0"/>
                <w:iCs w:val="0"/>
                <w:color w:val="000000"/>
                <w:sz w:val="18"/>
                <w:szCs w:val="18"/>
                <w:highlight w:val="none"/>
                <w:u w:val="none"/>
              </w:rPr>
            </w:pPr>
          </w:p>
        </w:tc>
        <w:tc>
          <w:tcPr>
            <w:tcW w:w="1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E9D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94530">
            <w:pPr>
              <w:jc w:val="center"/>
              <w:rPr>
                <w:rFonts w:hint="eastAsia" w:ascii="宋体" w:hAnsi="宋体" w:eastAsia="宋体" w:cs="宋体"/>
                <w:i w:val="0"/>
                <w:iCs w:val="0"/>
                <w:color w:val="000000"/>
                <w:sz w:val="18"/>
                <w:szCs w:val="18"/>
                <w:highlight w:val="none"/>
                <w:u w:val="none"/>
              </w:rPr>
            </w:pPr>
          </w:p>
        </w:tc>
      </w:tr>
    </w:tbl>
    <w:p w14:paraId="71526CA3">
      <w:pPr>
        <w:rPr>
          <w:rFonts w:hint="eastAsia" w:ascii="黑体" w:hAnsi="黑体" w:eastAsia="黑体" w:cs="黑体"/>
          <w:color w:val="auto"/>
          <w:sz w:val="36"/>
          <w:szCs w:val="36"/>
          <w:highlight w:val="red"/>
        </w:rPr>
      </w:pPr>
    </w:p>
    <w:p w14:paraId="617E8C55">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97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37"/>
        <w:gridCol w:w="2044"/>
        <w:gridCol w:w="1258"/>
        <w:gridCol w:w="2799"/>
        <w:gridCol w:w="1258"/>
      </w:tblGrid>
      <w:tr w14:paraId="4559E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80" w:hRule="atLeast"/>
        </w:trPr>
        <w:tc>
          <w:tcPr>
            <w:tcW w:w="9796" w:type="dxa"/>
            <w:gridSpan w:val="5"/>
            <w:tcBorders>
              <w:top w:val="nil"/>
              <w:left w:val="nil"/>
              <w:bottom w:val="nil"/>
              <w:right w:val="nil"/>
            </w:tcBorders>
            <w:shd w:val="clear" w:color="auto" w:fill="auto"/>
            <w:noWrap/>
            <w:vAlign w:val="center"/>
          </w:tcPr>
          <w:p w14:paraId="4DD75131">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kern w:val="0"/>
                <w:sz w:val="36"/>
                <w:szCs w:val="36"/>
                <w:highlight w:val="none"/>
                <w:u w:val="none"/>
                <w:lang w:val="en-US" w:eastAsia="zh-CN" w:bidi="ar"/>
              </w:rPr>
              <w:t>人工费单价汇总表</w:t>
            </w:r>
          </w:p>
        </w:tc>
      </w:tr>
      <w:tr w14:paraId="4EEE6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center"/>
          </w:tcPr>
          <w:p w14:paraId="302328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（此表仅供参考，格式自拟）</w:t>
            </w:r>
          </w:p>
        </w:tc>
      </w:tr>
      <w:tr w14:paraId="0853A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nil"/>
              <w:left w:val="nil"/>
              <w:bottom w:val="nil"/>
              <w:right w:val="nil"/>
            </w:tcBorders>
            <w:shd w:val="clear" w:color="auto" w:fill="auto"/>
            <w:noWrap/>
            <w:vAlign w:val="bottom"/>
          </w:tcPr>
          <w:p w14:paraId="34626809">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cs="宋体"/>
                <w:i w:val="0"/>
                <w:iCs w:val="0"/>
                <w:color w:val="000000"/>
                <w:kern w:val="0"/>
                <w:sz w:val="18"/>
                <w:szCs w:val="18"/>
                <w:highlight w:val="none"/>
                <w:u w:val="none"/>
                <w:lang w:val="en-US" w:eastAsia="zh-CN" w:bidi="ar"/>
              </w:rPr>
              <w:t>项目</w:t>
            </w:r>
            <w:r>
              <w:rPr>
                <w:rFonts w:hint="eastAsia" w:ascii="宋体" w:hAnsi="宋体" w:eastAsia="宋体" w:cs="宋体"/>
                <w:i w:val="0"/>
                <w:iCs w:val="0"/>
                <w:color w:val="000000"/>
                <w:kern w:val="0"/>
                <w:sz w:val="18"/>
                <w:szCs w:val="18"/>
                <w:highlight w:val="none"/>
                <w:u w:val="none"/>
                <w:lang w:val="en-US" w:eastAsia="zh-CN" w:bidi="ar"/>
              </w:rPr>
              <w:t>名称：</w:t>
            </w:r>
          </w:p>
        </w:tc>
        <w:tc>
          <w:tcPr>
            <w:tcW w:w="7179" w:type="dxa"/>
            <w:gridSpan w:val="3"/>
            <w:tcBorders>
              <w:top w:val="nil"/>
              <w:left w:val="nil"/>
              <w:bottom w:val="nil"/>
              <w:right w:val="nil"/>
            </w:tcBorders>
            <w:shd w:val="clear" w:color="auto" w:fill="auto"/>
            <w:vAlign w:val="bottom"/>
          </w:tcPr>
          <w:p w14:paraId="1651D35D">
            <w:pPr>
              <w:jc w:val="left"/>
              <w:rPr>
                <w:rFonts w:hint="eastAsia" w:ascii="宋体" w:hAnsi="宋体" w:eastAsia="宋体" w:cs="宋体"/>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5E95CD75">
            <w:pPr>
              <w:jc w:val="right"/>
              <w:rPr>
                <w:rFonts w:hint="eastAsia" w:ascii="宋体" w:hAnsi="宋体" w:eastAsia="宋体" w:cs="宋体"/>
                <w:i w:val="0"/>
                <w:iCs w:val="0"/>
                <w:color w:val="000000"/>
                <w:sz w:val="18"/>
                <w:szCs w:val="18"/>
                <w:highlight w:val="none"/>
                <w:u w:val="none"/>
              </w:rPr>
            </w:pPr>
          </w:p>
        </w:tc>
      </w:tr>
      <w:tr w14:paraId="61C58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nil"/>
              <w:left w:val="nil"/>
              <w:bottom w:val="nil"/>
              <w:right w:val="nil"/>
            </w:tcBorders>
            <w:shd w:val="clear" w:color="auto" w:fill="auto"/>
            <w:noWrap/>
            <w:vAlign w:val="center"/>
          </w:tcPr>
          <w:p w14:paraId="34DCEACF">
            <w:pPr>
              <w:jc w:val="left"/>
              <w:rPr>
                <w:rFonts w:hint="eastAsia" w:ascii="宋体" w:hAnsi="宋体" w:eastAsia="宋体" w:cs="宋体"/>
                <w:i w:val="0"/>
                <w:iCs w:val="0"/>
                <w:color w:val="000000"/>
                <w:sz w:val="18"/>
                <w:szCs w:val="18"/>
                <w:highlight w:val="none"/>
                <w:u w:val="none"/>
              </w:rPr>
            </w:pPr>
          </w:p>
        </w:tc>
        <w:tc>
          <w:tcPr>
            <w:tcW w:w="0" w:type="auto"/>
            <w:tcBorders>
              <w:top w:val="nil"/>
              <w:left w:val="nil"/>
              <w:bottom w:val="nil"/>
              <w:right w:val="nil"/>
            </w:tcBorders>
            <w:shd w:val="clear" w:color="auto" w:fill="auto"/>
            <w:noWrap/>
            <w:vAlign w:val="center"/>
          </w:tcPr>
          <w:p w14:paraId="4CD8E8E6">
            <w:pPr>
              <w:jc w:val="left"/>
              <w:rPr>
                <w:rFonts w:hint="eastAsia" w:ascii="宋体" w:hAnsi="宋体" w:eastAsia="宋体" w:cs="宋体"/>
                <w:i w:val="0"/>
                <w:iCs w:val="0"/>
                <w:color w:val="000000"/>
                <w:sz w:val="18"/>
                <w:szCs w:val="18"/>
                <w:highlight w:val="none"/>
                <w:u w:val="none"/>
              </w:rPr>
            </w:pPr>
          </w:p>
        </w:tc>
        <w:tc>
          <w:tcPr>
            <w:tcW w:w="0" w:type="auto"/>
            <w:tcBorders>
              <w:top w:val="nil"/>
              <w:left w:val="nil"/>
              <w:bottom w:val="nil"/>
              <w:right w:val="nil"/>
            </w:tcBorders>
            <w:shd w:val="clear" w:color="auto" w:fill="auto"/>
            <w:noWrap/>
            <w:vAlign w:val="center"/>
          </w:tcPr>
          <w:p w14:paraId="76C7C7F6">
            <w:pPr>
              <w:jc w:val="center"/>
              <w:rPr>
                <w:rFonts w:hint="eastAsia" w:ascii="宋体" w:hAnsi="宋体" w:eastAsia="宋体" w:cs="宋体"/>
                <w:i w:val="0"/>
                <w:iCs w:val="0"/>
                <w:color w:val="000000"/>
                <w:sz w:val="18"/>
                <w:szCs w:val="18"/>
                <w:highlight w:val="none"/>
                <w:u w:val="none"/>
              </w:rPr>
            </w:pPr>
          </w:p>
        </w:tc>
        <w:tc>
          <w:tcPr>
            <w:tcW w:w="0" w:type="auto"/>
            <w:tcBorders>
              <w:top w:val="nil"/>
              <w:left w:val="nil"/>
              <w:bottom w:val="nil"/>
              <w:right w:val="nil"/>
            </w:tcBorders>
            <w:shd w:val="clear" w:color="auto" w:fill="auto"/>
            <w:noWrap/>
            <w:vAlign w:val="center"/>
          </w:tcPr>
          <w:p w14:paraId="354F30A4">
            <w:pPr>
              <w:jc w:val="left"/>
              <w:rPr>
                <w:rFonts w:hint="eastAsia" w:ascii="宋体" w:hAnsi="宋体" w:eastAsia="宋体" w:cs="宋体"/>
                <w:i w:val="0"/>
                <w:iCs w:val="0"/>
                <w:color w:val="000000"/>
                <w:sz w:val="18"/>
                <w:szCs w:val="18"/>
                <w:highlight w:val="none"/>
                <w:u w:val="none"/>
              </w:rPr>
            </w:pPr>
          </w:p>
        </w:tc>
        <w:tc>
          <w:tcPr>
            <w:tcW w:w="0" w:type="auto"/>
            <w:tcBorders>
              <w:top w:val="nil"/>
              <w:left w:val="nil"/>
              <w:bottom w:val="nil"/>
              <w:right w:val="nil"/>
            </w:tcBorders>
            <w:shd w:val="clear" w:color="auto" w:fill="auto"/>
            <w:noWrap/>
            <w:vAlign w:val="center"/>
          </w:tcPr>
          <w:p w14:paraId="57D30DBB">
            <w:pPr>
              <w:jc w:val="left"/>
              <w:rPr>
                <w:rFonts w:hint="eastAsia" w:ascii="宋体" w:hAnsi="宋体" w:eastAsia="宋体" w:cs="宋体"/>
                <w:i w:val="0"/>
                <w:iCs w:val="0"/>
                <w:color w:val="000000"/>
                <w:sz w:val="18"/>
                <w:szCs w:val="18"/>
                <w:highlight w:val="none"/>
                <w:u w:val="none"/>
              </w:rPr>
            </w:pPr>
          </w:p>
        </w:tc>
      </w:tr>
      <w:tr w14:paraId="1CEEC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91A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  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BE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    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130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9D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26A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37C01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1B7B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87A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091E">
            <w:pPr>
              <w:jc w:val="center"/>
              <w:rPr>
                <w:rFonts w:hint="eastAsia" w:ascii="宋体" w:hAnsi="宋体" w:eastAsia="宋体" w:cs="宋体"/>
                <w:i w:val="0"/>
                <w:iCs w:val="0"/>
                <w:color w:val="000000"/>
                <w:sz w:val="18"/>
                <w:szCs w:val="18"/>
                <w:highlight w:val="none"/>
                <w:u w:val="none"/>
              </w:rPr>
            </w:pP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9F1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16F88">
            <w:pPr>
              <w:jc w:val="center"/>
              <w:rPr>
                <w:rFonts w:hint="eastAsia" w:ascii="宋体" w:hAnsi="宋体" w:eastAsia="宋体" w:cs="宋体"/>
                <w:i w:val="0"/>
                <w:iCs w:val="0"/>
                <w:color w:val="000000"/>
                <w:sz w:val="18"/>
                <w:szCs w:val="18"/>
                <w:highlight w:val="none"/>
                <w:u w:val="none"/>
              </w:rPr>
            </w:pPr>
          </w:p>
        </w:tc>
      </w:tr>
      <w:tr w14:paraId="31634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E615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7A3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06E58">
            <w:pPr>
              <w:jc w:val="center"/>
              <w:rPr>
                <w:rFonts w:hint="eastAsia" w:ascii="宋体" w:hAnsi="宋体" w:eastAsia="宋体" w:cs="宋体"/>
                <w:i w:val="0"/>
                <w:iCs w:val="0"/>
                <w:color w:val="000000"/>
                <w:sz w:val="18"/>
                <w:szCs w:val="18"/>
                <w:highlight w:val="none"/>
                <w:u w:val="none"/>
              </w:rPr>
            </w:pP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01F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4A012">
            <w:pPr>
              <w:jc w:val="center"/>
              <w:rPr>
                <w:rFonts w:hint="eastAsia" w:ascii="宋体" w:hAnsi="宋体" w:eastAsia="宋体" w:cs="宋体"/>
                <w:i w:val="0"/>
                <w:iCs w:val="0"/>
                <w:color w:val="000000"/>
                <w:sz w:val="18"/>
                <w:szCs w:val="18"/>
                <w:highlight w:val="none"/>
                <w:u w:val="none"/>
              </w:rPr>
            </w:pPr>
          </w:p>
        </w:tc>
      </w:tr>
      <w:tr w14:paraId="690F8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B69F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3B79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BB3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32F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2DFC">
            <w:pPr>
              <w:jc w:val="center"/>
              <w:rPr>
                <w:rFonts w:hint="eastAsia" w:ascii="宋体" w:hAnsi="宋体" w:eastAsia="宋体" w:cs="宋体"/>
                <w:i w:val="0"/>
                <w:iCs w:val="0"/>
                <w:color w:val="000000"/>
                <w:sz w:val="18"/>
                <w:szCs w:val="18"/>
                <w:highlight w:val="none"/>
                <w:u w:val="none"/>
              </w:rPr>
            </w:pPr>
          </w:p>
        </w:tc>
      </w:tr>
      <w:tr w14:paraId="62141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F391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4327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0AF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7FB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B410">
            <w:pPr>
              <w:jc w:val="center"/>
              <w:rPr>
                <w:rFonts w:hint="eastAsia" w:ascii="宋体" w:hAnsi="宋体" w:eastAsia="宋体" w:cs="宋体"/>
                <w:i w:val="0"/>
                <w:iCs w:val="0"/>
                <w:color w:val="000000"/>
                <w:sz w:val="18"/>
                <w:szCs w:val="18"/>
                <w:highlight w:val="none"/>
                <w:u w:val="none"/>
              </w:rPr>
            </w:pPr>
          </w:p>
        </w:tc>
      </w:tr>
      <w:tr w14:paraId="63F71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CEDE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9B1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8A97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8C8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99ED7">
            <w:pPr>
              <w:jc w:val="center"/>
              <w:rPr>
                <w:rFonts w:hint="eastAsia" w:ascii="宋体" w:hAnsi="宋体" w:eastAsia="宋体" w:cs="宋体"/>
                <w:i w:val="0"/>
                <w:iCs w:val="0"/>
                <w:color w:val="000000"/>
                <w:sz w:val="18"/>
                <w:szCs w:val="18"/>
                <w:highlight w:val="none"/>
                <w:u w:val="none"/>
              </w:rPr>
            </w:pPr>
          </w:p>
        </w:tc>
      </w:tr>
      <w:tr w14:paraId="36BF7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EFD0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36D0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4B5A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F01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36B6E">
            <w:pPr>
              <w:jc w:val="center"/>
              <w:rPr>
                <w:rFonts w:hint="eastAsia" w:ascii="宋体" w:hAnsi="宋体" w:eastAsia="宋体" w:cs="宋体"/>
                <w:i w:val="0"/>
                <w:iCs w:val="0"/>
                <w:color w:val="000000"/>
                <w:sz w:val="18"/>
                <w:szCs w:val="18"/>
                <w:highlight w:val="none"/>
                <w:u w:val="none"/>
              </w:rPr>
            </w:pPr>
          </w:p>
        </w:tc>
      </w:tr>
      <w:tr w14:paraId="11CB9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BC5A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FA4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732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BBB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FFDB3">
            <w:pPr>
              <w:jc w:val="center"/>
              <w:rPr>
                <w:rFonts w:hint="eastAsia" w:ascii="宋体" w:hAnsi="宋体" w:eastAsia="宋体" w:cs="宋体"/>
                <w:i w:val="0"/>
                <w:iCs w:val="0"/>
                <w:color w:val="000000"/>
                <w:sz w:val="18"/>
                <w:szCs w:val="18"/>
                <w:highlight w:val="none"/>
                <w:u w:val="none"/>
              </w:rPr>
            </w:pPr>
          </w:p>
        </w:tc>
      </w:tr>
      <w:tr w14:paraId="15990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CFB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5D8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FD1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1C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B6E5F">
            <w:pPr>
              <w:jc w:val="center"/>
              <w:rPr>
                <w:rFonts w:hint="eastAsia" w:ascii="宋体" w:hAnsi="宋体" w:eastAsia="宋体" w:cs="宋体"/>
                <w:i w:val="0"/>
                <w:iCs w:val="0"/>
                <w:color w:val="000000"/>
                <w:sz w:val="18"/>
                <w:szCs w:val="18"/>
                <w:highlight w:val="none"/>
                <w:u w:val="none"/>
              </w:rPr>
            </w:pPr>
          </w:p>
        </w:tc>
      </w:tr>
      <w:tr w14:paraId="26006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31C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7F55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85C2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530E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D76E">
            <w:pPr>
              <w:jc w:val="center"/>
              <w:rPr>
                <w:rFonts w:hint="eastAsia" w:ascii="宋体" w:hAnsi="宋体" w:eastAsia="宋体" w:cs="宋体"/>
                <w:i w:val="0"/>
                <w:iCs w:val="0"/>
                <w:color w:val="000000"/>
                <w:sz w:val="18"/>
                <w:szCs w:val="18"/>
                <w:highlight w:val="none"/>
                <w:u w:val="none"/>
              </w:rPr>
            </w:pPr>
          </w:p>
        </w:tc>
      </w:tr>
      <w:tr w14:paraId="0DAA1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4BA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564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3FC0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DD0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58F3">
            <w:pPr>
              <w:jc w:val="center"/>
              <w:rPr>
                <w:rFonts w:hint="eastAsia" w:ascii="宋体" w:hAnsi="宋体" w:eastAsia="宋体" w:cs="宋体"/>
                <w:i w:val="0"/>
                <w:iCs w:val="0"/>
                <w:color w:val="000000"/>
                <w:sz w:val="18"/>
                <w:szCs w:val="18"/>
                <w:highlight w:val="none"/>
                <w:u w:val="none"/>
              </w:rPr>
            </w:pPr>
          </w:p>
        </w:tc>
      </w:tr>
      <w:tr w14:paraId="1F9E3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EAAE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ED6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8B6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5AD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05C55">
            <w:pPr>
              <w:jc w:val="center"/>
              <w:rPr>
                <w:rFonts w:hint="eastAsia" w:ascii="宋体" w:hAnsi="宋体" w:eastAsia="宋体" w:cs="宋体"/>
                <w:i w:val="0"/>
                <w:iCs w:val="0"/>
                <w:color w:val="000000"/>
                <w:sz w:val="18"/>
                <w:szCs w:val="18"/>
                <w:highlight w:val="none"/>
                <w:u w:val="none"/>
              </w:rPr>
            </w:pPr>
          </w:p>
        </w:tc>
      </w:tr>
      <w:tr w14:paraId="080B6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749C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FDD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6560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AB2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1C4D5">
            <w:pPr>
              <w:jc w:val="center"/>
              <w:rPr>
                <w:rFonts w:hint="eastAsia" w:ascii="宋体" w:hAnsi="宋体" w:eastAsia="宋体" w:cs="宋体"/>
                <w:i w:val="0"/>
                <w:iCs w:val="0"/>
                <w:color w:val="000000"/>
                <w:sz w:val="18"/>
                <w:szCs w:val="18"/>
                <w:highlight w:val="none"/>
                <w:u w:val="none"/>
              </w:rPr>
            </w:pPr>
          </w:p>
        </w:tc>
      </w:tr>
      <w:tr w14:paraId="0F4B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C24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C360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F9D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24B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B8AFD">
            <w:pPr>
              <w:jc w:val="center"/>
              <w:rPr>
                <w:rFonts w:hint="eastAsia" w:ascii="宋体" w:hAnsi="宋体" w:eastAsia="宋体" w:cs="宋体"/>
                <w:i w:val="0"/>
                <w:iCs w:val="0"/>
                <w:color w:val="000000"/>
                <w:sz w:val="18"/>
                <w:szCs w:val="18"/>
                <w:highlight w:val="none"/>
                <w:u w:val="none"/>
              </w:rPr>
            </w:pPr>
          </w:p>
        </w:tc>
      </w:tr>
      <w:tr w14:paraId="5A97A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A463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D57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F41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170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0237">
            <w:pPr>
              <w:jc w:val="center"/>
              <w:rPr>
                <w:rFonts w:hint="eastAsia" w:ascii="宋体" w:hAnsi="宋体" w:eastAsia="宋体" w:cs="宋体"/>
                <w:i w:val="0"/>
                <w:iCs w:val="0"/>
                <w:color w:val="000000"/>
                <w:sz w:val="18"/>
                <w:szCs w:val="18"/>
                <w:highlight w:val="none"/>
                <w:u w:val="none"/>
              </w:rPr>
            </w:pPr>
          </w:p>
        </w:tc>
      </w:tr>
      <w:tr w14:paraId="6ED06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3759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14A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1C1A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5EFA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9432B">
            <w:pPr>
              <w:jc w:val="center"/>
              <w:rPr>
                <w:rFonts w:hint="eastAsia" w:ascii="宋体" w:hAnsi="宋体" w:eastAsia="宋体" w:cs="宋体"/>
                <w:i w:val="0"/>
                <w:iCs w:val="0"/>
                <w:color w:val="000000"/>
                <w:sz w:val="18"/>
                <w:szCs w:val="18"/>
                <w:highlight w:val="none"/>
                <w:u w:val="none"/>
              </w:rPr>
            </w:pPr>
          </w:p>
        </w:tc>
      </w:tr>
      <w:tr w14:paraId="1D1E2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908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739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604E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B9B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268C">
            <w:pPr>
              <w:jc w:val="center"/>
              <w:rPr>
                <w:rFonts w:hint="eastAsia" w:ascii="宋体" w:hAnsi="宋体" w:eastAsia="宋体" w:cs="宋体"/>
                <w:i w:val="0"/>
                <w:iCs w:val="0"/>
                <w:color w:val="000000"/>
                <w:sz w:val="18"/>
                <w:szCs w:val="18"/>
                <w:highlight w:val="none"/>
                <w:u w:val="none"/>
              </w:rPr>
            </w:pPr>
          </w:p>
        </w:tc>
      </w:tr>
      <w:tr w14:paraId="0F6E9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7CC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3B7C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8A5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55D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9E99">
            <w:pPr>
              <w:jc w:val="center"/>
              <w:rPr>
                <w:rFonts w:hint="eastAsia" w:ascii="宋体" w:hAnsi="宋体" w:eastAsia="宋体" w:cs="宋体"/>
                <w:i w:val="0"/>
                <w:iCs w:val="0"/>
                <w:color w:val="000000"/>
                <w:sz w:val="18"/>
                <w:szCs w:val="18"/>
                <w:highlight w:val="none"/>
                <w:u w:val="none"/>
              </w:rPr>
            </w:pPr>
          </w:p>
        </w:tc>
      </w:tr>
      <w:tr w14:paraId="1B116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D382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75BD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F46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07A1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49376">
            <w:pPr>
              <w:jc w:val="center"/>
              <w:rPr>
                <w:rFonts w:hint="eastAsia" w:ascii="宋体" w:hAnsi="宋体" w:eastAsia="宋体" w:cs="宋体"/>
                <w:i w:val="0"/>
                <w:iCs w:val="0"/>
                <w:color w:val="000000"/>
                <w:sz w:val="18"/>
                <w:szCs w:val="18"/>
                <w:highlight w:val="none"/>
                <w:u w:val="none"/>
              </w:rPr>
            </w:pPr>
          </w:p>
        </w:tc>
      </w:tr>
      <w:tr w14:paraId="39B2E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E487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7F3D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3217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5B8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7BF2">
            <w:pPr>
              <w:jc w:val="center"/>
              <w:rPr>
                <w:rFonts w:hint="eastAsia" w:ascii="宋体" w:hAnsi="宋体" w:eastAsia="宋体" w:cs="宋体"/>
                <w:i w:val="0"/>
                <w:iCs w:val="0"/>
                <w:color w:val="000000"/>
                <w:sz w:val="18"/>
                <w:szCs w:val="18"/>
                <w:highlight w:val="none"/>
                <w:u w:val="none"/>
              </w:rPr>
            </w:pPr>
          </w:p>
        </w:tc>
      </w:tr>
      <w:tr w14:paraId="0061D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449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27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D27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6D63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D9679">
            <w:pPr>
              <w:jc w:val="center"/>
              <w:rPr>
                <w:rFonts w:hint="eastAsia" w:ascii="宋体" w:hAnsi="宋体" w:eastAsia="宋体" w:cs="宋体"/>
                <w:i w:val="0"/>
                <w:iCs w:val="0"/>
                <w:color w:val="000000"/>
                <w:sz w:val="18"/>
                <w:szCs w:val="18"/>
                <w:highlight w:val="none"/>
                <w:u w:val="none"/>
              </w:rPr>
            </w:pPr>
          </w:p>
        </w:tc>
      </w:tr>
      <w:tr w14:paraId="458B9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EEBB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A03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4B72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EC2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7D94">
            <w:pPr>
              <w:jc w:val="center"/>
              <w:rPr>
                <w:rFonts w:hint="eastAsia" w:ascii="宋体" w:hAnsi="宋体" w:eastAsia="宋体" w:cs="宋体"/>
                <w:i w:val="0"/>
                <w:iCs w:val="0"/>
                <w:color w:val="000000"/>
                <w:sz w:val="18"/>
                <w:szCs w:val="18"/>
                <w:highlight w:val="none"/>
                <w:u w:val="none"/>
              </w:rPr>
            </w:pPr>
          </w:p>
        </w:tc>
      </w:tr>
      <w:tr w14:paraId="59C50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B14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DDE2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CE07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5D1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A6771">
            <w:pPr>
              <w:jc w:val="center"/>
              <w:rPr>
                <w:rFonts w:hint="eastAsia" w:ascii="宋体" w:hAnsi="宋体" w:eastAsia="宋体" w:cs="宋体"/>
                <w:i w:val="0"/>
                <w:iCs w:val="0"/>
                <w:color w:val="000000"/>
                <w:sz w:val="18"/>
                <w:szCs w:val="18"/>
                <w:highlight w:val="none"/>
                <w:u w:val="none"/>
              </w:rPr>
            </w:pPr>
          </w:p>
        </w:tc>
      </w:tr>
      <w:tr w14:paraId="45BE0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8AF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74D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CE6C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FC1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C4A5A">
            <w:pPr>
              <w:jc w:val="center"/>
              <w:rPr>
                <w:rFonts w:hint="eastAsia" w:ascii="宋体" w:hAnsi="宋体" w:eastAsia="宋体" w:cs="宋体"/>
                <w:i w:val="0"/>
                <w:iCs w:val="0"/>
                <w:color w:val="000000"/>
                <w:sz w:val="18"/>
                <w:szCs w:val="18"/>
                <w:highlight w:val="none"/>
                <w:u w:val="none"/>
              </w:rPr>
            </w:pPr>
          </w:p>
        </w:tc>
      </w:tr>
      <w:tr w14:paraId="2BA07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E29F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0E1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D5B9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33E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FE9EB">
            <w:pPr>
              <w:jc w:val="center"/>
              <w:rPr>
                <w:rFonts w:hint="eastAsia" w:ascii="宋体" w:hAnsi="宋体" w:eastAsia="宋体" w:cs="宋体"/>
                <w:i w:val="0"/>
                <w:iCs w:val="0"/>
                <w:color w:val="000000"/>
                <w:sz w:val="18"/>
                <w:szCs w:val="18"/>
                <w:highlight w:val="none"/>
                <w:u w:val="none"/>
              </w:rPr>
            </w:pPr>
          </w:p>
        </w:tc>
      </w:tr>
      <w:tr w14:paraId="1C954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B56F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A780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FCDA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613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64289">
            <w:pPr>
              <w:jc w:val="center"/>
              <w:rPr>
                <w:rFonts w:hint="eastAsia" w:ascii="宋体" w:hAnsi="宋体" w:eastAsia="宋体" w:cs="宋体"/>
                <w:i w:val="0"/>
                <w:iCs w:val="0"/>
                <w:color w:val="000000"/>
                <w:sz w:val="18"/>
                <w:szCs w:val="18"/>
                <w:highlight w:val="none"/>
                <w:u w:val="none"/>
              </w:rPr>
            </w:pPr>
          </w:p>
        </w:tc>
      </w:tr>
      <w:tr w14:paraId="72CFF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9F7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0FD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EE1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F8E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8225">
            <w:pPr>
              <w:jc w:val="center"/>
              <w:rPr>
                <w:rFonts w:hint="eastAsia" w:ascii="宋体" w:hAnsi="宋体" w:eastAsia="宋体" w:cs="宋体"/>
                <w:i w:val="0"/>
                <w:iCs w:val="0"/>
                <w:color w:val="000000"/>
                <w:sz w:val="18"/>
                <w:szCs w:val="18"/>
                <w:highlight w:val="none"/>
                <w:u w:val="none"/>
              </w:rPr>
            </w:pPr>
          </w:p>
        </w:tc>
      </w:tr>
    </w:tbl>
    <w:p w14:paraId="43CA0B9E">
      <w:pPr>
        <w:rPr>
          <w:rFonts w:hint="eastAsia" w:ascii="黑体" w:hAnsi="黑体" w:eastAsia="黑体" w:cs="黑体"/>
          <w:color w:val="auto"/>
          <w:sz w:val="36"/>
          <w:szCs w:val="36"/>
          <w:highlight w:val="red"/>
        </w:rPr>
      </w:pPr>
      <w:r>
        <w:rPr>
          <w:rFonts w:hint="eastAsia" w:ascii="黑体" w:hAnsi="黑体" w:eastAsia="黑体" w:cs="黑体"/>
          <w:color w:val="auto"/>
          <w:sz w:val="36"/>
          <w:szCs w:val="36"/>
          <w:highlight w:val="red"/>
        </w:rPr>
        <w:br w:type="page"/>
      </w:r>
    </w:p>
    <w:tbl>
      <w:tblPr>
        <w:tblStyle w:val="32"/>
        <w:tblW w:w="98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5"/>
        <w:gridCol w:w="2587"/>
        <w:gridCol w:w="1107"/>
        <w:gridCol w:w="1210"/>
        <w:gridCol w:w="1252"/>
        <w:gridCol w:w="1252"/>
        <w:gridCol w:w="1427"/>
      </w:tblGrid>
      <w:tr w14:paraId="1D809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9810" w:type="dxa"/>
            <w:gridSpan w:val="7"/>
            <w:tcBorders>
              <w:top w:val="nil"/>
              <w:left w:val="nil"/>
              <w:bottom w:val="nil"/>
              <w:right w:val="nil"/>
            </w:tcBorders>
            <w:shd w:val="clear" w:color="auto" w:fill="auto"/>
            <w:noWrap/>
            <w:vAlign w:val="center"/>
          </w:tcPr>
          <w:p w14:paraId="3DBE05C6">
            <w:pPr>
              <w:keepNext w:val="0"/>
              <w:keepLines w:val="0"/>
              <w:widowControl/>
              <w:suppressLineNumbers w:val="0"/>
              <w:jc w:val="center"/>
              <w:textAlignment w:val="center"/>
              <w:rPr>
                <w:rFonts w:hint="eastAsia" w:ascii="宋体" w:hAnsi="宋体" w:eastAsia="宋体" w:cs="宋体"/>
                <w:b/>
                <w:bCs/>
                <w:i w:val="0"/>
                <w:iCs w:val="0"/>
                <w:color w:val="000000"/>
                <w:sz w:val="30"/>
                <w:szCs w:val="30"/>
                <w:highlight w:val="none"/>
                <w:u w:val="none"/>
              </w:rPr>
            </w:pPr>
            <w:r>
              <w:rPr>
                <w:rFonts w:hint="eastAsia" w:ascii="宋体" w:hAnsi="宋体" w:eastAsia="宋体" w:cs="宋体"/>
                <w:b/>
                <w:bCs/>
                <w:i w:val="0"/>
                <w:iCs w:val="0"/>
                <w:color w:val="000000"/>
                <w:kern w:val="0"/>
                <w:sz w:val="30"/>
                <w:szCs w:val="30"/>
                <w:highlight w:val="none"/>
                <w:u w:val="none"/>
                <w:lang w:val="en-US" w:eastAsia="zh-CN" w:bidi="ar"/>
              </w:rPr>
              <w:t>单价分析表</w:t>
            </w:r>
          </w:p>
        </w:tc>
      </w:tr>
      <w:tr w14:paraId="40B8D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6"/>
            <w:tcBorders>
              <w:top w:val="nil"/>
              <w:left w:val="nil"/>
              <w:bottom w:val="single" w:color="000000" w:sz="4" w:space="0"/>
              <w:right w:val="nil"/>
            </w:tcBorders>
            <w:shd w:val="clear" w:color="auto" w:fill="auto"/>
            <w:noWrap/>
            <w:vAlign w:val="center"/>
          </w:tcPr>
          <w:p w14:paraId="4CC626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（此表仅供参考，格式自拟）</w:t>
            </w:r>
          </w:p>
        </w:tc>
        <w:tc>
          <w:tcPr>
            <w:tcW w:w="0" w:type="auto"/>
            <w:tcBorders>
              <w:top w:val="nil"/>
              <w:left w:val="nil"/>
              <w:bottom w:val="single" w:color="000000" w:sz="4" w:space="0"/>
              <w:right w:val="nil"/>
            </w:tcBorders>
            <w:shd w:val="clear" w:color="auto" w:fill="auto"/>
            <w:noWrap/>
            <w:vAlign w:val="center"/>
          </w:tcPr>
          <w:p w14:paraId="78C343E7">
            <w:pPr>
              <w:rPr>
                <w:rFonts w:hint="eastAsia" w:ascii="宋体" w:hAnsi="宋体" w:eastAsia="宋体" w:cs="宋体"/>
                <w:i w:val="0"/>
                <w:iCs w:val="0"/>
                <w:color w:val="000000"/>
                <w:sz w:val="18"/>
                <w:szCs w:val="18"/>
                <w:highlight w:val="none"/>
                <w:u w:val="none"/>
              </w:rPr>
            </w:pPr>
          </w:p>
        </w:tc>
      </w:tr>
      <w:tr w14:paraId="63BCD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63A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单价编号</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9D86">
            <w:pPr>
              <w:jc w:val="center"/>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C60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单价名称</w:t>
            </w:r>
          </w:p>
        </w:tc>
        <w:tc>
          <w:tcPr>
            <w:tcW w:w="514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C0B3EA">
            <w:pPr>
              <w:jc w:val="center"/>
              <w:rPr>
                <w:rFonts w:hint="eastAsia" w:ascii="宋体" w:hAnsi="宋体" w:eastAsia="宋体" w:cs="宋体"/>
                <w:i w:val="0"/>
                <w:iCs w:val="0"/>
                <w:color w:val="000000"/>
                <w:sz w:val="18"/>
                <w:szCs w:val="18"/>
                <w:highlight w:val="none"/>
                <w:u w:val="none"/>
              </w:rPr>
            </w:pPr>
          </w:p>
        </w:tc>
      </w:tr>
      <w:tr w14:paraId="073D6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F99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定额单位</w:t>
            </w: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0A74">
            <w:pPr>
              <w:jc w:val="center"/>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66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单价</w:t>
            </w:r>
          </w:p>
        </w:tc>
        <w:tc>
          <w:tcPr>
            <w:tcW w:w="514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97955B">
            <w:pPr>
              <w:jc w:val="center"/>
              <w:rPr>
                <w:rFonts w:hint="eastAsia" w:ascii="宋体" w:hAnsi="宋体" w:eastAsia="宋体" w:cs="宋体"/>
                <w:i w:val="0"/>
                <w:iCs w:val="0"/>
                <w:color w:val="000000"/>
                <w:sz w:val="18"/>
                <w:szCs w:val="18"/>
                <w:highlight w:val="none"/>
                <w:u w:val="none"/>
              </w:rPr>
            </w:pPr>
          </w:p>
        </w:tc>
      </w:tr>
      <w:tr w14:paraId="75F9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975" w:type="dxa"/>
            <w:tcBorders>
              <w:top w:val="single" w:color="000000" w:sz="4" w:space="0"/>
              <w:left w:val="single" w:color="000000" w:sz="4" w:space="0"/>
              <w:bottom w:val="nil"/>
              <w:right w:val="single" w:color="000000" w:sz="4" w:space="0"/>
            </w:tcBorders>
            <w:shd w:val="clear" w:color="auto" w:fill="auto"/>
            <w:vAlign w:val="center"/>
          </w:tcPr>
          <w:p w14:paraId="67DDCB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施工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方法</w:t>
            </w:r>
          </w:p>
        </w:tc>
        <w:tc>
          <w:tcPr>
            <w:tcW w:w="8835" w:type="dxa"/>
            <w:gridSpan w:val="6"/>
            <w:tcBorders>
              <w:top w:val="single" w:color="000000" w:sz="4" w:space="0"/>
              <w:left w:val="single" w:color="000000" w:sz="4" w:space="0"/>
              <w:bottom w:val="nil"/>
              <w:right w:val="single" w:color="000000" w:sz="4" w:space="0"/>
            </w:tcBorders>
            <w:shd w:val="clear" w:color="auto" w:fill="auto"/>
            <w:vAlign w:val="center"/>
          </w:tcPr>
          <w:p w14:paraId="5792C54B">
            <w:pPr>
              <w:jc w:val="left"/>
              <w:rPr>
                <w:rFonts w:hint="eastAsia" w:ascii="宋体" w:hAnsi="宋体" w:eastAsia="宋体" w:cs="宋体"/>
                <w:i w:val="0"/>
                <w:iCs w:val="0"/>
                <w:color w:val="000000"/>
                <w:sz w:val="18"/>
                <w:szCs w:val="18"/>
                <w:highlight w:val="none"/>
                <w:u w:val="none"/>
              </w:rPr>
            </w:pPr>
          </w:p>
        </w:tc>
      </w:tr>
      <w:tr w14:paraId="75680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62AAE882">
            <w:pPr>
              <w:jc w:val="center"/>
              <w:rPr>
                <w:rFonts w:hint="eastAsia" w:ascii="宋体" w:hAnsi="宋体" w:eastAsia="宋体" w:cs="宋体"/>
                <w:i w:val="0"/>
                <w:iCs w:val="0"/>
                <w:color w:val="000000"/>
                <w:sz w:val="18"/>
                <w:szCs w:val="18"/>
                <w:highlight w:val="none"/>
                <w:u w:val="none"/>
              </w:rPr>
            </w:pPr>
          </w:p>
        </w:tc>
        <w:tc>
          <w:tcPr>
            <w:tcW w:w="0" w:type="auto"/>
            <w:tcBorders>
              <w:top w:val="nil"/>
              <w:left w:val="single" w:color="000000" w:sz="4" w:space="0"/>
              <w:bottom w:val="single" w:color="000000" w:sz="4" w:space="0"/>
              <w:right w:val="nil"/>
            </w:tcBorders>
            <w:shd w:val="clear" w:color="auto" w:fill="auto"/>
            <w:noWrap/>
            <w:vAlign w:val="center"/>
          </w:tcPr>
          <w:p w14:paraId="38A746E5">
            <w:pPr>
              <w:jc w:val="center"/>
              <w:rPr>
                <w:rFonts w:hint="eastAsia" w:ascii="宋体" w:hAnsi="宋体" w:eastAsia="宋体" w:cs="宋体"/>
                <w:i w:val="0"/>
                <w:iCs w:val="0"/>
                <w:color w:val="000000"/>
                <w:sz w:val="18"/>
                <w:szCs w:val="18"/>
                <w:highlight w:val="none"/>
                <w:u w:val="none"/>
              </w:rPr>
            </w:pPr>
          </w:p>
        </w:tc>
        <w:tc>
          <w:tcPr>
            <w:tcW w:w="0" w:type="auto"/>
            <w:tcBorders>
              <w:top w:val="nil"/>
              <w:left w:val="nil"/>
              <w:bottom w:val="single" w:color="000000" w:sz="4" w:space="0"/>
              <w:right w:val="nil"/>
            </w:tcBorders>
            <w:shd w:val="clear" w:color="auto" w:fill="auto"/>
            <w:noWrap/>
            <w:vAlign w:val="center"/>
          </w:tcPr>
          <w:p w14:paraId="2A669FE9">
            <w:pPr>
              <w:jc w:val="center"/>
              <w:rPr>
                <w:rFonts w:hint="eastAsia" w:ascii="宋体" w:hAnsi="宋体" w:eastAsia="宋体" w:cs="宋体"/>
                <w:i w:val="0"/>
                <w:iCs w:val="0"/>
                <w:color w:val="000000"/>
                <w:sz w:val="18"/>
                <w:szCs w:val="18"/>
                <w:highlight w:val="none"/>
                <w:u w:val="none"/>
              </w:rPr>
            </w:pPr>
          </w:p>
        </w:tc>
        <w:tc>
          <w:tcPr>
            <w:tcW w:w="0" w:type="auto"/>
            <w:tcBorders>
              <w:top w:val="nil"/>
              <w:left w:val="nil"/>
              <w:bottom w:val="single" w:color="000000" w:sz="4" w:space="0"/>
              <w:right w:val="nil"/>
            </w:tcBorders>
            <w:shd w:val="clear" w:color="auto" w:fill="auto"/>
            <w:noWrap/>
            <w:vAlign w:val="center"/>
          </w:tcPr>
          <w:p w14:paraId="1F829759">
            <w:pPr>
              <w:jc w:val="center"/>
              <w:rPr>
                <w:rFonts w:hint="eastAsia" w:ascii="宋体" w:hAnsi="宋体" w:eastAsia="宋体" w:cs="宋体"/>
                <w:i w:val="0"/>
                <w:iCs w:val="0"/>
                <w:color w:val="000000"/>
                <w:sz w:val="18"/>
                <w:szCs w:val="18"/>
                <w:highlight w:val="none"/>
                <w:u w:val="none"/>
              </w:rPr>
            </w:pPr>
          </w:p>
        </w:tc>
        <w:tc>
          <w:tcPr>
            <w:tcW w:w="0" w:type="auto"/>
            <w:tcBorders>
              <w:top w:val="nil"/>
              <w:left w:val="nil"/>
              <w:bottom w:val="single" w:color="000000" w:sz="4" w:space="0"/>
              <w:right w:val="nil"/>
            </w:tcBorders>
            <w:shd w:val="clear" w:color="auto" w:fill="auto"/>
            <w:noWrap/>
            <w:vAlign w:val="center"/>
          </w:tcPr>
          <w:p w14:paraId="3ED48B92">
            <w:pPr>
              <w:jc w:val="center"/>
              <w:rPr>
                <w:rFonts w:hint="eastAsia" w:ascii="宋体" w:hAnsi="宋体" w:eastAsia="宋体" w:cs="宋体"/>
                <w:i w:val="0"/>
                <w:iCs w:val="0"/>
                <w:color w:val="000000"/>
                <w:sz w:val="18"/>
                <w:szCs w:val="18"/>
                <w:highlight w:val="none"/>
                <w:u w:val="none"/>
              </w:rPr>
            </w:pPr>
          </w:p>
        </w:tc>
        <w:tc>
          <w:tcPr>
            <w:tcW w:w="0" w:type="auto"/>
            <w:tcBorders>
              <w:top w:val="nil"/>
              <w:left w:val="nil"/>
              <w:bottom w:val="single" w:color="000000" w:sz="4" w:space="0"/>
              <w:right w:val="nil"/>
            </w:tcBorders>
            <w:shd w:val="clear" w:color="auto" w:fill="auto"/>
            <w:noWrap/>
            <w:vAlign w:val="center"/>
          </w:tcPr>
          <w:p w14:paraId="2D6978B1">
            <w:pPr>
              <w:jc w:val="center"/>
              <w:rPr>
                <w:rFonts w:hint="eastAsia" w:ascii="宋体" w:hAnsi="宋体" w:eastAsia="宋体" w:cs="宋体"/>
                <w:i w:val="0"/>
                <w:iCs w:val="0"/>
                <w:color w:val="000000"/>
                <w:sz w:val="18"/>
                <w:szCs w:val="18"/>
                <w:highlight w:val="none"/>
                <w:u w:val="none"/>
              </w:rPr>
            </w:pPr>
          </w:p>
        </w:tc>
        <w:tc>
          <w:tcPr>
            <w:tcW w:w="0" w:type="auto"/>
            <w:tcBorders>
              <w:top w:val="nil"/>
              <w:left w:val="nil"/>
              <w:bottom w:val="single" w:color="000000" w:sz="4" w:space="0"/>
              <w:right w:val="single" w:color="000000" w:sz="4" w:space="0"/>
            </w:tcBorders>
            <w:shd w:val="clear" w:color="auto" w:fill="auto"/>
            <w:noWrap/>
            <w:vAlign w:val="center"/>
          </w:tcPr>
          <w:p w14:paraId="2F5FC62C">
            <w:pPr>
              <w:jc w:val="center"/>
              <w:rPr>
                <w:rFonts w:hint="eastAsia" w:ascii="宋体" w:hAnsi="宋体" w:eastAsia="宋体" w:cs="宋体"/>
                <w:i w:val="0"/>
                <w:iCs w:val="0"/>
                <w:color w:val="000000"/>
                <w:sz w:val="18"/>
                <w:szCs w:val="18"/>
                <w:highlight w:val="none"/>
                <w:u w:val="none"/>
              </w:rPr>
            </w:pPr>
          </w:p>
        </w:tc>
      </w:tr>
      <w:tr w14:paraId="52718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889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编  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E9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名  称  及  规  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A1D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  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03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  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28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  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14A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49E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677C6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9AA4">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ABB7">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BC2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D5A2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CE5A">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77F3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7918E">
            <w:pPr>
              <w:jc w:val="center"/>
              <w:rPr>
                <w:rFonts w:hint="eastAsia" w:ascii="宋体" w:hAnsi="宋体" w:eastAsia="宋体" w:cs="宋体"/>
                <w:i w:val="0"/>
                <w:iCs w:val="0"/>
                <w:color w:val="000000"/>
                <w:sz w:val="18"/>
                <w:szCs w:val="18"/>
                <w:highlight w:val="none"/>
                <w:u w:val="none"/>
              </w:rPr>
            </w:pPr>
          </w:p>
        </w:tc>
      </w:tr>
      <w:tr w14:paraId="6AD5C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D3F31">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AEA5">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AF6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AF4A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19156">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0D3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8572B">
            <w:pPr>
              <w:jc w:val="center"/>
              <w:rPr>
                <w:rFonts w:hint="eastAsia" w:ascii="宋体" w:hAnsi="宋体" w:eastAsia="宋体" w:cs="宋体"/>
                <w:i w:val="0"/>
                <w:iCs w:val="0"/>
                <w:color w:val="000000"/>
                <w:sz w:val="18"/>
                <w:szCs w:val="18"/>
                <w:highlight w:val="none"/>
                <w:u w:val="none"/>
              </w:rPr>
            </w:pPr>
          </w:p>
        </w:tc>
      </w:tr>
      <w:tr w14:paraId="784A2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5760">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1D7E">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E8F2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2BF9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144DD">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392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82794">
            <w:pPr>
              <w:jc w:val="center"/>
              <w:rPr>
                <w:rFonts w:hint="eastAsia" w:ascii="宋体" w:hAnsi="宋体" w:eastAsia="宋体" w:cs="宋体"/>
                <w:i w:val="0"/>
                <w:iCs w:val="0"/>
                <w:color w:val="000000"/>
                <w:sz w:val="18"/>
                <w:szCs w:val="18"/>
                <w:highlight w:val="none"/>
                <w:u w:val="none"/>
              </w:rPr>
            </w:pPr>
          </w:p>
        </w:tc>
      </w:tr>
      <w:tr w14:paraId="312F1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D1D7">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ABCE">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8D58">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82BD">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4F7C">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8EB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4FC5F">
            <w:pPr>
              <w:jc w:val="center"/>
              <w:rPr>
                <w:rFonts w:hint="eastAsia" w:ascii="宋体" w:hAnsi="宋体" w:eastAsia="宋体" w:cs="宋体"/>
                <w:i w:val="0"/>
                <w:iCs w:val="0"/>
                <w:color w:val="000000"/>
                <w:sz w:val="18"/>
                <w:szCs w:val="18"/>
                <w:highlight w:val="none"/>
                <w:u w:val="none"/>
              </w:rPr>
            </w:pPr>
          </w:p>
        </w:tc>
      </w:tr>
      <w:tr w14:paraId="6C3FF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4B51">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9DBA">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95A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09D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24A5">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9421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4D0F7">
            <w:pPr>
              <w:jc w:val="center"/>
              <w:rPr>
                <w:rFonts w:hint="eastAsia" w:ascii="宋体" w:hAnsi="宋体" w:eastAsia="宋体" w:cs="宋体"/>
                <w:i w:val="0"/>
                <w:iCs w:val="0"/>
                <w:color w:val="000000"/>
                <w:sz w:val="18"/>
                <w:szCs w:val="18"/>
                <w:highlight w:val="none"/>
                <w:u w:val="none"/>
              </w:rPr>
            </w:pPr>
          </w:p>
        </w:tc>
      </w:tr>
      <w:tr w14:paraId="7B843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BD64E">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410F">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AEEA">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0504">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1A79">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856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BAA6">
            <w:pPr>
              <w:jc w:val="center"/>
              <w:rPr>
                <w:rFonts w:hint="eastAsia" w:ascii="宋体" w:hAnsi="宋体" w:eastAsia="宋体" w:cs="宋体"/>
                <w:i w:val="0"/>
                <w:iCs w:val="0"/>
                <w:color w:val="000000"/>
                <w:sz w:val="18"/>
                <w:szCs w:val="18"/>
                <w:highlight w:val="none"/>
                <w:u w:val="none"/>
              </w:rPr>
            </w:pPr>
          </w:p>
        </w:tc>
      </w:tr>
      <w:tr w14:paraId="1551F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49DBB">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8055">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D83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7B9B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223E">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B55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A56D">
            <w:pPr>
              <w:jc w:val="center"/>
              <w:rPr>
                <w:rFonts w:hint="eastAsia" w:ascii="宋体" w:hAnsi="宋体" w:eastAsia="宋体" w:cs="宋体"/>
                <w:i w:val="0"/>
                <w:iCs w:val="0"/>
                <w:color w:val="000000"/>
                <w:sz w:val="18"/>
                <w:szCs w:val="18"/>
                <w:highlight w:val="none"/>
                <w:u w:val="none"/>
              </w:rPr>
            </w:pPr>
          </w:p>
        </w:tc>
      </w:tr>
      <w:tr w14:paraId="081AF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9A1F7">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6FC3">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FE29">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305A">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24E2">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FE4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FE3AA">
            <w:pPr>
              <w:jc w:val="center"/>
              <w:rPr>
                <w:rFonts w:hint="eastAsia" w:ascii="宋体" w:hAnsi="宋体" w:eastAsia="宋体" w:cs="宋体"/>
                <w:i w:val="0"/>
                <w:iCs w:val="0"/>
                <w:color w:val="000000"/>
                <w:sz w:val="18"/>
                <w:szCs w:val="18"/>
                <w:highlight w:val="none"/>
                <w:u w:val="none"/>
              </w:rPr>
            </w:pPr>
          </w:p>
        </w:tc>
      </w:tr>
      <w:tr w14:paraId="7C2ED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97DB">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3BDD">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7378">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85CCC">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A2639">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B1F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89E9">
            <w:pPr>
              <w:jc w:val="center"/>
              <w:rPr>
                <w:rFonts w:hint="eastAsia" w:ascii="宋体" w:hAnsi="宋体" w:eastAsia="宋体" w:cs="宋体"/>
                <w:i w:val="0"/>
                <w:iCs w:val="0"/>
                <w:color w:val="000000"/>
                <w:sz w:val="18"/>
                <w:szCs w:val="18"/>
                <w:highlight w:val="none"/>
                <w:u w:val="none"/>
              </w:rPr>
            </w:pPr>
          </w:p>
        </w:tc>
      </w:tr>
      <w:tr w14:paraId="60B7F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026D6">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6256">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E5FA">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FA66">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C23B">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F7E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7F889">
            <w:pPr>
              <w:jc w:val="center"/>
              <w:rPr>
                <w:rFonts w:hint="eastAsia" w:ascii="宋体" w:hAnsi="宋体" w:eastAsia="宋体" w:cs="宋体"/>
                <w:i w:val="0"/>
                <w:iCs w:val="0"/>
                <w:color w:val="000000"/>
                <w:sz w:val="18"/>
                <w:szCs w:val="18"/>
                <w:highlight w:val="none"/>
                <w:u w:val="none"/>
              </w:rPr>
            </w:pPr>
          </w:p>
        </w:tc>
      </w:tr>
      <w:tr w14:paraId="44072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17E8">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4E2AB">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CA08">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6AF9">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FA2F">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B75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7C16">
            <w:pPr>
              <w:jc w:val="center"/>
              <w:rPr>
                <w:rFonts w:hint="eastAsia" w:ascii="宋体" w:hAnsi="宋体" w:eastAsia="宋体" w:cs="宋体"/>
                <w:i w:val="0"/>
                <w:iCs w:val="0"/>
                <w:color w:val="000000"/>
                <w:sz w:val="18"/>
                <w:szCs w:val="18"/>
                <w:highlight w:val="none"/>
                <w:u w:val="none"/>
              </w:rPr>
            </w:pPr>
          </w:p>
        </w:tc>
      </w:tr>
      <w:tr w14:paraId="47913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CECF">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074AF">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986E">
            <w:pPr>
              <w:jc w:val="center"/>
              <w:rPr>
                <w:rFonts w:hint="eastAsia" w:ascii="宋体" w:hAnsi="宋体" w:eastAsia="宋体" w:cs="宋体"/>
                <w:i w:val="0"/>
                <w:iCs w:val="0"/>
                <w:color w:val="000000"/>
                <w:sz w:val="18"/>
                <w:szCs w:val="18"/>
                <w:highlight w:val="none"/>
                <w:u w:val="none"/>
              </w:rPr>
            </w:pPr>
          </w:p>
        </w:tc>
        <w:tc>
          <w:tcPr>
            <w:tcW w:w="1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2EA8D">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3708C">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D0A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A47E">
            <w:pPr>
              <w:jc w:val="center"/>
              <w:rPr>
                <w:rFonts w:hint="eastAsia" w:ascii="宋体" w:hAnsi="宋体" w:eastAsia="宋体" w:cs="宋体"/>
                <w:i w:val="0"/>
                <w:iCs w:val="0"/>
                <w:color w:val="000000"/>
                <w:sz w:val="18"/>
                <w:szCs w:val="18"/>
                <w:highlight w:val="none"/>
                <w:u w:val="none"/>
              </w:rPr>
            </w:pPr>
          </w:p>
        </w:tc>
      </w:tr>
      <w:tr w14:paraId="38A54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08342">
            <w:pPr>
              <w:jc w:val="left"/>
              <w:rPr>
                <w:rFonts w:hint="eastAsia" w:ascii="宋体" w:hAnsi="宋体" w:eastAsia="宋体" w:cs="宋体"/>
                <w:i w:val="0"/>
                <w:iCs w:val="0"/>
                <w:color w:val="000000"/>
                <w:sz w:val="18"/>
                <w:szCs w:val="18"/>
                <w:highlight w:val="none"/>
                <w:u w:val="none"/>
              </w:rPr>
            </w:pPr>
          </w:p>
        </w:tc>
        <w:tc>
          <w:tcPr>
            <w:tcW w:w="2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923DD">
            <w:pPr>
              <w:jc w:val="left"/>
              <w:rPr>
                <w:rFonts w:hint="eastAsia" w:ascii="宋体" w:hAnsi="宋体" w:eastAsia="宋体" w:cs="宋体"/>
                <w:i w:val="0"/>
                <w:iCs w:val="0"/>
                <w:color w:val="000000"/>
                <w:sz w:val="18"/>
                <w:szCs w:val="18"/>
                <w:highlight w:val="none"/>
                <w:u w:val="none"/>
              </w:rPr>
            </w:pP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265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70A5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344E">
            <w:pPr>
              <w:jc w:val="center"/>
              <w:rPr>
                <w:rFonts w:hint="eastAsia" w:ascii="宋体" w:hAnsi="宋体" w:eastAsia="宋体" w:cs="宋体"/>
                <w:i w:val="0"/>
                <w:iCs w:val="0"/>
                <w:color w:val="000000"/>
                <w:sz w:val="18"/>
                <w:szCs w:val="18"/>
                <w:highlight w:val="none"/>
                <w:u w:val="none"/>
              </w:rPr>
            </w:pP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C1DF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F03E">
            <w:pPr>
              <w:jc w:val="center"/>
              <w:rPr>
                <w:rFonts w:hint="eastAsia" w:ascii="宋体" w:hAnsi="宋体" w:eastAsia="宋体" w:cs="宋体"/>
                <w:i w:val="0"/>
                <w:iCs w:val="0"/>
                <w:color w:val="000000"/>
                <w:sz w:val="18"/>
                <w:szCs w:val="18"/>
                <w:highlight w:val="none"/>
                <w:u w:val="none"/>
              </w:rPr>
            </w:pPr>
          </w:p>
        </w:tc>
      </w:tr>
      <w:tr w14:paraId="68FD6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C78E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4F86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E176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1AA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D308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67D8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450D7">
            <w:pPr>
              <w:jc w:val="center"/>
              <w:rPr>
                <w:rFonts w:hint="eastAsia" w:ascii="宋体" w:hAnsi="宋体" w:eastAsia="宋体" w:cs="宋体"/>
                <w:i w:val="0"/>
                <w:iCs w:val="0"/>
                <w:color w:val="000000"/>
                <w:sz w:val="18"/>
                <w:szCs w:val="18"/>
                <w:highlight w:val="none"/>
                <w:u w:val="none"/>
              </w:rPr>
            </w:pPr>
          </w:p>
        </w:tc>
      </w:tr>
      <w:tr w14:paraId="014A7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3F95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CEB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F96B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9596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585E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FA7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ED36">
            <w:pPr>
              <w:jc w:val="center"/>
              <w:rPr>
                <w:rFonts w:hint="eastAsia" w:ascii="宋体" w:hAnsi="宋体" w:eastAsia="宋体" w:cs="宋体"/>
                <w:i w:val="0"/>
                <w:iCs w:val="0"/>
                <w:color w:val="000000"/>
                <w:sz w:val="18"/>
                <w:szCs w:val="18"/>
                <w:highlight w:val="none"/>
                <w:u w:val="none"/>
              </w:rPr>
            </w:pPr>
          </w:p>
        </w:tc>
      </w:tr>
      <w:tr w14:paraId="3D248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CEBC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4CF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C5E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4D53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042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C012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F4384">
            <w:pPr>
              <w:jc w:val="center"/>
              <w:rPr>
                <w:rFonts w:hint="eastAsia" w:ascii="宋体" w:hAnsi="宋体" w:eastAsia="宋体" w:cs="宋体"/>
                <w:i w:val="0"/>
                <w:iCs w:val="0"/>
                <w:color w:val="000000"/>
                <w:sz w:val="18"/>
                <w:szCs w:val="18"/>
                <w:highlight w:val="none"/>
                <w:u w:val="none"/>
              </w:rPr>
            </w:pPr>
          </w:p>
        </w:tc>
      </w:tr>
      <w:tr w14:paraId="45516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D058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D6D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77A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E605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974D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9D0E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F574">
            <w:pPr>
              <w:jc w:val="center"/>
              <w:rPr>
                <w:rFonts w:hint="eastAsia" w:ascii="宋体" w:hAnsi="宋体" w:eastAsia="宋体" w:cs="宋体"/>
                <w:i w:val="0"/>
                <w:iCs w:val="0"/>
                <w:color w:val="000000"/>
                <w:sz w:val="18"/>
                <w:szCs w:val="18"/>
                <w:highlight w:val="none"/>
                <w:u w:val="none"/>
              </w:rPr>
            </w:pPr>
          </w:p>
        </w:tc>
      </w:tr>
      <w:tr w14:paraId="1C25A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15D8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BC0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DFE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08C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2056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6EA5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63701">
            <w:pPr>
              <w:jc w:val="center"/>
              <w:rPr>
                <w:rFonts w:hint="eastAsia" w:ascii="宋体" w:hAnsi="宋体" w:eastAsia="宋体" w:cs="宋体"/>
                <w:i w:val="0"/>
                <w:iCs w:val="0"/>
                <w:color w:val="000000"/>
                <w:sz w:val="18"/>
                <w:szCs w:val="18"/>
                <w:highlight w:val="none"/>
                <w:u w:val="none"/>
              </w:rPr>
            </w:pPr>
          </w:p>
        </w:tc>
      </w:tr>
      <w:tr w14:paraId="2F545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D84F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46FB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06AF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72B7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06E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5D59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8CA9">
            <w:pPr>
              <w:jc w:val="center"/>
              <w:rPr>
                <w:rFonts w:hint="eastAsia" w:ascii="宋体" w:hAnsi="宋体" w:eastAsia="宋体" w:cs="宋体"/>
                <w:i w:val="0"/>
                <w:iCs w:val="0"/>
                <w:color w:val="000000"/>
                <w:sz w:val="18"/>
                <w:szCs w:val="18"/>
                <w:highlight w:val="none"/>
                <w:u w:val="none"/>
              </w:rPr>
            </w:pPr>
          </w:p>
        </w:tc>
      </w:tr>
      <w:tr w14:paraId="5353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7C4C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7D4D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3F35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B21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48F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C481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9F92">
            <w:pPr>
              <w:jc w:val="center"/>
              <w:rPr>
                <w:rFonts w:hint="eastAsia" w:ascii="宋体" w:hAnsi="宋体" w:eastAsia="宋体" w:cs="宋体"/>
                <w:i w:val="0"/>
                <w:iCs w:val="0"/>
                <w:color w:val="000000"/>
                <w:sz w:val="18"/>
                <w:szCs w:val="18"/>
                <w:highlight w:val="none"/>
                <w:u w:val="none"/>
              </w:rPr>
            </w:pPr>
          </w:p>
        </w:tc>
      </w:tr>
      <w:tr w14:paraId="2E01C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193E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E27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B25E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DB6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D2C6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FA7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EA1F">
            <w:pPr>
              <w:jc w:val="center"/>
              <w:rPr>
                <w:rFonts w:hint="eastAsia" w:ascii="宋体" w:hAnsi="宋体" w:eastAsia="宋体" w:cs="宋体"/>
                <w:i w:val="0"/>
                <w:iCs w:val="0"/>
                <w:color w:val="000000"/>
                <w:sz w:val="18"/>
                <w:szCs w:val="18"/>
                <w:highlight w:val="none"/>
                <w:u w:val="none"/>
              </w:rPr>
            </w:pPr>
          </w:p>
        </w:tc>
      </w:tr>
      <w:tr w14:paraId="110BD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6985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F45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55A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8925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9B8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4317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839CC">
            <w:pPr>
              <w:jc w:val="center"/>
              <w:rPr>
                <w:rFonts w:hint="eastAsia" w:ascii="宋体" w:hAnsi="宋体" w:eastAsia="宋体" w:cs="宋体"/>
                <w:i w:val="0"/>
                <w:iCs w:val="0"/>
                <w:color w:val="000000"/>
                <w:sz w:val="18"/>
                <w:szCs w:val="18"/>
                <w:highlight w:val="none"/>
                <w:u w:val="none"/>
              </w:rPr>
            </w:pPr>
          </w:p>
        </w:tc>
      </w:tr>
      <w:tr w14:paraId="1AC53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69BA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9C1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FBA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D64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935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D94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09479">
            <w:pPr>
              <w:jc w:val="center"/>
              <w:rPr>
                <w:rFonts w:hint="eastAsia" w:ascii="宋体" w:hAnsi="宋体" w:eastAsia="宋体" w:cs="宋体"/>
                <w:i w:val="0"/>
                <w:iCs w:val="0"/>
                <w:color w:val="000000"/>
                <w:sz w:val="18"/>
                <w:szCs w:val="18"/>
                <w:highlight w:val="none"/>
                <w:u w:val="none"/>
              </w:rPr>
            </w:pPr>
          </w:p>
        </w:tc>
      </w:tr>
      <w:tr w14:paraId="319A4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75CB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A88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5D9DE">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28F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8A1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C3D1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16F66">
            <w:pPr>
              <w:jc w:val="center"/>
              <w:rPr>
                <w:rFonts w:hint="eastAsia" w:ascii="宋体" w:hAnsi="宋体" w:eastAsia="宋体" w:cs="宋体"/>
                <w:i w:val="0"/>
                <w:iCs w:val="0"/>
                <w:color w:val="000000"/>
                <w:sz w:val="18"/>
                <w:szCs w:val="18"/>
                <w:highlight w:val="none"/>
                <w:u w:val="none"/>
              </w:rPr>
            </w:pPr>
          </w:p>
        </w:tc>
      </w:tr>
      <w:tr w14:paraId="5E4FB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0DFE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332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F3A3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D39A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C9A7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E73C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21511">
            <w:pPr>
              <w:jc w:val="center"/>
              <w:rPr>
                <w:rFonts w:hint="eastAsia" w:ascii="宋体" w:hAnsi="宋体" w:eastAsia="宋体" w:cs="宋体"/>
                <w:i w:val="0"/>
                <w:iCs w:val="0"/>
                <w:color w:val="000000"/>
                <w:sz w:val="18"/>
                <w:szCs w:val="18"/>
                <w:highlight w:val="none"/>
                <w:u w:val="none"/>
              </w:rPr>
            </w:pPr>
          </w:p>
        </w:tc>
      </w:tr>
      <w:tr w14:paraId="75A00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F07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CEB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0E64">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1CC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0FAE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4F0AA">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FC4D">
            <w:pPr>
              <w:jc w:val="center"/>
              <w:rPr>
                <w:rFonts w:hint="eastAsia" w:ascii="宋体" w:hAnsi="宋体" w:eastAsia="宋体" w:cs="宋体"/>
                <w:i w:val="0"/>
                <w:iCs w:val="0"/>
                <w:color w:val="000000"/>
                <w:sz w:val="18"/>
                <w:szCs w:val="18"/>
                <w:highlight w:val="none"/>
                <w:u w:val="none"/>
              </w:rPr>
            </w:pPr>
          </w:p>
        </w:tc>
      </w:tr>
      <w:tr w14:paraId="41C83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8B34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7DF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D0AF">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F47A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4C14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7A35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4208">
            <w:pPr>
              <w:jc w:val="center"/>
              <w:rPr>
                <w:rFonts w:hint="eastAsia" w:ascii="宋体" w:hAnsi="宋体" w:eastAsia="宋体" w:cs="宋体"/>
                <w:i w:val="0"/>
                <w:iCs w:val="0"/>
                <w:color w:val="000000"/>
                <w:sz w:val="18"/>
                <w:szCs w:val="18"/>
                <w:highlight w:val="none"/>
                <w:u w:val="none"/>
              </w:rPr>
            </w:pPr>
          </w:p>
        </w:tc>
      </w:tr>
      <w:tr w14:paraId="4F244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A1BF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72A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F60D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A9BE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34D2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583E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850F">
            <w:pPr>
              <w:jc w:val="center"/>
              <w:rPr>
                <w:rFonts w:hint="eastAsia" w:ascii="宋体" w:hAnsi="宋体" w:eastAsia="宋体" w:cs="宋体"/>
                <w:i w:val="0"/>
                <w:iCs w:val="0"/>
                <w:color w:val="000000"/>
                <w:sz w:val="18"/>
                <w:szCs w:val="18"/>
                <w:highlight w:val="none"/>
                <w:u w:val="none"/>
              </w:rPr>
            </w:pPr>
          </w:p>
        </w:tc>
      </w:tr>
      <w:tr w14:paraId="3F5E2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68CB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8917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819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8D14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7CE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D42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C916">
            <w:pPr>
              <w:jc w:val="center"/>
              <w:rPr>
                <w:rFonts w:hint="eastAsia" w:ascii="宋体" w:hAnsi="宋体" w:eastAsia="宋体" w:cs="宋体"/>
                <w:i w:val="0"/>
                <w:iCs w:val="0"/>
                <w:color w:val="000000"/>
                <w:sz w:val="18"/>
                <w:szCs w:val="18"/>
                <w:highlight w:val="none"/>
                <w:u w:val="none"/>
              </w:rPr>
            </w:pPr>
          </w:p>
        </w:tc>
      </w:tr>
      <w:tr w14:paraId="50188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E84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1E6B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D853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E4B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C0C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79E7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97E5">
            <w:pPr>
              <w:jc w:val="center"/>
              <w:rPr>
                <w:rFonts w:hint="eastAsia" w:ascii="宋体" w:hAnsi="宋体" w:eastAsia="宋体" w:cs="宋体"/>
                <w:i w:val="0"/>
                <w:iCs w:val="0"/>
                <w:color w:val="000000"/>
                <w:sz w:val="18"/>
                <w:szCs w:val="18"/>
                <w:highlight w:val="none"/>
                <w:u w:val="none"/>
              </w:rPr>
            </w:pPr>
          </w:p>
        </w:tc>
      </w:tr>
      <w:tr w14:paraId="3CE9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BAA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1B4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A393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805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2776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32D9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CBD6">
            <w:pPr>
              <w:jc w:val="center"/>
              <w:rPr>
                <w:rFonts w:hint="eastAsia" w:ascii="宋体" w:hAnsi="宋体" w:eastAsia="宋体" w:cs="宋体"/>
                <w:i w:val="0"/>
                <w:iCs w:val="0"/>
                <w:color w:val="000000"/>
                <w:sz w:val="18"/>
                <w:szCs w:val="18"/>
                <w:highlight w:val="none"/>
                <w:u w:val="none"/>
              </w:rPr>
            </w:pPr>
          </w:p>
        </w:tc>
      </w:tr>
      <w:tr w14:paraId="6C0A5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6F3A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3EEE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89B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40C8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307A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A34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9265">
            <w:pPr>
              <w:jc w:val="center"/>
              <w:rPr>
                <w:rFonts w:hint="eastAsia" w:ascii="宋体" w:hAnsi="宋体" w:eastAsia="宋体" w:cs="宋体"/>
                <w:i w:val="0"/>
                <w:iCs w:val="0"/>
                <w:color w:val="000000"/>
                <w:sz w:val="18"/>
                <w:szCs w:val="18"/>
                <w:highlight w:val="none"/>
                <w:u w:val="none"/>
              </w:rPr>
            </w:pPr>
          </w:p>
        </w:tc>
      </w:tr>
    </w:tbl>
    <w:p w14:paraId="4D3B800F">
      <w:pPr>
        <w:pStyle w:val="2"/>
        <w:bidi w:val="0"/>
        <w:ind w:firstLine="420" w:firstLineChars="0"/>
        <w:jc w:val="center"/>
        <w:rPr>
          <w:rFonts w:hint="eastAsia" w:ascii="黑体" w:hAnsi="黑体" w:eastAsia="黑体" w:cs="黑体"/>
          <w:color w:val="auto"/>
          <w:sz w:val="36"/>
          <w:szCs w:val="36"/>
          <w:highlight w:val="none"/>
          <w:lang w:eastAsia="zh-CN"/>
        </w:rPr>
      </w:pPr>
      <w:bookmarkStart w:id="360" w:name="_Toc5765"/>
      <w:r>
        <w:rPr>
          <w:rFonts w:hint="eastAsia" w:ascii="黑体" w:hAnsi="黑体" w:eastAsia="黑体" w:cs="黑体"/>
          <w:color w:val="auto"/>
          <w:sz w:val="36"/>
          <w:szCs w:val="36"/>
          <w:highlight w:val="none"/>
        </w:rPr>
        <w:t xml:space="preserve">第四章 </w:t>
      </w:r>
      <w:r>
        <w:rPr>
          <w:rFonts w:hint="eastAsia" w:ascii="黑体" w:hAnsi="黑体" w:eastAsia="黑体" w:cs="黑体"/>
          <w:color w:val="auto"/>
          <w:sz w:val="36"/>
          <w:szCs w:val="36"/>
          <w:highlight w:val="none"/>
          <w:lang w:eastAsia="zh-CN"/>
        </w:rPr>
        <w:t>评审办法（</w:t>
      </w:r>
      <w:r>
        <w:rPr>
          <w:rFonts w:hint="eastAsia" w:ascii="黑体" w:hAnsi="黑体" w:eastAsia="黑体" w:cs="黑体"/>
          <w:color w:val="auto"/>
          <w:sz w:val="36"/>
          <w:szCs w:val="36"/>
          <w:highlight w:val="none"/>
          <w:lang w:val="en-US" w:eastAsia="zh-CN"/>
        </w:rPr>
        <w:t>综合评分法</w:t>
      </w:r>
      <w:r>
        <w:rPr>
          <w:rFonts w:hint="eastAsia" w:ascii="黑体" w:hAnsi="黑体" w:eastAsia="黑体" w:cs="黑体"/>
          <w:color w:val="auto"/>
          <w:sz w:val="36"/>
          <w:szCs w:val="36"/>
          <w:highlight w:val="none"/>
          <w:lang w:eastAsia="zh-CN"/>
        </w:rPr>
        <w:t>）</w:t>
      </w:r>
      <w:bookmarkEnd w:id="354"/>
      <w:bookmarkEnd w:id="355"/>
      <w:bookmarkEnd w:id="356"/>
      <w:bookmarkEnd w:id="357"/>
      <w:bookmarkEnd w:id="358"/>
      <w:bookmarkEnd w:id="360"/>
    </w:p>
    <w:bookmarkEnd w:id="359"/>
    <w:p w14:paraId="131E4A30">
      <w:pPr>
        <w:pStyle w:val="3"/>
        <w:keepNext w:val="0"/>
        <w:keepLines w:val="0"/>
        <w:spacing w:line="360" w:lineRule="auto"/>
        <w:jc w:val="center"/>
        <w:rPr>
          <w:rFonts w:hint="eastAsia" w:ascii="宋体" w:hAnsi="宋体" w:eastAsia="宋体" w:cs="宋体"/>
          <w:color w:val="auto"/>
          <w:szCs w:val="28"/>
          <w:highlight w:val="none"/>
          <w:lang w:eastAsia="zh-CN"/>
        </w:rPr>
      </w:pPr>
      <w:bookmarkStart w:id="361" w:name="_Toc16057"/>
      <w:bookmarkStart w:id="362" w:name="_Toc21789"/>
      <w:bookmarkStart w:id="363" w:name="_Toc11670"/>
      <w:bookmarkStart w:id="364" w:name="_Toc31383"/>
      <w:bookmarkStart w:id="365" w:name="_Toc3767"/>
      <w:bookmarkStart w:id="366" w:name="_Toc122026402"/>
      <w:bookmarkStart w:id="367" w:name="_Toc10666"/>
      <w:bookmarkStart w:id="368" w:name="Book24"/>
      <w:r>
        <w:rPr>
          <w:rFonts w:hint="eastAsia" w:ascii="宋体" w:hAnsi="宋体" w:eastAsia="宋体" w:cs="宋体"/>
          <w:color w:val="auto"/>
          <w:szCs w:val="28"/>
          <w:highlight w:val="none"/>
          <w:lang w:eastAsia="zh-CN"/>
        </w:rPr>
        <w:t>评审办法前附表</w:t>
      </w:r>
      <w:bookmarkEnd w:id="361"/>
      <w:bookmarkEnd w:id="362"/>
      <w:bookmarkEnd w:id="363"/>
      <w:bookmarkEnd w:id="364"/>
      <w:bookmarkEnd w:id="365"/>
      <w:bookmarkEnd w:id="366"/>
      <w:bookmarkEnd w:id="367"/>
    </w:p>
    <w:bookmarkEnd w:id="368"/>
    <w:tbl>
      <w:tblPr>
        <w:tblStyle w:val="32"/>
        <w:tblW w:w="49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948"/>
        <w:gridCol w:w="1082"/>
        <w:gridCol w:w="1253"/>
        <w:gridCol w:w="5386"/>
      </w:tblGrid>
      <w:tr w14:paraId="607F7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EED240">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A6A9C">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B31B3">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78F23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restart"/>
            <w:tcBorders>
              <w:top w:val="single" w:color="000000" w:sz="4" w:space="0"/>
              <w:left w:val="single" w:color="000000" w:sz="4" w:space="0"/>
              <w:right w:val="single" w:color="000000" w:sz="4" w:space="0"/>
            </w:tcBorders>
            <w:shd w:val="clear" w:color="auto" w:fill="auto"/>
            <w:vAlign w:val="center"/>
          </w:tcPr>
          <w:p w14:paraId="1DA7936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eastAsia="zh-CN"/>
              </w:rPr>
            </w:pPr>
            <w:bookmarkStart w:id="369" w:name="资格评审" w:colFirst="2" w:colLast="2"/>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1</w:t>
            </w:r>
          </w:p>
        </w:tc>
        <w:tc>
          <w:tcPr>
            <w:tcW w:w="502" w:type="pct"/>
            <w:vMerge w:val="restart"/>
            <w:tcBorders>
              <w:top w:val="single" w:color="000000" w:sz="4" w:space="0"/>
              <w:left w:val="single" w:color="000000" w:sz="4" w:space="0"/>
              <w:right w:val="single" w:color="000000" w:sz="4" w:space="0"/>
            </w:tcBorders>
            <w:shd w:val="clear" w:color="auto" w:fill="auto"/>
            <w:vAlign w:val="center"/>
          </w:tcPr>
          <w:p w14:paraId="04A986C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资格评审标准</w:t>
            </w: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9D0D11">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DFDF">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39B9F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1A99A160">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48833758">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CA25E7">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222E0">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1011A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1647FF4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150EAE8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63C475">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E7E61">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77049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293EE4E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402A3E1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F06DD5">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具</w:t>
            </w:r>
            <w:r>
              <w:rPr>
                <w:rFonts w:hint="eastAsia" w:ascii="宋体" w:hAnsi="宋体" w:eastAsia="宋体" w:cs="宋体"/>
                <w:color w:val="auto"/>
                <w:sz w:val="21"/>
                <w:szCs w:val="21"/>
                <w:highlight w:val="none"/>
              </w:rPr>
              <w:t>有依法缴纳税收和社会保障资金的良好记录</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D4C7C">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64912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54A635F8">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38CFD31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E01A9">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08AD9">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733B3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69F66385">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3987A0B5">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885AC7">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法律、行政法规规定的其他条件</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934F6">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1FA95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703541CD">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03EC544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CD7EDA">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596C8">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7BC81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left w:val="single" w:color="000000" w:sz="4" w:space="0"/>
              <w:right w:val="single" w:color="000000" w:sz="4" w:space="0"/>
            </w:tcBorders>
            <w:shd w:val="clear" w:color="auto" w:fill="auto"/>
            <w:vAlign w:val="center"/>
          </w:tcPr>
          <w:p w14:paraId="3EEAB4B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000000" w:sz="4" w:space="0"/>
            </w:tcBorders>
            <w:shd w:val="clear" w:color="auto" w:fill="auto"/>
            <w:vAlign w:val="center"/>
          </w:tcPr>
          <w:p w14:paraId="443B2688">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C3771D">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本项目的特定资格要求</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B098C">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须知”第1.4.1项规定</w:t>
            </w:r>
          </w:p>
        </w:tc>
      </w:tr>
      <w:tr w14:paraId="6B508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8A97F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eastAsia="zh-CN"/>
              </w:rPr>
            </w:pPr>
            <w:bookmarkStart w:id="370" w:name="形式响应性评审" w:colFirst="2" w:colLast="2"/>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2</w:t>
            </w:r>
          </w:p>
        </w:tc>
        <w:tc>
          <w:tcPr>
            <w:tcW w:w="5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3FD3C0">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符合性评审标准</w:t>
            </w: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539A3">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A0AEB">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cs="宋体"/>
                <w:color w:val="auto"/>
                <w:szCs w:val="21"/>
                <w:highlight w:val="none"/>
              </w:rPr>
              <w:t>营业执照或事业单位法人证书或其他类似的法定证明文件</w:t>
            </w:r>
            <w:r>
              <w:rPr>
                <w:rFonts w:hint="eastAsia" w:ascii="宋体" w:hAnsi="宋体" w:eastAsia="宋体" w:cs="宋体"/>
                <w:color w:val="auto"/>
                <w:sz w:val="21"/>
                <w:szCs w:val="21"/>
                <w:highlight w:val="none"/>
              </w:rPr>
              <w:t>一致</w:t>
            </w:r>
          </w:p>
        </w:tc>
      </w:tr>
      <w:tr w14:paraId="7A25A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78456">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A699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206E6">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的签署</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55E80">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须知”第3.7.4项要求</w:t>
            </w:r>
          </w:p>
        </w:tc>
      </w:tr>
      <w:tr w14:paraId="02436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3E739">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E9218">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DAFDF6">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格式</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D4821">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val="en-US" w:eastAsia="zh-CN"/>
              </w:rPr>
              <w:t>响应文件格式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要求</w:t>
            </w:r>
          </w:p>
        </w:tc>
      </w:tr>
      <w:tr w14:paraId="7F5D6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E929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E1745">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0C2C47">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响应报价</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835B9">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低于（含等于）第二章“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须知”第3.2.5项载明的</w:t>
            </w:r>
            <w:r>
              <w:rPr>
                <w:rFonts w:hint="eastAsia" w:ascii="宋体" w:hAnsi="宋体" w:cs="宋体"/>
                <w:color w:val="auto"/>
                <w:sz w:val="21"/>
                <w:szCs w:val="21"/>
                <w:highlight w:val="none"/>
                <w:lang w:val="en-US" w:eastAsia="zh-CN"/>
              </w:rPr>
              <w:t>最高限价</w:t>
            </w:r>
          </w:p>
        </w:tc>
      </w:tr>
      <w:tr w14:paraId="169B5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3A727">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F6CCC">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CFFDD">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619B4">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须知”第1.3.1项规定</w:t>
            </w:r>
          </w:p>
        </w:tc>
      </w:tr>
      <w:tr w14:paraId="7AE5B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484B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CF5D7">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4D1471">
            <w:pPr>
              <w:keepNext w:val="0"/>
              <w:keepLines w:val="0"/>
              <w:pageBreakBefore w:val="0"/>
              <w:kinsoku/>
              <w:overflowPunct/>
              <w:topLinePunct w:val="0"/>
              <w:autoSpaceDE/>
              <w:autoSpaceDN/>
              <w:bidi w:val="0"/>
              <w:spacing w:line="360" w:lineRule="auto"/>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合同履行期限</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B41CD">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须知”第1.3.</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项规定</w:t>
            </w:r>
          </w:p>
        </w:tc>
      </w:tr>
      <w:tr w14:paraId="57F52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ACD16">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24945">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8ADA3">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质量</w:t>
            </w:r>
            <w:r>
              <w:rPr>
                <w:rFonts w:hint="eastAsia" w:ascii="宋体" w:hAnsi="宋体" w:cs="宋体"/>
                <w:color w:val="auto"/>
                <w:sz w:val="21"/>
                <w:szCs w:val="21"/>
                <w:highlight w:val="none"/>
                <w:lang w:val="en-US" w:eastAsia="zh-CN"/>
              </w:rPr>
              <w:t>要求</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45317">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须知”第1.3.</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项规定</w:t>
            </w:r>
          </w:p>
        </w:tc>
      </w:tr>
      <w:tr w14:paraId="3354F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D02B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0DE1C">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4F77A">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有效期</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CA5E1">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须知”第3.3.1项规定</w:t>
            </w:r>
          </w:p>
        </w:tc>
      </w:tr>
      <w:tr w14:paraId="77FF0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D1B87C">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5DC8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94786C">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不存在情形</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6E51F">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不存在第二章“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须知”第1.4.3项规定的任</w:t>
            </w:r>
            <w:r>
              <w:rPr>
                <w:rFonts w:hint="eastAsia" w:ascii="宋体" w:hAnsi="宋体" w:eastAsia="宋体" w:cs="宋体"/>
                <w:color w:val="auto"/>
                <w:sz w:val="21"/>
                <w:szCs w:val="21"/>
                <w:highlight w:val="none"/>
                <w:lang w:eastAsia="zh-CN"/>
              </w:rPr>
              <w:t>何一</w:t>
            </w:r>
            <w:r>
              <w:rPr>
                <w:rFonts w:hint="eastAsia" w:ascii="宋体" w:hAnsi="宋体" w:eastAsia="宋体" w:cs="宋体"/>
                <w:color w:val="auto"/>
                <w:sz w:val="21"/>
                <w:szCs w:val="21"/>
                <w:highlight w:val="none"/>
              </w:rPr>
              <w:t>种情形</w:t>
            </w:r>
          </w:p>
        </w:tc>
      </w:tr>
      <w:tr w14:paraId="3063A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4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3D683">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7A4E0">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5A6B72">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其他要求</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D3903">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符合竞争性磋商文件规定</w:t>
            </w:r>
          </w:p>
        </w:tc>
      </w:tr>
      <w:tr w14:paraId="37F88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atLeast"/>
          <w:jc w:val="center"/>
        </w:trPr>
        <w:tc>
          <w:tcPr>
            <w:tcW w:w="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4D04DC">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DBF1A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条款内容</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917F9">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67F16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atLeast"/>
          <w:jc w:val="center"/>
        </w:trPr>
        <w:tc>
          <w:tcPr>
            <w:tcW w:w="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551745">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2.2.1</w:t>
            </w: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B4438">
            <w:pPr>
              <w:keepNext w:val="0"/>
              <w:keepLines w:val="0"/>
              <w:pageBreakBefore w:val="0"/>
              <w:kinsoku/>
              <w:overflowPunct/>
              <w:topLinePunct w:val="0"/>
              <w:autoSpaceDE/>
              <w:autoSpaceDN/>
              <w:bidi w:val="0"/>
              <w:spacing w:line="360" w:lineRule="auto"/>
              <w:ind w:firstLine="0" w:firstLine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07F5E62F">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（满分100分）</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4D9E8">
            <w:pPr>
              <w:keepNext w:val="0"/>
              <w:keepLines w:val="0"/>
              <w:pageBreakBefore w:val="0"/>
              <w:widowControl w:val="0"/>
              <w:kinsoku/>
              <w:wordWrap/>
              <w:overflowPunct/>
              <w:topLinePunct w:val="0"/>
              <w:autoSpaceDE/>
              <w:autoSpaceDN/>
              <w:bidi w:val="0"/>
              <w:spacing w:line="360" w:lineRule="auto"/>
              <w:textAlignment w:val="auto"/>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详细评审</w:t>
            </w:r>
          </w:p>
          <w:p w14:paraId="20C4CB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default" w:ascii="宋体" w:hAnsi="宋体" w:eastAsia="宋体"/>
                <w:color w:val="auto"/>
                <w:kern w:val="0"/>
                <w:szCs w:val="21"/>
                <w:highlight w:val="none"/>
                <w:lang w:val="en-US" w:eastAsia="zh-CN"/>
              </w:rPr>
            </w:pPr>
            <w:r>
              <w:rPr>
                <w:rFonts w:hint="eastAsia" w:ascii="宋体" w:hAnsi="宋体"/>
                <w:color w:val="auto"/>
                <w:kern w:val="0"/>
                <w:szCs w:val="21"/>
                <w:highlight w:val="none"/>
                <w:lang w:val="en-US" w:eastAsia="zh-CN"/>
              </w:rPr>
              <w:t>磋商报价F1:</w:t>
            </w:r>
            <w:r>
              <w:rPr>
                <w:rFonts w:hint="eastAsia" w:ascii="宋体" w:hAnsi="宋体"/>
                <w:color w:val="auto"/>
                <w:kern w:val="0"/>
                <w:szCs w:val="21"/>
                <w:highlight w:val="none"/>
                <w:u w:val="single"/>
                <w:lang w:val="en-US" w:eastAsia="zh-CN"/>
              </w:rPr>
              <w:t>20</w:t>
            </w:r>
            <w:r>
              <w:rPr>
                <w:rFonts w:hint="default" w:ascii="宋体" w:hAnsi="宋体"/>
                <w:color w:val="auto"/>
                <w:kern w:val="0"/>
                <w:szCs w:val="21"/>
                <w:highlight w:val="none"/>
                <w:u w:val="single"/>
              </w:rPr>
              <w:fldChar w:fldCharType="begin"/>
            </w:r>
            <w:r>
              <w:rPr>
                <w:rFonts w:hint="default" w:ascii="宋体" w:hAnsi="宋体"/>
                <w:color w:val="auto"/>
                <w:kern w:val="0"/>
                <w:szCs w:val="21"/>
                <w:highlight w:val="none"/>
                <w:u w:val="single"/>
              </w:rPr>
              <w:instrText xml:space="preserve"> AUTOTEXT  input206 \* MERGEFORMAT </w:instrText>
            </w:r>
            <w:r>
              <w:rPr>
                <w:rFonts w:hint="default" w:ascii="宋体" w:hAnsi="宋体"/>
                <w:color w:val="auto"/>
                <w:kern w:val="0"/>
                <w:szCs w:val="21"/>
                <w:highlight w:val="none"/>
                <w:u w:val="single"/>
              </w:rPr>
              <w:fldChar w:fldCharType="separate"/>
            </w:r>
            <w:r>
              <w:rPr>
                <w:rFonts w:hint="default" w:ascii="宋体" w:hAnsi="宋体"/>
                <w:color w:val="auto"/>
                <w:kern w:val="0"/>
                <w:szCs w:val="21"/>
                <w:highlight w:val="none"/>
                <w:u w:val="single"/>
              </w:rPr>
              <w:fldChar w:fldCharType="end"/>
            </w:r>
            <w:r>
              <w:rPr>
                <w:rFonts w:hint="eastAsia" w:ascii="宋体" w:hAnsi="宋体"/>
                <w:color w:val="auto"/>
                <w:kern w:val="0"/>
                <w:szCs w:val="21"/>
                <w:highlight w:val="none"/>
              </w:rPr>
              <w:t>分</w:t>
            </w:r>
          </w:p>
          <w:p w14:paraId="62F727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default" w:ascii="宋体" w:hAnsi="宋体" w:eastAsia="宋体"/>
                <w:color w:val="auto"/>
                <w:kern w:val="0"/>
                <w:szCs w:val="21"/>
                <w:highlight w:val="none"/>
                <w:lang w:val="en-US" w:eastAsia="zh-CN"/>
              </w:rPr>
            </w:pPr>
            <w:r>
              <w:rPr>
                <w:rFonts w:hint="eastAsia" w:ascii="宋体" w:hAnsi="宋体"/>
                <w:color w:val="auto"/>
                <w:kern w:val="0"/>
                <w:szCs w:val="21"/>
                <w:highlight w:val="none"/>
              </w:rPr>
              <w:t>施工组织设计</w:t>
            </w:r>
            <w:r>
              <w:rPr>
                <w:rFonts w:hint="eastAsia" w:ascii="宋体" w:hAnsi="宋体"/>
                <w:color w:val="auto"/>
                <w:kern w:val="0"/>
                <w:szCs w:val="21"/>
                <w:highlight w:val="none"/>
                <w:lang w:val="en-US" w:eastAsia="zh-CN"/>
              </w:rPr>
              <w:t>F2:</w:t>
            </w:r>
            <w:r>
              <w:rPr>
                <w:rFonts w:hint="eastAsia" w:ascii="宋体" w:hAnsi="宋体"/>
                <w:color w:val="auto"/>
                <w:kern w:val="0"/>
                <w:szCs w:val="21"/>
                <w:highlight w:val="none"/>
                <w:u w:val="single"/>
                <w:lang w:val="en-US" w:eastAsia="zh-CN"/>
              </w:rPr>
              <w:t>60</w:t>
            </w:r>
            <w:r>
              <w:rPr>
                <w:rFonts w:hint="default" w:ascii="宋体" w:hAnsi="宋体"/>
                <w:color w:val="auto"/>
                <w:kern w:val="0"/>
                <w:szCs w:val="21"/>
                <w:highlight w:val="none"/>
                <w:u w:val="single"/>
              </w:rPr>
              <w:fldChar w:fldCharType="begin"/>
            </w:r>
            <w:r>
              <w:rPr>
                <w:rFonts w:hint="default" w:ascii="宋体" w:hAnsi="宋体"/>
                <w:color w:val="auto"/>
                <w:kern w:val="0"/>
                <w:szCs w:val="21"/>
                <w:highlight w:val="none"/>
                <w:u w:val="single"/>
              </w:rPr>
              <w:instrText xml:space="preserve"> AUTOTEXT  input204 \* MERGEFORMAT </w:instrText>
            </w:r>
            <w:r>
              <w:rPr>
                <w:rFonts w:hint="default" w:ascii="宋体" w:hAnsi="宋体"/>
                <w:color w:val="auto"/>
                <w:kern w:val="0"/>
                <w:szCs w:val="21"/>
                <w:highlight w:val="none"/>
                <w:u w:val="single"/>
              </w:rPr>
              <w:fldChar w:fldCharType="separate"/>
            </w:r>
            <w:r>
              <w:rPr>
                <w:rFonts w:hint="default" w:ascii="宋体" w:hAnsi="宋体"/>
                <w:color w:val="auto"/>
                <w:kern w:val="0"/>
                <w:szCs w:val="21"/>
                <w:highlight w:val="none"/>
                <w:u w:val="single"/>
              </w:rPr>
              <w:fldChar w:fldCharType="end"/>
            </w:r>
            <w:r>
              <w:rPr>
                <w:rFonts w:hint="eastAsia" w:ascii="宋体" w:hAnsi="宋体"/>
                <w:color w:val="auto"/>
                <w:kern w:val="0"/>
                <w:szCs w:val="21"/>
                <w:highlight w:val="none"/>
              </w:rPr>
              <w:t>分</w:t>
            </w:r>
          </w:p>
          <w:p w14:paraId="1C84BD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default" w:ascii="宋体" w:hAnsi="宋体"/>
                <w:color w:val="auto"/>
                <w:kern w:val="0"/>
                <w:szCs w:val="21"/>
                <w:highlight w:val="none"/>
              </w:rPr>
            </w:pPr>
            <w:r>
              <w:rPr>
                <w:rFonts w:hint="eastAsia" w:ascii="宋体" w:hAnsi="宋体"/>
                <w:color w:val="auto"/>
                <w:kern w:val="0"/>
                <w:szCs w:val="21"/>
                <w:highlight w:val="none"/>
              </w:rPr>
              <w:t>项目管理机构</w:t>
            </w:r>
            <w:r>
              <w:rPr>
                <w:rFonts w:hint="eastAsia" w:ascii="宋体" w:hAnsi="宋体"/>
                <w:color w:val="auto"/>
                <w:kern w:val="0"/>
                <w:szCs w:val="21"/>
                <w:highlight w:val="none"/>
                <w:lang w:val="en-US" w:eastAsia="zh-CN"/>
              </w:rPr>
              <w:t>F3:</w:t>
            </w:r>
            <w:r>
              <w:rPr>
                <w:rFonts w:hint="eastAsia" w:ascii="宋体" w:hAnsi="宋体" w:cs="宋体"/>
                <w:b w:val="0"/>
                <w:color w:val="auto"/>
                <w:sz w:val="21"/>
                <w:szCs w:val="20"/>
                <w:highlight w:val="none"/>
                <w:u w:val="single"/>
                <w:lang w:val="en-US" w:eastAsia="zh-CN"/>
              </w:rPr>
              <w:t>10</w:t>
            </w:r>
            <w:r>
              <w:rPr>
                <w:rFonts w:hint="default" w:ascii="宋体" w:hAnsi="宋体"/>
                <w:color w:val="auto"/>
                <w:kern w:val="0"/>
                <w:szCs w:val="21"/>
                <w:highlight w:val="none"/>
                <w:u w:val="single"/>
              </w:rPr>
              <w:fldChar w:fldCharType="begin"/>
            </w:r>
            <w:r>
              <w:rPr>
                <w:rFonts w:hint="default" w:ascii="宋体" w:hAnsi="宋体"/>
                <w:color w:val="auto"/>
                <w:kern w:val="0"/>
                <w:szCs w:val="21"/>
                <w:highlight w:val="none"/>
                <w:u w:val="single"/>
              </w:rPr>
              <w:instrText xml:space="preserve"> AUTOTEXT  input205 \* MERGEFORMAT </w:instrText>
            </w:r>
            <w:r>
              <w:rPr>
                <w:rFonts w:hint="default" w:ascii="宋体" w:hAnsi="宋体"/>
                <w:color w:val="auto"/>
                <w:kern w:val="0"/>
                <w:szCs w:val="21"/>
                <w:highlight w:val="none"/>
                <w:u w:val="single"/>
              </w:rPr>
              <w:fldChar w:fldCharType="separate"/>
            </w:r>
            <w:r>
              <w:rPr>
                <w:rFonts w:hint="default" w:ascii="宋体" w:hAnsi="宋体"/>
                <w:color w:val="auto"/>
                <w:kern w:val="0"/>
                <w:szCs w:val="21"/>
                <w:highlight w:val="none"/>
                <w:u w:val="single"/>
              </w:rPr>
              <w:fldChar w:fldCharType="end"/>
            </w:r>
            <w:r>
              <w:rPr>
                <w:rFonts w:hint="eastAsia" w:ascii="宋体" w:hAnsi="宋体"/>
                <w:color w:val="auto"/>
                <w:kern w:val="0"/>
                <w:szCs w:val="21"/>
                <w:highlight w:val="none"/>
              </w:rPr>
              <w:t>分</w:t>
            </w:r>
          </w:p>
          <w:p w14:paraId="1BA44C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eastAsia" w:ascii="宋体" w:hAnsi="宋体"/>
                <w:color w:val="auto"/>
                <w:kern w:val="0"/>
                <w:szCs w:val="21"/>
                <w:highlight w:val="none"/>
              </w:rPr>
            </w:pPr>
            <w:r>
              <w:rPr>
                <w:rFonts w:hint="eastAsia" w:ascii="宋体" w:hAnsi="宋体"/>
                <w:color w:val="auto"/>
                <w:kern w:val="0"/>
                <w:szCs w:val="21"/>
                <w:highlight w:val="none"/>
              </w:rPr>
              <w:t>其他因素</w:t>
            </w:r>
            <w:r>
              <w:rPr>
                <w:rFonts w:hint="eastAsia" w:ascii="宋体" w:hAnsi="宋体"/>
                <w:color w:val="auto"/>
                <w:kern w:val="0"/>
                <w:szCs w:val="21"/>
                <w:highlight w:val="none"/>
                <w:lang w:val="en-US" w:eastAsia="zh-CN"/>
              </w:rPr>
              <w:t>F4:</w:t>
            </w:r>
            <w:r>
              <w:rPr>
                <w:rFonts w:hint="eastAsia" w:ascii="宋体" w:hAnsi="宋体"/>
                <w:color w:val="auto"/>
                <w:kern w:val="0"/>
                <w:szCs w:val="21"/>
                <w:highlight w:val="none"/>
                <w:u w:val="single"/>
                <w:lang w:val="en-US" w:eastAsia="zh-CN"/>
              </w:rPr>
              <w:t>10</w:t>
            </w:r>
            <w:r>
              <w:rPr>
                <w:rFonts w:hint="default" w:ascii="宋体" w:hAnsi="宋体"/>
                <w:color w:val="auto"/>
                <w:kern w:val="0"/>
                <w:szCs w:val="21"/>
                <w:highlight w:val="none"/>
              </w:rPr>
              <w:fldChar w:fldCharType="begin"/>
            </w:r>
            <w:r>
              <w:rPr>
                <w:rFonts w:hint="default" w:ascii="宋体" w:hAnsi="宋体"/>
                <w:color w:val="auto"/>
                <w:kern w:val="0"/>
                <w:szCs w:val="21"/>
                <w:highlight w:val="none"/>
              </w:rPr>
              <w:instrText xml:space="preserve"> AUTOTEXT  input208 \* MERGEFORMAT </w:instrText>
            </w:r>
            <w:r>
              <w:rPr>
                <w:rFonts w:hint="default" w:ascii="宋体" w:hAnsi="宋体"/>
                <w:color w:val="auto"/>
                <w:kern w:val="0"/>
                <w:szCs w:val="21"/>
                <w:highlight w:val="none"/>
              </w:rPr>
              <w:fldChar w:fldCharType="separate"/>
            </w:r>
            <w:r>
              <w:rPr>
                <w:rFonts w:hint="default" w:ascii="宋体" w:hAnsi="宋体"/>
                <w:color w:val="auto"/>
                <w:kern w:val="0"/>
                <w:szCs w:val="21"/>
                <w:highlight w:val="none"/>
              </w:rPr>
              <w:fldChar w:fldCharType="end"/>
            </w:r>
            <w:r>
              <w:rPr>
                <w:rFonts w:hint="eastAsia" w:ascii="宋体" w:hAnsi="宋体"/>
                <w:color w:val="auto"/>
                <w:kern w:val="0"/>
                <w:szCs w:val="21"/>
                <w:highlight w:val="none"/>
              </w:rPr>
              <w:t>分</w:t>
            </w:r>
          </w:p>
          <w:p w14:paraId="6E941D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eastAsia" w:ascii="宋体" w:hAnsi="宋体" w:eastAsia="宋体" w:cs="宋体"/>
                <w:color w:val="auto"/>
                <w:sz w:val="21"/>
                <w:szCs w:val="21"/>
                <w:highlight w:val="none"/>
              </w:rPr>
            </w:pPr>
            <w:r>
              <w:rPr>
                <w:rFonts w:hint="eastAsia" w:ascii="宋体" w:hAnsi="宋体"/>
                <w:b/>
                <w:bCs/>
                <w:color w:val="auto"/>
                <w:kern w:val="0"/>
                <w:szCs w:val="21"/>
                <w:highlight w:val="none"/>
                <w:lang w:eastAsia="zh-CN"/>
              </w:rPr>
              <w:t>供应商</w:t>
            </w:r>
            <w:r>
              <w:rPr>
                <w:rFonts w:hint="eastAsia" w:ascii="宋体" w:hAnsi="宋体"/>
                <w:b/>
                <w:bCs/>
                <w:color w:val="auto"/>
                <w:kern w:val="0"/>
                <w:szCs w:val="21"/>
                <w:highlight w:val="none"/>
              </w:rPr>
              <w:t>的</w:t>
            </w:r>
            <w:r>
              <w:rPr>
                <w:rFonts w:hint="eastAsia" w:ascii="宋体" w:hAnsi="宋体"/>
                <w:b/>
                <w:bCs/>
                <w:color w:val="auto"/>
                <w:kern w:val="0"/>
                <w:szCs w:val="21"/>
                <w:highlight w:val="none"/>
                <w:lang w:eastAsia="zh-CN"/>
              </w:rPr>
              <w:t>评审</w:t>
            </w:r>
            <w:r>
              <w:rPr>
                <w:rFonts w:hint="eastAsia" w:ascii="宋体" w:hAnsi="宋体"/>
                <w:b/>
                <w:bCs/>
                <w:color w:val="auto"/>
                <w:kern w:val="0"/>
                <w:szCs w:val="21"/>
                <w:highlight w:val="none"/>
              </w:rPr>
              <w:t>总得分＝F1＋F2</w:t>
            </w:r>
            <w:r>
              <w:rPr>
                <w:rFonts w:hint="eastAsia" w:ascii="宋体" w:hAnsi="宋体"/>
                <w:b/>
                <w:bCs/>
                <w:color w:val="auto"/>
                <w:kern w:val="0"/>
                <w:szCs w:val="21"/>
                <w:highlight w:val="none"/>
                <w:lang w:val="en-US" w:eastAsia="zh-CN"/>
              </w:rPr>
              <w:t>+F3+F4</w:t>
            </w:r>
            <w:r>
              <w:rPr>
                <w:rFonts w:hint="eastAsia" w:ascii="宋体" w:hAnsi="宋体"/>
                <w:b/>
                <w:bCs/>
                <w:color w:val="auto"/>
                <w:kern w:val="0"/>
                <w:szCs w:val="21"/>
                <w:highlight w:val="none"/>
              </w:rPr>
              <w:t>。</w:t>
            </w:r>
          </w:p>
        </w:tc>
      </w:tr>
      <w:tr w14:paraId="08336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atLeast"/>
          <w:jc w:val="center"/>
        </w:trPr>
        <w:tc>
          <w:tcPr>
            <w:tcW w:w="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8A29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w:t>
            </w:r>
          </w:p>
        </w:tc>
        <w:tc>
          <w:tcPr>
            <w:tcW w:w="123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A459E">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磋商基准价</w:t>
            </w:r>
          </w:p>
        </w:tc>
        <w:tc>
          <w:tcPr>
            <w:tcW w:w="2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06D12">
            <w:pPr>
              <w:keepNext w:val="0"/>
              <w:keepLines w:val="0"/>
              <w:pageBreakBefore w:val="0"/>
              <w:kinsoku/>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color w:val="auto"/>
                <w:kern w:val="0"/>
                <w:sz w:val="21"/>
                <w:szCs w:val="21"/>
                <w:highlight w:val="none"/>
                <w:lang w:val="en-US" w:eastAsia="zh-CN"/>
              </w:rPr>
              <w:t>响应报价</w:t>
            </w:r>
            <w:r>
              <w:rPr>
                <w:rFonts w:hint="eastAsia" w:ascii="宋体" w:hAnsi="宋体" w:eastAsia="宋体" w:cs="宋体"/>
                <w:color w:val="auto"/>
                <w:kern w:val="0"/>
                <w:sz w:val="21"/>
                <w:szCs w:val="21"/>
                <w:highlight w:val="none"/>
                <w:lang w:val="en-US" w:eastAsia="zh-CN"/>
              </w:rPr>
              <w:t>（最终报价）满足磋商文件要求且最后报价最低的供应商的价格为磋商基准价</w:t>
            </w:r>
          </w:p>
        </w:tc>
      </w:tr>
      <w:bookmarkEnd w:id="369"/>
      <w:bookmarkEnd w:id="370"/>
      <w:tr w14:paraId="42AFF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11" w:type="pct"/>
            <w:gridSpan w:val="2"/>
            <w:tcBorders>
              <w:top w:val="single" w:color="auto" w:sz="4" w:space="0"/>
              <w:left w:val="single" w:color="000000" w:sz="4" w:space="0"/>
              <w:right w:val="single" w:color="auto" w:sz="4" w:space="0"/>
            </w:tcBorders>
            <w:shd w:val="clear" w:color="auto" w:fill="auto"/>
            <w:vAlign w:val="center"/>
          </w:tcPr>
          <w:p w14:paraId="15E08177">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条款号</w:t>
            </w: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23238CA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评分因素</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394194F7">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分值</w:t>
            </w:r>
          </w:p>
        </w:tc>
        <w:tc>
          <w:tcPr>
            <w:tcW w:w="2852" w:type="pct"/>
            <w:tcBorders>
              <w:top w:val="single" w:color="000000" w:sz="4" w:space="0"/>
              <w:left w:val="single" w:color="000000" w:sz="4" w:space="0"/>
              <w:right w:val="single" w:color="000000" w:sz="4" w:space="0"/>
            </w:tcBorders>
            <w:shd w:val="clear" w:color="auto" w:fill="auto"/>
            <w:vAlign w:val="center"/>
          </w:tcPr>
          <w:p w14:paraId="58856F6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评分标准</w:t>
            </w:r>
          </w:p>
        </w:tc>
      </w:tr>
      <w:tr w14:paraId="241FE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09" w:type="pct"/>
            <w:tcBorders>
              <w:top w:val="single" w:color="auto" w:sz="4" w:space="0"/>
              <w:left w:val="single" w:color="000000" w:sz="4" w:space="0"/>
              <w:right w:val="single" w:color="auto" w:sz="4" w:space="0"/>
            </w:tcBorders>
            <w:shd w:val="clear" w:color="auto" w:fill="auto"/>
            <w:vAlign w:val="center"/>
          </w:tcPr>
          <w:p w14:paraId="2EECCCB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3</w:t>
            </w:r>
          </w:p>
          <w:p w14:paraId="11A378C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502" w:type="pct"/>
            <w:tcBorders>
              <w:top w:val="single" w:color="auto" w:sz="4" w:space="0"/>
              <w:left w:val="single" w:color="000000" w:sz="4" w:space="0"/>
              <w:right w:val="single" w:color="auto" w:sz="4" w:space="0"/>
            </w:tcBorders>
            <w:shd w:val="clear" w:color="auto" w:fill="auto"/>
            <w:vAlign w:val="center"/>
          </w:tcPr>
          <w:p w14:paraId="5AC8578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磋商报价</w:t>
            </w:r>
            <w:r>
              <w:rPr>
                <w:rFonts w:hint="eastAsia" w:ascii="宋体" w:hAnsi="宋体" w:eastAsia="宋体" w:cs="宋体"/>
                <w:color w:val="auto"/>
                <w:sz w:val="21"/>
                <w:szCs w:val="21"/>
                <w:highlight w:val="none"/>
              </w:rPr>
              <w:t>评审F1</w:t>
            </w: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2C97B9A1">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报价</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7C16CE2C">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tc>
        <w:tc>
          <w:tcPr>
            <w:tcW w:w="2852" w:type="pct"/>
            <w:tcBorders>
              <w:top w:val="single" w:color="000000" w:sz="4" w:space="0"/>
              <w:left w:val="single" w:color="000000" w:sz="4" w:space="0"/>
              <w:right w:val="single" w:color="000000" w:sz="4" w:space="0"/>
            </w:tcBorders>
            <w:shd w:val="clear" w:color="auto" w:fill="auto"/>
            <w:vAlign w:val="center"/>
          </w:tcPr>
          <w:p w14:paraId="69DF90DA">
            <w:pPr>
              <w:keepNext w:val="0"/>
              <w:keepLines w:val="0"/>
              <w:pageBreakBefore w:val="0"/>
              <w:kinsoku/>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w:t>
            </w:r>
            <w:r>
              <w:rPr>
                <w:rFonts w:hint="eastAsia" w:ascii="宋体" w:hAnsi="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lang w:val="en-US" w:eastAsia="zh-CN"/>
              </w:rPr>
              <w:t>报价（最终报价）满足磋商文件要求且最后报价最低的供应商的价格为磋商基准价，其价格分为满分。其他供应商的价格分统一按照下列公式计算：</w:t>
            </w:r>
          </w:p>
          <w:p w14:paraId="05CF8A31">
            <w:pPr>
              <w:keepNext w:val="0"/>
              <w:keepLines w:val="0"/>
              <w:pageBreakBefore w:val="0"/>
              <w:kinsoku/>
              <w:overflowPunct/>
              <w:topLinePunct w:val="0"/>
              <w:autoSpaceDE/>
              <w:autoSpaceDN/>
              <w:bidi w:val="0"/>
              <w:adjustRightInd w:val="0"/>
              <w:snapToGrid w:val="0"/>
              <w:spacing w:line="360" w:lineRule="auto"/>
              <w:textAlignment w:val="auto"/>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F1磋商报价得分=（磋商基准价/最后磋商报价）×</w:t>
            </w:r>
            <w:r>
              <w:rPr>
                <w:rFonts w:hint="eastAsia" w:ascii="宋体" w:hAnsi="宋体" w:cs="宋体"/>
                <w:color w:val="auto"/>
                <w:kern w:val="0"/>
                <w:sz w:val="21"/>
                <w:szCs w:val="21"/>
                <w:highlight w:val="none"/>
                <w:lang w:val="en-US" w:eastAsia="zh-CN"/>
              </w:rPr>
              <w:t>20</w:t>
            </w:r>
          </w:p>
          <w:p w14:paraId="1E5E4996">
            <w:pPr>
              <w:keepNext w:val="0"/>
              <w:keepLines w:val="0"/>
              <w:pageBreakBefore w:val="0"/>
              <w:kinsoku/>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项目评审过程中，不得去掉最后报价中的最高报价和最低报价。</w:t>
            </w:r>
          </w:p>
          <w:p w14:paraId="060BD667">
            <w:pPr>
              <w:keepNext w:val="0"/>
              <w:keepLines w:val="0"/>
              <w:pageBreakBefore w:val="0"/>
              <w:kinsoku/>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kern w:val="0"/>
                <w:sz w:val="21"/>
                <w:szCs w:val="21"/>
                <w:highlight w:val="none"/>
                <w:lang w:val="en-US" w:eastAsia="zh-CN"/>
              </w:rPr>
            </w:pPr>
            <w:r>
              <w:rPr>
                <w:rFonts w:hint="eastAsia" w:hAnsi="宋体" w:cs="宋体"/>
                <w:color w:val="auto"/>
                <w:szCs w:val="21"/>
                <w:highlight w:val="none"/>
                <w:lang w:val="en-US" w:eastAsia="zh-CN"/>
              </w:rPr>
              <w:t>应</w:t>
            </w:r>
            <w:r>
              <w:rPr>
                <w:rFonts w:hint="eastAsia" w:hAnsi="宋体" w:cs="宋体"/>
                <w:color w:val="auto"/>
                <w:szCs w:val="21"/>
                <w:highlight w:val="none"/>
              </w:rPr>
              <w:t>落实政府采购政策进行价格调整的，以调整后的价格计算</w:t>
            </w:r>
            <w:r>
              <w:rPr>
                <w:rFonts w:hint="eastAsia" w:hAnsi="宋体" w:cs="宋体"/>
                <w:color w:val="auto"/>
                <w:szCs w:val="21"/>
                <w:highlight w:val="none"/>
                <w:lang w:val="en-US" w:eastAsia="zh-CN"/>
              </w:rPr>
              <w:t>磋商</w:t>
            </w:r>
            <w:r>
              <w:rPr>
                <w:rFonts w:hint="eastAsia" w:hAnsi="宋体" w:cs="宋体"/>
                <w:color w:val="auto"/>
                <w:szCs w:val="21"/>
                <w:highlight w:val="none"/>
              </w:rPr>
              <w:t>基准价</w:t>
            </w:r>
            <w:r>
              <w:rPr>
                <w:rFonts w:hint="eastAsia" w:hAnsi="宋体" w:cs="宋体"/>
                <w:color w:val="auto"/>
                <w:szCs w:val="21"/>
                <w:highlight w:val="none"/>
                <w:lang w:eastAsia="zh-CN"/>
              </w:rPr>
              <w:t>。</w:t>
            </w:r>
          </w:p>
          <w:p w14:paraId="67C8C5E9">
            <w:pPr>
              <w:keepNext w:val="0"/>
              <w:keepLines w:val="0"/>
              <w:pageBreakBefore w:val="0"/>
              <w:kinsoku/>
              <w:overflowPunct/>
              <w:topLinePunct w:val="0"/>
              <w:autoSpaceDE/>
              <w:autoSpaceDN/>
              <w:bidi w:val="0"/>
              <w:adjustRightInd w:val="0"/>
              <w:snapToGrid w:val="0"/>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注：供应商的报价明显低于其他通过资格评审和符合性评审供应商的报价，有可能影响</w:t>
            </w:r>
            <w:r>
              <w:rPr>
                <w:rFonts w:hint="eastAsia" w:ascii="宋体" w:hAnsi="宋体" w:cs="宋体"/>
                <w:color w:val="auto"/>
                <w:kern w:val="0"/>
                <w:sz w:val="21"/>
                <w:szCs w:val="21"/>
                <w:highlight w:val="none"/>
                <w:lang w:val="en-US" w:eastAsia="zh-CN"/>
              </w:rPr>
              <w:t>施工</w:t>
            </w:r>
            <w:r>
              <w:rPr>
                <w:rFonts w:hint="eastAsia" w:ascii="宋体" w:hAnsi="宋体" w:eastAsia="宋体" w:cs="宋体"/>
                <w:color w:val="auto"/>
                <w:kern w:val="0"/>
                <w:sz w:val="21"/>
                <w:szCs w:val="21"/>
                <w:highlight w:val="none"/>
                <w:lang w:val="en-US" w:eastAsia="zh-CN"/>
              </w:rPr>
              <w:t>质量或者不能诚信履约的，应当要求提供书面说明，必要时提交相关证明材料；供应商不能证明其报价合理性的，磋商小组应当将其作为无效</w:t>
            </w: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lang w:val="en-US" w:eastAsia="zh-CN"/>
              </w:rPr>
              <w:t>处理。</w:t>
            </w:r>
          </w:p>
        </w:tc>
      </w:tr>
      <w:tr w14:paraId="6BEFC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09" w:type="pct"/>
            <w:vMerge w:val="restart"/>
            <w:tcBorders>
              <w:left w:val="single" w:color="000000" w:sz="4" w:space="0"/>
              <w:right w:val="single" w:color="auto" w:sz="4" w:space="0"/>
            </w:tcBorders>
            <w:shd w:val="clear" w:color="auto" w:fill="auto"/>
            <w:vAlign w:val="center"/>
          </w:tcPr>
          <w:p w14:paraId="0879DCC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3</w:t>
            </w:r>
          </w:p>
          <w:p w14:paraId="35BF1366">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p w14:paraId="1276D6AB">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restart"/>
            <w:tcBorders>
              <w:left w:val="single" w:color="000000" w:sz="4" w:space="0"/>
              <w:right w:val="single" w:color="auto" w:sz="4" w:space="0"/>
            </w:tcBorders>
            <w:shd w:val="clear" w:color="auto" w:fill="auto"/>
            <w:vAlign w:val="center"/>
          </w:tcPr>
          <w:p w14:paraId="7303E668">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施工组织设计评分</w:t>
            </w:r>
            <w:r>
              <w:rPr>
                <w:rFonts w:hint="eastAsia" w:ascii="宋体" w:hAnsi="宋体" w:cs="宋体"/>
                <w:color w:val="auto"/>
                <w:sz w:val="21"/>
                <w:szCs w:val="21"/>
                <w:highlight w:val="none"/>
                <w:lang w:val="en-US" w:eastAsia="zh-CN"/>
              </w:rPr>
              <w:t>标准</w:t>
            </w:r>
          </w:p>
          <w:p w14:paraId="16F8FF4D">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F2</w:t>
            </w:r>
          </w:p>
          <w:p w14:paraId="2614B6F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165F5675">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Times New Roman"/>
                <w:color w:val="auto"/>
                <w:kern w:val="0"/>
                <w:sz w:val="21"/>
                <w:szCs w:val="21"/>
                <w:highlight w:val="none"/>
                <w:lang w:val="en-US" w:eastAsia="zh-CN" w:bidi="ar-SA"/>
              </w:rPr>
            </w:pPr>
            <w:r>
              <w:rPr>
                <w:rFonts w:hint="eastAsia"/>
                <w:sz w:val="21"/>
                <w:szCs w:val="21"/>
                <w:lang w:val="en-US" w:eastAsia="zh-CN"/>
              </w:rPr>
              <w:t>施工总布置</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615A79B7">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6分</w:t>
            </w:r>
          </w:p>
        </w:tc>
        <w:tc>
          <w:tcPr>
            <w:tcW w:w="2852" w:type="pct"/>
            <w:tcBorders>
              <w:top w:val="single" w:color="000000" w:sz="4" w:space="0"/>
              <w:left w:val="single" w:color="000000" w:sz="4" w:space="0"/>
              <w:right w:val="single" w:color="000000" w:sz="4" w:space="0"/>
            </w:tcBorders>
            <w:shd w:val="clear" w:color="auto" w:fill="auto"/>
            <w:vAlign w:val="center"/>
          </w:tcPr>
          <w:p w14:paraId="538294A9">
            <w:pPr>
              <w:pStyle w:val="28"/>
              <w:keepNext w:val="0"/>
              <w:keepLines w:val="0"/>
              <w:pageBreakBefore w:val="0"/>
              <w:widowControl/>
              <w:suppressLineNumbers w:val="0"/>
              <w:kinsoku/>
              <w:wordWrap/>
              <w:overflowPunct/>
              <w:topLinePunct w:val="0"/>
              <w:autoSpaceDE/>
              <w:autoSpaceDN/>
              <w:bidi w:val="0"/>
              <w:spacing w:before="0" w:beforeAutospacing="0" w:after="0" w:afterAutospacing="0" w:line="360" w:lineRule="auto"/>
              <w:textAlignment w:val="auto"/>
              <w:outlineLvl w:val="9"/>
              <w:rPr>
                <w:rFonts w:hint="eastAsia" w:ascii="宋体" w:hAnsi="宋体" w:eastAsia="宋体" w:cs="宋体"/>
                <w:sz w:val="21"/>
                <w:szCs w:val="21"/>
                <w:lang w:val="en-US" w:eastAsia="zh-CN"/>
              </w:rPr>
            </w:pPr>
            <w:r>
              <w:rPr>
                <w:rStyle w:val="35"/>
                <w:rFonts w:hint="eastAsia" w:ascii="宋体" w:hAnsi="宋体" w:eastAsia="宋体" w:cs="宋体"/>
                <w:kern w:val="0"/>
                <w:sz w:val="21"/>
                <w:szCs w:val="21"/>
                <w:lang w:val="en-US" w:eastAsia="zh-CN" w:bidi="ar"/>
              </w:rPr>
              <w:t>第一档次（6分）：</w:t>
            </w:r>
            <w:r>
              <w:rPr>
                <w:rFonts w:hint="eastAsia" w:ascii="宋体" w:hAnsi="宋体" w:eastAsia="宋体" w:cs="宋体"/>
                <w:b w:val="0"/>
                <w:bCs w:val="0"/>
                <w:kern w:val="0"/>
                <w:sz w:val="21"/>
                <w:szCs w:val="21"/>
                <w:lang w:val="en-US" w:eastAsia="zh-CN" w:bidi="ar"/>
              </w:rPr>
              <w:t>施工现场功能分区、场内运输通道布置科学合理，施工辅助企业、临时设施建设规模与本项目工程量、施工周期适配。布置图与文字说明完全一致；</w:t>
            </w:r>
            <w:r>
              <w:rPr>
                <w:rFonts w:hint="eastAsia" w:ascii="宋体" w:hAnsi="宋体" w:eastAsia="宋体" w:cs="宋体"/>
                <w:sz w:val="21"/>
                <w:szCs w:val="21"/>
              </w:rPr>
              <w:t>针对本项目施工布置特点，对现场消防、施工安全、环境保护相关管理要求均作出完整、合理的布置安排。</w:t>
            </w:r>
          </w:p>
          <w:p w14:paraId="3C366904">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第二档次（4分）：</w:t>
            </w:r>
            <w:r>
              <w:rPr>
                <w:rFonts w:hint="eastAsia" w:ascii="宋体" w:hAnsi="宋体" w:eastAsia="宋体" w:cs="宋体"/>
                <w:b w:val="0"/>
                <w:bCs w:val="0"/>
                <w:kern w:val="0"/>
                <w:sz w:val="21"/>
                <w:szCs w:val="21"/>
                <w:lang w:val="en-US" w:eastAsia="zh-CN" w:bidi="ar"/>
              </w:rPr>
              <w:t>场内分区、场内运输、临时设施、施工辅助企业基本适配本项目施工条件；布置图与文字说明大体对应；对消防、安全、环保主要要求作出表述，仅个别布置事项未予以说明，不影响整体施工布置。</w:t>
            </w:r>
          </w:p>
          <w:p w14:paraId="3BFB346B">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Fonts w:hint="eastAsia" w:ascii="宋体" w:hAnsi="宋体" w:eastAsia="宋体" w:cs="宋体"/>
                <w:sz w:val="21"/>
                <w:szCs w:val="21"/>
                <w:lang w:val="en-US" w:eastAsia="zh-CN"/>
              </w:rPr>
            </w:pPr>
            <w:r>
              <w:rPr>
                <w:rStyle w:val="35"/>
                <w:rFonts w:hint="eastAsia" w:ascii="宋体" w:hAnsi="宋体" w:eastAsia="宋体" w:cs="宋体"/>
                <w:b/>
                <w:kern w:val="0"/>
                <w:sz w:val="21"/>
                <w:szCs w:val="21"/>
                <w:lang w:val="en-US" w:eastAsia="zh-CN" w:bidi="ar"/>
              </w:rPr>
              <w:t>第三档次（2分）：</w:t>
            </w:r>
            <w:r>
              <w:rPr>
                <w:rFonts w:hint="eastAsia" w:ascii="宋体" w:hAnsi="宋体" w:eastAsia="宋体" w:cs="宋体"/>
                <w:b w:val="0"/>
                <w:bCs w:val="0"/>
                <w:kern w:val="0"/>
                <w:sz w:val="21"/>
                <w:szCs w:val="21"/>
                <w:lang w:val="en-US" w:eastAsia="zh-CN" w:bidi="ar"/>
              </w:rPr>
              <w:t>场内分区、运输线路、临时设施未结合本项目现场条件布置；布置图与文字说明存在部分不一致；仅对消防、安全、环保部分要求作出表述，多项布置事项未予以说明。</w:t>
            </w:r>
          </w:p>
          <w:p w14:paraId="3242E304">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第四档次（0分）：</w:t>
            </w:r>
            <w:r>
              <w:rPr>
                <w:rFonts w:hint="eastAsia" w:ascii="宋体" w:hAnsi="宋体" w:eastAsia="宋体" w:cs="宋体"/>
                <w:b w:val="0"/>
                <w:bCs w:val="0"/>
                <w:kern w:val="0"/>
                <w:sz w:val="21"/>
                <w:szCs w:val="21"/>
                <w:lang w:val="en-US" w:eastAsia="zh-CN" w:bidi="ar"/>
              </w:rPr>
              <w:t>未提供施工总布置内容，不得分。</w:t>
            </w:r>
          </w:p>
        </w:tc>
      </w:tr>
      <w:tr w14:paraId="3CB9F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09" w:type="pct"/>
            <w:vMerge w:val="continue"/>
            <w:tcBorders>
              <w:left w:val="single" w:color="000000" w:sz="4" w:space="0"/>
              <w:right w:val="single" w:color="auto" w:sz="4" w:space="0"/>
            </w:tcBorders>
            <w:shd w:val="clear" w:color="auto" w:fill="auto"/>
            <w:vAlign w:val="center"/>
          </w:tcPr>
          <w:p w14:paraId="5D8B1F77">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4999B2AD">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646D9A0F">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cs="宋体"/>
                <w:color w:val="auto"/>
                <w:szCs w:val="21"/>
                <w:highlight w:val="none"/>
              </w:rPr>
            </w:pPr>
            <w:r>
              <w:rPr>
                <w:sz w:val="21"/>
                <w:szCs w:val="21"/>
              </w:rPr>
              <w:t>施工方案与技术措施</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1A2A600E">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cs="宋体"/>
                <w:color w:val="auto"/>
                <w:sz w:val="21"/>
                <w:szCs w:val="20"/>
                <w:highlight w:val="none"/>
                <w:lang w:val="en-US" w:eastAsia="zh-CN"/>
              </w:rPr>
            </w:pPr>
            <w:r>
              <w:rPr>
                <w:rFonts w:hint="eastAsia" w:ascii="宋体" w:hAnsi="宋体" w:cs="宋体"/>
                <w:color w:val="auto"/>
                <w:sz w:val="21"/>
                <w:szCs w:val="20"/>
                <w:highlight w:val="none"/>
                <w:lang w:val="en-US" w:eastAsia="zh-CN"/>
              </w:rPr>
              <w:t>24分</w:t>
            </w:r>
          </w:p>
        </w:tc>
        <w:tc>
          <w:tcPr>
            <w:tcW w:w="2852" w:type="pct"/>
            <w:tcBorders>
              <w:top w:val="single" w:color="000000" w:sz="4" w:space="0"/>
              <w:left w:val="single" w:color="000000" w:sz="4" w:space="0"/>
              <w:right w:val="single" w:color="000000" w:sz="4" w:space="0"/>
            </w:tcBorders>
            <w:shd w:val="clear" w:color="auto" w:fill="auto"/>
            <w:vAlign w:val="center"/>
          </w:tcPr>
          <w:p w14:paraId="378D5671">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第一档次（24分）：</w:t>
            </w:r>
            <w:r>
              <w:rPr>
                <w:rFonts w:hint="eastAsia" w:ascii="宋体" w:hAnsi="宋体" w:eastAsia="宋体" w:cs="宋体"/>
                <w:b w:val="0"/>
                <w:bCs w:val="0"/>
                <w:kern w:val="0"/>
                <w:sz w:val="21"/>
                <w:szCs w:val="21"/>
                <w:lang w:val="en-US" w:eastAsia="zh-CN" w:bidi="ar"/>
              </w:rPr>
              <w:t>施工方案及技术措施编制规范完整，文字说明条理清晰、表述准确正确、内容全面。施工部署统筹合理、施工排布科学有序；施工准备工作周全、各项准备措施详实到位；施工程序、施工工艺流程、配套技术措施合规严谨，符合国家、行业现行相关规程规范及项目建设要求。对本项目关键施工工艺、施工重点、难点识别精准、分析透彻，针对性解决方案及技术处置措施贴合工程现场实际、可操作性强，整体</w:t>
            </w:r>
            <w:r>
              <w:rPr>
                <w:rFonts w:hint="eastAsia" w:ascii="宋体" w:hAnsi="宋体" w:cs="宋体"/>
                <w:b w:val="0"/>
                <w:bCs w:val="0"/>
                <w:kern w:val="0"/>
                <w:sz w:val="21"/>
                <w:szCs w:val="21"/>
                <w:lang w:val="en-US" w:eastAsia="zh-CN" w:bidi="ar"/>
              </w:rPr>
              <w:t>方案</w:t>
            </w:r>
            <w:r>
              <w:rPr>
                <w:rFonts w:hint="eastAsia" w:ascii="宋体" w:hAnsi="宋体" w:eastAsia="宋体" w:cs="宋体"/>
                <w:b w:val="0"/>
                <w:bCs w:val="0"/>
                <w:kern w:val="0"/>
                <w:sz w:val="21"/>
                <w:szCs w:val="21"/>
                <w:lang w:val="en-US" w:eastAsia="zh-CN" w:bidi="ar"/>
              </w:rPr>
              <w:t>能够保障本项目施工履约实施。</w:t>
            </w:r>
          </w:p>
          <w:p w14:paraId="156C18E5">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第二档次（18分）：</w:t>
            </w:r>
            <w:r>
              <w:rPr>
                <w:rFonts w:hint="eastAsia" w:ascii="宋体" w:hAnsi="宋体" w:eastAsia="宋体" w:cs="宋体"/>
                <w:b w:val="0"/>
                <w:bCs w:val="0"/>
                <w:kern w:val="0"/>
                <w:sz w:val="21"/>
                <w:szCs w:val="21"/>
                <w:lang w:val="en-US" w:eastAsia="zh-CN" w:bidi="ar"/>
              </w:rPr>
              <w:t>施工方案及技术措施编制较为规范，文字表述清楚、内容基本完整。施工部署安排合理、总体排布有序；施工准备工作基本齐全、措施可行；施工程序、工艺流程及配套技术措施符合相关规程规范要求。能够识别本项目关键工艺及施工重难点，配套解决方案和技术处置措施合理可行。仅少部分非关键细节阐述不够细化，不影响整体施工实施，可较好保障本项目施工履约实施。</w:t>
            </w:r>
          </w:p>
          <w:p w14:paraId="61FE220F">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第三档次（12分）：</w:t>
            </w:r>
            <w:r>
              <w:rPr>
                <w:rFonts w:hint="eastAsia" w:ascii="宋体" w:hAnsi="宋体" w:eastAsia="宋体" w:cs="宋体"/>
                <w:b w:val="0"/>
                <w:bCs w:val="0"/>
                <w:kern w:val="0"/>
                <w:sz w:val="21"/>
                <w:szCs w:val="21"/>
                <w:lang w:val="en-US" w:eastAsia="zh-CN" w:bidi="ar"/>
              </w:rPr>
              <w:t>施工方案及技术措施内容基本完整，文字表述无错误。施工部署、施工准备、施工工序工艺及技术措施基本符合规程规范及项目施工要求。对项目施工重难点有相应分析及应对技术方案，但内容阐述不具体，处置措施贴合项目现场的程度有限，可基本保障本项目施工履约实施。</w:t>
            </w:r>
          </w:p>
          <w:p w14:paraId="05BFEA8E">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第四档次（6分）：</w:t>
            </w:r>
            <w:r>
              <w:rPr>
                <w:rFonts w:hint="eastAsia" w:ascii="宋体" w:hAnsi="宋体" w:eastAsia="宋体" w:cs="宋体"/>
                <w:b w:val="0"/>
                <w:bCs w:val="0"/>
                <w:kern w:val="0"/>
                <w:sz w:val="21"/>
                <w:szCs w:val="21"/>
                <w:lang w:val="en-US" w:eastAsia="zh-CN" w:bidi="ar"/>
              </w:rPr>
              <w:t>施工方案及技术措施完整性不足，文字表述简略。施工部署条理不够清晰，施工准备考虑不全面；部分施工程序、工艺、技术措施描述不完整、细化度不足。对项目关键施工工艺、重难点分析浅显、不到位，解决方案和技术处置措施较为空泛，与现场工程实际贴合较差，方案可实施性有限，对本项目施工履约保障力度有限。</w:t>
            </w:r>
          </w:p>
          <w:p w14:paraId="78E66342">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第五档次（0分）：</w:t>
            </w:r>
            <w:r>
              <w:rPr>
                <w:rFonts w:hint="eastAsia" w:ascii="宋体" w:hAnsi="宋体" w:eastAsia="宋体" w:cs="宋体"/>
                <w:b w:val="0"/>
                <w:bCs w:val="0"/>
                <w:kern w:val="0"/>
                <w:sz w:val="21"/>
                <w:szCs w:val="21"/>
                <w:lang w:val="en-US" w:eastAsia="zh-CN" w:bidi="ar"/>
              </w:rPr>
              <w:t>提供施工方案与技术措施内容，不得分。</w:t>
            </w:r>
          </w:p>
        </w:tc>
      </w:tr>
      <w:tr w14:paraId="1A6D4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09" w:type="pct"/>
            <w:vMerge w:val="continue"/>
            <w:tcBorders>
              <w:left w:val="single" w:color="000000" w:sz="4" w:space="0"/>
              <w:right w:val="single" w:color="auto" w:sz="4" w:space="0"/>
            </w:tcBorders>
            <w:shd w:val="clear" w:color="auto" w:fill="auto"/>
            <w:vAlign w:val="center"/>
          </w:tcPr>
          <w:p w14:paraId="12ABC82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6B5FF5B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52588C0C">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cs="宋体"/>
                <w:color w:val="auto"/>
                <w:szCs w:val="21"/>
                <w:highlight w:val="none"/>
              </w:rPr>
            </w:pPr>
            <w:r>
              <w:rPr>
                <w:sz w:val="21"/>
                <w:szCs w:val="21"/>
              </w:rPr>
              <w:t>质量管理体系与措施</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7C2FA37E">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cs="宋体"/>
                <w:color w:val="auto"/>
                <w:sz w:val="21"/>
                <w:szCs w:val="20"/>
                <w:highlight w:val="none"/>
                <w:lang w:val="en-US" w:eastAsia="zh-CN"/>
              </w:rPr>
            </w:pPr>
            <w:r>
              <w:rPr>
                <w:rFonts w:hint="eastAsia" w:ascii="宋体" w:hAnsi="宋体" w:cs="宋体"/>
                <w:color w:val="auto"/>
                <w:sz w:val="21"/>
                <w:szCs w:val="20"/>
                <w:highlight w:val="none"/>
                <w:lang w:val="en-US" w:eastAsia="zh-CN"/>
              </w:rPr>
              <w:t>6分</w:t>
            </w:r>
          </w:p>
        </w:tc>
        <w:tc>
          <w:tcPr>
            <w:tcW w:w="2852" w:type="pct"/>
            <w:tcBorders>
              <w:top w:val="single" w:color="000000" w:sz="4" w:space="0"/>
              <w:left w:val="single" w:color="000000" w:sz="4" w:space="0"/>
              <w:right w:val="single" w:color="000000" w:sz="4" w:space="0"/>
            </w:tcBorders>
            <w:shd w:val="clear" w:color="auto" w:fill="auto"/>
            <w:vAlign w:val="center"/>
          </w:tcPr>
          <w:p w14:paraId="7606D697">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第一档次（6分）：</w:t>
            </w:r>
            <w:r>
              <w:rPr>
                <w:rFonts w:hint="eastAsia" w:ascii="宋体" w:hAnsi="宋体" w:eastAsia="宋体" w:cs="宋体"/>
                <w:b w:val="0"/>
                <w:bCs w:val="0"/>
                <w:kern w:val="0"/>
                <w:sz w:val="21"/>
                <w:szCs w:val="21"/>
                <w:lang w:val="en-US" w:eastAsia="zh-CN" w:bidi="ar"/>
              </w:rPr>
              <w:t>质量管理体系完整健全，质量计划编制科学合理，各质量管理岗位职责清晰明确；材料采购审批、进场检验复检制度齐全；施工全过程、各分项工程过程控制与检验措施详实，分项管理措施针对性强，贴合本项目工程特点。明确配置满足资质要求的内部试验室及相应专职试验人员（附相应资质证书）或委托有相应资质的质量检测机构（附委托意向证明材料）承担施工单位自检，检测方案完整，能够满足本项目试验检测需要。整体质量管理满足现行规范及本项目施工质量要求。</w:t>
            </w:r>
          </w:p>
          <w:p w14:paraId="5644044B">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第二档次（4分）：</w:t>
            </w:r>
            <w:r>
              <w:rPr>
                <w:rFonts w:hint="eastAsia" w:ascii="宋体" w:hAnsi="宋体" w:eastAsia="宋体" w:cs="宋体"/>
                <w:b w:val="0"/>
                <w:bCs w:val="0"/>
                <w:kern w:val="0"/>
                <w:sz w:val="21"/>
                <w:szCs w:val="21"/>
                <w:lang w:val="en-US" w:eastAsia="zh-CN" w:bidi="ar"/>
              </w:rPr>
              <w:t>质量管理体系较为完整，质量计划、岗位职责基本齐全；材料采购、进场检验以及施工过程、分项工程质量控制措施基本完备，分项管理具备一定针对性；已明确内部试验室或委托相应资质检测机构，并附对应意向证明材料，检测方案基本可行。仅部分内容细化程度不足，能够较好满足项目施工质量管理要求。</w:t>
            </w:r>
          </w:p>
          <w:p w14:paraId="362791BF">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第三档次（2分）：</w:t>
            </w:r>
            <w:r>
              <w:rPr>
                <w:rFonts w:hint="eastAsia" w:ascii="宋体" w:hAnsi="宋体" w:eastAsia="宋体" w:cs="宋体"/>
                <w:b w:val="0"/>
                <w:bCs w:val="0"/>
                <w:kern w:val="0"/>
                <w:sz w:val="21"/>
                <w:szCs w:val="21"/>
                <w:lang w:val="en-US" w:eastAsia="zh-CN" w:bidi="ar"/>
              </w:rPr>
              <w:t>仅简单阐述质量管理相关内容，质量计划、岗位职责表述笼统；材料检验、施工过程及分项工程质量控制措施简单，无针对性；试验室或委托检测机构方案内容简略，证明材料不全，保障力度有限。质量管理基本满足项目质量管理要求。</w:t>
            </w:r>
          </w:p>
          <w:p w14:paraId="6AAC869E">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第四档次（0分）：</w:t>
            </w:r>
            <w:r>
              <w:rPr>
                <w:rFonts w:hint="eastAsia" w:ascii="宋体" w:hAnsi="宋体" w:eastAsia="宋体" w:cs="宋体"/>
                <w:b w:val="0"/>
                <w:bCs w:val="0"/>
                <w:kern w:val="0"/>
                <w:sz w:val="21"/>
                <w:szCs w:val="21"/>
                <w:lang w:val="en-US" w:eastAsia="zh-CN" w:bidi="ar"/>
              </w:rPr>
              <w:t>未提供质量管理体系与措施内容，不得分。</w:t>
            </w:r>
          </w:p>
        </w:tc>
      </w:tr>
      <w:tr w14:paraId="6B352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09" w:type="pct"/>
            <w:vMerge w:val="continue"/>
            <w:tcBorders>
              <w:left w:val="single" w:color="000000" w:sz="4" w:space="0"/>
              <w:right w:val="single" w:color="auto" w:sz="4" w:space="0"/>
            </w:tcBorders>
            <w:shd w:val="clear" w:color="auto" w:fill="auto"/>
            <w:vAlign w:val="center"/>
          </w:tcPr>
          <w:p w14:paraId="7603E765">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6BB7521D">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2E1893F5">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cs="宋体"/>
                <w:color w:val="auto"/>
                <w:szCs w:val="21"/>
                <w:highlight w:val="none"/>
              </w:rPr>
            </w:pPr>
            <w:r>
              <w:rPr>
                <w:sz w:val="21"/>
                <w:szCs w:val="21"/>
              </w:rPr>
              <w:t>安全管理体系与措施</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3A0B1B5E">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cs="宋体"/>
                <w:color w:val="auto"/>
                <w:sz w:val="21"/>
                <w:szCs w:val="20"/>
                <w:highlight w:val="none"/>
                <w:lang w:val="en-US" w:eastAsia="zh-CN"/>
              </w:rPr>
            </w:pPr>
            <w:r>
              <w:rPr>
                <w:rFonts w:hint="eastAsia" w:ascii="宋体" w:hAnsi="宋体" w:cs="宋体"/>
                <w:color w:val="auto"/>
                <w:sz w:val="21"/>
                <w:szCs w:val="20"/>
                <w:highlight w:val="none"/>
                <w:lang w:val="en-US" w:eastAsia="zh-CN"/>
              </w:rPr>
              <w:t>6分</w:t>
            </w:r>
          </w:p>
        </w:tc>
        <w:tc>
          <w:tcPr>
            <w:tcW w:w="2852" w:type="pct"/>
            <w:tcBorders>
              <w:top w:val="single" w:color="000000" w:sz="4" w:space="0"/>
              <w:left w:val="single" w:color="000000" w:sz="4" w:space="0"/>
              <w:right w:val="single" w:color="000000" w:sz="4" w:space="0"/>
            </w:tcBorders>
            <w:shd w:val="clear" w:color="auto" w:fill="auto"/>
            <w:vAlign w:val="center"/>
          </w:tcPr>
          <w:p w14:paraId="6D4B4F1D">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第一档次（6分）：</w:t>
            </w:r>
            <w:r>
              <w:rPr>
                <w:rFonts w:hint="eastAsia" w:ascii="宋体" w:hAnsi="宋体" w:eastAsia="宋体" w:cs="宋体"/>
                <w:b w:val="0"/>
                <w:bCs w:val="0"/>
                <w:kern w:val="0"/>
                <w:sz w:val="21"/>
                <w:szCs w:val="21"/>
                <w:lang w:val="en-US" w:eastAsia="zh-CN" w:bidi="ar"/>
              </w:rPr>
              <w:t>安全管理体系建设健全完整，组织机构、岗位职责设置清晰合理；危险源辨识全面到位，风险管理措施贴合本项目现场实际；安全生产应急预案编制科学完整，处置流程清晰、可操作性强；安全经费保障方案明确，经费列支、使用、管理措施详实到位；整体安全管理、隐患排查治理各项措施完善，满足工程安全生产相关规范要求。</w:t>
            </w:r>
          </w:p>
          <w:p w14:paraId="699330EB">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第二档次（4分）：</w:t>
            </w:r>
            <w:r>
              <w:rPr>
                <w:rFonts w:hint="eastAsia" w:ascii="宋体" w:hAnsi="宋体" w:eastAsia="宋体" w:cs="宋体"/>
                <w:b w:val="0"/>
                <w:bCs w:val="0"/>
                <w:kern w:val="0"/>
                <w:sz w:val="21"/>
                <w:szCs w:val="21"/>
                <w:lang w:val="en-US" w:eastAsia="zh-CN" w:bidi="ar"/>
              </w:rPr>
              <w:t>安全管理体系建设较为完整，组织机构及岗位职责基本齐全；能够识别本项目主要安全风险，风险管理措施基本可行；安全生产应急预案内容完整，具备基本处置流程；安全经费保障方案明确，管理措施基本到位。仅部分内容未细化，能够较好满足本项目安全生产管理要求。</w:t>
            </w:r>
          </w:p>
          <w:p w14:paraId="7E7D806D">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第三档次（2分）：</w:t>
            </w:r>
            <w:r>
              <w:rPr>
                <w:rFonts w:hint="eastAsia" w:ascii="宋体" w:hAnsi="宋体" w:eastAsia="宋体" w:cs="宋体"/>
                <w:b w:val="0"/>
                <w:bCs w:val="0"/>
                <w:kern w:val="0"/>
                <w:sz w:val="21"/>
                <w:szCs w:val="21"/>
                <w:lang w:val="en-US" w:eastAsia="zh-CN" w:bidi="ar"/>
              </w:rPr>
              <w:t>安全管理体系内容简单，安全组织机构、岗位职责阐述简略；安全风险辨识不全面，管理措施针对性一般；安全生产应急预案内容简单，可靠性一般；安全经费仅有简单表述，保障措施不够具体。基本满足项目安全生产管理要求。</w:t>
            </w:r>
          </w:p>
          <w:p w14:paraId="0B104BE4">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第四档次（0分）：</w:t>
            </w:r>
            <w:r>
              <w:rPr>
                <w:rFonts w:hint="eastAsia" w:ascii="宋体" w:hAnsi="宋体" w:eastAsia="宋体" w:cs="宋体"/>
                <w:b w:val="0"/>
                <w:bCs w:val="0"/>
                <w:kern w:val="0"/>
                <w:sz w:val="21"/>
                <w:szCs w:val="21"/>
                <w:lang w:val="en-US" w:eastAsia="zh-CN" w:bidi="ar"/>
              </w:rPr>
              <w:t>未提供安全管理体系与措施内容，不得分。</w:t>
            </w:r>
          </w:p>
        </w:tc>
      </w:tr>
      <w:tr w14:paraId="244B5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09" w:type="pct"/>
            <w:vMerge w:val="continue"/>
            <w:tcBorders>
              <w:left w:val="single" w:color="000000" w:sz="4" w:space="0"/>
              <w:right w:val="single" w:color="auto" w:sz="4" w:space="0"/>
            </w:tcBorders>
            <w:shd w:val="clear" w:color="auto" w:fill="auto"/>
            <w:vAlign w:val="center"/>
          </w:tcPr>
          <w:p w14:paraId="66AD473F">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262D8B9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7D6D211A">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Times New Roman"/>
                <w:color w:val="auto"/>
                <w:kern w:val="0"/>
                <w:sz w:val="21"/>
                <w:szCs w:val="21"/>
                <w:highlight w:val="none"/>
                <w:lang w:val="en-US" w:eastAsia="zh-CN" w:bidi="ar-SA"/>
              </w:rPr>
            </w:pPr>
            <w:r>
              <w:rPr>
                <w:sz w:val="21"/>
                <w:szCs w:val="21"/>
              </w:rPr>
              <w:t>文明施工、环境保护管理体系与措施</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2CB699BD">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6分</w:t>
            </w:r>
          </w:p>
        </w:tc>
        <w:tc>
          <w:tcPr>
            <w:tcW w:w="2852" w:type="pct"/>
            <w:tcBorders>
              <w:top w:val="single" w:color="000000" w:sz="4" w:space="0"/>
              <w:left w:val="single" w:color="000000" w:sz="4" w:space="0"/>
              <w:right w:val="single" w:color="000000" w:sz="4" w:space="0"/>
            </w:tcBorders>
            <w:shd w:val="clear" w:color="auto" w:fill="auto"/>
            <w:vAlign w:val="center"/>
          </w:tcPr>
          <w:p w14:paraId="0148A75C">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第一档次（6分）：</w:t>
            </w:r>
            <w:r>
              <w:rPr>
                <w:rFonts w:hint="eastAsia" w:ascii="宋体" w:hAnsi="宋体" w:eastAsia="宋体" w:cs="宋体"/>
                <w:b w:val="0"/>
                <w:bCs w:val="0"/>
                <w:kern w:val="0"/>
                <w:sz w:val="21"/>
                <w:szCs w:val="21"/>
                <w:lang w:val="en-US" w:eastAsia="zh-CN" w:bidi="ar"/>
              </w:rPr>
              <w:t>文明施工及环境保护管理体系健全完整、管理制度完善、岗位职责清晰。文明施工布置规范、现场管理标准全面，完全满足工程文明施工管理要求；针对施工产生的各类污染物，废水、废气、扬尘、噪声、固体废弃物等处置及排放方案全面合规，符合国家及地方现行环境保护标准；配套的环保技术措施、现场管理措施科学合理、针对性强，贴合本项目施工实际，有效保障项目全过程文明施工、环保合规施工。</w:t>
            </w:r>
          </w:p>
          <w:p w14:paraId="4212DBF6">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第二档次（4分）：</w:t>
            </w:r>
            <w:r>
              <w:rPr>
                <w:rFonts w:hint="eastAsia" w:ascii="宋体" w:hAnsi="宋体" w:eastAsia="宋体" w:cs="宋体"/>
                <w:b w:val="0"/>
                <w:bCs w:val="0"/>
                <w:kern w:val="0"/>
                <w:sz w:val="21"/>
                <w:szCs w:val="21"/>
                <w:lang w:val="en-US" w:eastAsia="zh-CN" w:bidi="ar"/>
              </w:rPr>
              <w:t>文明施工及环境保护管理体系完整、基本制度齐全。文明施工管理措施基本规范；各类污染物处理、排放措施基本符合国家及地方环保标准要求，无违规方案；环保技术措施、现场管理措施具备可行性，整体方案合理合规，仅部分细节阐述不够细化，能够较好满足项目环保及文明施工要求。</w:t>
            </w:r>
          </w:p>
          <w:p w14:paraId="740142C9">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第三档次（2分）：</w:t>
            </w:r>
            <w:r>
              <w:rPr>
                <w:rFonts w:hint="eastAsia" w:ascii="宋体" w:hAnsi="宋体" w:eastAsia="宋体" w:cs="宋体"/>
                <w:b w:val="0"/>
                <w:bCs w:val="0"/>
                <w:kern w:val="0"/>
                <w:sz w:val="21"/>
                <w:szCs w:val="21"/>
                <w:lang w:val="en-US" w:eastAsia="zh-CN" w:bidi="ar"/>
              </w:rPr>
              <w:t>文明施工及环境保护管理体系阐述简单、制度不健全。文明施工管理内容简单，污染物处置、排放管理措施不全面，对国家及地方环保标准贴合度一般；配套技术及管理措施针对性较弱、内容简略，基本满足项目文明施工及环境保护要求。</w:t>
            </w:r>
          </w:p>
          <w:p w14:paraId="2A37E48D">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第四档次（0分）：</w:t>
            </w:r>
            <w:r>
              <w:rPr>
                <w:rFonts w:hint="eastAsia" w:ascii="宋体" w:hAnsi="宋体" w:eastAsia="宋体" w:cs="宋体"/>
                <w:b w:val="0"/>
                <w:bCs w:val="0"/>
                <w:kern w:val="0"/>
                <w:sz w:val="21"/>
                <w:szCs w:val="21"/>
                <w:lang w:val="en-US" w:eastAsia="zh-CN" w:bidi="ar"/>
              </w:rPr>
              <w:t>未提供文明施工、环境保护管理体系与措施内容，不得分。</w:t>
            </w:r>
          </w:p>
        </w:tc>
      </w:tr>
      <w:tr w14:paraId="3CFD1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09" w:type="pct"/>
            <w:vMerge w:val="continue"/>
            <w:tcBorders>
              <w:left w:val="single" w:color="000000" w:sz="4" w:space="0"/>
              <w:right w:val="single" w:color="auto" w:sz="4" w:space="0"/>
            </w:tcBorders>
            <w:shd w:val="clear" w:color="auto" w:fill="auto"/>
            <w:vAlign w:val="center"/>
          </w:tcPr>
          <w:p w14:paraId="7BD07FC2">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3ECF8FB7">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04B2CB3B">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Times New Roman"/>
                <w:color w:val="auto"/>
                <w:kern w:val="0"/>
                <w:sz w:val="21"/>
                <w:szCs w:val="21"/>
                <w:highlight w:val="none"/>
                <w:lang w:val="en-US" w:eastAsia="zh-CN" w:bidi="ar-SA"/>
              </w:rPr>
            </w:pPr>
            <w:r>
              <w:rPr>
                <w:sz w:val="21"/>
                <w:szCs w:val="21"/>
              </w:rPr>
              <w:t>工程进度计划与措施</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65949492">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 w:val="21"/>
                <w:szCs w:val="21"/>
                <w:highlight w:val="none"/>
                <w:lang w:val="en-US" w:eastAsia="zh-CN" w:bidi="ar-SA"/>
              </w:rPr>
              <w:t>6分</w:t>
            </w:r>
          </w:p>
        </w:tc>
        <w:tc>
          <w:tcPr>
            <w:tcW w:w="2852" w:type="pct"/>
            <w:tcBorders>
              <w:top w:val="single" w:color="000000" w:sz="4" w:space="0"/>
              <w:left w:val="single" w:color="000000" w:sz="4" w:space="0"/>
              <w:right w:val="single" w:color="000000" w:sz="4" w:space="0"/>
            </w:tcBorders>
            <w:shd w:val="clear" w:color="auto" w:fill="auto"/>
            <w:vAlign w:val="center"/>
          </w:tcPr>
          <w:p w14:paraId="45E1A02E">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第一档次（6分）：</w:t>
            </w:r>
            <w:r>
              <w:rPr>
                <w:rFonts w:hint="eastAsia" w:ascii="宋体" w:hAnsi="宋体" w:eastAsia="宋体" w:cs="宋体"/>
                <w:b w:val="0"/>
                <w:bCs w:val="0"/>
                <w:kern w:val="0"/>
                <w:sz w:val="21"/>
                <w:szCs w:val="21"/>
                <w:lang w:val="en-US" w:eastAsia="zh-CN" w:bidi="ar"/>
              </w:rPr>
              <w:t>施工进度计划编制系统规范，提供完整的横道图或网络计划图；项目施工关键路径梳理精准、重点工序把控清晰；各分项施工工序排布合理、逻辑关系严谨、衔接顺畅，贴合本项目施工实际。工期保障体系完善，进度动态管理、进度滞后预判、纠偏抢工措施详实具体、针对性强、可操作性高，能够保障项目按期完工。</w:t>
            </w:r>
          </w:p>
          <w:p w14:paraId="0D336D36">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第二档次（4分）：</w:t>
            </w:r>
            <w:r>
              <w:rPr>
                <w:rFonts w:hint="eastAsia" w:ascii="宋体" w:hAnsi="宋体" w:eastAsia="宋体" w:cs="宋体"/>
                <w:b w:val="0"/>
                <w:bCs w:val="0"/>
                <w:kern w:val="0"/>
                <w:sz w:val="21"/>
                <w:szCs w:val="21"/>
                <w:lang w:val="en-US" w:eastAsia="zh-CN" w:bidi="ar"/>
              </w:rPr>
              <w:t>施工进度计划完整合理，提供横道图或网络计划图，关键路径、工序逻辑关系排布基本准确。具备完善的工期组织保障、过程管理及进度调整措施，整体进度方案可行。仅局部节点安排、管理细节细化不足，可较好保障工期履约。</w:t>
            </w:r>
          </w:p>
          <w:p w14:paraId="5AC71CC7">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第三档次（2分）：</w:t>
            </w:r>
            <w:r>
              <w:rPr>
                <w:rFonts w:hint="eastAsia" w:ascii="宋体" w:hAnsi="宋体" w:eastAsia="宋体" w:cs="宋体"/>
                <w:b w:val="0"/>
                <w:bCs w:val="0"/>
                <w:kern w:val="0"/>
                <w:sz w:val="21"/>
                <w:szCs w:val="21"/>
                <w:lang w:val="en-US" w:eastAsia="zh-CN" w:bidi="ar"/>
              </w:rPr>
              <w:t>进度计划内容基本完整，但图表绘制简单、关键路径分析模糊、工序逻辑阐述粗略。工期保障措施内容简单、针对性不强、纠偏措施缺失，整体进度管理保障性一般，</w:t>
            </w:r>
            <w:r>
              <w:rPr>
                <w:rFonts w:hint="eastAsia" w:ascii="宋体" w:hAnsi="宋体" w:cs="宋体"/>
                <w:b w:val="0"/>
                <w:bCs w:val="0"/>
                <w:kern w:val="0"/>
                <w:sz w:val="21"/>
                <w:szCs w:val="21"/>
                <w:lang w:val="en-US" w:eastAsia="zh-CN" w:bidi="ar"/>
              </w:rPr>
              <w:t>基本</w:t>
            </w:r>
            <w:r>
              <w:rPr>
                <w:rFonts w:hint="eastAsia" w:ascii="宋体" w:hAnsi="宋体" w:eastAsia="宋体" w:cs="宋体"/>
                <w:b w:val="0"/>
                <w:bCs w:val="0"/>
                <w:kern w:val="0"/>
                <w:sz w:val="21"/>
                <w:szCs w:val="21"/>
                <w:lang w:val="en-US" w:eastAsia="zh-CN" w:bidi="ar"/>
              </w:rPr>
              <w:t>满足工期要求。</w:t>
            </w:r>
          </w:p>
          <w:p w14:paraId="5DDC1EC1">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第四档次（0分）：</w:t>
            </w:r>
            <w:r>
              <w:rPr>
                <w:rFonts w:hint="eastAsia" w:ascii="宋体" w:hAnsi="宋体" w:eastAsia="宋体" w:cs="宋体"/>
                <w:b w:val="0"/>
                <w:bCs w:val="0"/>
                <w:kern w:val="0"/>
                <w:sz w:val="21"/>
                <w:szCs w:val="21"/>
                <w:lang w:val="en-US" w:eastAsia="zh-CN" w:bidi="ar"/>
              </w:rPr>
              <w:t>未提供工程进度计划与措施内容，不得分。</w:t>
            </w:r>
          </w:p>
        </w:tc>
      </w:tr>
      <w:tr w14:paraId="60922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409" w:type="pct"/>
            <w:vMerge w:val="continue"/>
            <w:tcBorders>
              <w:left w:val="single" w:color="000000" w:sz="4" w:space="0"/>
              <w:right w:val="single" w:color="auto" w:sz="4" w:space="0"/>
            </w:tcBorders>
            <w:shd w:val="clear" w:color="auto" w:fill="auto"/>
            <w:vAlign w:val="center"/>
          </w:tcPr>
          <w:p w14:paraId="5B466876">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bookmarkStart w:id="371" w:name="施工组织设计评审_综合评估法_定量" w:colFirst="2" w:colLast="2"/>
          </w:p>
        </w:tc>
        <w:tc>
          <w:tcPr>
            <w:tcW w:w="502" w:type="pct"/>
            <w:vMerge w:val="continue"/>
            <w:tcBorders>
              <w:left w:val="single" w:color="000000" w:sz="4" w:space="0"/>
              <w:right w:val="single" w:color="auto" w:sz="4" w:space="0"/>
            </w:tcBorders>
            <w:shd w:val="clear" w:color="auto" w:fill="auto"/>
            <w:vAlign w:val="center"/>
          </w:tcPr>
          <w:p w14:paraId="1948306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11270EA2">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Times New Roman"/>
                <w:color w:val="auto"/>
                <w:kern w:val="0"/>
                <w:sz w:val="21"/>
                <w:szCs w:val="21"/>
                <w:highlight w:val="none"/>
                <w:lang w:val="en-US" w:eastAsia="zh-CN" w:bidi="ar-SA"/>
              </w:rPr>
            </w:pPr>
            <w:r>
              <w:rPr>
                <w:sz w:val="21"/>
                <w:szCs w:val="21"/>
              </w:rPr>
              <w:t>资源配备计划</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433060CE">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kern w:val="2"/>
                <w:sz w:val="21"/>
                <w:szCs w:val="20"/>
                <w:highlight w:val="none"/>
                <w:lang w:val="en-US" w:eastAsia="zh-CN" w:bidi="ar-SA"/>
              </w:rPr>
            </w:pPr>
            <w:r>
              <w:rPr>
                <w:rFonts w:hint="eastAsia" w:ascii="宋体" w:hAnsi="宋体" w:cs="宋体"/>
                <w:color w:val="auto"/>
                <w:kern w:val="2"/>
                <w:sz w:val="21"/>
                <w:szCs w:val="20"/>
                <w:highlight w:val="none"/>
                <w:lang w:val="en-US" w:eastAsia="zh-CN" w:bidi="ar-SA"/>
              </w:rPr>
              <w:t>6分</w:t>
            </w:r>
          </w:p>
        </w:tc>
        <w:tc>
          <w:tcPr>
            <w:tcW w:w="2852" w:type="pct"/>
            <w:tcBorders>
              <w:top w:val="single" w:color="000000" w:sz="4" w:space="0"/>
              <w:left w:val="single" w:color="000000" w:sz="4" w:space="0"/>
              <w:right w:val="single" w:color="000000" w:sz="4" w:space="0"/>
            </w:tcBorders>
            <w:shd w:val="clear" w:color="auto" w:fill="auto"/>
            <w:vAlign w:val="center"/>
          </w:tcPr>
          <w:p w14:paraId="57893444">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第一档次（6分）：</w:t>
            </w:r>
            <w:r>
              <w:rPr>
                <w:rFonts w:hint="eastAsia" w:ascii="宋体" w:hAnsi="宋体" w:eastAsia="宋体" w:cs="宋体"/>
                <w:b w:val="0"/>
                <w:bCs w:val="0"/>
                <w:kern w:val="0"/>
                <w:sz w:val="21"/>
                <w:szCs w:val="21"/>
                <w:lang w:val="en-US" w:eastAsia="zh-CN" w:bidi="ar"/>
              </w:rPr>
              <w:t>资源配备计划体系完整、内容全面、针对性极强。施工机械设备型号、数量、进场时间匹配本项目施工工序及进度需求；劳动力岗位齐全、人员数量充足、进场排布合理，完全满足各施工阶段用工需求；主要材料用量计划安排合理、采购及进场时序科学，保障连续施工；试验、检测仪器设备配备齐全、参数匹配本项目检测需求，可满足全过程试验检测工作开展；其他各类施工生产资源配置完善到位。项目资金使用计划安排科学、资金周转及拨付保障方案可靠，全面保障本项目施工全过程资源稳定供给，贴合工程实际施工需要。</w:t>
            </w:r>
          </w:p>
          <w:p w14:paraId="32757BB4">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第二档次（4分）：</w:t>
            </w:r>
            <w:r>
              <w:rPr>
                <w:rFonts w:hint="eastAsia" w:ascii="宋体" w:hAnsi="宋体" w:eastAsia="宋体" w:cs="宋体"/>
                <w:b w:val="0"/>
                <w:bCs w:val="0"/>
                <w:kern w:val="0"/>
                <w:sz w:val="21"/>
                <w:szCs w:val="21"/>
                <w:lang w:val="en-US" w:eastAsia="zh-CN" w:bidi="ar"/>
              </w:rPr>
              <w:t>资源配备计划内容较为完整、基本齐全。施工机械、劳动力、主要材料、试验检测仪器、其他施工生产资源均有合理配置，基本适配项目施工进度；资金使用计划可行、能够满足项目正常施工流转需求。整体资源配置方案合理合规，仅部分资源进场时序、数量细化程度不足，能够较好保障项目施工资源供给。</w:t>
            </w:r>
          </w:p>
          <w:p w14:paraId="296568B3">
            <w:pPr>
              <w:keepNext w:val="0"/>
              <w:keepLines w:val="0"/>
              <w:pageBreakBefore w:val="0"/>
              <w:widowControl/>
              <w:suppressLineNumbers w:val="0"/>
              <w:kinsoku/>
              <w:wordWrap/>
              <w:overflowPunct/>
              <w:topLinePunct w:val="0"/>
              <w:autoSpaceDE/>
              <w:autoSpaceDN/>
              <w:bidi w:val="0"/>
              <w:spacing w:beforeAutospacing="0" w:afterAutospacing="0"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第三档次（2分）：</w:t>
            </w:r>
            <w:r>
              <w:rPr>
                <w:rFonts w:hint="eastAsia" w:ascii="宋体" w:hAnsi="宋体" w:eastAsia="宋体" w:cs="宋体"/>
                <w:b w:val="0"/>
                <w:bCs w:val="0"/>
                <w:kern w:val="0"/>
                <w:sz w:val="21"/>
                <w:szCs w:val="21"/>
                <w:lang w:val="en-US" w:eastAsia="zh-CN" w:bidi="ar"/>
              </w:rPr>
              <w:t>资源配备计划内容简单笼统、细化不足。施工机械、劳动力、主要材料配置较为粗略；试验检测仪器设备、其他施工生产资源配备阐述简单、配置不具体；资金使用计划流于形式、保障措施薄弱。资源整体匹配度一般，基本满足项目施工资源需求，保障力度有限。</w:t>
            </w:r>
          </w:p>
          <w:p w14:paraId="0715CB10">
            <w:pPr>
              <w:keepNext w:val="0"/>
              <w:keepLines w:val="0"/>
              <w:pageBreakBefore w:val="0"/>
              <w:suppressLineNumbers w:val="0"/>
              <w:kinsoku/>
              <w:wordWrap/>
              <w:overflowPunct/>
              <w:topLinePunct w:val="0"/>
              <w:autoSpaceDE/>
              <w:autoSpaceDN/>
              <w:bidi w:val="0"/>
              <w:adjustRightInd w:val="0"/>
              <w:snapToGrid w:val="0"/>
              <w:spacing w:beforeAutospacing="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第四档次（0分）：</w:t>
            </w:r>
            <w:r>
              <w:rPr>
                <w:rFonts w:hint="eastAsia" w:ascii="宋体" w:hAnsi="宋体" w:eastAsia="宋体" w:cs="宋体"/>
                <w:b w:val="0"/>
                <w:bCs w:val="0"/>
                <w:kern w:val="0"/>
                <w:sz w:val="21"/>
                <w:szCs w:val="21"/>
                <w:lang w:val="en-US" w:eastAsia="zh-CN" w:bidi="ar"/>
              </w:rPr>
              <w:t>未提供资源配备计划内容，不得分。</w:t>
            </w:r>
          </w:p>
        </w:tc>
      </w:tr>
      <w:tr w14:paraId="70D0C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409" w:type="pct"/>
            <w:vMerge w:val="restart"/>
            <w:tcBorders>
              <w:left w:val="single" w:color="000000" w:sz="4" w:space="0"/>
              <w:right w:val="single" w:color="auto" w:sz="4" w:space="0"/>
            </w:tcBorders>
            <w:shd w:val="clear" w:color="auto" w:fill="auto"/>
            <w:vAlign w:val="center"/>
          </w:tcPr>
          <w:p w14:paraId="0244A3C0">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3</w:t>
            </w:r>
          </w:p>
          <w:p w14:paraId="6F5721F8">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p>
        </w:tc>
        <w:tc>
          <w:tcPr>
            <w:tcW w:w="502" w:type="pct"/>
            <w:vMerge w:val="restart"/>
            <w:tcBorders>
              <w:left w:val="single" w:color="000000" w:sz="4" w:space="0"/>
              <w:right w:val="single" w:color="auto" w:sz="4" w:space="0"/>
            </w:tcBorders>
            <w:shd w:val="clear" w:color="auto" w:fill="auto"/>
            <w:vAlign w:val="center"/>
          </w:tcPr>
          <w:p w14:paraId="2466449A">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color w:val="auto"/>
                <w:kern w:val="0"/>
                <w:szCs w:val="21"/>
                <w:highlight w:val="none"/>
              </w:rPr>
              <w:t>项目管理机构</w:t>
            </w:r>
            <w:r>
              <w:rPr>
                <w:rFonts w:hint="eastAsia" w:ascii="宋体" w:hAnsi="宋体"/>
                <w:color w:val="auto"/>
                <w:kern w:val="0"/>
                <w:szCs w:val="21"/>
                <w:highlight w:val="none"/>
                <w:lang w:val="en-US" w:eastAsia="zh-CN"/>
              </w:rPr>
              <w:t>评分标准</w:t>
            </w:r>
            <w:r>
              <w:rPr>
                <w:rFonts w:hint="eastAsia" w:ascii="宋体" w:hAnsi="宋体" w:eastAsia="宋体" w:cs="宋体"/>
                <w:color w:val="auto"/>
                <w:sz w:val="21"/>
                <w:szCs w:val="21"/>
                <w:highlight w:val="none"/>
              </w:rPr>
              <w:t>F</w:t>
            </w:r>
            <w:r>
              <w:rPr>
                <w:rFonts w:hint="eastAsia" w:ascii="宋体" w:hAnsi="宋体" w:cs="宋体"/>
                <w:color w:val="auto"/>
                <w:sz w:val="21"/>
                <w:szCs w:val="21"/>
                <w:highlight w:val="none"/>
                <w:lang w:val="en-US" w:eastAsia="zh-CN"/>
              </w:rPr>
              <w:t>3</w:t>
            </w: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5F967E67">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Times New Roman"/>
                <w:color w:val="auto"/>
                <w:kern w:val="0"/>
                <w:sz w:val="21"/>
                <w:szCs w:val="21"/>
                <w:highlight w:val="none"/>
                <w:lang w:val="en-US" w:eastAsia="zh-CN" w:bidi="ar-SA"/>
              </w:rPr>
            </w:pPr>
            <w:r>
              <w:rPr>
                <w:rFonts w:hint="eastAsia" w:ascii="宋体" w:hAnsi="宋体" w:cs="宋体"/>
                <w:color w:val="auto"/>
                <w:szCs w:val="21"/>
                <w:highlight w:val="none"/>
              </w:rPr>
              <w:t>项目经理任职资格与业绩</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78F12C29">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Times New Roman"/>
                <w:color w:val="auto"/>
                <w:kern w:val="0"/>
                <w:sz w:val="21"/>
                <w:szCs w:val="21"/>
                <w:highlight w:val="none"/>
                <w:lang w:val="en-US" w:eastAsia="zh-CN" w:bidi="ar-SA"/>
              </w:rPr>
            </w:pPr>
            <w:r>
              <w:rPr>
                <w:rFonts w:hint="eastAsia" w:ascii="宋体" w:hAnsi="宋体" w:cs="宋体"/>
                <w:color w:val="auto"/>
                <w:sz w:val="21"/>
                <w:szCs w:val="20"/>
                <w:highlight w:val="none"/>
                <w:lang w:val="en-US" w:eastAsia="zh-CN"/>
              </w:rPr>
              <w:t>4</w:t>
            </w:r>
            <w:r>
              <w:rPr>
                <w:rFonts w:hint="default" w:ascii="宋体" w:hAnsi="宋体" w:eastAsia="宋体" w:cs="宋体"/>
                <w:color w:val="auto"/>
                <w:sz w:val="21"/>
                <w:szCs w:val="20"/>
                <w:highlight w:val="none"/>
              </w:rPr>
              <w:t>分</w:t>
            </w:r>
          </w:p>
        </w:tc>
        <w:tc>
          <w:tcPr>
            <w:tcW w:w="2852" w:type="pct"/>
            <w:tcBorders>
              <w:top w:val="single" w:color="000000" w:sz="4" w:space="0"/>
              <w:left w:val="single" w:color="000000" w:sz="4" w:space="0"/>
              <w:right w:val="single" w:color="000000" w:sz="4" w:space="0"/>
            </w:tcBorders>
            <w:shd w:val="clear" w:color="auto" w:fill="auto"/>
            <w:vAlign w:val="center"/>
          </w:tcPr>
          <w:p w14:paraId="7D701695">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eastAsia" w:ascii="宋体" w:hAnsi="宋体"/>
                <w:color w:val="auto"/>
                <w:kern w:val="0"/>
                <w:szCs w:val="21"/>
                <w:highlight w:val="none"/>
              </w:rPr>
            </w:pPr>
            <w:r>
              <w:rPr>
                <w:rFonts w:hint="eastAsia" w:ascii="宋体" w:hAnsi="宋体"/>
                <w:color w:val="auto"/>
                <w:kern w:val="0"/>
                <w:szCs w:val="21"/>
                <w:highlight w:val="none"/>
              </w:rPr>
              <w:t>按下列标准累计评分：</w:t>
            </w:r>
          </w:p>
          <w:p w14:paraId="77CA42A3">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eastAsia" w:ascii="宋体" w:hAnsi="宋体"/>
                <w:color w:val="auto"/>
                <w:kern w:val="0"/>
                <w:szCs w:val="21"/>
                <w:highlight w:val="none"/>
              </w:rPr>
            </w:pPr>
            <w:r>
              <w:rPr>
                <w:rFonts w:hint="eastAsia" w:ascii="宋体" w:hAnsi="宋体"/>
                <w:color w:val="auto"/>
                <w:kern w:val="0"/>
                <w:szCs w:val="21"/>
                <w:highlight w:val="none"/>
              </w:rPr>
              <w:t>1.项目经理的建造师资格满足</w:t>
            </w:r>
            <w:r>
              <w:rPr>
                <w:rFonts w:hint="eastAsia" w:ascii="宋体" w:hAnsi="宋体"/>
                <w:color w:val="auto"/>
                <w:kern w:val="0"/>
                <w:szCs w:val="21"/>
                <w:highlight w:val="none"/>
                <w:lang w:val="en-US" w:eastAsia="zh-CN"/>
              </w:rPr>
              <w:t>竞争性磋商</w:t>
            </w:r>
            <w:r>
              <w:rPr>
                <w:rFonts w:hint="eastAsia" w:ascii="宋体" w:hAnsi="宋体"/>
                <w:color w:val="auto"/>
                <w:kern w:val="0"/>
                <w:szCs w:val="21"/>
                <w:highlight w:val="none"/>
              </w:rPr>
              <w:t>文件要求，得1分；若项目经理有水利水电行业相关专业的中级技术职称加</w:t>
            </w:r>
            <w:r>
              <w:rPr>
                <w:rFonts w:hint="eastAsia" w:ascii="宋体" w:hAnsi="宋体"/>
                <w:color w:val="auto"/>
                <w:kern w:val="0"/>
                <w:szCs w:val="21"/>
                <w:highlight w:val="none"/>
                <w:lang w:val="en-US" w:eastAsia="zh-CN"/>
              </w:rPr>
              <w:t>0.5</w:t>
            </w:r>
            <w:r>
              <w:rPr>
                <w:rFonts w:hint="eastAsia" w:ascii="宋体" w:hAnsi="宋体"/>
                <w:color w:val="auto"/>
                <w:kern w:val="0"/>
                <w:szCs w:val="21"/>
                <w:highlight w:val="none"/>
              </w:rPr>
              <w:t>分；若项目经理有水利水电行业相关专业的</w:t>
            </w:r>
            <w:r>
              <w:rPr>
                <w:rFonts w:hint="eastAsia" w:ascii="宋体" w:hAnsi="宋体"/>
                <w:color w:val="auto"/>
                <w:kern w:val="0"/>
                <w:szCs w:val="21"/>
                <w:highlight w:val="none"/>
                <w:lang w:val="en-US" w:eastAsia="zh-CN"/>
              </w:rPr>
              <w:t>高</w:t>
            </w:r>
            <w:r>
              <w:rPr>
                <w:rFonts w:hint="eastAsia" w:ascii="宋体" w:hAnsi="宋体"/>
                <w:color w:val="auto"/>
                <w:kern w:val="0"/>
                <w:szCs w:val="21"/>
                <w:highlight w:val="none"/>
              </w:rPr>
              <w:t>级</w:t>
            </w:r>
            <w:r>
              <w:rPr>
                <w:rFonts w:hint="eastAsia" w:ascii="宋体" w:hAnsi="宋体"/>
                <w:color w:val="auto"/>
                <w:kern w:val="0"/>
                <w:szCs w:val="21"/>
                <w:highlight w:val="none"/>
                <w:lang w:val="en-US" w:eastAsia="zh-CN"/>
              </w:rPr>
              <w:t>及以上</w:t>
            </w:r>
            <w:r>
              <w:rPr>
                <w:rFonts w:hint="eastAsia" w:ascii="宋体" w:hAnsi="宋体"/>
                <w:color w:val="auto"/>
                <w:kern w:val="0"/>
                <w:szCs w:val="21"/>
                <w:highlight w:val="none"/>
              </w:rPr>
              <w:t>技术职称加</w:t>
            </w:r>
            <w:r>
              <w:rPr>
                <w:rFonts w:hint="eastAsia" w:ascii="宋体" w:hAnsi="宋体"/>
                <w:color w:val="auto"/>
                <w:kern w:val="0"/>
                <w:szCs w:val="21"/>
                <w:highlight w:val="none"/>
                <w:lang w:val="en-US" w:eastAsia="zh-CN"/>
              </w:rPr>
              <w:t>1</w:t>
            </w:r>
            <w:r>
              <w:rPr>
                <w:rFonts w:hint="eastAsia" w:ascii="宋体" w:hAnsi="宋体"/>
                <w:color w:val="auto"/>
                <w:kern w:val="0"/>
                <w:szCs w:val="21"/>
                <w:highlight w:val="none"/>
              </w:rPr>
              <w:t>分；本项最多得</w:t>
            </w:r>
            <w:r>
              <w:rPr>
                <w:rFonts w:hint="eastAsia" w:ascii="宋体" w:hAnsi="宋体"/>
                <w:color w:val="auto"/>
                <w:kern w:val="0"/>
                <w:szCs w:val="21"/>
                <w:highlight w:val="none"/>
                <w:lang w:val="en-US" w:eastAsia="zh-CN"/>
              </w:rPr>
              <w:t>2</w:t>
            </w:r>
            <w:r>
              <w:rPr>
                <w:rFonts w:hint="eastAsia" w:ascii="宋体" w:hAnsi="宋体"/>
                <w:color w:val="auto"/>
                <w:kern w:val="0"/>
                <w:szCs w:val="21"/>
                <w:highlight w:val="none"/>
              </w:rPr>
              <w:t>分。</w:t>
            </w:r>
          </w:p>
          <w:p w14:paraId="685CC7F4">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outlineLvl w:val="9"/>
              <w:rPr>
                <w:rFonts w:hint="eastAsia" w:ascii="宋体" w:hAnsi="宋体" w:eastAsia="宋体" w:cs="Times New Roman"/>
                <w:color w:val="auto"/>
                <w:kern w:val="0"/>
                <w:sz w:val="21"/>
                <w:szCs w:val="21"/>
                <w:highlight w:val="none"/>
                <w:lang w:val="en-US" w:eastAsia="zh-CN" w:bidi="ar-SA"/>
              </w:rPr>
            </w:pPr>
            <w:r>
              <w:rPr>
                <w:rFonts w:hint="eastAsia" w:ascii="宋体" w:hAnsi="宋体"/>
                <w:color w:val="auto"/>
                <w:kern w:val="0"/>
                <w:szCs w:val="21"/>
                <w:highlight w:val="none"/>
              </w:rPr>
              <w:t>2.担任过一件类似</w:t>
            </w:r>
            <w:r>
              <w:rPr>
                <w:rFonts w:hint="eastAsia" w:ascii="宋体" w:hAnsi="宋体"/>
                <w:color w:val="auto"/>
                <w:kern w:val="0"/>
                <w:szCs w:val="21"/>
                <w:highlight w:val="none"/>
                <w:lang w:val="en-US" w:eastAsia="zh-CN"/>
              </w:rPr>
              <w:t>工程</w:t>
            </w:r>
            <w:r>
              <w:rPr>
                <w:rFonts w:hint="eastAsia" w:ascii="宋体" w:hAnsi="宋体"/>
                <w:color w:val="auto"/>
                <w:kern w:val="0"/>
                <w:szCs w:val="21"/>
                <w:highlight w:val="none"/>
              </w:rPr>
              <w:t>项目的项目经理得</w:t>
            </w:r>
            <w:r>
              <w:rPr>
                <w:rFonts w:hint="eastAsia" w:ascii="宋体" w:hAnsi="宋体"/>
                <w:color w:val="auto"/>
                <w:kern w:val="0"/>
                <w:szCs w:val="21"/>
                <w:highlight w:val="none"/>
                <w:lang w:val="en-US" w:eastAsia="zh-CN"/>
              </w:rPr>
              <w:t>1</w:t>
            </w:r>
            <w:r>
              <w:rPr>
                <w:rFonts w:hint="eastAsia" w:ascii="宋体" w:hAnsi="宋体"/>
                <w:color w:val="auto"/>
                <w:kern w:val="0"/>
                <w:szCs w:val="21"/>
                <w:highlight w:val="none"/>
              </w:rPr>
              <w:t>分</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本项最多得</w:t>
            </w:r>
            <w:r>
              <w:rPr>
                <w:rFonts w:hint="eastAsia" w:ascii="宋体" w:hAnsi="宋体"/>
                <w:color w:val="auto"/>
                <w:kern w:val="0"/>
                <w:szCs w:val="21"/>
                <w:highlight w:val="none"/>
                <w:lang w:val="en-US" w:eastAsia="zh-CN"/>
              </w:rPr>
              <w:t>2</w:t>
            </w:r>
            <w:r>
              <w:rPr>
                <w:rFonts w:hint="eastAsia" w:ascii="宋体" w:hAnsi="宋体"/>
                <w:color w:val="auto"/>
                <w:kern w:val="0"/>
                <w:szCs w:val="21"/>
                <w:highlight w:val="none"/>
              </w:rPr>
              <w:t>分。</w:t>
            </w:r>
          </w:p>
        </w:tc>
      </w:tr>
      <w:tr w14:paraId="778EF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409" w:type="pct"/>
            <w:vMerge w:val="continue"/>
            <w:tcBorders>
              <w:left w:val="single" w:color="000000" w:sz="4" w:space="0"/>
              <w:right w:val="single" w:color="auto" w:sz="4" w:space="0"/>
            </w:tcBorders>
            <w:shd w:val="clear" w:color="auto" w:fill="auto"/>
            <w:vAlign w:val="center"/>
          </w:tcPr>
          <w:p w14:paraId="566442E3">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1E2C8DDD">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color w:val="auto"/>
                <w:kern w:val="0"/>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058BF1CC">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技术负责人任职资格与业绩</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02D0758B">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宋体"/>
                <w:color w:val="auto"/>
                <w:kern w:val="2"/>
                <w:sz w:val="21"/>
                <w:szCs w:val="20"/>
                <w:highlight w:val="none"/>
                <w:lang w:val="en-US" w:eastAsia="zh-CN" w:bidi="ar-SA"/>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tc>
        <w:tc>
          <w:tcPr>
            <w:tcW w:w="2852" w:type="pct"/>
            <w:tcBorders>
              <w:top w:val="single" w:color="000000" w:sz="4" w:space="0"/>
              <w:left w:val="single" w:color="000000" w:sz="4" w:space="0"/>
              <w:right w:val="single" w:color="000000" w:sz="4" w:space="0"/>
            </w:tcBorders>
            <w:shd w:val="clear" w:color="auto" w:fill="auto"/>
            <w:vAlign w:val="center"/>
          </w:tcPr>
          <w:p w14:paraId="092DAF3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按下列标准累计评分：</w:t>
            </w:r>
          </w:p>
          <w:p w14:paraId="332EEAA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1.技术负责人技术职称满足</w:t>
            </w:r>
            <w:r>
              <w:rPr>
                <w:rFonts w:hint="eastAsia" w:ascii="宋体" w:hAnsi="宋体" w:eastAsia="宋体" w:cs="宋体"/>
                <w:color w:val="auto"/>
                <w:kern w:val="0"/>
                <w:szCs w:val="21"/>
                <w:highlight w:val="none"/>
                <w:lang w:val="en-US" w:eastAsia="zh-CN"/>
              </w:rPr>
              <w:t>竞争性磋商</w:t>
            </w:r>
            <w:r>
              <w:rPr>
                <w:rFonts w:hint="eastAsia" w:ascii="宋体" w:hAnsi="宋体" w:eastAsia="宋体" w:cs="宋体"/>
                <w:color w:val="auto"/>
                <w:kern w:val="0"/>
                <w:szCs w:val="21"/>
                <w:highlight w:val="none"/>
              </w:rPr>
              <w:t>文件要求得</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分。</w:t>
            </w:r>
          </w:p>
          <w:p w14:paraId="409EC84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rPr>
              <w:t>2.担任过一件类似</w:t>
            </w:r>
            <w:r>
              <w:rPr>
                <w:rFonts w:hint="eastAsia" w:ascii="宋体" w:hAnsi="宋体" w:eastAsia="宋体" w:cs="宋体"/>
                <w:color w:val="auto"/>
                <w:kern w:val="0"/>
                <w:szCs w:val="21"/>
                <w:highlight w:val="none"/>
                <w:lang w:val="en-US" w:eastAsia="zh-CN"/>
              </w:rPr>
              <w:t>工程</w:t>
            </w:r>
            <w:r>
              <w:rPr>
                <w:rFonts w:hint="eastAsia" w:ascii="宋体" w:hAnsi="宋体" w:eastAsia="宋体" w:cs="宋体"/>
                <w:color w:val="auto"/>
                <w:kern w:val="0"/>
                <w:szCs w:val="21"/>
                <w:highlight w:val="none"/>
              </w:rPr>
              <w:t>的技术负责人项目得</w:t>
            </w:r>
            <w:r>
              <w:rPr>
                <w:rFonts w:hint="eastAsia" w:ascii="宋体" w:hAnsi="宋体" w:cs="宋体"/>
                <w:color w:val="auto"/>
                <w:kern w:val="0"/>
                <w:szCs w:val="21"/>
                <w:highlight w:val="none"/>
                <w:lang w:val="en-US" w:eastAsia="zh-CN"/>
              </w:rPr>
              <w:t>0.5</w:t>
            </w:r>
            <w:r>
              <w:rPr>
                <w:rFonts w:hint="eastAsia" w:ascii="宋体" w:hAnsi="宋体" w:eastAsia="宋体" w:cs="宋体"/>
                <w:color w:val="auto"/>
                <w:kern w:val="0"/>
                <w:szCs w:val="21"/>
                <w:highlight w:val="none"/>
              </w:rPr>
              <w:t>分</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rPr>
              <w:t>本项最多得</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分。</w:t>
            </w:r>
          </w:p>
        </w:tc>
      </w:tr>
      <w:tr w14:paraId="41B04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409" w:type="pct"/>
            <w:vMerge w:val="continue"/>
            <w:tcBorders>
              <w:left w:val="single" w:color="000000" w:sz="4" w:space="0"/>
              <w:right w:val="single" w:color="auto" w:sz="4" w:space="0"/>
            </w:tcBorders>
            <w:shd w:val="clear" w:color="auto" w:fill="auto"/>
            <w:vAlign w:val="center"/>
          </w:tcPr>
          <w:p w14:paraId="1D447193">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02" w:type="pct"/>
            <w:vMerge w:val="continue"/>
            <w:tcBorders>
              <w:left w:val="single" w:color="000000" w:sz="4" w:space="0"/>
              <w:right w:val="single" w:color="auto" w:sz="4" w:space="0"/>
            </w:tcBorders>
            <w:shd w:val="clear" w:color="auto" w:fill="auto"/>
            <w:vAlign w:val="center"/>
          </w:tcPr>
          <w:p w14:paraId="7562B4F3">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121105B0">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sz w:val="21"/>
                <w:szCs w:val="21"/>
                <w:lang w:val="en-US" w:eastAsia="zh-CN"/>
              </w:rPr>
              <w:t>项目组织机构</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41B272FE">
            <w:pPr>
              <w:keepNext w:val="0"/>
              <w:keepLines w:val="0"/>
              <w:pageBreakBefore w:val="0"/>
              <w:suppressLineNumbers w:val="0"/>
              <w:kinsoku/>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kern w:val="2"/>
                <w:sz w:val="21"/>
                <w:szCs w:val="20"/>
                <w:highlight w:val="none"/>
                <w:lang w:val="en-US" w:eastAsia="zh-CN" w:bidi="ar-SA"/>
              </w:rPr>
            </w:pPr>
            <w:r>
              <w:rPr>
                <w:rFonts w:hint="eastAsia" w:ascii="宋体" w:hAnsi="宋体" w:cs="宋体"/>
                <w:color w:val="auto"/>
                <w:kern w:val="2"/>
                <w:sz w:val="21"/>
                <w:szCs w:val="20"/>
                <w:highlight w:val="none"/>
                <w:lang w:val="en-US" w:eastAsia="zh-CN" w:bidi="ar-SA"/>
              </w:rPr>
              <w:t>4分</w:t>
            </w:r>
          </w:p>
        </w:tc>
        <w:tc>
          <w:tcPr>
            <w:tcW w:w="2852" w:type="pct"/>
            <w:tcBorders>
              <w:top w:val="single" w:color="000000" w:sz="4" w:space="0"/>
              <w:left w:val="single" w:color="000000" w:sz="4" w:space="0"/>
              <w:right w:val="single" w:color="000000" w:sz="4" w:space="0"/>
            </w:tcBorders>
            <w:shd w:val="clear" w:color="auto" w:fill="auto"/>
            <w:vAlign w:val="center"/>
          </w:tcPr>
          <w:p w14:paraId="5D97DA2E">
            <w:pPr>
              <w:keepNext w:val="0"/>
              <w:keepLines w:val="0"/>
              <w:pageBreakBefore w:val="0"/>
              <w:widowControl/>
              <w:suppressLineNumbers w:val="0"/>
              <w:kinsoku/>
              <w:wordWrap/>
              <w:overflowPunct/>
              <w:topLinePunct w:val="0"/>
              <w:autoSpaceDE/>
              <w:autoSpaceDN/>
              <w:bidi w:val="0"/>
              <w:spacing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第一档次（4分）：</w:t>
            </w:r>
            <w:r>
              <w:rPr>
                <w:rFonts w:hint="eastAsia" w:ascii="宋体" w:hAnsi="宋体" w:eastAsia="宋体" w:cs="宋体"/>
                <w:b w:val="0"/>
                <w:bCs w:val="0"/>
                <w:kern w:val="0"/>
                <w:sz w:val="21"/>
                <w:szCs w:val="21"/>
                <w:lang w:val="en-US" w:eastAsia="zh-CN" w:bidi="ar"/>
              </w:rPr>
              <w:t>项目组织机构组成清晰完整，内部岗位职责划分明确、分工合理；岗位责任制度健全完善；项目人员专业配备齐全，人员数量配置合理，能够匹配本项目实施需要；办公设备配置满足项目工作开展需求，组织机构整体方案贴合本项目实际。</w:t>
            </w:r>
          </w:p>
          <w:p w14:paraId="58009E09">
            <w:pPr>
              <w:keepNext w:val="0"/>
              <w:keepLines w:val="0"/>
              <w:pageBreakBefore w:val="0"/>
              <w:widowControl/>
              <w:suppressLineNumbers w:val="0"/>
              <w:kinsoku/>
              <w:wordWrap/>
              <w:overflowPunct/>
              <w:topLinePunct w:val="0"/>
              <w:autoSpaceDE/>
              <w:autoSpaceDN/>
              <w:bidi w:val="0"/>
              <w:spacing w:line="360" w:lineRule="auto"/>
              <w:jc w:val="left"/>
              <w:textAlignment w:val="auto"/>
              <w:outlineLvl w:val="9"/>
              <w:rPr>
                <w:rStyle w:val="35"/>
                <w:rFonts w:hint="eastAsia" w:ascii="宋体" w:hAnsi="宋体" w:eastAsia="宋体" w:cs="宋体"/>
                <w:b/>
                <w:kern w:val="0"/>
                <w:sz w:val="21"/>
                <w:szCs w:val="21"/>
                <w:lang w:val="en-US" w:eastAsia="zh-CN" w:bidi="ar"/>
              </w:rPr>
            </w:pPr>
            <w:r>
              <w:rPr>
                <w:rStyle w:val="35"/>
                <w:rFonts w:hint="eastAsia" w:ascii="宋体" w:hAnsi="宋体" w:eastAsia="宋体" w:cs="宋体"/>
                <w:b/>
                <w:kern w:val="0"/>
                <w:sz w:val="21"/>
                <w:szCs w:val="21"/>
                <w:lang w:val="en-US" w:eastAsia="zh-CN" w:bidi="ar"/>
              </w:rPr>
              <w:t>第二档次（2分）：</w:t>
            </w:r>
            <w:r>
              <w:rPr>
                <w:rFonts w:hint="eastAsia" w:ascii="宋体" w:hAnsi="宋体" w:eastAsia="宋体" w:cs="宋体"/>
                <w:b w:val="0"/>
                <w:bCs w:val="0"/>
                <w:kern w:val="0"/>
                <w:sz w:val="21"/>
                <w:szCs w:val="21"/>
                <w:lang w:val="en-US" w:eastAsia="zh-CN" w:bidi="ar"/>
              </w:rPr>
              <w:t>项目组织机构组成基本完整，岗位职责、分工基本明确；岗位责任制度基本齐全；项目人员专业、数量配置基本满足项目要求；办公设备有相应配置说明，仅部分内容细化不足。</w:t>
            </w:r>
          </w:p>
          <w:p w14:paraId="34EA8CD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outlineLvl w:val="9"/>
              <w:rPr>
                <w:rFonts w:hint="eastAsia" w:ascii="宋体" w:hAnsi="宋体" w:eastAsia="宋体" w:cs="宋体"/>
                <w:color w:val="auto"/>
                <w:kern w:val="0"/>
                <w:sz w:val="21"/>
                <w:szCs w:val="21"/>
                <w:highlight w:val="none"/>
                <w:lang w:val="en-US" w:eastAsia="zh-CN" w:bidi="ar-SA"/>
              </w:rPr>
            </w:pPr>
            <w:r>
              <w:rPr>
                <w:rStyle w:val="35"/>
                <w:rFonts w:hint="eastAsia" w:ascii="宋体" w:hAnsi="宋体" w:eastAsia="宋体" w:cs="宋体"/>
                <w:b/>
                <w:kern w:val="0"/>
                <w:sz w:val="21"/>
                <w:szCs w:val="21"/>
                <w:lang w:val="en-US" w:eastAsia="zh-CN" w:bidi="ar"/>
              </w:rPr>
              <w:t>第三档次（0分）：</w:t>
            </w:r>
            <w:r>
              <w:rPr>
                <w:rFonts w:hint="eastAsia" w:ascii="宋体" w:hAnsi="宋体" w:eastAsia="宋体" w:cs="宋体"/>
                <w:b w:val="0"/>
                <w:bCs w:val="0"/>
                <w:kern w:val="0"/>
                <w:sz w:val="21"/>
                <w:szCs w:val="21"/>
                <w:lang w:val="en-US" w:eastAsia="zh-CN" w:bidi="ar"/>
              </w:rPr>
              <w:t>未提供项目组织机构相关内容，不得分。</w:t>
            </w:r>
          </w:p>
        </w:tc>
      </w:tr>
      <w:tr w14:paraId="04CE0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jc w:val="center"/>
        </w:trPr>
        <w:tc>
          <w:tcPr>
            <w:tcW w:w="409" w:type="pct"/>
            <w:tcBorders>
              <w:left w:val="single" w:color="000000" w:sz="4" w:space="0"/>
              <w:right w:val="single" w:color="auto" w:sz="4" w:space="0"/>
            </w:tcBorders>
            <w:shd w:val="clear" w:color="auto" w:fill="auto"/>
            <w:vAlign w:val="center"/>
          </w:tcPr>
          <w:p w14:paraId="5D550ACE">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3</w:t>
            </w:r>
          </w:p>
          <w:p w14:paraId="7C7F0BBE">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w:t>
            </w:r>
          </w:p>
        </w:tc>
        <w:tc>
          <w:tcPr>
            <w:tcW w:w="502" w:type="pct"/>
            <w:tcBorders>
              <w:left w:val="single" w:color="000000" w:sz="4" w:space="0"/>
              <w:right w:val="single" w:color="auto" w:sz="4" w:space="0"/>
            </w:tcBorders>
            <w:shd w:val="clear" w:color="auto" w:fill="auto"/>
            <w:vAlign w:val="center"/>
          </w:tcPr>
          <w:p w14:paraId="5098EB29">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olor w:val="auto"/>
                <w:kern w:val="0"/>
                <w:szCs w:val="21"/>
                <w:highlight w:val="none"/>
                <w:lang w:val="en-US" w:eastAsia="zh-CN"/>
              </w:rPr>
            </w:pPr>
            <w:r>
              <w:rPr>
                <w:rFonts w:hint="eastAsia" w:ascii="宋体" w:hAnsi="宋体"/>
                <w:color w:val="auto"/>
                <w:kern w:val="0"/>
                <w:szCs w:val="21"/>
                <w:highlight w:val="none"/>
                <w:lang w:val="en-US" w:eastAsia="zh-CN"/>
              </w:rPr>
              <w:t>其他因素评分标准</w:t>
            </w:r>
            <w:r>
              <w:rPr>
                <w:rFonts w:hint="eastAsia" w:ascii="宋体" w:hAnsi="宋体" w:eastAsia="宋体" w:cs="宋体"/>
                <w:color w:val="auto"/>
                <w:sz w:val="21"/>
                <w:szCs w:val="21"/>
                <w:highlight w:val="none"/>
              </w:rPr>
              <w:t>F</w:t>
            </w:r>
            <w:r>
              <w:rPr>
                <w:rFonts w:hint="eastAsia" w:ascii="宋体" w:hAnsi="宋体" w:cs="宋体"/>
                <w:color w:val="auto"/>
                <w:sz w:val="21"/>
                <w:szCs w:val="21"/>
                <w:highlight w:val="none"/>
                <w:lang w:val="en-US" w:eastAsia="zh-CN"/>
              </w:rPr>
              <w:t>4</w:t>
            </w:r>
          </w:p>
        </w:tc>
        <w:tc>
          <w:tcPr>
            <w:tcW w:w="572" w:type="pct"/>
            <w:tcBorders>
              <w:top w:val="single" w:color="auto" w:sz="4" w:space="0"/>
              <w:left w:val="single" w:color="auto" w:sz="4" w:space="0"/>
              <w:bottom w:val="single" w:color="000000" w:sz="4" w:space="0"/>
              <w:right w:val="single" w:color="000000" w:sz="4" w:space="0"/>
            </w:tcBorders>
            <w:shd w:val="clear" w:color="auto" w:fill="auto"/>
            <w:vAlign w:val="center"/>
          </w:tcPr>
          <w:p w14:paraId="3C52EC70">
            <w:pPr>
              <w:keepNext w:val="0"/>
              <w:keepLines w:val="0"/>
              <w:pageBreakBefore w:val="0"/>
              <w:kinsoku/>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default" w:ascii="宋体" w:hAnsi="宋体" w:eastAsia="宋体" w:cs="宋体"/>
                <w:color w:val="auto"/>
                <w:sz w:val="21"/>
                <w:szCs w:val="20"/>
                <w:highlight w:val="none"/>
              </w:rPr>
              <w:t>类似</w:t>
            </w:r>
            <w:r>
              <w:rPr>
                <w:rFonts w:hint="eastAsia" w:ascii="宋体" w:hAnsi="宋体" w:eastAsia="宋体" w:cs="宋体"/>
                <w:color w:val="auto"/>
                <w:sz w:val="21"/>
                <w:szCs w:val="20"/>
                <w:highlight w:val="none"/>
                <w:lang w:val="en-US" w:eastAsia="zh-CN"/>
              </w:rPr>
              <w:t>项目</w:t>
            </w:r>
            <w:r>
              <w:rPr>
                <w:rFonts w:hint="default" w:ascii="宋体" w:hAnsi="宋体" w:eastAsia="宋体" w:cs="宋体"/>
                <w:color w:val="auto"/>
                <w:sz w:val="21"/>
                <w:szCs w:val="20"/>
                <w:highlight w:val="none"/>
              </w:rPr>
              <w:t>业绩</w:t>
            </w:r>
          </w:p>
        </w:tc>
        <w:tc>
          <w:tcPr>
            <w:tcW w:w="663" w:type="pct"/>
            <w:tcBorders>
              <w:top w:val="single" w:color="auto" w:sz="4" w:space="0"/>
              <w:left w:val="single" w:color="auto" w:sz="4" w:space="0"/>
              <w:bottom w:val="single" w:color="000000" w:sz="4" w:space="0"/>
              <w:right w:val="single" w:color="000000" w:sz="4" w:space="0"/>
            </w:tcBorders>
            <w:shd w:val="clear" w:color="auto" w:fill="auto"/>
            <w:vAlign w:val="center"/>
          </w:tcPr>
          <w:p w14:paraId="0376EAE8">
            <w:pPr>
              <w:keepNext w:val="0"/>
              <w:keepLines w:val="0"/>
              <w:pageBreakBefore w:val="0"/>
              <w:kinsoku/>
              <w:overflowPunct/>
              <w:topLinePunct w:val="0"/>
              <w:autoSpaceDE/>
              <w:autoSpaceDN/>
              <w:bidi w:val="0"/>
              <w:spacing w:line="360" w:lineRule="auto"/>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10分</w:t>
            </w:r>
          </w:p>
        </w:tc>
        <w:tc>
          <w:tcPr>
            <w:tcW w:w="2852" w:type="pct"/>
            <w:tcBorders>
              <w:top w:val="single" w:color="000000" w:sz="4" w:space="0"/>
              <w:left w:val="single" w:color="000000" w:sz="4" w:space="0"/>
              <w:right w:val="single" w:color="000000" w:sz="4" w:space="0"/>
            </w:tcBorders>
            <w:shd w:val="clear" w:color="auto" w:fill="auto"/>
            <w:vAlign w:val="center"/>
          </w:tcPr>
          <w:p w14:paraId="475B42F5">
            <w:pPr>
              <w:keepNext w:val="0"/>
              <w:keepLines w:val="0"/>
              <w:pageBreakBefore w:val="0"/>
              <w:numPr>
                <w:ilvl w:val="0"/>
                <w:numId w:val="0"/>
              </w:numPr>
              <w:kinsoku/>
              <w:wordWrap w:val="0"/>
              <w:overflowPunct/>
              <w:topLinePunct w:val="0"/>
              <w:autoSpaceDE/>
              <w:autoSpaceDN/>
              <w:bidi w:val="0"/>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color w:val="auto"/>
                <w:kern w:val="0"/>
                <w:szCs w:val="28"/>
                <w:highlight w:val="none"/>
                <w:lang w:val="en-US" w:eastAsia="zh-CN"/>
              </w:rPr>
              <w:t>供应商</w:t>
            </w:r>
            <w:r>
              <w:rPr>
                <w:rFonts w:hint="eastAsia" w:ascii="宋体" w:hAnsi="宋体"/>
                <w:color w:val="auto"/>
                <w:kern w:val="0"/>
                <w:szCs w:val="28"/>
                <w:highlight w:val="none"/>
              </w:rPr>
              <w:t>承担过一件</w:t>
            </w:r>
            <w:r>
              <w:rPr>
                <w:rFonts w:hint="eastAsia" w:ascii="宋体" w:hAnsi="宋体"/>
                <w:color w:val="auto"/>
                <w:kern w:val="0"/>
                <w:szCs w:val="28"/>
                <w:highlight w:val="none"/>
                <w:lang w:val="en-US" w:eastAsia="zh-CN"/>
              </w:rPr>
              <w:t>类似工程施工</w:t>
            </w:r>
            <w:r>
              <w:rPr>
                <w:rFonts w:hint="eastAsia" w:ascii="宋体" w:hAnsi="宋体"/>
                <w:color w:val="auto"/>
                <w:kern w:val="0"/>
                <w:szCs w:val="28"/>
                <w:highlight w:val="none"/>
              </w:rPr>
              <w:t>业绩（近五年验收或在建的）得</w:t>
            </w:r>
            <w:r>
              <w:rPr>
                <w:rFonts w:hint="eastAsia" w:ascii="宋体" w:hAnsi="宋体"/>
                <w:color w:val="auto"/>
                <w:kern w:val="0"/>
                <w:szCs w:val="28"/>
                <w:highlight w:val="none"/>
                <w:lang w:val="en-US" w:eastAsia="zh-CN"/>
              </w:rPr>
              <w:t>6</w:t>
            </w:r>
            <w:r>
              <w:rPr>
                <w:rFonts w:hint="eastAsia" w:ascii="宋体" w:hAnsi="宋体"/>
                <w:color w:val="auto"/>
                <w:kern w:val="0"/>
                <w:szCs w:val="28"/>
                <w:highlight w:val="none"/>
              </w:rPr>
              <w:t>分，</w:t>
            </w:r>
            <w:r>
              <w:rPr>
                <w:rFonts w:hint="eastAsia" w:ascii="宋体" w:hAnsi="宋体"/>
                <w:color w:val="auto"/>
                <w:kern w:val="0"/>
                <w:szCs w:val="28"/>
                <w:highlight w:val="none"/>
                <w:lang w:val="en-US" w:eastAsia="zh-CN"/>
              </w:rPr>
              <w:t>每增加</w:t>
            </w:r>
            <w:r>
              <w:rPr>
                <w:rFonts w:hint="eastAsia" w:ascii="宋体" w:hAnsi="宋体"/>
                <w:color w:val="auto"/>
                <w:kern w:val="0"/>
                <w:szCs w:val="28"/>
                <w:highlight w:val="none"/>
              </w:rPr>
              <w:t>一件</w:t>
            </w:r>
            <w:r>
              <w:rPr>
                <w:rFonts w:hint="eastAsia" w:ascii="宋体" w:hAnsi="宋体"/>
                <w:color w:val="auto"/>
                <w:kern w:val="0"/>
                <w:szCs w:val="28"/>
                <w:highlight w:val="none"/>
                <w:lang w:val="en-US" w:eastAsia="zh-CN"/>
              </w:rPr>
              <w:t>类似工程施工</w:t>
            </w:r>
            <w:r>
              <w:rPr>
                <w:rFonts w:hint="eastAsia" w:ascii="宋体" w:hAnsi="宋体"/>
                <w:color w:val="auto"/>
                <w:kern w:val="0"/>
                <w:szCs w:val="28"/>
                <w:highlight w:val="none"/>
              </w:rPr>
              <w:t>业绩</w:t>
            </w:r>
            <w:r>
              <w:rPr>
                <w:rFonts w:hint="eastAsia" w:ascii="宋体" w:hAnsi="宋体"/>
                <w:color w:val="auto"/>
                <w:kern w:val="0"/>
                <w:szCs w:val="28"/>
                <w:highlight w:val="none"/>
                <w:lang w:val="en-US" w:eastAsia="zh-CN"/>
              </w:rPr>
              <w:t>加2分，</w:t>
            </w:r>
            <w:r>
              <w:rPr>
                <w:rFonts w:hint="eastAsia" w:ascii="宋体" w:hAnsi="宋体"/>
                <w:color w:val="auto"/>
                <w:kern w:val="0"/>
                <w:szCs w:val="28"/>
                <w:highlight w:val="none"/>
              </w:rPr>
              <w:t>本项得分最高</w:t>
            </w:r>
            <w:r>
              <w:rPr>
                <w:rFonts w:hint="eastAsia" w:ascii="宋体" w:hAnsi="宋体"/>
                <w:color w:val="auto"/>
                <w:kern w:val="0"/>
                <w:szCs w:val="28"/>
                <w:highlight w:val="none"/>
                <w:lang w:val="en-US" w:eastAsia="zh-CN"/>
              </w:rPr>
              <w:t>10</w:t>
            </w:r>
            <w:r>
              <w:rPr>
                <w:rFonts w:hint="eastAsia" w:ascii="宋体" w:hAnsi="宋体"/>
                <w:color w:val="auto"/>
                <w:kern w:val="0"/>
                <w:szCs w:val="28"/>
                <w:highlight w:val="none"/>
              </w:rPr>
              <w:t>分。</w:t>
            </w:r>
          </w:p>
        </w:tc>
      </w:tr>
      <w:bookmarkEnd w:id="371"/>
    </w:tbl>
    <w:p w14:paraId="73CC3795">
      <w:pPr>
        <w:spacing w:line="360" w:lineRule="auto"/>
        <w:ind w:firstLine="420" w:firstLineChars="200"/>
        <w:rPr>
          <w:rFonts w:ascii="宋体" w:hAnsi="宋体"/>
          <w:color w:val="auto"/>
          <w:sz w:val="21"/>
          <w:szCs w:val="21"/>
          <w:highlight w:val="none"/>
        </w:rPr>
      </w:pPr>
    </w:p>
    <w:p w14:paraId="7282A71A">
      <w:pPr>
        <w:rPr>
          <w:color w:val="auto"/>
          <w:highlight w:val="none"/>
        </w:rPr>
      </w:pPr>
      <w:bookmarkStart w:id="372" w:name="_Toc122026403"/>
      <w:r>
        <w:rPr>
          <w:rFonts w:hint="eastAsia"/>
          <w:color w:val="auto"/>
          <w:highlight w:val="none"/>
        </w:rPr>
        <w:br w:type="page"/>
      </w:r>
    </w:p>
    <w:p w14:paraId="32D39DD9">
      <w:pPr>
        <w:pStyle w:val="3"/>
        <w:keepNext w:val="0"/>
        <w:keepLines w:val="0"/>
        <w:spacing w:line="360" w:lineRule="auto"/>
        <w:jc w:val="center"/>
        <w:rPr>
          <w:rFonts w:hint="eastAsia" w:ascii="宋体" w:hAnsi="宋体" w:eastAsia="宋体" w:cs="宋体"/>
          <w:color w:val="auto"/>
          <w:szCs w:val="28"/>
          <w:highlight w:val="none"/>
          <w:lang w:eastAsia="zh-CN"/>
        </w:rPr>
      </w:pPr>
      <w:bookmarkStart w:id="373" w:name="_Toc5450"/>
      <w:bookmarkStart w:id="374" w:name="_Toc21153"/>
      <w:bookmarkStart w:id="375" w:name="_Toc4847"/>
      <w:bookmarkStart w:id="376" w:name="_Toc4921"/>
      <w:bookmarkStart w:id="377" w:name="_Toc28812"/>
      <w:bookmarkStart w:id="378" w:name="_Toc14336"/>
      <w:r>
        <w:rPr>
          <w:rFonts w:hint="eastAsia" w:ascii="宋体" w:hAnsi="宋体" w:eastAsia="宋体" w:cs="宋体"/>
          <w:color w:val="auto"/>
          <w:szCs w:val="28"/>
          <w:highlight w:val="none"/>
          <w:lang w:eastAsia="zh-CN"/>
        </w:rPr>
        <w:t>评审办法正文</w:t>
      </w:r>
      <w:bookmarkEnd w:id="372"/>
      <w:bookmarkEnd w:id="373"/>
      <w:bookmarkEnd w:id="374"/>
      <w:bookmarkEnd w:id="375"/>
      <w:bookmarkEnd w:id="376"/>
      <w:bookmarkEnd w:id="377"/>
      <w:bookmarkEnd w:id="378"/>
    </w:p>
    <w:p w14:paraId="65C25956">
      <w:pPr>
        <w:pStyle w:val="4"/>
        <w:spacing w:line="360" w:lineRule="auto"/>
        <w:ind w:firstLine="482"/>
        <w:rPr>
          <w:rFonts w:hint="eastAsia" w:ascii="宋体" w:hAnsi="宋体" w:eastAsia="宋体" w:cs="宋体"/>
          <w:color w:val="auto"/>
          <w:sz w:val="21"/>
          <w:szCs w:val="21"/>
          <w:highlight w:val="none"/>
        </w:rPr>
      </w:pPr>
      <w:bookmarkStart w:id="379" w:name="_Toc479671411"/>
      <w:bookmarkEnd w:id="379"/>
      <w:bookmarkStart w:id="380" w:name="_Toc461103419"/>
      <w:bookmarkEnd w:id="380"/>
      <w:bookmarkStart w:id="381" w:name="_Toc7836"/>
      <w:bookmarkStart w:id="382" w:name="_Toc291944756"/>
      <w:bookmarkStart w:id="383" w:name="_Toc436845166"/>
      <w:bookmarkStart w:id="384" w:name="_Toc122026404"/>
      <w:bookmarkStart w:id="385" w:name="_Toc29315"/>
      <w:bookmarkStart w:id="386" w:name="_Toc18646"/>
      <w:r>
        <w:rPr>
          <w:rFonts w:hint="eastAsia" w:ascii="宋体" w:hAnsi="宋体" w:eastAsia="宋体" w:cs="宋体"/>
          <w:color w:val="auto"/>
          <w:sz w:val="21"/>
          <w:szCs w:val="21"/>
          <w:highlight w:val="none"/>
        </w:rPr>
        <w:t>一、概述</w:t>
      </w:r>
      <w:bookmarkEnd w:id="381"/>
      <w:bookmarkEnd w:id="382"/>
      <w:bookmarkEnd w:id="383"/>
      <w:bookmarkEnd w:id="384"/>
      <w:bookmarkEnd w:id="385"/>
    </w:p>
    <w:p w14:paraId="4CEFA849">
      <w:pPr>
        <w:pStyle w:val="57"/>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lang w:eastAsia="zh-CN"/>
        </w:rPr>
        <w:t>根据《中华人民共和国政府采购法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政府采购竞争性磋商采购方式管理暂行办法》</w:t>
      </w:r>
      <w:r>
        <w:rPr>
          <w:rFonts w:hint="eastAsia" w:ascii="宋体" w:hAnsi="宋体" w:eastAsia="宋体" w:cs="宋体"/>
          <w:color w:val="auto"/>
          <w:sz w:val="21"/>
          <w:szCs w:val="21"/>
          <w:highlight w:val="none"/>
          <w:lang w:eastAsia="zh-CN"/>
        </w:rPr>
        <w:t>等有关法律法规的精神及本次采购项目磋商文件的规定，遵循公平、公正、科学、择优的原则，特制定本办法。</w:t>
      </w:r>
    </w:p>
    <w:p w14:paraId="1A7CB58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本次采购采用</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的采购方式进行，投标由依法组成的</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负责完成。</w:t>
      </w:r>
    </w:p>
    <w:p w14:paraId="6C2A3C6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rPr>
        <w:t>本次采购的</w:t>
      </w:r>
      <w:r>
        <w:rPr>
          <w:rFonts w:hint="eastAsia" w:ascii="宋体" w:hAnsi="宋体" w:cs="宋体"/>
          <w:color w:val="auto"/>
          <w:sz w:val="21"/>
          <w:szCs w:val="21"/>
          <w:highlight w:val="none"/>
          <w:lang w:eastAsia="zh-CN"/>
        </w:rPr>
        <w:t>评审</w:t>
      </w:r>
      <w:r>
        <w:rPr>
          <w:rFonts w:hint="eastAsia" w:ascii="宋体" w:hAnsi="宋体" w:eastAsia="宋体" w:cs="宋体"/>
          <w:color w:val="auto"/>
          <w:sz w:val="21"/>
          <w:szCs w:val="21"/>
          <w:highlight w:val="none"/>
        </w:rPr>
        <w:t>采用综合评分法。本次</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是以</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为依据，按公正、科学、客观、平等竞争的要求，推荐报价合理、经验丰富、信誉良好及综合实力强的成交人。</w:t>
      </w:r>
    </w:p>
    <w:p w14:paraId="28A4C0AD">
      <w:pPr>
        <w:pStyle w:val="14"/>
        <w:spacing w:after="0" w:line="360"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eastAsia="宋体" w:cs="宋体"/>
          <w:color w:val="auto"/>
          <w:sz w:val="21"/>
          <w:szCs w:val="21"/>
          <w:highlight w:val="none"/>
        </w:rPr>
        <w:t>参与评审工作的所有人员必须遵守《中华人民共和国政府采购法》及有关采购的政令法规的规定，以确保</w:t>
      </w:r>
      <w:r>
        <w:rPr>
          <w:rFonts w:hint="eastAsia" w:ascii="宋体" w:hAnsi="宋体" w:cs="宋体"/>
          <w:color w:val="auto"/>
          <w:sz w:val="21"/>
          <w:szCs w:val="21"/>
          <w:highlight w:val="none"/>
          <w:lang w:eastAsia="zh-CN"/>
        </w:rPr>
        <w:t>评审</w:t>
      </w:r>
      <w:r>
        <w:rPr>
          <w:rFonts w:hint="eastAsia" w:ascii="宋体" w:hAnsi="宋体" w:eastAsia="宋体" w:cs="宋体"/>
          <w:color w:val="auto"/>
          <w:sz w:val="21"/>
          <w:szCs w:val="21"/>
          <w:highlight w:val="none"/>
        </w:rPr>
        <w:t>的公平、公正。</w:t>
      </w:r>
    </w:p>
    <w:p w14:paraId="02F358DF">
      <w:pPr>
        <w:pStyle w:val="4"/>
        <w:spacing w:line="360" w:lineRule="auto"/>
        <w:ind w:firstLine="482"/>
        <w:rPr>
          <w:rFonts w:hint="eastAsia" w:ascii="宋体" w:hAnsi="宋体" w:eastAsia="宋体" w:cs="宋体"/>
          <w:color w:val="auto"/>
          <w:sz w:val="21"/>
          <w:szCs w:val="21"/>
          <w:highlight w:val="none"/>
        </w:rPr>
      </w:pPr>
      <w:bookmarkStart w:id="387" w:name="_Toc291944757"/>
      <w:bookmarkStart w:id="388" w:name="_Toc436845167"/>
      <w:bookmarkStart w:id="389" w:name="_Toc403"/>
      <w:bookmarkStart w:id="390" w:name="_Toc122026405"/>
      <w:bookmarkStart w:id="391" w:name="_Toc26351"/>
      <w:r>
        <w:rPr>
          <w:rFonts w:hint="eastAsia" w:ascii="宋体" w:hAnsi="宋体" w:eastAsia="宋体" w:cs="宋体"/>
          <w:color w:val="auto"/>
          <w:sz w:val="21"/>
          <w:szCs w:val="21"/>
          <w:highlight w:val="none"/>
        </w:rPr>
        <w:t>二、</w:t>
      </w:r>
      <w:bookmarkEnd w:id="387"/>
      <w:r>
        <w:rPr>
          <w:rFonts w:hint="eastAsia" w:ascii="宋体" w:hAnsi="宋体" w:eastAsia="宋体" w:cs="宋体"/>
          <w:color w:val="auto"/>
          <w:sz w:val="21"/>
          <w:szCs w:val="21"/>
          <w:highlight w:val="none"/>
        </w:rPr>
        <w:t>评审工作程序</w:t>
      </w:r>
      <w:bookmarkEnd w:id="388"/>
      <w:bookmarkEnd w:id="389"/>
      <w:bookmarkEnd w:id="390"/>
      <w:bookmarkEnd w:id="391"/>
    </w:p>
    <w:p w14:paraId="46A076F9">
      <w:pPr>
        <w:pStyle w:val="27"/>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的组建：</w:t>
      </w:r>
    </w:p>
    <w:p w14:paraId="21AB0938">
      <w:pPr>
        <w:pStyle w:val="27"/>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（1）采购人根据《中华人民共和国政府采购法》及财政部有关法律法规、规章和本</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的规定，结合本采购项目的特点组建</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由采购人代表和评审专家共</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人以上单数组成，其中评审专家人数不得少于</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成员总数的2/3。采购人代表不得以评审专家身份参加本部门或本单位采购项目的评审。采购代理机构人员不得参加本机构代理的采购项目的评审。</w:t>
      </w:r>
    </w:p>
    <w:p w14:paraId="2257331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磋商小组</w:t>
      </w:r>
      <w:r>
        <w:rPr>
          <w:rFonts w:hint="eastAsia" w:ascii="宋体" w:hAnsi="宋体" w:eastAsia="宋体" w:cs="宋体"/>
          <w:color w:val="auto"/>
          <w:sz w:val="21"/>
          <w:szCs w:val="21"/>
          <w:highlight w:val="none"/>
        </w:rPr>
        <w:t>应当遵守评审工作纪律，不得泄露评审情况和评审中获悉的商业秘密。</w:t>
      </w:r>
    </w:p>
    <w:p w14:paraId="58C56AA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在评审过程中发现</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有行贿、提供虚假材料或者串通等违法行为的，应当及时向财政部门报告。</w:t>
      </w:r>
    </w:p>
    <w:p w14:paraId="61B7E670">
      <w:pPr>
        <w:pStyle w:val="27"/>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（4）评审专家在评审过程中受到非法干涉的，应当及时向财政、监察等部门举报。</w:t>
      </w:r>
    </w:p>
    <w:p w14:paraId="7D879E6D">
      <w:pPr>
        <w:pStyle w:val="27"/>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资格检查，确定</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是否具备</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资格；</w:t>
      </w:r>
    </w:p>
    <w:p w14:paraId="644FA235">
      <w:pPr>
        <w:pStyle w:val="27"/>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依据法律法规和</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的规定，</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将依据</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中的资格证明，对照</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进行资格审查</w:t>
      </w:r>
      <w:r>
        <w:rPr>
          <w:rFonts w:hint="eastAsia" w:ascii="宋体" w:hAnsi="宋体" w:cs="宋体"/>
          <w:color w:val="auto"/>
          <w:sz w:val="21"/>
          <w:szCs w:val="21"/>
          <w:highlight w:val="none"/>
          <w:lang w:eastAsia="zh-CN"/>
        </w:rPr>
        <w:t>，核实供应商是否具备本项目磋商资格</w:t>
      </w:r>
      <w:r>
        <w:rPr>
          <w:rFonts w:hint="eastAsia" w:ascii="宋体" w:hAnsi="宋体" w:eastAsia="宋体" w:cs="宋体"/>
          <w:color w:val="auto"/>
          <w:sz w:val="21"/>
          <w:szCs w:val="21"/>
          <w:highlight w:val="none"/>
        </w:rPr>
        <w:t>。供应商资格不满足磋商文件要求、资格证明材料不全或不符合规定的，其响应无效。</w:t>
      </w:r>
    </w:p>
    <w:p w14:paraId="22666B26">
      <w:pPr>
        <w:pStyle w:val="27"/>
        <w:tabs>
          <w:tab w:val="left" w:pos="754"/>
        </w:tabs>
        <w:spacing w:after="0"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审阅</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w:t>
      </w:r>
    </w:p>
    <w:p w14:paraId="209107D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20" w:firstLineChars="200"/>
        <w:textAlignment w:val="baseline"/>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）磋商小组依据响应文件的规定，对响应文件的有效性、完整性和对响应文件的响应程度进行审查，以确定是否对响应文件的要求做出实质性响应。未对</w:t>
      </w:r>
      <w:r>
        <w:rPr>
          <w:rFonts w:hint="eastAsia" w:ascii="宋体" w:hAnsi="宋体" w:cs="宋体"/>
          <w:color w:val="auto"/>
          <w:sz w:val="21"/>
          <w:szCs w:val="21"/>
          <w:highlight w:val="none"/>
          <w:lang w:val="zh-CN"/>
        </w:rPr>
        <w:t>响应文件作</w:t>
      </w:r>
      <w:r>
        <w:rPr>
          <w:rFonts w:hint="eastAsia" w:ascii="宋体" w:hAnsi="宋体" w:eastAsia="宋体" w:cs="宋体"/>
          <w:color w:val="auto"/>
          <w:sz w:val="21"/>
          <w:szCs w:val="21"/>
          <w:highlight w:val="none"/>
          <w:lang w:val="zh-CN"/>
        </w:rPr>
        <w:t>实质性响应的供应商，</w:t>
      </w:r>
      <w:r>
        <w:rPr>
          <w:rFonts w:hint="eastAsia" w:ascii="宋体" w:hAnsi="宋体" w:eastAsia="宋体" w:cs="宋体"/>
          <w:color w:val="auto"/>
          <w:sz w:val="21"/>
          <w:szCs w:val="21"/>
          <w:highlight w:val="none"/>
        </w:rPr>
        <w:t>其响应无效</w:t>
      </w:r>
      <w:r>
        <w:rPr>
          <w:rFonts w:hint="eastAsia" w:ascii="宋体" w:hAnsi="宋体" w:eastAsia="宋体" w:cs="宋体"/>
          <w:color w:val="auto"/>
          <w:sz w:val="21"/>
          <w:szCs w:val="21"/>
          <w:highlight w:val="none"/>
          <w:lang w:val="zh-CN"/>
        </w:rPr>
        <w:t>。</w:t>
      </w:r>
    </w:p>
    <w:p w14:paraId="4B616D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z w:val="21"/>
          <w:szCs w:val="21"/>
          <w:highlight w:val="none"/>
          <w:lang w:val="zh-CN"/>
        </w:rPr>
      </w:pPr>
      <w:r>
        <w:rPr>
          <w:rFonts w:hint="eastAsia" w:ascii="宋体" w:hAnsi="宋体" w:eastAsia="宋体" w:cs="宋体"/>
          <w:color w:val="auto"/>
          <w:spacing w:val="-1"/>
          <w:kern w:val="2"/>
          <w:sz w:val="21"/>
          <w:szCs w:val="21"/>
          <w:highlight w:val="none"/>
          <w:lang w:val="en-US" w:eastAsia="zh-CN" w:bidi="ar-SA"/>
        </w:rPr>
        <w:t>（2）</w:t>
      </w:r>
      <w:r>
        <w:rPr>
          <w:rFonts w:hint="eastAsia" w:ascii="宋体" w:hAnsi="宋体" w:eastAsia="宋体" w:cs="宋体"/>
          <w:color w:val="auto"/>
          <w:spacing w:val="-1"/>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5294F3E">
      <w:pPr>
        <w:pStyle w:val="4"/>
        <w:spacing w:line="360" w:lineRule="auto"/>
        <w:ind w:firstLine="482"/>
        <w:rPr>
          <w:rFonts w:hint="eastAsia" w:ascii="宋体" w:hAnsi="宋体" w:eastAsia="宋体" w:cs="宋体"/>
          <w:color w:val="auto"/>
          <w:sz w:val="21"/>
          <w:szCs w:val="21"/>
          <w:highlight w:val="none"/>
        </w:rPr>
      </w:pPr>
      <w:bookmarkStart w:id="392" w:name="_Toc32383"/>
      <w:bookmarkStart w:id="393" w:name="_Toc122026406"/>
      <w:bookmarkStart w:id="394" w:name="_Toc18032"/>
      <w:r>
        <w:rPr>
          <w:rFonts w:hint="eastAsia" w:ascii="宋体" w:hAnsi="宋体" w:eastAsia="宋体" w:cs="宋体"/>
          <w:color w:val="auto"/>
          <w:sz w:val="21"/>
          <w:szCs w:val="21"/>
          <w:highlight w:val="none"/>
        </w:rPr>
        <w:t>三、评审原则与评审</w:t>
      </w:r>
      <w:bookmarkEnd w:id="392"/>
      <w:bookmarkEnd w:id="393"/>
      <w:r>
        <w:rPr>
          <w:rFonts w:hint="eastAsia" w:ascii="宋体" w:hAnsi="宋体" w:eastAsia="宋体" w:cs="宋体"/>
          <w:color w:val="auto"/>
          <w:sz w:val="21"/>
          <w:szCs w:val="21"/>
          <w:highlight w:val="none"/>
        </w:rPr>
        <w:t>标准</w:t>
      </w:r>
      <w:bookmarkEnd w:id="394"/>
    </w:p>
    <w:p w14:paraId="1413422F">
      <w:pPr>
        <w:pStyle w:val="27"/>
        <w:spacing w:after="0" w:line="360" w:lineRule="auto"/>
        <w:ind w:firstLine="422" w:firstLineChars="200"/>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1.</w:t>
      </w:r>
      <w:r>
        <w:rPr>
          <w:rFonts w:hint="eastAsia" w:ascii="宋体" w:hAnsi="宋体" w:eastAsia="宋体" w:cs="宋体"/>
          <w:b/>
          <w:color w:val="auto"/>
          <w:sz w:val="21"/>
          <w:szCs w:val="21"/>
          <w:highlight w:val="none"/>
        </w:rPr>
        <w:t>评审原则</w:t>
      </w:r>
    </w:p>
    <w:p w14:paraId="2D9BFB1C">
      <w:pPr>
        <w:pStyle w:val="27"/>
        <w:spacing w:after="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（1）本次</w:t>
      </w:r>
      <w:r>
        <w:rPr>
          <w:rFonts w:hint="eastAsia" w:ascii="宋体" w:hAnsi="宋体" w:cs="宋体"/>
          <w:bCs/>
          <w:color w:val="auto"/>
          <w:sz w:val="21"/>
          <w:szCs w:val="21"/>
          <w:highlight w:val="none"/>
          <w:lang w:val="en-US" w:eastAsia="zh-CN"/>
        </w:rPr>
        <w:t>磋商</w:t>
      </w:r>
      <w:r>
        <w:rPr>
          <w:rFonts w:hint="eastAsia" w:ascii="宋体" w:hAnsi="宋体" w:eastAsia="宋体" w:cs="宋体"/>
          <w:bCs/>
          <w:color w:val="auto"/>
          <w:sz w:val="21"/>
          <w:szCs w:val="21"/>
          <w:highlight w:val="none"/>
        </w:rPr>
        <w:t>遵循公开透明、公平竞争、公正和诚实信用的原则。</w:t>
      </w:r>
      <w:r>
        <w:rPr>
          <w:rFonts w:hint="eastAsia" w:ascii="宋体" w:hAnsi="宋体" w:eastAsia="宋体" w:cs="宋体"/>
          <w:bCs/>
          <w:color w:val="auto"/>
          <w:sz w:val="21"/>
          <w:szCs w:val="21"/>
          <w:highlight w:val="none"/>
          <w:lang w:eastAsia="zh-CN"/>
        </w:rPr>
        <w:t>磋商小组</w:t>
      </w:r>
      <w:r>
        <w:rPr>
          <w:rFonts w:hint="eastAsia" w:ascii="宋体" w:hAnsi="宋体" w:eastAsia="宋体" w:cs="宋体"/>
          <w:bCs/>
          <w:color w:val="auto"/>
          <w:sz w:val="21"/>
          <w:szCs w:val="21"/>
          <w:highlight w:val="none"/>
        </w:rPr>
        <w:t>成员按照客观、公正、审慎的原则，根据</w:t>
      </w:r>
      <w:r>
        <w:rPr>
          <w:rFonts w:hint="eastAsia" w:ascii="宋体" w:hAnsi="宋体" w:eastAsia="宋体" w:cs="宋体"/>
          <w:bCs/>
          <w:color w:val="auto"/>
          <w:sz w:val="21"/>
          <w:szCs w:val="21"/>
          <w:highlight w:val="none"/>
          <w:lang w:eastAsia="zh-CN"/>
        </w:rPr>
        <w:t>响应文件</w:t>
      </w:r>
      <w:r>
        <w:rPr>
          <w:rFonts w:hint="eastAsia" w:ascii="宋体" w:hAnsi="宋体" w:eastAsia="宋体" w:cs="宋体"/>
          <w:bCs/>
          <w:color w:val="auto"/>
          <w:sz w:val="21"/>
          <w:szCs w:val="21"/>
          <w:highlight w:val="none"/>
        </w:rPr>
        <w:t>规定的评审程序、评审方法和评审标准进行独立评审。未实质性</w:t>
      </w:r>
      <w:r>
        <w:rPr>
          <w:rFonts w:hint="eastAsia" w:ascii="宋体" w:hAnsi="宋体" w:cs="宋体"/>
          <w:bCs/>
          <w:color w:val="auto"/>
          <w:sz w:val="21"/>
          <w:szCs w:val="21"/>
          <w:highlight w:val="none"/>
          <w:lang w:eastAsia="zh-CN"/>
        </w:rPr>
        <w:t>响应</w:t>
      </w:r>
      <w:r>
        <w:rPr>
          <w:rFonts w:hint="eastAsia" w:ascii="宋体" w:hAnsi="宋体" w:eastAsia="宋体" w:cs="宋体"/>
          <w:bCs/>
          <w:color w:val="auto"/>
          <w:sz w:val="21"/>
          <w:szCs w:val="21"/>
          <w:highlight w:val="none"/>
          <w:lang w:eastAsia="zh-CN"/>
        </w:rPr>
        <w:t>文件</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lang w:eastAsia="zh-CN"/>
        </w:rPr>
        <w:t>响应文件</w:t>
      </w:r>
      <w:r>
        <w:rPr>
          <w:rFonts w:hint="eastAsia" w:ascii="宋体" w:hAnsi="宋体" w:eastAsia="宋体" w:cs="宋体"/>
          <w:bCs/>
          <w:color w:val="auto"/>
          <w:sz w:val="21"/>
          <w:szCs w:val="21"/>
          <w:highlight w:val="none"/>
        </w:rPr>
        <w:t>按无效响应处理，并告知提交</w:t>
      </w:r>
      <w:r>
        <w:rPr>
          <w:rFonts w:hint="eastAsia" w:ascii="宋体" w:hAnsi="宋体" w:eastAsia="宋体" w:cs="宋体"/>
          <w:bCs/>
          <w:color w:val="auto"/>
          <w:sz w:val="21"/>
          <w:szCs w:val="21"/>
          <w:highlight w:val="none"/>
          <w:lang w:eastAsia="zh-CN"/>
        </w:rPr>
        <w:t>响应文件</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w:t>
      </w:r>
    </w:p>
    <w:p w14:paraId="63C7E85A">
      <w:pPr>
        <w:pStyle w:val="27"/>
        <w:spacing w:after="0" w:line="360" w:lineRule="auto"/>
        <w:ind w:firstLine="420" w:firstLineChars="20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1DD84FB1">
      <w:pPr>
        <w:pStyle w:val="27"/>
        <w:spacing w:after="0" w:line="360" w:lineRule="auto"/>
        <w:ind w:firstLine="420" w:firstLineChars="20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B29004D">
      <w:pPr>
        <w:pStyle w:val="27"/>
        <w:spacing w:after="0" w:line="360" w:lineRule="auto"/>
        <w:ind w:firstLine="422" w:firstLineChars="200"/>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2.</w:t>
      </w:r>
      <w:r>
        <w:rPr>
          <w:rFonts w:hint="eastAsia" w:ascii="宋体" w:hAnsi="宋体" w:eastAsia="宋体" w:cs="宋体"/>
          <w:b/>
          <w:color w:val="auto"/>
          <w:sz w:val="21"/>
          <w:szCs w:val="21"/>
          <w:highlight w:val="none"/>
        </w:rPr>
        <w:t>评审标准</w:t>
      </w:r>
    </w:p>
    <w:p w14:paraId="680F12F5">
      <w:pPr>
        <w:widowControl/>
        <w:kinsoku w:val="0"/>
        <w:autoSpaceDE w:val="0"/>
        <w:autoSpaceDN w:val="0"/>
        <w:adjustRightInd w:val="0"/>
        <w:snapToGrid w:val="0"/>
        <w:spacing w:line="360" w:lineRule="auto"/>
        <w:ind w:firstLine="418" w:firstLineChars="200"/>
        <w:textAlignment w:val="baseline"/>
        <w:rPr>
          <w:rFonts w:hint="eastAsia" w:ascii="宋体" w:hAnsi="宋体" w:eastAsia="宋体" w:cs="宋体"/>
          <w:b/>
          <w:bCs/>
          <w:color w:val="auto"/>
          <w:spacing w:val="-1"/>
          <w:sz w:val="21"/>
          <w:szCs w:val="21"/>
          <w:highlight w:val="none"/>
        </w:rPr>
      </w:pPr>
      <w:bookmarkStart w:id="395" w:name="_Toc122026407"/>
      <w:bookmarkStart w:id="396" w:name="_Toc13715"/>
      <w:r>
        <w:rPr>
          <w:rFonts w:hint="eastAsia" w:ascii="宋体" w:hAnsi="宋体" w:eastAsia="宋体" w:cs="宋体"/>
          <w:b/>
          <w:bCs/>
          <w:color w:val="auto"/>
          <w:spacing w:val="-1"/>
          <w:sz w:val="21"/>
          <w:szCs w:val="21"/>
          <w:highlight w:val="none"/>
        </w:rPr>
        <w:t>2.1评审标准</w:t>
      </w:r>
    </w:p>
    <w:p w14:paraId="5EA7F1D6">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bookmarkStart w:id="397" w:name="_Toc364411745"/>
      <w:bookmarkStart w:id="398" w:name="_Toc272420726"/>
      <w:bookmarkStart w:id="399" w:name="_Toc272409736"/>
      <w:bookmarkStart w:id="400" w:name="_Toc261957638"/>
      <w:bookmarkStart w:id="401" w:name="_Toc328383214"/>
      <w:bookmarkStart w:id="402" w:name="_Toc364411744"/>
      <w:r>
        <w:rPr>
          <w:rFonts w:hint="eastAsia" w:ascii="宋体" w:hAnsi="宋体" w:eastAsia="宋体" w:cs="宋体"/>
          <w:color w:val="auto"/>
          <w:spacing w:val="-1"/>
          <w:sz w:val="21"/>
          <w:szCs w:val="21"/>
          <w:highlight w:val="none"/>
        </w:rPr>
        <w:t>2.1.1资格评审标准：见</w:t>
      </w:r>
      <w:r>
        <w:rPr>
          <w:rFonts w:hint="eastAsia" w:ascii="宋体" w:hAnsi="宋体" w:cs="宋体"/>
          <w:color w:val="auto"/>
          <w:spacing w:val="-1"/>
          <w:sz w:val="21"/>
          <w:szCs w:val="21"/>
          <w:highlight w:val="none"/>
          <w:lang w:eastAsia="zh-CN"/>
        </w:rPr>
        <w:t>评审办法</w:t>
      </w:r>
      <w:r>
        <w:rPr>
          <w:rFonts w:hint="eastAsia" w:ascii="宋体" w:hAnsi="宋体" w:eastAsia="宋体" w:cs="宋体"/>
          <w:color w:val="auto"/>
          <w:spacing w:val="-1"/>
          <w:sz w:val="21"/>
          <w:szCs w:val="21"/>
          <w:highlight w:val="none"/>
        </w:rPr>
        <w:t>前附表。</w:t>
      </w:r>
      <w:bookmarkEnd w:id="397"/>
    </w:p>
    <w:p w14:paraId="4D34542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2.1.2符合性评审标准：见</w:t>
      </w:r>
      <w:r>
        <w:rPr>
          <w:rFonts w:hint="eastAsia" w:ascii="宋体" w:hAnsi="宋体" w:cs="宋体"/>
          <w:color w:val="auto"/>
          <w:spacing w:val="-1"/>
          <w:sz w:val="21"/>
          <w:szCs w:val="21"/>
          <w:highlight w:val="none"/>
          <w:lang w:eastAsia="zh-CN"/>
        </w:rPr>
        <w:t>评审办法</w:t>
      </w:r>
      <w:r>
        <w:rPr>
          <w:rFonts w:hint="eastAsia" w:ascii="宋体" w:hAnsi="宋体" w:eastAsia="宋体" w:cs="宋体"/>
          <w:color w:val="auto"/>
          <w:spacing w:val="-1"/>
          <w:sz w:val="21"/>
          <w:szCs w:val="21"/>
          <w:highlight w:val="none"/>
        </w:rPr>
        <w:t>前附表。</w:t>
      </w:r>
      <w:bookmarkEnd w:id="398"/>
      <w:bookmarkEnd w:id="399"/>
      <w:bookmarkEnd w:id="400"/>
      <w:bookmarkEnd w:id="401"/>
      <w:bookmarkEnd w:id="402"/>
    </w:p>
    <w:p w14:paraId="3889100A">
      <w:pPr>
        <w:widowControl/>
        <w:kinsoku w:val="0"/>
        <w:autoSpaceDE w:val="0"/>
        <w:autoSpaceDN w:val="0"/>
        <w:adjustRightInd w:val="0"/>
        <w:snapToGrid w:val="0"/>
        <w:spacing w:line="360" w:lineRule="auto"/>
        <w:ind w:firstLine="418" w:firstLineChars="200"/>
        <w:textAlignment w:val="baseline"/>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2.1.3初步评审</w:t>
      </w:r>
    </w:p>
    <w:p w14:paraId="0649565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eastAsia" w:ascii="宋体" w:hAnsi="宋体" w:eastAsia="宋体" w:cs="宋体"/>
          <w:b w:val="0"/>
          <w:bCs w:val="0"/>
          <w:color w:val="auto"/>
          <w:spacing w:val="-1"/>
          <w:sz w:val="21"/>
          <w:szCs w:val="21"/>
          <w:highlight w:val="none"/>
        </w:rPr>
      </w:pPr>
      <w:bookmarkStart w:id="403" w:name="_Toc10563764"/>
      <w:bookmarkStart w:id="404" w:name="_Toc10731413"/>
      <w:r>
        <w:rPr>
          <w:rFonts w:hint="eastAsia" w:ascii="宋体" w:hAnsi="宋体" w:eastAsia="宋体" w:cs="宋体"/>
          <w:b w:val="0"/>
          <w:bCs w:val="0"/>
          <w:color w:val="auto"/>
          <w:spacing w:val="-1"/>
          <w:sz w:val="21"/>
          <w:szCs w:val="21"/>
          <w:highlight w:val="none"/>
        </w:rPr>
        <w:t>通过资格审查评审标准及符合性评审标准的</w:t>
      </w:r>
      <w:r>
        <w:rPr>
          <w:rFonts w:hint="eastAsia" w:ascii="宋体" w:hAnsi="宋体" w:eastAsia="宋体" w:cs="宋体"/>
          <w:b w:val="0"/>
          <w:bCs w:val="0"/>
          <w:color w:val="auto"/>
          <w:spacing w:val="-1"/>
          <w:sz w:val="21"/>
          <w:szCs w:val="21"/>
          <w:highlight w:val="none"/>
          <w:lang w:eastAsia="zh-CN"/>
        </w:rPr>
        <w:t>供应商</w:t>
      </w:r>
      <w:r>
        <w:rPr>
          <w:rFonts w:hint="eastAsia" w:ascii="宋体" w:hAnsi="宋体" w:eastAsia="宋体" w:cs="宋体"/>
          <w:b w:val="0"/>
          <w:bCs w:val="0"/>
          <w:color w:val="auto"/>
          <w:spacing w:val="-1"/>
          <w:sz w:val="21"/>
          <w:szCs w:val="21"/>
          <w:highlight w:val="none"/>
        </w:rPr>
        <w:t>，</w:t>
      </w:r>
      <w:r>
        <w:rPr>
          <w:rFonts w:hint="eastAsia" w:ascii="宋体" w:hAnsi="宋体" w:eastAsia="宋体" w:cs="宋体"/>
          <w:b w:val="0"/>
          <w:bCs w:val="0"/>
          <w:color w:val="auto"/>
          <w:spacing w:val="-1"/>
          <w:sz w:val="21"/>
          <w:szCs w:val="21"/>
          <w:highlight w:val="none"/>
          <w:lang w:val="en-US" w:eastAsia="zh-CN"/>
        </w:rPr>
        <w:t>磋商小组</w:t>
      </w:r>
      <w:r>
        <w:rPr>
          <w:rFonts w:hint="eastAsia" w:ascii="宋体" w:hAnsi="宋体" w:eastAsia="宋体" w:cs="宋体"/>
          <w:b w:val="0"/>
          <w:bCs w:val="0"/>
          <w:color w:val="auto"/>
          <w:spacing w:val="-1"/>
          <w:sz w:val="21"/>
          <w:szCs w:val="21"/>
          <w:highlight w:val="none"/>
        </w:rPr>
        <w:t>将对各</w:t>
      </w:r>
      <w:r>
        <w:rPr>
          <w:rFonts w:hint="eastAsia" w:ascii="宋体" w:hAnsi="宋体" w:eastAsia="宋体" w:cs="宋体"/>
          <w:b w:val="0"/>
          <w:bCs w:val="0"/>
          <w:color w:val="auto"/>
          <w:spacing w:val="-1"/>
          <w:sz w:val="21"/>
          <w:szCs w:val="21"/>
          <w:highlight w:val="none"/>
          <w:lang w:eastAsia="zh-CN"/>
        </w:rPr>
        <w:t>响应文件</w:t>
      </w:r>
      <w:r>
        <w:rPr>
          <w:rFonts w:hint="eastAsia" w:ascii="宋体" w:hAnsi="宋体" w:eastAsia="宋体" w:cs="宋体"/>
          <w:b w:val="0"/>
          <w:bCs w:val="0"/>
          <w:color w:val="auto"/>
          <w:spacing w:val="-1"/>
          <w:sz w:val="21"/>
          <w:szCs w:val="21"/>
          <w:highlight w:val="none"/>
        </w:rPr>
        <w:t>进行初步评审。应符合下列情形，否则</w:t>
      </w:r>
      <w:r>
        <w:rPr>
          <w:rFonts w:hint="eastAsia" w:ascii="宋体" w:hAnsi="宋体" w:eastAsia="宋体" w:cs="宋体"/>
          <w:b w:val="0"/>
          <w:bCs w:val="0"/>
          <w:color w:val="auto"/>
          <w:spacing w:val="-1"/>
          <w:sz w:val="21"/>
          <w:szCs w:val="21"/>
          <w:highlight w:val="none"/>
          <w:lang w:eastAsia="zh-CN"/>
        </w:rPr>
        <w:t>响应文件</w:t>
      </w:r>
      <w:r>
        <w:rPr>
          <w:rFonts w:hint="eastAsia" w:ascii="宋体" w:hAnsi="宋体" w:eastAsia="宋体" w:cs="宋体"/>
          <w:b w:val="0"/>
          <w:bCs w:val="0"/>
          <w:color w:val="auto"/>
          <w:spacing w:val="-1"/>
          <w:sz w:val="21"/>
          <w:szCs w:val="21"/>
          <w:highlight w:val="none"/>
        </w:rPr>
        <w:t>按无效标处理：</w:t>
      </w:r>
    </w:p>
    <w:p w14:paraId="099C59B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通过资格审查及符合性评审标准的供应商，磋商小组将对其响应文件开展初步评审。响应文件须满足下列全部情形，不满足任意一项的，响应无效：</w:t>
      </w:r>
    </w:p>
    <w:p w14:paraId="69B223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kern w:val="2"/>
          <w:sz w:val="21"/>
          <w:szCs w:val="21"/>
          <w:lang w:val="en-US" w:eastAsia="zh-CN" w:bidi="ar-SA"/>
        </w:rPr>
        <w:t>（1）</w:t>
      </w:r>
      <w:r>
        <w:rPr>
          <w:rFonts w:hint="eastAsia" w:ascii="宋体" w:hAnsi="宋体" w:eastAsia="宋体" w:cs="宋体"/>
          <w:b w:val="0"/>
          <w:bCs w:val="0"/>
          <w:color w:val="auto"/>
          <w:spacing w:val="-1"/>
          <w:sz w:val="21"/>
          <w:szCs w:val="21"/>
          <w:highlight w:val="none"/>
        </w:rPr>
        <w:t>磋商报价符合磋商文件规定，未超过本项目最高限价，且不存在低于成本报价情形；</w:t>
      </w:r>
    </w:p>
    <w:p w14:paraId="3D6BD53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（2）响应有效期满足本文件供应商须知第 3.3.1 条要求；</w:t>
      </w:r>
    </w:p>
    <w:p w14:paraId="7E8D00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（3）磋商保证金递交符合本文件供应商须知第 3.4.1 条要求；</w:t>
      </w:r>
    </w:p>
    <w:p w14:paraId="10CF38D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（4）供应商按磋商小组要求，对响应文件相关内容进行合规澄清、说明、补正；</w:t>
      </w:r>
    </w:p>
    <w:p w14:paraId="6F4B113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（5）不存在不同供应商响应文件出现相同签署人员的异常情形；</w:t>
      </w:r>
    </w:p>
    <w:p w14:paraId="49E043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（6）不存在不同供应商委托同一单位或同一人员办理本项目磋商事宜的情形；</w:t>
      </w:r>
    </w:p>
    <w:p w14:paraId="4131A65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（7）不存在不同供应商响应文件内容出现非正常一致的情形；</w:t>
      </w:r>
    </w:p>
    <w:p w14:paraId="075E6BF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（8）不存在不同供应商响应文件错漏内容高度一致的情形；</w:t>
      </w:r>
    </w:p>
    <w:p w14:paraId="5422E65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（9）不存在不同供应商磋商报价、报价组成异常一致或呈规律性变化的情形；</w:t>
      </w:r>
    </w:p>
    <w:p w14:paraId="700E70A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（10）不存在不同供应商响应文件载明的项目管理机构人员高度重合的异常情形；</w:t>
      </w:r>
    </w:p>
    <w:p w14:paraId="4D5B6D1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b w:val="0"/>
          <w:bCs w:val="0"/>
          <w:color w:val="auto"/>
          <w:spacing w:val="-1"/>
          <w:sz w:val="21"/>
          <w:szCs w:val="21"/>
          <w:highlight w:val="none"/>
        </w:rPr>
      </w:pPr>
      <w:r>
        <w:rPr>
          <w:rFonts w:hint="eastAsia" w:ascii="宋体" w:hAnsi="宋体" w:eastAsia="宋体" w:cs="宋体"/>
          <w:b w:val="0"/>
          <w:bCs w:val="0"/>
          <w:color w:val="auto"/>
          <w:spacing w:val="-1"/>
          <w:sz w:val="21"/>
          <w:szCs w:val="21"/>
          <w:highlight w:val="none"/>
        </w:rPr>
        <w:t>（11）不存在违反国家、省、市政府采购及行业相关法律法规的情形。</w:t>
      </w:r>
    </w:p>
    <w:p w14:paraId="36524C3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2.1.4</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时，</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将首先评定每份</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是否响应了</w:t>
      </w:r>
      <w:r>
        <w:rPr>
          <w:rFonts w:hint="eastAsia" w:ascii="宋体" w:hAnsi="宋体" w:eastAsia="宋体" w:cs="宋体"/>
          <w:color w:val="auto"/>
          <w:spacing w:val="-1"/>
          <w:sz w:val="21"/>
          <w:szCs w:val="21"/>
          <w:highlight w:val="none"/>
          <w:lang w:eastAsia="zh-CN"/>
        </w:rPr>
        <w:t>竞争性磋商文件</w:t>
      </w:r>
      <w:r>
        <w:rPr>
          <w:rFonts w:hint="eastAsia" w:ascii="宋体" w:hAnsi="宋体" w:eastAsia="宋体" w:cs="宋体"/>
          <w:color w:val="auto"/>
          <w:spacing w:val="-1"/>
          <w:sz w:val="21"/>
          <w:szCs w:val="21"/>
          <w:highlight w:val="none"/>
        </w:rPr>
        <w:t>的要求。所谓响应，是指</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应与</w:t>
      </w:r>
      <w:r>
        <w:rPr>
          <w:rFonts w:hint="eastAsia" w:ascii="宋体" w:hAnsi="宋体" w:eastAsia="宋体" w:cs="宋体"/>
          <w:color w:val="auto"/>
          <w:spacing w:val="-1"/>
          <w:sz w:val="21"/>
          <w:szCs w:val="21"/>
          <w:highlight w:val="none"/>
          <w:lang w:eastAsia="zh-CN"/>
        </w:rPr>
        <w:t>竞争性磋商文件</w:t>
      </w:r>
      <w:r>
        <w:rPr>
          <w:rFonts w:hint="eastAsia" w:ascii="宋体" w:hAnsi="宋体" w:eastAsia="宋体" w:cs="宋体"/>
          <w:color w:val="auto"/>
          <w:spacing w:val="-1"/>
          <w:sz w:val="21"/>
          <w:szCs w:val="21"/>
          <w:highlight w:val="none"/>
        </w:rPr>
        <w:t>的所有条款、条件和要求相符，无显著差异或保留，或者对合同中约定的采购人的权利和</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的义务方面造成重大的限制，纠正这些显著差异或保留将会对其他响应</w:t>
      </w:r>
      <w:r>
        <w:rPr>
          <w:rFonts w:hint="eastAsia" w:ascii="宋体" w:hAnsi="宋体" w:eastAsia="宋体" w:cs="宋体"/>
          <w:color w:val="auto"/>
          <w:spacing w:val="-1"/>
          <w:sz w:val="21"/>
          <w:szCs w:val="21"/>
          <w:highlight w:val="none"/>
          <w:lang w:eastAsia="zh-CN"/>
        </w:rPr>
        <w:t>竞争性磋商文件</w:t>
      </w:r>
      <w:r>
        <w:rPr>
          <w:rFonts w:hint="eastAsia" w:ascii="宋体" w:hAnsi="宋体" w:eastAsia="宋体" w:cs="宋体"/>
          <w:color w:val="auto"/>
          <w:spacing w:val="-1"/>
          <w:sz w:val="21"/>
          <w:szCs w:val="21"/>
          <w:highlight w:val="none"/>
        </w:rPr>
        <w:t>要求的</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的</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的竞争地位产生不公正的影响。</w:t>
      </w:r>
    </w:p>
    <w:p w14:paraId="7C7EF04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2.1.5若响应文件未实质性响应竞争性磋商文件各项要求，磋商小组将予以否决，不允许供应商通过修改、撤销不符合要求的偏离或保留内容，使其响应文件具备实质性响应资格，该响应按无效处理。</w:t>
      </w:r>
    </w:p>
    <w:p w14:paraId="1CC7579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2.1.6对价格的计算错误按下述原则修正：</w:t>
      </w:r>
    </w:p>
    <w:p w14:paraId="22EFDCA8">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（1）如果单价乘数量不等于总价，应以单价为准修正总价。</w:t>
      </w:r>
    </w:p>
    <w:p w14:paraId="01C4C45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（2）单价金额小数点有明显错位的，应以总价为准，并修改单价。</w:t>
      </w:r>
    </w:p>
    <w:p w14:paraId="2C15CC3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（3）如果大写金额和小写金额不一致的，以大写金额为准。</w:t>
      </w:r>
    </w:p>
    <w:p w14:paraId="31C0594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不同意以上修正，则其</w:t>
      </w:r>
      <w:r>
        <w:rPr>
          <w:rFonts w:hint="eastAsia" w:ascii="宋体" w:hAnsi="宋体" w:cs="宋体"/>
          <w:color w:val="auto"/>
          <w:spacing w:val="-1"/>
          <w:sz w:val="21"/>
          <w:szCs w:val="21"/>
          <w:highlight w:val="none"/>
          <w:lang w:val="en-US" w:eastAsia="zh-CN"/>
        </w:rPr>
        <w:t>响应无效</w:t>
      </w:r>
      <w:r>
        <w:rPr>
          <w:rFonts w:hint="eastAsia" w:ascii="宋体" w:hAnsi="宋体" w:eastAsia="宋体" w:cs="宋体"/>
          <w:color w:val="auto"/>
          <w:spacing w:val="-1"/>
          <w:sz w:val="21"/>
          <w:szCs w:val="21"/>
          <w:highlight w:val="none"/>
        </w:rPr>
        <w:t>。</w:t>
      </w:r>
      <w:bookmarkEnd w:id="403"/>
      <w:bookmarkEnd w:id="404"/>
    </w:p>
    <w:p w14:paraId="4319A6D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2.1.7</w:t>
      </w:r>
      <w:r>
        <w:rPr>
          <w:rFonts w:hint="eastAsia" w:ascii="宋体" w:hAnsi="宋体" w:eastAsia="宋体" w:cs="宋体"/>
          <w:color w:val="auto"/>
          <w:spacing w:val="-1"/>
          <w:sz w:val="21"/>
          <w:szCs w:val="21"/>
          <w:highlight w:val="none"/>
        </w:rPr>
        <w:t>磋商及二次报价</w:t>
      </w:r>
    </w:p>
    <w:p w14:paraId="339F418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pacing w:val="-1"/>
          <w:kern w:val="2"/>
          <w:sz w:val="21"/>
          <w:szCs w:val="21"/>
          <w:highlight w:val="none"/>
          <w:lang w:val="en-US" w:eastAsia="zh-CN" w:bidi="ar-SA"/>
        </w:rPr>
      </w:pPr>
      <w:r>
        <w:rPr>
          <w:rFonts w:hint="eastAsia" w:ascii="宋体" w:hAnsi="宋体" w:eastAsia="宋体" w:cs="宋体"/>
          <w:color w:val="auto"/>
          <w:spacing w:val="-1"/>
          <w:kern w:val="2"/>
          <w:sz w:val="21"/>
          <w:szCs w:val="21"/>
          <w:highlight w:val="none"/>
          <w:lang w:val="en-US" w:eastAsia="zh-CN" w:bidi="ar-SA"/>
        </w:rPr>
        <w:t>（1）磋商小组所有成员应当集中与单一供应商分别进行磋商，并给予所有参加磋商的供应商平等的磋商机会。</w:t>
      </w:r>
    </w:p>
    <w:p w14:paraId="15564E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kern w:val="2"/>
          <w:sz w:val="21"/>
          <w:szCs w:val="21"/>
          <w:highlight w:val="none"/>
          <w:lang w:val="en-US" w:eastAsia="zh-CN" w:bidi="ar-SA"/>
        </w:rPr>
        <w:t>（2）</w:t>
      </w:r>
      <w:r>
        <w:rPr>
          <w:rFonts w:hint="eastAsia" w:ascii="宋体" w:hAnsi="宋体" w:eastAsia="宋体" w:cs="宋体"/>
          <w:color w:val="auto"/>
          <w:spacing w:val="-1"/>
          <w:sz w:val="21"/>
          <w:szCs w:val="21"/>
          <w:highlight w:val="none"/>
        </w:rPr>
        <w:t>通过资格审查、初步评审的各个</w:t>
      </w:r>
      <w:r>
        <w:rPr>
          <w:rFonts w:hint="eastAsia" w:ascii="宋体" w:hAnsi="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按照递交磋商响应文件时随机抽取的顺序进行磋商。磋商小组与</w:t>
      </w:r>
      <w:r>
        <w:rPr>
          <w:rFonts w:hint="eastAsia" w:ascii="宋体" w:hAnsi="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就报价、项目实施方案及保证措施、质量承诺及有关内容分别进行磋商。本项目磋商次数为一轮，除磋商小组确认确有必要增加的外，原则上不予调整。若出现调整的次数，磋商小组应给每个</w:t>
      </w:r>
      <w:r>
        <w:rPr>
          <w:rFonts w:hint="eastAsia" w:ascii="宋体" w:hAnsi="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相同的磋商次数。</w:t>
      </w:r>
    </w:p>
    <w:p w14:paraId="0B9D214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kern w:val="2"/>
          <w:sz w:val="21"/>
          <w:szCs w:val="21"/>
          <w:highlight w:val="none"/>
          <w:lang w:val="en-US" w:eastAsia="zh-CN" w:bidi="ar-SA"/>
        </w:rPr>
        <w:t>（3）</w:t>
      </w:r>
      <w:r>
        <w:rPr>
          <w:rFonts w:hint="eastAsia" w:ascii="宋体" w:hAnsi="宋体" w:eastAsia="宋体" w:cs="宋体"/>
          <w:color w:val="auto"/>
          <w:spacing w:val="-1"/>
          <w:sz w:val="21"/>
          <w:szCs w:val="21"/>
          <w:highlight w:val="none"/>
        </w:rPr>
        <w:t>在磋商过程中，磋商小组可以根据磋商文件和磋商情况实质性变动采购需求中的技术、</w:t>
      </w:r>
      <w:r>
        <w:rPr>
          <w:rFonts w:hint="eastAsia" w:ascii="宋体" w:hAnsi="宋体" w:cs="宋体"/>
          <w:color w:val="auto"/>
          <w:spacing w:val="-1"/>
          <w:sz w:val="21"/>
          <w:szCs w:val="21"/>
          <w:highlight w:val="none"/>
          <w:lang w:val="en-US" w:eastAsia="zh-CN"/>
        </w:rPr>
        <w:t>施工</w:t>
      </w:r>
      <w:r>
        <w:rPr>
          <w:rFonts w:hint="eastAsia" w:ascii="宋体" w:hAnsi="宋体" w:eastAsia="宋体" w:cs="宋体"/>
          <w:color w:val="auto"/>
          <w:spacing w:val="-1"/>
          <w:sz w:val="21"/>
          <w:szCs w:val="21"/>
          <w:highlight w:val="none"/>
        </w:rPr>
        <w:t>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6601DC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kern w:val="2"/>
          <w:sz w:val="21"/>
          <w:szCs w:val="21"/>
          <w:highlight w:val="none"/>
          <w:lang w:val="en-US" w:eastAsia="zh-CN" w:bidi="ar-SA"/>
        </w:rPr>
        <w:t>（4）</w:t>
      </w:r>
      <w:r>
        <w:rPr>
          <w:rFonts w:hint="eastAsia" w:ascii="宋体" w:hAnsi="宋体" w:eastAsia="宋体" w:cs="宋体"/>
          <w:color w:val="auto"/>
          <w:spacing w:val="-1"/>
          <w:sz w:val="21"/>
          <w:szCs w:val="21"/>
          <w:highlight w:val="none"/>
        </w:rPr>
        <w:t>磋商结束后，磋商小组应当要求所有实质性响应的供应商在规定时间内提交最后报价，提交最后报价的供应商不得少于3家。最后报价是供应商响应文件的有效组成部分。</w:t>
      </w:r>
    </w:p>
    <w:p w14:paraId="295251C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kern w:val="2"/>
          <w:sz w:val="21"/>
          <w:szCs w:val="21"/>
          <w:highlight w:val="none"/>
          <w:lang w:val="en-US" w:eastAsia="zh-CN" w:bidi="ar-SA"/>
        </w:rPr>
        <w:t>（5）</w:t>
      </w:r>
      <w:r>
        <w:rPr>
          <w:rFonts w:hint="eastAsia" w:ascii="宋体" w:hAnsi="宋体" w:eastAsia="宋体" w:cs="宋体"/>
          <w:color w:val="auto"/>
          <w:spacing w:val="-1"/>
          <w:sz w:val="21"/>
          <w:szCs w:val="21"/>
          <w:highlight w:val="none"/>
        </w:rPr>
        <w:t>已提交响应文件的供应商，在提交最后报价之前，可以根据磋商情况退出磋商。采购人、采购代理机构应当退还退出磋商的供应商的磋商保证金。</w:t>
      </w:r>
    </w:p>
    <w:p w14:paraId="6B10D4C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right="0" w:rightChars="0"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kern w:val="2"/>
          <w:sz w:val="21"/>
          <w:szCs w:val="21"/>
          <w:highlight w:val="none"/>
          <w:lang w:val="en-US" w:eastAsia="zh-CN" w:bidi="ar-SA"/>
        </w:rPr>
        <w:t>（6）</w:t>
      </w:r>
      <w:r>
        <w:rPr>
          <w:rFonts w:hint="eastAsia" w:ascii="宋体" w:hAnsi="宋体" w:eastAsia="宋体" w:cs="宋体"/>
          <w:color w:val="auto"/>
          <w:spacing w:val="-1"/>
          <w:sz w:val="21"/>
          <w:szCs w:val="21"/>
          <w:highlight w:val="none"/>
        </w:rPr>
        <w:t>经磋商确定最终采购需求和提交最后报价的供应商后，由磋商小组采用综合评分法对提交最后报价的供应商的响应文件和最后报价进行综合评分。</w:t>
      </w:r>
    </w:p>
    <w:p w14:paraId="03EC5F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7</w:t>
      </w:r>
      <w:r>
        <w:rPr>
          <w:rFonts w:hint="eastAsia" w:ascii="宋体" w:hAnsi="宋体" w:eastAsia="宋体" w:cs="宋体"/>
          <w:color w:val="auto"/>
          <w:spacing w:val="-1"/>
          <w:sz w:val="21"/>
          <w:szCs w:val="21"/>
          <w:highlight w:val="none"/>
          <w:lang w:eastAsia="zh-CN"/>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5040C9AE">
      <w:pPr>
        <w:widowControl/>
        <w:kinsoku w:val="0"/>
        <w:autoSpaceDE w:val="0"/>
        <w:autoSpaceDN w:val="0"/>
        <w:adjustRightInd w:val="0"/>
        <w:snapToGrid w:val="0"/>
        <w:spacing w:line="360" w:lineRule="auto"/>
        <w:ind w:firstLine="418" w:firstLineChars="200"/>
        <w:textAlignment w:val="baseline"/>
        <w:rPr>
          <w:rFonts w:hint="eastAsia" w:ascii="宋体" w:hAnsi="宋体" w:eastAsia="宋体" w:cs="宋体"/>
          <w:b/>
          <w:bCs/>
          <w:color w:val="auto"/>
          <w:spacing w:val="-1"/>
          <w:sz w:val="21"/>
          <w:szCs w:val="21"/>
          <w:highlight w:val="none"/>
        </w:rPr>
      </w:pPr>
      <w:bookmarkStart w:id="405" w:name="_Toc8968"/>
      <w:r>
        <w:rPr>
          <w:rFonts w:hint="eastAsia" w:ascii="宋体" w:hAnsi="宋体" w:eastAsia="宋体" w:cs="宋体"/>
          <w:b/>
          <w:bCs/>
          <w:color w:val="auto"/>
          <w:spacing w:val="-1"/>
          <w:sz w:val="21"/>
          <w:szCs w:val="21"/>
          <w:highlight w:val="none"/>
        </w:rPr>
        <w:t>2.2详细评审</w:t>
      </w:r>
      <w:bookmarkEnd w:id="405"/>
    </w:p>
    <w:p w14:paraId="6FB05621">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2.2.1</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按照</w:t>
      </w:r>
      <w:r>
        <w:rPr>
          <w:rFonts w:hint="eastAsia" w:ascii="宋体" w:hAnsi="宋体" w:eastAsia="宋体" w:cs="宋体"/>
          <w:color w:val="auto"/>
          <w:spacing w:val="-1"/>
          <w:sz w:val="21"/>
          <w:szCs w:val="21"/>
          <w:highlight w:val="none"/>
          <w:lang w:eastAsia="zh-CN"/>
        </w:rPr>
        <w:t>竞争性磋商文件</w:t>
      </w:r>
      <w:r>
        <w:rPr>
          <w:rFonts w:hint="eastAsia" w:ascii="宋体" w:hAnsi="宋体" w:eastAsia="宋体" w:cs="宋体"/>
          <w:color w:val="auto"/>
          <w:spacing w:val="-1"/>
          <w:sz w:val="21"/>
          <w:szCs w:val="21"/>
          <w:highlight w:val="none"/>
        </w:rPr>
        <w:t>中规定的</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方法和标准，对符合性审查合格的</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进行技术评估，综合比较与评价</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见</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方法前附表。</w:t>
      </w:r>
    </w:p>
    <w:p w14:paraId="66F906B7">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2.2.2</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各成员要依法独立评审，并对评审意见承担个人责任。对</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的客观评分项的评分应当一致，对其他需要借助专业知识评判的主观评分项，应当严格按照评分细则公正评分。</w:t>
      </w:r>
    </w:p>
    <w:p w14:paraId="05F9AB15">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2.2.3</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成员对需要共同认定的事项存在争议的，按照少数服从多数的原则</w:t>
      </w:r>
      <w:r>
        <w:rPr>
          <w:rFonts w:hint="eastAsia" w:ascii="宋体" w:hAnsi="宋体" w:cs="宋体"/>
          <w:color w:val="auto"/>
          <w:spacing w:val="-1"/>
          <w:sz w:val="21"/>
          <w:szCs w:val="21"/>
          <w:highlight w:val="none"/>
          <w:lang w:eastAsia="zh-CN"/>
        </w:rPr>
        <w:t>作出</w:t>
      </w:r>
      <w:r>
        <w:rPr>
          <w:rFonts w:hint="eastAsia" w:ascii="宋体" w:hAnsi="宋体" w:eastAsia="宋体" w:cs="宋体"/>
          <w:color w:val="auto"/>
          <w:spacing w:val="-1"/>
          <w:sz w:val="21"/>
          <w:szCs w:val="21"/>
          <w:highlight w:val="none"/>
        </w:rPr>
        <w:t>结论。持不同意见的</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成员应当在</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报告上签署不同意见并说明理由，否则视为同意。</w:t>
      </w:r>
    </w:p>
    <w:p w14:paraId="68721484">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2.2.4</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报价出现前后不一致的，按照下列规定修正：</w:t>
      </w:r>
    </w:p>
    <w:p w14:paraId="087C7F9D">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z w:val="21"/>
          <w:szCs w:val="21"/>
          <w:highlight w:val="none"/>
        </w:rPr>
      </w:pP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1</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中</w:t>
      </w:r>
      <w:r>
        <w:rPr>
          <w:rFonts w:hint="eastAsia" w:ascii="宋体" w:hAnsi="宋体" w:cs="宋体"/>
          <w:color w:val="auto"/>
          <w:spacing w:val="-1"/>
          <w:sz w:val="21"/>
          <w:szCs w:val="21"/>
          <w:highlight w:val="none"/>
          <w:lang w:val="en-US" w:eastAsia="zh-CN"/>
        </w:rPr>
        <w:t>报价</w:t>
      </w:r>
      <w:r>
        <w:rPr>
          <w:rFonts w:hint="eastAsia" w:ascii="宋体" w:hAnsi="宋体" w:eastAsia="宋体" w:cs="宋体"/>
          <w:color w:val="auto"/>
          <w:spacing w:val="-1"/>
          <w:sz w:val="21"/>
          <w:szCs w:val="21"/>
          <w:highlight w:val="none"/>
        </w:rPr>
        <w:t>一览表内容与</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中相应内容不一致的，以</w:t>
      </w:r>
      <w:r>
        <w:rPr>
          <w:rFonts w:hint="eastAsia" w:ascii="宋体" w:hAnsi="宋体" w:cs="宋体"/>
          <w:color w:val="auto"/>
          <w:spacing w:val="-1"/>
          <w:sz w:val="21"/>
          <w:szCs w:val="21"/>
          <w:highlight w:val="none"/>
          <w:lang w:val="en-US" w:eastAsia="zh-CN"/>
        </w:rPr>
        <w:t>报价</w:t>
      </w:r>
      <w:r>
        <w:rPr>
          <w:rFonts w:hint="eastAsia" w:ascii="宋体" w:hAnsi="宋体" w:eastAsia="宋体" w:cs="宋体"/>
          <w:color w:val="auto"/>
          <w:spacing w:val="-1"/>
          <w:sz w:val="21"/>
          <w:szCs w:val="21"/>
          <w:highlight w:val="none"/>
        </w:rPr>
        <w:t>一览表</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报价表</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为准；</w:t>
      </w:r>
    </w:p>
    <w:p w14:paraId="0B1A281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2</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大写金额和小写金额不一致的，以大写金额为准；</w:t>
      </w:r>
    </w:p>
    <w:p w14:paraId="6F3F3AE2">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3</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单价金额小数点或者百分比有明显错位的，以</w:t>
      </w:r>
      <w:r>
        <w:rPr>
          <w:rFonts w:hint="eastAsia" w:ascii="宋体" w:hAnsi="宋体" w:cs="宋体"/>
          <w:color w:val="auto"/>
          <w:spacing w:val="-1"/>
          <w:sz w:val="21"/>
          <w:szCs w:val="21"/>
          <w:highlight w:val="none"/>
          <w:lang w:val="en-US" w:eastAsia="zh-CN"/>
        </w:rPr>
        <w:t>报价</w:t>
      </w:r>
      <w:r>
        <w:rPr>
          <w:rFonts w:hint="eastAsia" w:ascii="宋体" w:hAnsi="宋体" w:eastAsia="宋体" w:cs="宋体"/>
          <w:color w:val="auto"/>
          <w:spacing w:val="-1"/>
          <w:sz w:val="21"/>
          <w:szCs w:val="21"/>
          <w:highlight w:val="none"/>
        </w:rPr>
        <w:t>一览表的单价为准；</w:t>
      </w:r>
    </w:p>
    <w:p w14:paraId="6B77045A">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同时出现两种以上不一致的，按照前款规定的顺序修正。修正后的报价按照本章2.2款的规定经</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确认后产生约束力，</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不确认的，其</w:t>
      </w:r>
      <w:r>
        <w:rPr>
          <w:rFonts w:hint="eastAsia" w:ascii="宋体" w:hAnsi="宋体" w:cs="宋体"/>
          <w:color w:val="auto"/>
          <w:spacing w:val="-1"/>
          <w:sz w:val="21"/>
          <w:szCs w:val="21"/>
          <w:highlight w:val="none"/>
          <w:lang w:val="en-US" w:eastAsia="zh-CN"/>
        </w:rPr>
        <w:t>响应</w:t>
      </w:r>
      <w:r>
        <w:rPr>
          <w:rFonts w:hint="eastAsia" w:ascii="宋体" w:hAnsi="宋体" w:eastAsia="宋体" w:cs="宋体"/>
          <w:color w:val="auto"/>
          <w:spacing w:val="-1"/>
          <w:sz w:val="21"/>
          <w:szCs w:val="21"/>
          <w:highlight w:val="none"/>
        </w:rPr>
        <w:t>无效。</w:t>
      </w:r>
    </w:p>
    <w:p w14:paraId="03D6BE60">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2.2.5评审标准：见</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方法前附表</w:t>
      </w:r>
    </w:p>
    <w:p w14:paraId="3AB578EC">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r>
        <w:rPr>
          <w:rFonts w:hint="eastAsia" w:ascii="宋体" w:hAnsi="宋体" w:cs="宋体"/>
          <w:color w:val="auto"/>
          <w:spacing w:val="-1"/>
          <w:sz w:val="21"/>
          <w:szCs w:val="21"/>
          <w:highlight w:val="none"/>
          <w:lang w:val="en-US" w:eastAsia="zh-CN"/>
        </w:rPr>
        <w:t>响应报价（</w:t>
      </w:r>
      <w:r>
        <w:rPr>
          <w:rFonts w:hint="eastAsia" w:ascii="宋体" w:hAnsi="宋体" w:eastAsia="宋体" w:cs="宋体"/>
          <w:color w:val="auto"/>
          <w:spacing w:val="-1"/>
          <w:sz w:val="21"/>
          <w:szCs w:val="21"/>
          <w:highlight w:val="none"/>
        </w:rPr>
        <w:t>F1</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：按</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方法前附表规定的</w:t>
      </w:r>
      <w:r>
        <w:rPr>
          <w:rFonts w:hint="eastAsia" w:ascii="宋体" w:hAnsi="宋体" w:cs="宋体"/>
          <w:color w:val="auto"/>
          <w:spacing w:val="-1"/>
          <w:sz w:val="21"/>
          <w:szCs w:val="21"/>
          <w:highlight w:val="none"/>
          <w:lang w:eastAsia="zh-CN"/>
        </w:rPr>
        <w:t>响应报价</w:t>
      </w:r>
      <w:r>
        <w:rPr>
          <w:rFonts w:hint="eastAsia" w:ascii="宋体" w:hAnsi="宋体" w:eastAsia="宋体" w:cs="宋体"/>
          <w:color w:val="auto"/>
          <w:spacing w:val="-1"/>
          <w:sz w:val="21"/>
          <w:szCs w:val="21"/>
          <w:highlight w:val="none"/>
        </w:rPr>
        <w:t>计算公式，计算出各</w:t>
      </w:r>
      <w:r>
        <w:rPr>
          <w:rFonts w:hint="eastAsia" w:ascii="宋体" w:hAnsi="宋体" w:eastAsia="宋体" w:cs="宋体"/>
          <w:color w:val="auto"/>
          <w:spacing w:val="-1"/>
          <w:sz w:val="21"/>
          <w:szCs w:val="21"/>
          <w:highlight w:val="none"/>
          <w:lang w:eastAsia="zh-CN"/>
        </w:rPr>
        <w:t>供应商</w:t>
      </w:r>
      <w:r>
        <w:rPr>
          <w:rFonts w:hint="eastAsia" w:ascii="宋体" w:hAnsi="宋体" w:cs="宋体"/>
          <w:color w:val="auto"/>
          <w:spacing w:val="-1"/>
          <w:sz w:val="21"/>
          <w:szCs w:val="21"/>
          <w:highlight w:val="none"/>
          <w:lang w:val="en-US" w:eastAsia="zh-CN"/>
        </w:rPr>
        <w:t>响应报价</w:t>
      </w:r>
      <w:r>
        <w:rPr>
          <w:rFonts w:hint="eastAsia" w:ascii="宋体" w:hAnsi="宋体" w:eastAsia="宋体" w:cs="宋体"/>
          <w:color w:val="auto"/>
          <w:spacing w:val="-1"/>
          <w:sz w:val="21"/>
          <w:szCs w:val="21"/>
          <w:highlight w:val="none"/>
        </w:rPr>
        <w:t>得分。</w:t>
      </w:r>
    </w:p>
    <w:p w14:paraId="3D4FD0F9">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（2）施工组织设计</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F2</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：得分由</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成员独立评分，</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各项评分因素得分为该项因素各评委评分的算术平均值。</w:t>
      </w:r>
    </w:p>
    <w:p w14:paraId="6439A9BE">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eastAsia="zh-CN"/>
        </w:rPr>
        <w:t>（</w:t>
      </w:r>
      <w:r>
        <w:rPr>
          <w:rFonts w:hint="eastAsia" w:ascii="宋体" w:hAnsi="宋体" w:cs="宋体"/>
          <w:color w:val="auto"/>
          <w:spacing w:val="-1"/>
          <w:sz w:val="21"/>
          <w:szCs w:val="21"/>
          <w:highlight w:val="none"/>
          <w:lang w:val="en-US" w:eastAsia="zh-CN"/>
        </w:rPr>
        <w:t>3</w:t>
      </w:r>
      <w:r>
        <w:rPr>
          <w:rFonts w:hint="eastAsia" w:ascii="宋体" w:hAnsi="宋体" w:cs="宋体"/>
          <w:color w:val="auto"/>
          <w:spacing w:val="-1"/>
          <w:sz w:val="21"/>
          <w:szCs w:val="21"/>
          <w:highlight w:val="none"/>
          <w:lang w:eastAsia="zh-CN"/>
        </w:rPr>
        <w:t>）</w:t>
      </w:r>
      <w:r>
        <w:rPr>
          <w:rFonts w:hint="eastAsia" w:ascii="宋体" w:hAnsi="宋体"/>
          <w:color w:val="auto"/>
          <w:kern w:val="0"/>
          <w:szCs w:val="21"/>
          <w:highlight w:val="none"/>
        </w:rPr>
        <w:t>项目管理机构</w:t>
      </w:r>
      <w:r>
        <w:rPr>
          <w:rFonts w:hint="eastAsia" w:ascii="宋体" w:hAnsi="宋体"/>
          <w:color w:val="auto"/>
          <w:kern w:val="0"/>
          <w:szCs w:val="21"/>
          <w:highlight w:val="none"/>
          <w:lang w:val="en-US" w:eastAsia="zh-CN"/>
        </w:rPr>
        <w:t>评分标准（</w:t>
      </w:r>
      <w:r>
        <w:rPr>
          <w:rFonts w:hint="eastAsia" w:ascii="宋体" w:hAnsi="宋体" w:eastAsia="宋体" w:cs="宋体"/>
          <w:color w:val="auto"/>
          <w:sz w:val="21"/>
          <w:szCs w:val="21"/>
          <w:highlight w:val="none"/>
        </w:rPr>
        <w:t>F</w:t>
      </w:r>
      <w:r>
        <w:rPr>
          <w:rFonts w:hint="eastAsia" w:ascii="宋体" w:hAnsi="宋体" w:cs="宋体"/>
          <w:color w:val="auto"/>
          <w:sz w:val="21"/>
          <w:szCs w:val="21"/>
          <w:highlight w:val="none"/>
          <w:lang w:val="en-US" w:eastAsia="zh-CN"/>
        </w:rPr>
        <w:t>3</w:t>
      </w:r>
      <w:r>
        <w:rPr>
          <w:rFonts w:hint="eastAsia" w:ascii="宋体" w:hAnsi="宋体"/>
          <w:color w:val="auto"/>
          <w:kern w:val="0"/>
          <w:szCs w:val="21"/>
          <w:highlight w:val="none"/>
          <w:lang w:val="en-US" w:eastAsia="zh-CN"/>
        </w:rPr>
        <w:t>）：</w:t>
      </w:r>
      <w:r>
        <w:rPr>
          <w:rFonts w:hint="eastAsia" w:ascii="宋体" w:hAnsi="宋体" w:eastAsia="宋体" w:cs="宋体"/>
          <w:color w:val="auto"/>
          <w:spacing w:val="-1"/>
          <w:sz w:val="21"/>
          <w:szCs w:val="21"/>
          <w:highlight w:val="none"/>
        </w:rPr>
        <w:t>得分由</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成员独立评分，</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各项评分因素得分为该项因素各评委评分的算术平均值。</w:t>
      </w:r>
    </w:p>
    <w:p w14:paraId="7F23D04F">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val="en-US" w:eastAsia="zh-CN"/>
        </w:rPr>
        <w:t>4</w:t>
      </w:r>
      <w:r>
        <w:rPr>
          <w:rFonts w:hint="eastAsia" w:ascii="宋体" w:hAnsi="宋体" w:eastAsia="宋体" w:cs="宋体"/>
          <w:color w:val="auto"/>
          <w:spacing w:val="-1"/>
          <w:sz w:val="21"/>
          <w:szCs w:val="21"/>
          <w:highlight w:val="none"/>
        </w:rPr>
        <w:t>）其他因素</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F</w:t>
      </w:r>
      <w:r>
        <w:rPr>
          <w:rFonts w:hint="eastAsia" w:ascii="宋体" w:hAnsi="宋体" w:cs="宋体"/>
          <w:color w:val="auto"/>
          <w:spacing w:val="-1"/>
          <w:sz w:val="21"/>
          <w:szCs w:val="21"/>
          <w:highlight w:val="none"/>
          <w:lang w:val="en-US" w:eastAsia="zh-CN"/>
        </w:rPr>
        <w:t>4）</w:t>
      </w:r>
      <w:r>
        <w:rPr>
          <w:rFonts w:hint="eastAsia" w:ascii="宋体" w:hAnsi="宋体" w:eastAsia="宋体" w:cs="宋体"/>
          <w:color w:val="auto"/>
          <w:spacing w:val="-1"/>
          <w:sz w:val="21"/>
          <w:szCs w:val="21"/>
          <w:highlight w:val="none"/>
        </w:rPr>
        <w:t>：得分由</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成员独立评分，</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各项评分因素得分为该项因素各评委评分的算术平均值。</w:t>
      </w:r>
    </w:p>
    <w:p w14:paraId="57684828">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w:t>
      </w:r>
      <w:r>
        <w:rPr>
          <w:rFonts w:hint="eastAsia" w:ascii="宋体" w:hAnsi="宋体" w:cs="宋体"/>
          <w:color w:val="auto"/>
          <w:spacing w:val="-1"/>
          <w:sz w:val="21"/>
          <w:szCs w:val="21"/>
          <w:highlight w:val="none"/>
          <w:lang w:val="en-US" w:eastAsia="zh-CN"/>
        </w:rPr>
        <w:t>5</w:t>
      </w:r>
      <w:r>
        <w:rPr>
          <w:rFonts w:hint="eastAsia" w:ascii="宋体" w:hAnsi="宋体" w:eastAsia="宋体" w:cs="宋体"/>
          <w:color w:val="auto"/>
          <w:spacing w:val="-1"/>
          <w:sz w:val="21"/>
          <w:szCs w:val="21"/>
          <w:highlight w:val="none"/>
        </w:rPr>
        <w:t>）所有计算结果均保留小数点后两位，小数点后第三位“四舍五入”。</w:t>
      </w:r>
    </w:p>
    <w:p w14:paraId="2DDF9063">
      <w:pPr>
        <w:widowControl/>
        <w:kinsoku w:val="0"/>
        <w:autoSpaceDE w:val="0"/>
        <w:autoSpaceDN w:val="0"/>
        <w:adjustRightInd w:val="0"/>
        <w:snapToGrid w:val="0"/>
        <w:spacing w:line="360" w:lineRule="auto"/>
        <w:ind w:firstLine="416" w:firstLineChars="200"/>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2.2.6</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认为</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的报价明显低于其他通过符合性审查</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的报价，有可能影响产品质量或者不能诚信履约的，应当要求其在</w:t>
      </w:r>
      <w:r>
        <w:rPr>
          <w:rFonts w:hint="eastAsia" w:ascii="宋体" w:hAnsi="宋体" w:cs="宋体"/>
          <w:color w:val="auto"/>
          <w:spacing w:val="-1"/>
          <w:sz w:val="21"/>
          <w:szCs w:val="21"/>
          <w:highlight w:val="none"/>
          <w:lang w:eastAsia="zh-CN"/>
        </w:rPr>
        <w:t>评审</w:t>
      </w:r>
      <w:r>
        <w:rPr>
          <w:rFonts w:hint="eastAsia" w:ascii="宋体" w:hAnsi="宋体" w:eastAsia="宋体" w:cs="宋体"/>
          <w:color w:val="auto"/>
          <w:spacing w:val="-1"/>
          <w:sz w:val="21"/>
          <w:szCs w:val="21"/>
          <w:highlight w:val="none"/>
        </w:rPr>
        <w:t>现场合理的时间内提供书面说明，必要时提交相关证明材料；</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不能证明其报价合理性的，</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应当将其作为无效</w:t>
      </w:r>
      <w:r>
        <w:rPr>
          <w:rFonts w:hint="eastAsia" w:ascii="宋体" w:hAnsi="宋体" w:cs="宋体"/>
          <w:color w:val="auto"/>
          <w:spacing w:val="-1"/>
          <w:sz w:val="21"/>
          <w:szCs w:val="21"/>
          <w:highlight w:val="none"/>
          <w:lang w:val="en-US" w:eastAsia="zh-CN"/>
        </w:rPr>
        <w:t>响应</w:t>
      </w:r>
      <w:r>
        <w:rPr>
          <w:rFonts w:hint="eastAsia" w:ascii="宋体" w:hAnsi="宋体" w:eastAsia="宋体" w:cs="宋体"/>
          <w:color w:val="auto"/>
          <w:spacing w:val="-1"/>
          <w:sz w:val="21"/>
          <w:szCs w:val="21"/>
          <w:highlight w:val="none"/>
        </w:rPr>
        <w:t>处理。</w:t>
      </w:r>
    </w:p>
    <w:p w14:paraId="27C2441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2.2.7根据《关于推动解决政府采购异常低价问题的通知》（财库〔2026〕2号）文件要求，政府采购评审中出现下列情形之一的，评审委员会应当启动异常低价投标（响应）审查程序：</w:t>
      </w:r>
    </w:p>
    <w:p w14:paraId="0C43E96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（1）投标（响应）报价低于全部通过符合性审查供应商投标（响应）报价平均值50%的，即投标（响应）报价〈全部通过符合性审查供应商投标（响应）报价平均值×50%；</w:t>
      </w:r>
    </w:p>
    <w:p w14:paraId="5BBEB87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（2）投标（响应）报价低于通过符合性审查的次低报价供应商投标（响应）报价50%的，即投标（响应）报价〈通过符合性审查的次低报价供应商投标（响应）报价×50%；</w:t>
      </w:r>
    </w:p>
    <w:p w14:paraId="6C7E09D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（3）投标（响应）报价低于采购项目最高限价45%的，即投标（响应）报价〈采购项目最高限价×45%；</w:t>
      </w:r>
    </w:p>
    <w:p w14:paraId="3647848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（4）评审委员会基于专业判断，认为供应商报价过低，有可能影响产品质量或者不能诚信履约的其他情形。</w:t>
      </w:r>
    </w:p>
    <w:p w14:paraId="789AB25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相关法律法规对供应商报价有规定的，从其规定。</w:t>
      </w:r>
    </w:p>
    <w:p w14:paraId="326C729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2.2.8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AC3215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F35A5B">
      <w:pPr>
        <w:widowControl/>
        <w:kinsoku w:val="0"/>
        <w:autoSpaceDE w:val="0"/>
        <w:autoSpaceDN w:val="0"/>
        <w:adjustRightInd w:val="0"/>
        <w:snapToGrid w:val="0"/>
        <w:spacing w:line="360" w:lineRule="auto"/>
        <w:ind w:firstLine="420" w:firstLineChars="200"/>
        <w:textAlignment w:val="baseline"/>
        <w:rPr>
          <w:rFonts w:hint="eastAsia" w:ascii="宋体" w:hAnsi="宋体" w:cs="宋体"/>
          <w:color w:val="auto"/>
          <w:highlight w:val="none"/>
          <w:lang w:val="en-US" w:eastAsia="zh-CN"/>
        </w:rPr>
      </w:pPr>
      <w:r>
        <w:rPr>
          <w:rFonts w:hint="eastAsia" w:ascii="宋体" w:hAnsi="宋体" w:cs="宋体"/>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F355339">
      <w:pPr>
        <w:pStyle w:val="4"/>
        <w:spacing w:line="360" w:lineRule="auto"/>
        <w:ind w:firstLine="482"/>
        <w:rPr>
          <w:rFonts w:hint="eastAsia" w:ascii="宋体" w:hAnsi="宋体" w:eastAsia="宋体" w:cs="宋体"/>
          <w:color w:val="auto"/>
          <w:sz w:val="21"/>
          <w:szCs w:val="21"/>
          <w:highlight w:val="none"/>
        </w:rPr>
      </w:pPr>
      <w:bookmarkStart w:id="406" w:name="_Toc22195"/>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的澄清</w:t>
      </w:r>
      <w:bookmarkEnd w:id="395"/>
      <w:bookmarkEnd w:id="396"/>
      <w:bookmarkEnd w:id="406"/>
    </w:p>
    <w:bookmarkEnd w:id="386"/>
    <w:p w14:paraId="0B60AC6B">
      <w:pPr>
        <w:widowControl/>
        <w:kinsoku w:val="0"/>
        <w:autoSpaceDE w:val="0"/>
        <w:autoSpaceDN w:val="0"/>
        <w:adjustRightInd w:val="0"/>
        <w:snapToGrid w:val="0"/>
        <w:spacing w:line="360" w:lineRule="auto"/>
        <w:ind w:left="19" w:right="181" w:firstLine="552"/>
        <w:textAlignment w:val="baseline"/>
        <w:rPr>
          <w:rFonts w:hint="eastAsia" w:ascii="宋体" w:hAnsi="宋体" w:eastAsia="宋体" w:cs="宋体"/>
          <w:color w:val="auto"/>
          <w:spacing w:val="-1"/>
          <w:sz w:val="21"/>
          <w:szCs w:val="21"/>
          <w:highlight w:val="none"/>
        </w:rPr>
      </w:pPr>
      <w:bookmarkStart w:id="407" w:name="_Toc16958"/>
      <w:bookmarkStart w:id="408" w:name="_Toc122026408"/>
      <w:r>
        <w:rPr>
          <w:rFonts w:hint="eastAsia" w:ascii="宋体" w:hAnsi="宋体" w:cs="宋体"/>
          <w:color w:val="auto"/>
          <w:spacing w:val="-1"/>
          <w:sz w:val="21"/>
          <w:szCs w:val="21"/>
          <w:highlight w:val="none"/>
          <w:lang w:eastAsia="zh-CN"/>
        </w:rPr>
        <w:t>1.</w:t>
      </w:r>
      <w:r>
        <w:rPr>
          <w:rFonts w:hint="eastAsia" w:ascii="宋体" w:hAnsi="宋体" w:eastAsia="宋体" w:cs="宋体"/>
          <w:color w:val="auto"/>
          <w:spacing w:val="-1"/>
          <w:sz w:val="21"/>
          <w:szCs w:val="21"/>
          <w:highlight w:val="none"/>
        </w:rPr>
        <w:t>在</w:t>
      </w:r>
      <w:r>
        <w:rPr>
          <w:rFonts w:hint="eastAsia" w:ascii="宋体" w:hAnsi="宋体" w:cs="宋体"/>
          <w:color w:val="auto"/>
          <w:spacing w:val="-1"/>
          <w:sz w:val="21"/>
          <w:szCs w:val="21"/>
          <w:highlight w:val="none"/>
          <w:lang w:val="en-US" w:eastAsia="zh-CN"/>
        </w:rPr>
        <w:t>评审</w:t>
      </w:r>
      <w:r>
        <w:rPr>
          <w:rFonts w:hint="eastAsia" w:ascii="宋体" w:hAnsi="宋体" w:eastAsia="宋体" w:cs="宋体"/>
          <w:color w:val="auto"/>
          <w:spacing w:val="-1"/>
          <w:sz w:val="21"/>
          <w:szCs w:val="21"/>
          <w:highlight w:val="none"/>
        </w:rPr>
        <w:t>过程中，</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可以书面形式要求</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对所提交的</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中含义不明确、同类问题表述不一致或者有明显文字和计算错误的内容，进行书面澄清或说明。</w:t>
      </w:r>
      <w:r>
        <w:rPr>
          <w:rFonts w:hint="eastAsia" w:ascii="宋体" w:hAnsi="宋体" w:cs="宋体"/>
          <w:color w:val="auto"/>
          <w:sz w:val="21"/>
          <w:szCs w:val="21"/>
          <w:highlight w:val="none"/>
        </w:rPr>
        <w:t>澄清、说明或者补正应以书面形式进行，并不得超出</w:t>
      </w:r>
      <w:r>
        <w:rPr>
          <w:rFonts w:hint="eastAsia" w:ascii="宋体" w:hAnsi="宋体" w:cs="宋体"/>
          <w:color w:val="auto"/>
          <w:sz w:val="21"/>
          <w:szCs w:val="21"/>
          <w:highlight w:val="none"/>
          <w:lang w:eastAsia="zh-CN"/>
        </w:rPr>
        <w:t>响应文件</w:t>
      </w:r>
      <w:r>
        <w:rPr>
          <w:rFonts w:hint="eastAsia" w:ascii="宋体" w:hAnsi="宋体" w:cs="宋体"/>
          <w:color w:val="auto"/>
          <w:sz w:val="21"/>
          <w:szCs w:val="21"/>
          <w:highlight w:val="none"/>
        </w:rPr>
        <w:t>的范围或者改变</w:t>
      </w:r>
      <w:r>
        <w:rPr>
          <w:rFonts w:hint="eastAsia" w:ascii="宋体" w:hAnsi="宋体" w:cs="宋体"/>
          <w:color w:val="auto"/>
          <w:sz w:val="21"/>
          <w:szCs w:val="21"/>
          <w:highlight w:val="none"/>
          <w:lang w:eastAsia="zh-CN"/>
        </w:rPr>
        <w:t>响应文件</w:t>
      </w:r>
      <w:r>
        <w:rPr>
          <w:rFonts w:hint="eastAsia" w:ascii="宋体" w:hAnsi="宋体" w:cs="宋体"/>
          <w:color w:val="auto"/>
          <w:sz w:val="21"/>
          <w:szCs w:val="21"/>
          <w:highlight w:val="none"/>
        </w:rPr>
        <w:t>的实质性内容</w:t>
      </w:r>
      <w:r>
        <w:rPr>
          <w:rFonts w:hint="eastAsia" w:ascii="宋体" w:hAnsi="宋体" w:cs="宋体"/>
          <w:color w:val="auto"/>
          <w:sz w:val="21"/>
          <w:szCs w:val="21"/>
          <w:highlight w:val="none"/>
          <w:lang w:eastAsia="zh-CN"/>
        </w:rPr>
        <w:t>。</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不接受</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主动提出的澄清、说明。</w:t>
      </w:r>
    </w:p>
    <w:p w14:paraId="5E909596">
      <w:pPr>
        <w:widowControl/>
        <w:kinsoku w:val="0"/>
        <w:autoSpaceDE w:val="0"/>
        <w:autoSpaceDN w:val="0"/>
        <w:adjustRightInd w:val="0"/>
        <w:snapToGrid w:val="0"/>
        <w:spacing w:line="360" w:lineRule="auto"/>
        <w:ind w:left="19" w:right="181" w:firstLine="552"/>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eastAsia="zh-CN"/>
        </w:rPr>
        <w:t>2.</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的澄清、说明应当采用书面形式，由法定代表人或其授权的代表签字，澄清事项不得超出</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的范围并不得改变</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的实质性内容</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算术性错误修正的除外</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的书面澄清、说明属于</w:t>
      </w:r>
      <w:r>
        <w:rPr>
          <w:rFonts w:hint="eastAsia" w:ascii="宋体" w:hAnsi="宋体" w:eastAsia="宋体" w:cs="宋体"/>
          <w:color w:val="auto"/>
          <w:spacing w:val="-1"/>
          <w:sz w:val="21"/>
          <w:szCs w:val="21"/>
          <w:highlight w:val="none"/>
          <w:lang w:eastAsia="zh-CN"/>
        </w:rPr>
        <w:t>响应文件</w:t>
      </w:r>
      <w:r>
        <w:rPr>
          <w:rFonts w:hint="eastAsia" w:ascii="宋体" w:hAnsi="宋体" w:eastAsia="宋体" w:cs="宋体"/>
          <w:color w:val="auto"/>
          <w:spacing w:val="-1"/>
          <w:sz w:val="21"/>
          <w:szCs w:val="21"/>
          <w:highlight w:val="none"/>
        </w:rPr>
        <w:t>的组成部分。</w:t>
      </w:r>
    </w:p>
    <w:p w14:paraId="63EEF0DA">
      <w:pPr>
        <w:widowControl/>
        <w:kinsoku w:val="0"/>
        <w:autoSpaceDE w:val="0"/>
        <w:autoSpaceDN w:val="0"/>
        <w:adjustRightInd w:val="0"/>
        <w:snapToGrid w:val="0"/>
        <w:spacing w:line="360" w:lineRule="auto"/>
        <w:ind w:left="19" w:right="181" w:firstLine="552"/>
        <w:textAlignment w:val="baseline"/>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eastAsia="zh-CN"/>
        </w:rPr>
        <w:t>3.</w:t>
      </w:r>
      <w:r>
        <w:rPr>
          <w:rFonts w:hint="eastAsia" w:ascii="宋体" w:hAnsi="宋体" w:eastAsia="宋体" w:cs="宋体"/>
          <w:color w:val="auto"/>
          <w:spacing w:val="-1"/>
          <w:sz w:val="21"/>
          <w:szCs w:val="21"/>
          <w:highlight w:val="none"/>
          <w:lang w:eastAsia="zh-CN"/>
        </w:rPr>
        <w:t>磋商小组</w:t>
      </w:r>
      <w:r>
        <w:rPr>
          <w:rFonts w:hint="eastAsia" w:ascii="宋体" w:hAnsi="宋体" w:eastAsia="宋体" w:cs="宋体"/>
          <w:color w:val="auto"/>
          <w:spacing w:val="-1"/>
          <w:sz w:val="21"/>
          <w:szCs w:val="21"/>
          <w:highlight w:val="none"/>
        </w:rPr>
        <w:t>对</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提交的澄清、说明有疑问的，可以要求</w:t>
      </w:r>
      <w:r>
        <w:rPr>
          <w:rFonts w:hint="eastAsia" w:ascii="宋体" w:hAnsi="宋体" w:eastAsia="宋体" w:cs="宋体"/>
          <w:color w:val="auto"/>
          <w:spacing w:val="-1"/>
          <w:sz w:val="21"/>
          <w:szCs w:val="21"/>
          <w:highlight w:val="none"/>
          <w:lang w:eastAsia="zh-CN"/>
        </w:rPr>
        <w:t>供应商</w:t>
      </w:r>
      <w:r>
        <w:rPr>
          <w:rFonts w:hint="eastAsia" w:ascii="宋体" w:hAnsi="宋体" w:eastAsia="宋体" w:cs="宋体"/>
          <w:color w:val="auto"/>
          <w:spacing w:val="-1"/>
          <w:sz w:val="21"/>
          <w:szCs w:val="21"/>
          <w:highlight w:val="none"/>
        </w:rPr>
        <w:t>进一步澄清、说明。</w:t>
      </w:r>
    </w:p>
    <w:p w14:paraId="030A2414">
      <w:pPr>
        <w:pStyle w:val="4"/>
        <w:spacing w:line="360" w:lineRule="auto"/>
        <w:ind w:firstLine="482"/>
        <w:rPr>
          <w:rFonts w:hint="eastAsia" w:ascii="宋体" w:hAnsi="宋体" w:eastAsia="宋体" w:cs="宋体"/>
          <w:color w:val="auto"/>
          <w:sz w:val="21"/>
          <w:szCs w:val="21"/>
          <w:highlight w:val="none"/>
        </w:rPr>
      </w:pPr>
      <w:bookmarkStart w:id="409" w:name="_Toc20741"/>
      <w:r>
        <w:rPr>
          <w:rFonts w:hint="eastAsia" w:ascii="宋体" w:hAnsi="宋体" w:eastAsia="宋体" w:cs="宋体"/>
          <w:color w:val="auto"/>
          <w:sz w:val="21"/>
          <w:szCs w:val="21"/>
          <w:highlight w:val="none"/>
        </w:rPr>
        <w:t>五、关于中小企业</w:t>
      </w:r>
      <w:bookmarkEnd w:id="407"/>
      <w:r>
        <w:rPr>
          <w:rFonts w:hint="eastAsia" w:ascii="宋体" w:hAnsi="宋体" w:eastAsia="宋体" w:cs="宋体"/>
          <w:color w:val="auto"/>
          <w:sz w:val="21"/>
          <w:szCs w:val="21"/>
          <w:highlight w:val="none"/>
        </w:rPr>
        <w:t>、监狱企业、残疾人福利性单位</w:t>
      </w:r>
      <w:bookmarkEnd w:id="408"/>
      <w:bookmarkEnd w:id="409"/>
    </w:p>
    <w:p w14:paraId="586E929C">
      <w:pPr>
        <w:spacing w:line="360" w:lineRule="auto"/>
        <w:ind w:firstLine="422" w:firstLineChars="200"/>
        <w:rPr>
          <w:rFonts w:hint="eastAsia" w:ascii="宋体" w:hAnsi="宋体" w:eastAsia="宋体" w:cs="宋体"/>
          <w:color w:val="auto"/>
          <w:sz w:val="21"/>
          <w:szCs w:val="21"/>
          <w:highlight w:val="yellow"/>
        </w:rPr>
      </w:pPr>
      <w:r>
        <w:rPr>
          <w:rFonts w:hint="eastAsia" w:ascii="宋体" w:hAnsi="宋体" w:eastAsia="宋体" w:cs="宋体"/>
          <w:b/>
          <w:bCs/>
          <w:color w:val="auto"/>
          <w:sz w:val="21"/>
          <w:szCs w:val="21"/>
          <w:highlight w:val="none"/>
          <w:lang w:eastAsia="zh-CN"/>
        </w:rPr>
        <w:t>本项目非专门面向中小企业采购</w:t>
      </w:r>
      <w:r>
        <w:rPr>
          <w:rFonts w:hint="eastAsia" w:hAnsi="宋体" w:cs="宋体"/>
          <w:b/>
          <w:bCs/>
          <w:color w:val="auto"/>
          <w:sz w:val="21"/>
          <w:szCs w:val="21"/>
          <w:highlight w:val="none"/>
          <w:lang w:eastAsia="zh-CN"/>
        </w:rPr>
        <w:t>，评审时，符合条件的小型、微型企业承建的工程，其</w:t>
      </w:r>
      <w:r>
        <w:rPr>
          <w:rFonts w:hint="eastAsia" w:hAnsi="宋体" w:cs="宋体"/>
          <w:b/>
          <w:bCs/>
          <w:color w:val="auto"/>
          <w:sz w:val="21"/>
          <w:szCs w:val="21"/>
          <w:highlight w:val="none"/>
          <w:lang w:val="en-US" w:eastAsia="zh-CN"/>
        </w:rPr>
        <w:t>响应</w:t>
      </w:r>
      <w:r>
        <w:rPr>
          <w:rFonts w:hint="eastAsia" w:hAnsi="宋体" w:cs="宋体"/>
          <w:b/>
          <w:bCs/>
          <w:color w:val="auto"/>
          <w:sz w:val="21"/>
          <w:szCs w:val="21"/>
          <w:highlight w:val="none"/>
          <w:lang w:eastAsia="zh-CN"/>
        </w:rPr>
        <w:t>报价给予</w:t>
      </w:r>
      <w:r>
        <w:rPr>
          <w:rFonts w:hint="eastAsia" w:hAnsi="宋体" w:cs="宋体"/>
          <w:b/>
          <w:bCs/>
          <w:color w:val="auto"/>
          <w:sz w:val="21"/>
          <w:szCs w:val="21"/>
          <w:highlight w:val="none"/>
          <w:lang w:val="en-US" w:eastAsia="zh-CN"/>
        </w:rPr>
        <w:t>3%</w:t>
      </w:r>
      <w:r>
        <w:rPr>
          <w:rFonts w:hint="eastAsia" w:hAnsi="宋体" w:cs="宋体"/>
          <w:b/>
          <w:bCs/>
          <w:color w:val="auto"/>
          <w:sz w:val="21"/>
          <w:szCs w:val="21"/>
          <w:highlight w:val="none"/>
          <w:lang w:eastAsia="zh-CN"/>
        </w:rPr>
        <w:t>的价格扣除，用扣除后的价格参与评审</w:t>
      </w:r>
      <w:r>
        <w:rPr>
          <w:rFonts w:hint="eastAsia" w:ascii="宋体" w:hAnsi="宋体" w:eastAsia="宋体" w:cs="宋体"/>
          <w:b/>
          <w:bCs/>
          <w:color w:val="auto"/>
          <w:sz w:val="21"/>
          <w:szCs w:val="21"/>
          <w:highlight w:val="none"/>
          <w:lang w:eastAsia="zh-CN"/>
        </w:rPr>
        <w:t>。监狱企业、残疾人福利性单位视同小型和微型企业，同等享受上述价格扣除优惠</w:t>
      </w:r>
      <w:r>
        <w:rPr>
          <w:rFonts w:hint="eastAsia" w:ascii="宋体" w:hAnsi="宋体" w:eastAsia="宋体" w:cs="宋体"/>
          <w:b/>
          <w:bCs/>
          <w:color w:val="auto"/>
          <w:sz w:val="21"/>
          <w:szCs w:val="21"/>
          <w:highlight w:val="none"/>
        </w:rPr>
        <w:t>。</w:t>
      </w:r>
    </w:p>
    <w:p w14:paraId="3EAB2A1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rPr>
        <w:t>关于中小企业</w:t>
      </w:r>
    </w:p>
    <w:p w14:paraId="4B42D78C">
      <w:pPr>
        <w:adjustRightInd w:val="0"/>
        <w:spacing w:line="360" w:lineRule="auto"/>
        <w:ind w:firstLine="420" w:firstLineChars="200"/>
        <w:rPr>
          <w:rFonts w:ascii="Times New Roman" w:hAnsi="Times New Roman"/>
          <w:color w:val="000000"/>
          <w:szCs w:val="21"/>
        </w:rPr>
      </w:pPr>
      <w:r>
        <w:rPr>
          <w:rFonts w:hint="eastAsia" w:ascii="宋体" w:hAnsi="宋体" w:cs="宋体"/>
          <w:color w:val="auto"/>
          <w:sz w:val="21"/>
          <w:szCs w:val="21"/>
          <w:highlight w:val="none"/>
          <w:lang w:val="en-US" w:eastAsia="zh-CN"/>
        </w:rPr>
        <w:t>1.1</w:t>
      </w:r>
      <w:r>
        <w:rPr>
          <w:rFonts w:ascii="Times New Roman" w:hAnsi="Times New Roman"/>
          <w:color w:val="000000"/>
          <w:szCs w:val="21"/>
        </w:rPr>
        <w:t>根据</w:t>
      </w:r>
      <w:r>
        <w:rPr>
          <w:rFonts w:hint="eastAsia" w:ascii="Times New Roman" w:hAnsi="Times New Roman"/>
          <w:color w:val="000000"/>
          <w:szCs w:val="21"/>
        </w:rPr>
        <w:t>《财政部 工业和信息化部关于印发〈政府采购促进中小企业发展管理办法〉的通知》（财库〔2020〕46号）、《云南省财政厅 云南省工业和信息化厅关于落实政府采购促进中小企业发展政策意见的通知》（云财规〔2022〕13号）</w:t>
      </w:r>
      <w:r>
        <w:rPr>
          <w:rFonts w:hint="eastAsia" w:ascii="Times New Roman" w:hAnsi="Times New Roman"/>
          <w:color w:val="000000"/>
          <w:szCs w:val="21"/>
          <w:lang w:val="en-US" w:eastAsia="zh-CN"/>
        </w:rPr>
        <w:t>的规定</w:t>
      </w:r>
      <w:r>
        <w:rPr>
          <w:rFonts w:ascii="Times New Roman" w:hAnsi="Times New Roman"/>
          <w:color w:val="000000"/>
          <w:szCs w:val="21"/>
        </w:rPr>
        <w:t>：中小企业是指在中华人民共和国境内依法设立，依据国务院批准的中小企业划分标准确定的中型企业、小型企业和微型企业，但与大企业的负责人为同一人，或者与大企业存在直接控股、管理关系的除外。中小企业参加政府采购活动，应当出具本</w:t>
      </w:r>
      <w:r>
        <w:rPr>
          <w:rFonts w:hint="eastAsia" w:ascii="Times New Roman" w:hAnsi="Times New Roman"/>
          <w:color w:val="000000"/>
          <w:szCs w:val="21"/>
          <w:lang w:val="en-US" w:eastAsia="zh-CN"/>
        </w:rPr>
        <w:t>办法</w:t>
      </w:r>
      <w:r>
        <w:rPr>
          <w:rFonts w:ascii="Times New Roman" w:hAnsi="Times New Roman"/>
          <w:color w:val="000000"/>
          <w:szCs w:val="21"/>
        </w:rPr>
        <w:t>规定的《中小企业声明函》，否则不得享受相关中小企业扶持政策。</w:t>
      </w:r>
    </w:p>
    <w:p w14:paraId="3FC12FDC">
      <w:pPr>
        <w:adjustRightInd w:val="0"/>
        <w:spacing w:line="360" w:lineRule="auto"/>
        <w:ind w:firstLine="420" w:firstLineChars="200"/>
        <w:rPr>
          <w:rFonts w:ascii="Times New Roman" w:hAnsi="Times New Roman"/>
          <w:color w:val="000000"/>
          <w:szCs w:val="21"/>
        </w:rPr>
      </w:pPr>
      <w:r>
        <w:rPr>
          <w:rFonts w:hint="eastAsia" w:ascii="Times New Roman" w:hAnsi="Times New Roman"/>
          <w:color w:val="000000"/>
          <w:szCs w:val="21"/>
          <w:lang w:val="en-US" w:eastAsia="zh-CN"/>
        </w:rPr>
        <w:t>1.2</w:t>
      </w:r>
      <w:r>
        <w:rPr>
          <w:rFonts w:hint="eastAsia" w:ascii="宋体" w:hAnsi="宋体" w:eastAsia="宋体" w:cs="宋体"/>
          <w:color w:val="auto"/>
          <w:sz w:val="21"/>
          <w:szCs w:val="21"/>
          <w:highlight w:val="none"/>
        </w:rPr>
        <w:t>根据《云南省财政厅云南省工业和信息化厅关于落实政府采购促进中小企业发展政策意见的通知》（云财规〔2022〕13号）的规定</w:t>
      </w:r>
      <w:r>
        <w:rPr>
          <w:rFonts w:hint="eastAsia" w:ascii="宋体" w:hAnsi="宋体" w:cs="宋体"/>
          <w:color w:val="auto"/>
          <w:sz w:val="21"/>
          <w:szCs w:val="21"/>
          <w:highlight w:val="none"/>
          <w:lang w:eastAsia="zh-CN"/>
        </w:rPr>
        <w:t>，</w:t>
      </w:r>
      <w:r>
        <w:rPr>
          <w:rFonts w:ascii="Times New Roman" w:hAnsi="Times New Roman"/>
          <w:color w:val="000000"/>
          <w:szCs w:val="21"/>
        </w:rPr>
        <w:t>在政府采购活动中，供应商提供的货物、工程或者服务符合下列情形的，享受本办法规定的中小企业扶持政策：</w:t>
      </w:r>
    </w:p>
    <w:p w14:paraId="3391EB47">
      <w:pPr>
        <w:adjustRightInd w:val="0"/>
        <w:spacing w:line="360" w:lineRule="auto"/>
        <w:ind w:firstLine="420" w:firstLineChars="200"/>
        <w:rPr>
          <w:rFonts w:ascii="Times New Roman" w:hAnsi="Times New Roman"/>
          <w:color w:val="000000"/>
          <w:szCs w:val="21"/>
        </w:rPr>
      </w:pPr>
      <w:r>
        <w:rPr>
          <w:rFonts w:ascii="Times New Roman" w:hAnsi="Times New Roman"/>
          <w:color w:val="000000"/>
          <w:szCs w:val="21"/>
        </w:rPr>
        <w:t>在货物采购项目中，货物由中小企业制造，即货物由中小企业生产且使用该中小企业商号或者注册商标；</w:t>
      </w:r>
    </w:p>
    <w:p w14:paraId="41CCF694">
      <w:pPr>
        <w:adjustRightInd w:val="0"/>
        <w:spacing w:line="360" w:lineRule="auto"/>
        <w:ind w:firstLine="420" w:firstLineChars="200"/>
        <w:rPr>
          <w:rFonts w:ascii="Times New Roman" w:hAnsi="Times New Roman"/>
          <w:color w:val="000000"/>
          <w:szCs w:val="21"/>
        </w:rPr>
      </w:pPr>
      <w:r>
        <w:rPr>
          <w:rFonts w:ascii="Times New Roman" w:hAnsi="Times New Roman"/>
          <w:color w:val="000000"/>
          <w:szCs w:val="21"/>
        </w:rPr>
        <w:t>在工程采购项目中，工程由中小企业承建，即工程施工单位为中小企业；</w:t>
      </w:r>
    </w:p>
    <w:p w14:paraId="334C350B">
      <w:pPr>
        <w:adjustRightInd w:val="0"/>
        <w:spacing w:line="360" w:lineRule="auto"/>
        <w:ind w:firstLine="420" w:firstLineChars="200"/>
        <w:rPr>
          <w:rFonts w:ascii="Times New Roman" w:hAnsi="Times New Roman"/>
          <w:color w:val="000000"/>
          <w:szCs w:val="21"/>
        </w:rPr>
      </w:pPr>
      <w:r>
        <w:rPr>
          <w:rFonts w:ascii="Times New Roman" w:hAnsi="Times New Roman"/>
          <w:color w:val="000000"/>
          <w:szCs w:val="21"/>
        </w:rPr>
        <w:t>在服务采购项目中，服务由中小企业承接，即提供服务的人员为中小企业依照《中华人民共和国劳动合同法》订立劳动合同的从业人员。</w:t>
      </w:r>
    </w:p>
    <w:p w14:paraId="3F309720">
      <w:pPr>
        <w:adjustRightInd w:val="0"/>
        <w:spacing w:line="360" w:lineRule="auto"/>
        <w:ind w:firstLine="420" w:firstLineChars="200"/>
        <w:rPr>
          <w:rFonts w:ascii="Times New Roman" w:hAnsi="Times New Roman"/>
          <w:color w:val="000000"/>
          <w:szCs w:val="21"/>
        </w:rPr>
      </w:pPr>
      <w:r>
        <w:rPr>
          <w:rFonts w:ascii="Times New Roman" w:hAnsi="Times New Roman"/>
          <w:color w:val="000000"/>
          <w:szCs w:val="21"/>
        </w:rPr>
        <w:t>在货物采购项目中，供应商提供的货物既有中小企业制造货物，也有大型企业制造货物的，不享受本办法规定的中小企业扶持政策。</w:t>
      </w:r>
    </w:p>
    <w:p w14:paraId="38AE2180">
      <w:pPr>
        <w:adjustRightInd w:val="0"/>
        <w:spacing w:line="360" w:lineRule="auto"/>
        <w:ind w:firstLine="420" w:firstLineChars="200"/>
        <w:rPr>
          <w:rFonts w:ascii="Times New Roman" w:hAnsi="Times New Roman"/>
          <w:color w:val="000000"/>
          <w:szCs w:val="21"/>
        </w:rPr>
      </w:pPr>
      <w:r>
        <w:rPr>
          <w:rFonts w:ascii="Times New Roman" w:hAnsi="Times New Roman"/>
          <w:color w:val="000000"/>
          <w:szCs w:val="21"/>
        </w:rPr>
        <w:t>以联合体形式参加政府采购活动，联合体各方均为中小企业的，联合体视同中小企业。其中，联合体各方均为小微企业的，联合体视同小微企业。</w:t>
      </w:r>
    </w:p>
    <w:p w14:paraId="7ED8BA83">
      <w:pPr>
        <w:pStyle w:val="31"/>
        <w:spacing w:after="0" w:line="360" w:lineRule="auto"/>
        <w:ind w:left="0" w:leftChars="0" w:firstLine="480"/>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b/>
          <w:bCs/>
          <w:color w:val="auto"/>
          <w:sz w:val="21"/>
          <w:szCs w:val="21"/>
          <w:highlight w:val="none"/>
        </w:rPr>
        <w:t>关于监狱企业：</w:t>
      </w:r>
    </w:p>
    <w:p w14:paraId="39317FD9">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参照《财政部</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司法部关于政府采购支持监狱企业发展有关问题的通知》财库〔2014〕68号</w:t>
      </w:r>
      <w:r>
        <w:rPr>
          <w:rFonts w:hint="eastAsia" w:ascii="宋体" w:hAnsi="宋体" w:cs="宋体"/>
          <w:color w:val="auto"/>
          <w:sz w:val="21"/>
          <w:szCs w:val="21"/>
          <w:highlight w:val="none"/>
          <w:lang w:eastAsia="zh-CN"/>
        </w:rPr>
        <w:t>，</w:t>
      </w:r>
      <w:r>
        <w:rPr>
          <w:rFonts w:ascii="Times New Roman" w:hAnsi="Times New Roman"/>
          <w:color w:val="000000"/>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imes New Roman" w:hAnsi="Times New Roman"/>
          <w:color w:val="000000"/>
          <w:szCs w:val="21"/>
          <w:lang w:eastAsia="zh-CN"/>
        </w:rPr>
        <w:t>。</w:t>
      </w:r>
      <w:r>
        <w:rPr>
          <w:rFonts w:hint="eastAsia" w:ascii="宋体" w:hAnsi="宋体" w:eastAsia="宋体" w:cs="宋体"/>
          <w:color w:val="auto"/>
          <w:sz w:val="21"/>
          <w:szCs w:val="21"/>
          <w:highlight w:val="none"/>
        </w:rPr>
        <w:t>监狱企业参加政府采购活动时，应当提供由省级以上监狱管理局、戒毒管理局（含新疆生产建设兵团）出具的属于监狱企业的证明文件。在政府采购活动中，监狱企业视同小型、微型企业，享受预留份额、评审中价格扣除等政府采购促进中小企业发展的政府采购政策。</w:t>
      </w:r>
    </w:p>
    <w:p w14:paraId="625B2253">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3.</w:t>
      </w:r>
      <w:r>
        <w:rPr>
          <w:rFonts w:hint="eastAsia" w:ascii="宋体" w:hAnsi="宋体" w:eastAsia="宋体" w:cs="宋体"/>
          <w:b/>
          <w:bCs/>
          <w:color w:val="auto"/>
          <w:sz w:val="21"/>
          <w:szCs w:val="21"/>
          <w:highlight w:val="none"/>
        </w:rPr>
        <w:t>关于残疾人福利性单位：</w:t>
      </w:r>
    </w:p>
    <w:p w14:paraId="5A55724F">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3.1根据</w:t>
      </w:r>
      <w:r>
        <w:rPr>
          <w:rFonts w:hint="eastAsia" w:ascii="宋体" w:hAnsi="宋体" w:eastAsia="宋体" w:cs="宋体"/>
          <w:color w:val="auto"/>
          <w:sz w:val="21"/>
          <w:szCs w:val="21"/>
          <w:highlight w:val="none"/>
        </w:rPr>
        <w:t>《财政部 民政部 中国残疾人联合会关于促进残疾人就业政府采购政策的通知》（财库〔2017〕141号）</w:t>
      </w:r>
      <w:r>
        <w:rPr>
          <w:rFonts w:hint="eastAsia" w:ascii="宋体" w:hAnsi="宋体" w:cs="宋体"/>
          <w:color w:val="auto"/>
          <w:sz w:val="21"/>
          <w:szCs w:val="21"/>
          <w:highlight w:val="none"/>
          <w:lang w:eastAsia="zh-CN"/>
        </w:rPr>
        <w:t>，</w:t>
      </w:r>
      <w:r>
        <w:rPr>
          <w:rFonts w:ascii="Times New Roman" w:hAnsi="Times New Roman"/>
          <w:color w:val="000000"/>
          <w:szCs w:val="21"/>
        </w:rPr>
        <w:t>享受政府采购支持政策的残疾人福利性单位应当同时满足以下条件</w:t>
      </w:r>
      <w:r>
        <w:rPr>
          <w:rFonts w:hint="eastAsia" w:ascii="Times New Roman" w:hAnsi="Times New Roman"/>
          <w:color w:val="000000"/>
          <w:szCs w:val="21"/>
          <w:lang w:eastAsia="zh-CN"/>
        </w:rPr>
        <w:t>：</w:t>
      </w:r>
    </w:p>
    <w:p w14:paraId="722D1F96">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安置的残疾人占本单位在职职工人数的比例不低于25%（含25%），并且安置的残疾人人数不少于10人（含10人）；</w:t>
      </w:r>
    </w:p>
    <w:p w14:paraId="7CF56FB7">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依法与安置的每位残疾人签订了一年以上（含一年）的劳动合同或服务协议；</w:t>
      </w:r>
    </w:p>
    <w:p w14:paraId="58A78E7D">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为安置的每位残疾人按月足额缴纳了基本养老保险、基本医疗保险、失业保险、工伤保险和生育保险等社会保险费；</w:t>
      </w:r>
    </w:p>
    <w:p w14:paraId="47A54152">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通过银行等金融机构向安置的每位残疾人，按月支付了不低于单位所在区县适用的经省级人民政府批准的月最低工资标准的工资；</w:t>
      </w:r>
    </w:p>
    <w:p w14:paraId="47A32F5B">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提供本单位制造的货物、承担的工程或者服务（以下简称产品），或者提供其他残疾人福利性单位制造的货物（不包括使用非残疾人福利性单位注册商标的货物）。</w:t>
      </w:r>
    </w:p>
    <w:p w14:paraId="256B3439">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33BFF02">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3.2</w:t>
      </w:r>
      <w:r>
        <w:rPr>
          <w:rFonts w:hint="eastAsia" w:ascii="宋体" w:hAnsi="宋体" w:eastAsia="宋体" w:cs="宋体"/>
          <w:color w:val="auto"/>
          <w:sz w:val="21"/>
          <w:szCs w:val="21"/>
          <w:highlight w:val="none"/>
        </w:rPr>
        <w:t>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w:t>
      </w:r>
    </w:p>
    <w:p w14:paraId="344B70EA">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w:t>
      </w:r>
      <w:r>
        <w:rPr>
          <w:rFonts w:hint="eastAsia" w:ascii="宋体" w:hAnsi="宋体" w:cs="宋体"/>
          <w:color w:val="auto"/>
          <w:sz w:val="21"/>
          <w:szCs w:val="21"/>
          <w:highlight w:val="none"/>
          <w:lang w:val="en-US" w:eastAsia="zh-CN"/>
        </w:rPr>
        <w:t>成交供应商</w:t>
      </w:r>
      <w:r>
        <w:rPr>
          <w:rFonts w:hint="eastAsia" w:ascii="宋体" w:hAnsi="宋体" w:eastAsia="宋体" w:cs="宋体"/>
          <w:color w:val="auto"/>
          <w:sz w:val="21"/>
          <w:szCs w:val="21"/>
          <w:highlight w:val="none"/>
        </w:rPr>
        <w:t>为残疾人福利性单位的，采购人或者其委托的采购代理机构应当随中标、成交结果同时公告其《残疾人福利性单位声明函》，接受社会监督。</w:t>
      </w:r>
    </w:p>
    <w:p w14:paraId="38FA8EC7">
      <w:pPr>
        <w:pStyle w:val="31"/>
        <w:spacing w:after="0" w:line="360" w:lineRule="auto"/>
        <w:ind w:left="0" w:leftChars="0"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提供的《残疾人福利性单位声明函》与事实不符的，依照</w:t>
      </w:r>
      <w:r>
        <w:rPr>
          <w:rFonts w:hint="eastAsia" w:ascii="宋体" w:hAnsi="宋体" w:cs="宋体"/>
          <w:color w:val="auto"/>
          <w:sz w:val="21"/>
          <w:szCs w:val="21"/>
          <w:highlight w:val="none"/>
          <w:lang w:eastAsia="zh-CN"/>
        </w:rPr>
        <w:t>《中华人民共和国政府采购法》</w:t>
      </w:r>
      <w:r>
        <w:rPr>
          <w:rFonts w:hint="eastAsia" w:ascii="宋体" w:hAnsi="宋体" w:eastAsia="宋体" w:cs="宋体"/>
          <w:color w:val="auto"/>
          <w:sz w:val="21"/>
          <w:szCs w:val="21"/>
          <w:highlight w:val="none"/>
        </w:rPr>
        <w:t>第七十七条第一款的规定追究法律责任。</w:t>
      </w:r>
    </w:p>
    <w:p w14:paraId="02358446">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3.3</w:t>
      </w:r>
      <w:r>
        <w:rPr>
          <w:rFonts w:hint="eastAsia" w:ascii="宋体" w:hAnsi="宋体" w:eastAsia="宋体" w:cs="宋体"/>
          <w:color w:val="auto"/>
          <w:sz w:val="21"/>
          <w:szCs w:val="21"/>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23E360E">
      <w:pPr>
        <w:pStyle w:val="4"/>
        <w:spacing w:line="360" w:lineRule="auto"/>
        <w:ind w:firstLine="482"/>
        <w:rPr>
          <w:rFonts w:hint="eastAsia" w:ascii="宋体" w:hAnsi="宋体" w:eastAsia="宋体" w:cs="宋体"/>
          <w:color w:val="auto"/>
          <w:sz w:val="21"/>
          <w:szCs w:val="21"/>
          <w:highlight w:val="none"/>
        </w:rPr>
      </w:pPr>
      <w:bookmarkStart w:id="410" w:name="_Toc432194884"/>
      <w:bookmarkStart w:id="411" w:name="_Toc5173"/>
      <w:bookmarkStart w:id="412" w:name="_Toc31342"/>
      <w:bookmarkStart w:id="413" w:name="_Toc122026409"/>
      <w:bookmarkStart w:id="414" w:name="_Toc432106534"/>
      <w:r>
        <w:rPr>
          <w:rFonts w:hint="eastAsia" w:ascii="宋体" w:hAnsi="宋体" w:eastAsia="宋体" w:cs="宋体"/>
          <w:color w:val="auto"/>
          <w:sz w:val="21"/>
          <w:szCs w:val="21"/>
          <w:highlight w:val="none"/>
        </w:rPr>
        <w:t>六、评分</w:t>
      </w:r>
      <w:bookmarkEnd w:id="410"/>
      <w:bookmarkEnd w:id="411"/>
      <w:bookmarkEnd w:id="412"/>
      <w:bookmarkEnd w:id="413"/>
      <w:bookmarkEnd w:id="414"/>
    </w:p>
    <w:p w14:paraId="52EA56DD">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成员独立评分，</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各项评分因素得分为该项因素各评委评分的算术平均值（保留小数点后两位），小数点后第三位“四舍五入”。</w:t>
      </w:r>
    </w:p>
    <w:p w14:paraId="3865D2E6">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成员要依法独立评审，并对评审意见承担个人责任。</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成员对需要共同认定的事项存在争议的，按照少数服从多数的</w:t>
      </w:r>
      <w:r>
        <w:rPr>
          <w:rFonts w:hint="eastAsia" w:ascii="宋体" w:hAnsi="宋体" w:cs="宋体"/>
          <w:color w:val="auto"/>
          <w:sz w:val="21"/>
          <w:szCs w:val="21"/>
          <w:highlight w:val="none"/>
          <w:lang w:eastAsia="zh-CN"/>
        </w:rPr>
        <w:t>原则作出结论</w:t>
      </w:r>
      <w:r>
        <w:rPr>
          <w:rFonts w:hint="eastAsia" w:ascii="宋体" w:hAnsi="宋体" w:eastAsia="宋体" w:cs="宋体"/>
          <w:color w:val="auto"/>
          <w:sz w:val="21"/>
          <w:szCs w:val="21"/>
          <w:highlight w:val="none"/>
        </w:rPr>
        <w:t>。持不同意见的</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成员应当在评审报告上签署不同意见并说明理由，否则视为同意。</w:t>
      </w:r>
    </w:p>
    <w:p w14:paraId="5267F091">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eastAsia="宋体" w:cs="宋体"/>
          <w:color w:val="auto"/>
          <w:sz w:val="21"/>
          <w:szCs w:val="21"/>
          <w:highlight w:val="none"/>
        </w:rPr>
        <w:t>根据《政府采购竞争性磋商采购方式管理暂行办法（财库〔2014〕214号）》的规定，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采购人或者采购代理机构不得通过对样品进行检测、对供应商进行考察等方式改变评审结果。</w:t>
      </w:r>
    </w:p>
    <w:p w14:paraId="14678FC2">
      <w:pPr>
        <w:pStyle w:val="4"/>
        <w:spacing w:line="360" w:lineRule="auto"/>
        <w:ind w:firstLine="482"/>
        <w:rPr>
          <w:rFonts w:hint="eastAsia" w:ascii="宋体" w:hAnsi="宋体" w:eastAsia="宋体" w:cs="宋体"/>
          <w:color w:val="auto"/>
          <w:sz w:val="21"/>
          <w:szCs w:val="21"/>
          <w:highlight w:val="none"/>
        </w:rPr>
      </w:pPr>
      <w:bookmarkStart w:id="415" w:name="_Toc432106535"/>
      <w:bookmarkStart w:id="416" w:name="_Toc432194885"/>
      <w:bookmarkStart w:id="417" w:name="_Toc19797"/>
      <w:bookmarkStart w:id="418" w:name="_Toc10243"/>
      <w:bookmarkStart w:id="419" w:name="_Toc321836413"/>
      <w:bookmarkStart w:id="420" w:name="_Toc122026410"/>
      <w:r>
        <w:rPr>
          <w:rFonts w:hint="eastAsia" w:ascii="宋体" w:hAnsi="宋体" w:eastAsia="宋体" w:cs="宋体"/>
          <w:color w:val="auto"/>
          <w:sz w:val="21"/>
          <w:szCs w:val="21"/>
          <w:highlight w:val="none"/>
        </w:rPr>
        <w:t>七、</w:t>
      </w:r>
      <w:r>
        <w:rPr>
          <w:rFonts w:hint="eastAsia" w:ascii="宋体" w:hAnsi="宋体" w:cs="宋体"/>
          <w:color w:val="auto"/>
          <w:sz w:val="21"/>
          <w:szCs w:val="21"/>
          <w:highlight w:val="none"/>
          <w:lang w:eastAsia="zh-CN"/>
        </w:rPr>
        <w:t>评审</w:t>
      </w:r>
      <w:r>
        <w:rPr>
          <w:rFonts w:hint="eastAsia" w:ascii="宋体" w:hAnsi="宋体" w:eastAsia="宋体" w:cs="宋体"/>
          <w:color w:val="auto"/>
          <w:sz w:val="21"/>
          <w:szCs w:val="21"/>
          <w:highlight w:val="none"/>
        </w:rPr>
        <w:t>结果</w:t>
      </w:r>
      <w:bookmarkEnd w:id="415"/>
      <w:bookmarkEnd w:id="416"/>
      <w:bookmarkEnd w:id="417"/>
      <w:bookmarkEnd w:id="418"/>
      <w:bookmarkEnd w:id="419"/>
      <w:bookmarkEnd w:id="420"/>
    </w:p>
    <w:p w14:paraId="64539F40">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按最终得分由高到低顺序推荐成交候选供应商；评审得分相同的，按照最后报价由低到高的顺序推荐。评审得分且最后报价相同的，按照技术指标优劣顺序推荐。</w:t>
      </w:r>
    </w:p>
    <w:p w14:paraId="10829198">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提出书面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99B6335">
      <w:pPr>
        <w:pStyle w:val="31"/>
        <w:spacing w:after="0" w:line="360" w:lineRule="auto"/>
        <w:ind w:left="0" w:leftChars="0"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F70B7C0">
      <w:pPr>
        <w:pStyle w:val="31"/>
        <w:spacing w:after="0" w:line="36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成交供应商拒绝签订政府采购合同的，采购人可以从评审报告提出的成交候选供应商中，按照排序由高到低的原则确定成交供应商的原则确定其他供应商作为成交供应商并签订政府采购合同，也可以重新开展采购活动。拒绝签订政府采购合同的成交供应商不得参加对该项目重新开展的采购活动。</w:t>
      </w:r>
    </w:p>
    <w:p w14:paraId="1DDC88E3">
      <w:pPr>
        <w:pStyle w:val="31"/>
        <w:numPr>
          <w:ilvl w:val="0"/>
          <w:numId w:val="0"/>
        </w:numPr>
        <w:spacing w:after="0"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存在歧义、重大缺陷导致评审工作无法进行，或者</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内容违反国家有关规定的，要停止评审工作并向采购人或采购代理机构书面说明情况，采购人或采购代理机构应当修改</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后重新组织采购活动；发现</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提供虚假材料、串通等违法违规行为的，要及时向采购人或采购代理机构报告。</w:t>
      </w:r>
    </w:p>
    <w:p w14:paraId="5CF8F116">
      <w:pPr>
        <w:pStyle w:val="31"/>
        <w:numPr>
          <w:ilvl w:val="0"/>
          <w:numId w:val="0"/>
        </w:numPr>
        <w:spacing w:after="0" w:line="360" w:lineRule="auto"/>
        <w:ind w:left="0" w:leftChars="0" w:firstLine="420" w:firstLineChars="200"/>
        <w:rPr>
          <w:rFonts w:hint="eastAsia" w:ascii="宋体" w:hAnsi="宋体" w:eastAsia="宋体" w:cs="宋体"/>
          <w:color w:val="auto"/>
          <w:sz w:val="21"/>
          <w:szCs w:val="21"/>
          <w:highlight w:val="none"/>
        </w:rPr>
      </w:pPr>
    </w:p>
    <w:p w14:paraId="0CF5CFA9">
      <w:pPr>
        <w:numPr>
          <w:ilvl w:val="0"/>
          <w:numId w:val="0"/>
        </w:numPr>
        <w:rPr>
          <w:rFonts w:hint="eastAsia"/>
          <w:color w:val="auto"/>
          <w:highlight w:val="none"/>
        </w:rPr>
      </w:pPr>
    </w:p>
    <w:p w14:paraId="0D481ACA">
      <w:pPr>
        <w:rPr>
          <w:color w:val="auto"/>
          <w:highlight w:val="none"/>
        </w:rPr>
      </w:pPr>
      <w:bookmarkStart w:id="421" w:name="_Toc24841"/>
      <w:r>
        <w:rPr>
          <w:rFonts w:hint="eastAsia"/>
          <w:color w:val="auto"/>
          <w:highlight w:val="none"/>
        </w:rPr>
        <w:br w:type="page"/>
      </w:r>
    </w:p>
    <w:p w14:paraId="22D77C5A">
      <w:pPr>
        <w:pStyle w:val="2"/>
        <w:bidi w:val="0"/>
        <w:jc w:val="center"/>
        <w:rPr>
          <w:rFonts w:hint="eastAsia" w:ascii="黑体" w:hAnsi="黑体" w:eastAsia="黑体" w:cs="黑体"/>
          <w:color w:val="auto"/>
          <w:sz w:val="36"/>
          <w:szCs w:val="36"/>
          <w:highlight w:val="none"/>
        </w:rPr>
      </w:pPr>
      <w:bookmarkStart w:id="422" w:name="_Toc16828"/>
      <w:bookmarkStart w:id="423" w:name="_Toc12065"/>
      <w:bookmarkStart w:id="424" w:name="_Toc11948"/>
      <w:bookmarkStart w:id="425" w:name="_Toc2252"/>
      <w:bookmarkStart w:id="426" w:name="_Toc2310"/>
      <w:bookmarkStart w:id="427" w:name="_Toc4023"/>
      <w:r>
        <w:rPr>
          <w:rFonts w:hint="eastAsia" w:ascii="黑体" w:hAnsi="黑体" w:eastAsia="黑体" w:cs="黑体"/>
          <w:color w:val="auto"/>
          <w:sz w:val="36"/>
          <w:szCs w:val="36"/>
          <w:highlight w:val="none"/>
        </w:rPr>
        <w:t>第五章 合同主要条款</w:t>
      </w:r>
      <w:bookmarkEnd w:id="422"/>
      <w:bookmarkEnd w:id="423"/>
      <w:bookmarkEnd w:id="424"/>
      <w:bookmarkEnd w:id="425"/>
      <w:bookmarkEnd w:id="426"/>
      <w:bookmarkEnd w:id="427"/>
      <w:bookmarkStart w:id="428" w:name="_Toc14075_WPSOffice_Level2"/>
      <w:bookmarkStart w:id="429" w:name="_Toc1552"/>
    </w:p>
    <w:p w14:paraId="53800895">
      <w:pPr>
        <w:pStyle w:val="38"/>
        <w:ind w:left="0" w:leftChars="0" w:firstLine="0" w:firstLineChars="0"/>
        <w:jc w:val="center"/>
        <w:rPr>
          <w:rFonts w:hAnsi="宋体"/>
          <w:b/>
          <w:bCs/>
          <w:color w:val="auto"/>
          <w:sz w:val="24"/>
          <w:highlight w:val="none"/>
        </w:rPr>
      </w:pPr>
      <w:r>
        <w:rPr>
          <w:rFonts w:hint="eastAsia" w:cs="宋体" w:asciiTheme="minorEastAsia" w:hAnsiTheme="minorEastAsia" w:eastAsiaTheme="minorEastAsia"/>
          <w:bCs/>
          <w:color w:val="auto"/>
          <w:sz w:val="21"/>
          <w:szCs w:val="21"/>
          <w:highlight w:val="none"/>
        </w:rPr>
        <w:t>（内容仅供参考，具体以双方签订合同为准）</w:t>
      </w:r>
      <w:bookmarkEnd w:id="421"/>
      <w:bookmarkEnd w:id="428"/>
      <w:bookmarkEnd w:id="429"/>
      <w:bookmarkStart w:id="430" w:name="_Toc36021205"/>
    </w:p>
    <w:p w14:paraId="4DFF716D">
      <w:pPr>
        <w:jc w:val="center"/>
        <w:rPr>
          <w:rFonts w:hint="eastAsia" w:ascii="宋体" w:hAnsi="宋体" w:cs="宋体"/>
          <w:b/>
          <w:bCs/>
          <w:color w:val="auto"/>
          <w:sz w:val="60"/>
          <w:szCs w:val="60"/>
          <w:highlight w:val="none"/>
          <w:lang w:val="en-US" w:eastAsia="zh-CN"/>
        </w:rPr>
      </w:pPr>
    </w:p>
    <w:p w14:paraId="560AABD9">
      <w:pPr>
        <w:jc w:val="center"/>
        <w:rPr>
          <w:rFonts w:hint="eastAsia" w:ascii="宋体" w:hAnsi="宋体" w:cs="宋体"/>
          <w:b/>
          <w:bCs/>
          <w:color w:val="auto"/>
          <w:sz w:val="60"/>
          <w:szCs w:val="60"/>
          <w:highlight w:val="none"/>
          <w:lang w:val="en-US" w:eastAsia="zh-CN"/>
        </w:rPr>
      </w:pPr>
    </w:p>
    <w:p w14:paraId="2C12E16F">
      <w:pPr>
        <w:jc w:val="center"/>
        <w:rPr>
          <w:rFonts w:hint="eastAsia" w:ascii="宋体" w:hAnsi="宋体" w:cs="宋体"/>
          <w:b/>
          <w:bCs/>
          <w:color w:val="auto"/>
          <w:sz w:val="60"/>
          <w:szCs w:val="60"/>
          <w:highlight w:val="none"/>
          <w:lang w:val="en-US" w:eastAsia="zh-CN"/>
        </w:rPr>
      </w:pPr>
      <w:r>
        <w:rPr>
          <w:rFonts w:hint="eastAsia" w:ascii="宋体" w:hAnsi="宋体" w:cs="宋体"/>
          <w:b/>
          <w:bCs/>
          <w:color w:val="auto"/>
          <w:sz w:val="60"/>
          <w:szCs w:val="60"/>
          <w:highlight w:val="none"/>
          <w:lang w:val="en-US" w:eastAsia="zh-CN"/>
        </w:rPr>
        <w:t>政府采购合同</w:t>
      </w:r>
    </w:p>
    <w:p w14:paraId="373EA64E">
      <w:pPr>
        <w:jc w:val="center"/>
        <w:rPr>
          <w:rFonts w:hint="eastAsia" w:ascii="宋体" w:hAnsi="宋体" w:cs="宋体"/>
          <w:color w:val="auto"/>
          <w:sz w:val="24"/>
          <w:szCs w:val="24"/>
          <w:highlight w:val="none"/>
          <w:lang w:val="en-US" w:eastAsia="zh-CN"/>
        </w:rPr>
      </w:pPr>
    </w:p>
    <w:p w14:paraId="2B7BAFC2">
      <w:pPr>
        <w:jc w:val="cente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（电子交易项目适用）</w:t>
      </w:r>
    </w:p>
    <w:p w14:paraId="2877DAB3">
      <w:pPr>
        <w:rPr>
          <w:rFonts w:hint="eastAsia" w:ascii="黑体" w:hAnsi="黑体" w:eastAsia="黑体" w:cs="黑体"/>
          <w:color w:val="auto"/>
          <w:sz w:val="28"/>
          <w:szCs w:val="28"/>
          <w:highlight w:val="none"/>
          <w:lang w:val="en-US" w:eastAsia="zh-CN"/>
        </w:rPr>
      </w:pPr>
    </w:p>
    <w:p w14:paraId="105C9965">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0CD62402">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004CD805">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569F47B4">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2CACD67A">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284258F0">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项目名称：</w:t>
      </w:r>
      <w:r>
        <w:rPr>
          <w:rFonts w:hint="eastAsia" w:ascii="黑体" w:hAnsi="黑体" w:eastAsia="黑体" w:cs="黑体"/>
          <w:color w:val="auto"/>
          <w:sz w:val="28"/>
          <w:szCs w:val="28"/>
          <w:highlight w:val="none"/>
          <w:u w:val="single"/>
          <w:lang w:val="en-US" w:eastAsia="zh-CN"/>
        </w:rPr>
        <w:t xml:space="preserve">                     </w:t>
      </w:r>
    </w:p>
    <w:p w14:paraId="0FFC64DB">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71A47596">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合同编号：</w:t>
      </w:r>
      <w:r>
        <w:rPr>
          <w:rFonts w:hint="eastAsia" w:ascii="黑体" w:hAnsi="黑体" w:eastAsia="黑体" w:cs="黑体"/>
          <w:color w:val="auto"/>
          <w:sz w:val="28"/>
          <w:szCs w:val="28"/>
          <w:highlight w:val="none"/>
          <w:u w:val="single"/>
          <w:lang w:val="en-US" w:eastAsia="zh-CN"/>
        </w:rPr>
        <w:t xml:space="preserve">                     </w:t>
      </w:r>
    </w:p>
    <w:p w14:paraId="042A8C68">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39234D0E">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甲    方：</w:t>
      </w:r>
      <w:r>
        <w:rPr>
          <w:rFonts w:hint="eastAsia" w:ascii="黑体" w:hAnsi="黑体" w:eastAsia="黑体" w:cs="黑体"/>
          <w:color w:val="auto"/>
          <w:sz w:val="28"/>
          <w:szCs w:val="28"/>
          <w:highlight w:val="none"/>
          <w:u w:val="single"/>
          <w:lang w:val="en-US" w:eastAsia="zh-CN"/>
        </w:rPr>
        <w:t xml:space="preserve">                     </w:t>
      </w:r>
    </w:p>
    <w:p w14:paraId="5F7CC35F">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黑体" w:hAnsi="黑体" w:eastAsia="黑体" w:cs="黑体"/>
          <w:color w:val="auto"/>
          <w:sz w:val="28"/>
          <w:szCs w:val="28"/>
          <w:highlight w:val="none"/>
          <w:lang w:val="en-US" w:eastAsia="zh-CN"/>
        </w:rPr>
      </w:pPr>
    </w:p>
    <w:p w14:paraId="492D6AA0">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Ansi="宋体"/>
          <w:b/>
          <w:bCs/>
          <w:color w:val="auto"/>
          <w:sz w:val="24"/>
          <w:highlight w:val="none"/>
        </w:rPr>
      </w:pPr>
      <w:r>
        <w:rPr>
          <w:rFonts w:hint="eastAsia" w:ascii="黑体" w:hAnsi="黑体" w:eastAsia="黑体" w:cs="黑体"/>
          <w:color w:val="auto"/>
          <w:sz w:val="28"/>
          <w:szCs w:val="28"/>
          <w:highlight w:val="none"/>
          <w:lang w:val="en-US" w:eastAsia="zh-CN"/>
        </w:rPr>
        <w:t>乙    方：</w:t>
      </w:r>
      <w:r>
        <w:rPr>
          <w:rFonts w:hint="eastAsia" w:ascii="黑体" w:hAnsi="黑体" w:eastAsia="黑体" w:cs="黑体"/>
          <w:color w:val="auto"/>
          <w:sz w:val="28"/>
          <w:szCs w:val="28"/>
          <w:highlight w:val="none"/>
          <w:u w:val="single"/>
          <w:lang w:val="en-US" w:eastAsia="zh-CN"/>
        </w:rPr>
        <w:t xml:space="preserve">                     </w:t>
      </w:r>
      <w:r>
        <w:rPr>
          <w:rFonts w:hint="eastAsia" w:ascii="宋体" w:hAnsi="宋体" w:cs="宋体"/>
          <w:color w:val="auto"/>
          <w:szCs w:val="21"/>
          <w:highlight w:val="none"/>
        </w:rPr>
        <w:br w:type="page"/>
      </w:r>
    </w:p>
    <w:p w14:paraId="21379E9F">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甲方（采购人）名称（公章）：</w:t>
      </w:r>
    </w:p>
    <w:p w14:paraId="575F2492">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法定代表人或其委托代理人：</w:t>
      </w:r>
    </w:p>
    <w:p w14:paraId="556E2C88">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联系人：</w:t>
      </w:r>
    </w:p>
    <w:p w14:paraId="43238941">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p>
    <w:p w14:paraId="41370620">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地 址：</w:t>
      </w:r>
    </w:p>
    <w:p w14:paraId="467AEB67">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邮 编：</w:t>
      </w:r>
    </w:p>
    <w:p w14:paraId="3F346A66">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邮箱：</w:t>
      </w:r>
    </w:p>
    <w:p w14:paraId="2E60F333">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统一社会信用代码：</w:t>
      </w:r>
    </w:p>
    <w:p w14:paraId="5803F144">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签订日期：</w:t>
      </w:r>
    </w:p>
    <w:p w14:paraId="1A0EBBC8">
      <w:pPr>
        <w:pStyle w:val="18"/>
        <w:rPr>
          <w:rFonts w:hAnsi="宋体" w:cs="宋体"/>
          <w:color w:val="auto"/>
          <w:sz w:val="21"/>
          <w:szCs w:val="21"/>
          <w:highlight w:val="none"/>
        </w:rPr>
      </w:pPr>
    </w:p>
    <w:p w14:paraId="27042DC5">
      <w:pPr>
        <w:spacing w:line="360" w:lineRule="auto"/>
        <w:rPr>
          <w:rFonts w:ascii="宋体" w:hAnsi="宋体" w:cs="宋体"/>
          <w:color w:val="auto"/>
          <w:sz w:val="21"/>
          <w:szCs w:val="21"/>
          <w:highlight w:val="none"/>
        </w:rPr>
      </w:pPr>
    </w:p>
    <w:p w14:paraId="0ED28EB0">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乙方（供应商）名称（公章）：</w:t>
      </w:r>
    </w:p>
    <w:p w14:paraId="72283D5E">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法定代表人或其委托代理人：</w:t>
      </w:r>
    </w:p>
    <w:p w14:paraId="00C0CD0F">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联系人：</w:t>
      </w:r>
    </w:p>
    <w:p w14:paraId="646739A0">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p>
    <w:p w14:paraId="619BEE44">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地 址：</w:t>
      </w:r>
    </w:p>
    <w:p w14:paraId="222EEB2E">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邮 编：</w:t>
      </w:r>
    </w:p>
    <w:p w14:paraId="576C7CEC">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邮箱：</w:t>
      </w:r>
    </w:p>
    <w:p w14:paraId="61F45037">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统一社会信用代码：</w:t>
      </w:r>
    </w:p>
    <w:p w14:paraId="1CDDAB0F">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开户名称：</w:t>
      </w:r>
    </w:p>
    <w:p w14:paraId="278618FD">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开户银行：</w:t>
      </w:r>
    </w:p>
    <w:p w14:paraId="158EB328">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银行账号：</w:t>
      </w:r>
    </w:p>
    <w:p w14:paraId="7B47860A">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签订日期：</w:t>
      </w:r>
    </w:p>
    <w:p w14:paraId="4A9C2287">
      <w:pPr>
        <w:pStyle w:val="31"/>
        <w:spacing w:line="360" w:lineRule="auto"/>
        <w:ind w:left="0" w:leftChars="0" w:firstLine="0" w:firstLineChars="0"/>
        <w:rPr>
          <w:rFonts w:ascii="宋体" w:hAnsi="宋体" w:cs="宋体"/>
          <w:color w:val="auto"/>
          <w:sz w:val="21"/>
          <w:szCs w:val="21"/>
          <w:highlight w:val="none"/>
        </w:rPr>
      </w:pPr>
    </w:p>
    <w:p w14:paraId="5B5EFDF7">
      <w:pPr>
        <w:pStyle w:val="3"/>
        <w:keepNext w:val="0"/>
        <w:keepLines w:val="0"/>
        <w:spacing w:line="360" w:lineRule="auto"/>
        <w:jc w:val="center"/>
        <w:rPr>
          <w:color w:val="auto"/>
          <w:highlight w:val="none"/>
        </w:rPr>
      </w:pPr>
      <w:r>
        <w:rPr>
          <w:rFonts w:hint="eastAsia" w:ascii="宋体" w:hAnsi="宋体" w:cs="宋体"/>
          <w:bCs/>
          <w:color w:val="auto"/>
          <w:sz w:val="24"/>
          <w:szCs w:val="24"/>
          <w:highlight w:val="none"/>
        </w:rPr>
        <w:br w:type="page"/>
      </w:r>
      <w:bookmarkEnd w:id="430"/>
      <w:bookmarkStart w:id="431" w:name="_Toc16833"/>
      <w:bookmarkStart w:id="432" w:name="_Toc21251"/>
      <w:bookmarkStart w:id="433" w:name="_Toc13101"/>
      <w:bookmarkStart w:id="434" w:name="_Toc4625"/>
      <w:bookmarkStart w:id="435" w:name="_Toc15060"/>
      <w:r>
        <w:rPr>
          <w:rFonts w:hint="eastAsia" w:ascii="宋体" w:hAnsi="宋体" w:eastAsia="宋体" w:cs="宋体"/>
          <w:color w:val="auto"/>
          <w:szCs w:val="28"/>
          <w:highlight w:val="none"/>
          <w:lang w:eastAsia="zh-CN"/>
        </w:rPr>
        <w:t>第一节 通用合同条款</w:t>
      </w:r>
      <w:bookmarkEnd w:id="431"/>
      <w:bookmarkEnd w:id="432"/>
      <w:bookmarkEnd w:id="433"/>
      <w:bookmarkEnd w:id="434"/>
      <w:bookmarkEnd w:id="435"/>
    </w:p>
    <w:p w14:paraId="773F10ED">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436" w:name="_Toc152042389"/>
      <w:bookmarkStart w:id="437" w:name="_Toc179632629"/>
      <w:bookmarkStart w:id="438" w:name="_Toc144974579"/>
      <w:bookmarkStart w:id="439" w:name="_Toc152045611"/>
      <w:r>
        <w:rPr>
          <w:rFonts w:hint="eastAsia" w:ascii="宋体" w:hAnsi="宋体" w:eastAsia="宋体" w:cs="宋体"/>
          <w:color w:val="auto"/>
          <w:sz w:val="21"/>
          <w:szCs w:val="21"/>
          <w:highlight w:val="none"/>
          <w:lang w:val="zh-CN" w:eastAsia="zh-CN"/>
        </w:rPr>
        <w:t>1. 一般约定</w:t>
      </w:r>
      <w:bookmarkEnd w:id="436"/>
      <w:bookmarkEnd w:id="437"/>
      <w:bookmarkEnd w:id="438"/>
      <w:bookmarkEnd w:id="439"/>
    </w:p>
    <w:p w14:paraId="0F55E3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40" w:name="_Toc144974580"/>
      <w:bookmarkStart w:id="441" w:name="_Toc152045612"/>
      <w:bookmarkStart w:id="442" w:name="_Toc179632630"/>
      <w:bookmarkStart w:id="443" w:name="_Toc152042390"/>
      <w:r>
        <w:rPr>
          <w:rFonts w:hint="eastAsia" w:ascii="宋体" w:hAnsi="宋体" w:eastAsia="宋体" w:cs="宋体"/>
          <w:b/>
          <w:bCs/>
          <w:color w:val="auto"/>
          <w:highlight w:val="none"/>
        </w:rPr>
        <w:t>1.1 词语定义</w:t>
      </w:r>
      <w:bookmarkEnd w:id="440"/>
      <w:bookmarkEnd w:id="441"/>
      <w:bookmarkEnd w:id="442"/>
      <w:bookmarkEnd w:id="443"/>
    </w:p>
    <w:p w14:paraId="16C525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通用合同条款、专用合同条款中的下列词语应具有本款所赋予的含义。</w:t>
      </w:r>
    </w:p>
    <w:p w14:paraId="2D40660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1.1.1 合同</w:t>
      </w:r>
    </w:p>
    <w:p w14:paraId="58EA06C3">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1.1.1.1 合同文件（或称合同）：指合同协议书、中标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通知书、投标函及投标函附录、专用合同条款、通用合同条款、技术标准和要求、图纸、已标价工程量清单，以及其他合同文件。</w:t>
      </w:r>
    </w:p>
    <w:p w14:paraId="03E6C856">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1.1.1.2 合同协议书：指第1.5款所指的合同协议书。</w:t>
      </w:r>
    </w:p>
    <w:p w14:paraId="4DE5EE15">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1.1.1.3 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通知书：指发包人通知承包人中标的函件。</w:t>
      </w:r>
    </w:p>
    <w:p w14:paraId="502CC8D8">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dstrike/>
          <w:color w:val="auto"/>
          <w:szCs w:val="21"/>
          <w:highlight w:val="none"/>
        </w:rPr>
      </w:pPr>
      <w:r>
        <w:rPr>
          <w:rFonts w:hint="eastAsia" w:ascii="宋体" w:hAnsi="宋体" w:eastAsia="宋体" w:cs="宋体"/>
          <w:color w:val="auto"/>
          <w:highlight w:val="none"/>
        </w:rPr>
        <w:t>1.1.1.4 投标函：指构成合同文件组成部分的由承包人填写并签署的投标函。</w:t>
      </w:r>
    </w:p>
    <w:p w14:paraId="72B273E4">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1.1.1.5 投标函附录：指附在投标函后构成合同文件的投标函附录。</w:t>
      </w:r>
    </w:p>
    <w:p w14:paraId="459E9D62">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1.1.1.6技术标准和要求：指构成合同文件组成部分的名为技术标准和要求（合同技术条款）的文件，包括合同双方当事人约定对其所作的修改或补充。</w:t>
      </w:r>
    </w:p>
    <w:p w14:paraId="7778EA25">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1.1.1.7图纸：指列入合同的招标图纸、投标图纸和发包人按合同约定向承包人提供的施工图纸和</w:t>
      </w:r>
      <w:r>
        <w:rPr>
          <w:rFonts w:hint="eastAsia" w:ascii="宋体" w:hAnsi="宋体" w:cs="宋体"/>
          <w:color w:val="auto"/>
          <w:highlight w:val="none"/>
          <w:lang w:eastAsia="zh-CN"/>
        </w:rPr>
        <w:t>其他</w:t>
      </w:r>
      <w:r>
        <w:rPr>
          <w:rFonts w:hint="eastAsia" w:ascii="宋体" w:hAnsi="宋体" w:eastAsia="宋体" w:cs="宋体"/>
          <w:color w:val="auto"/>
          <w:highlight w:val="none"/>
        </w:rPr>
        <w:t>图纸（包括配套说明和有关资料）。列入合同的招标图纸已成为合同文件的一部分，具有合同效力，</w:t>
      </w:r>
      <w:r>
        <w:rPr>
          <w:rFonts w:hint="eastAsia" w:ascii="宋体" w:hAnsi="宋体" w:cs="宋体"/>
          <w:color w:val="auto"/>
          <w:highlight w:val="none"/>
          <w:lang w:eastAsia="zh-CN"/>
        </w:rPr>
        <w:t>主要</w:t>
      </w:r>
      <w:r>
        <w:rPr>
          <w:rFonts w:hint="eastAsia" w:ascii="宋体" w:hAnsi="宋体" w:eastAsia="宋体" w:cs="宋体"/>
          <w:color w:val="auto"/>
          <w:highlight w:val="none"/>
        </w:rPr>
        <w:t>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2ABE03B9">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1.1.1.8 已标价工程量清单：指构成合同文件组成部分的由承包人按照规定的格式和要求填写并标明价格的工程量清单。</w:t>
      </w:r>
    </w:p>
    <w:p w14:paraId="40C6CE71">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1.1.1.9 其他合同文件：指经合同双方当事人确认构成合同文件的其他文件。</w:t>
      </w:r>
    </w:p>
    <w:p w14:paraId="30FFEC8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 合同当事人和人员</w:t>
      </w:r>
    </w:p>
    <w:p w14:paraId="5F9B13F9">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1.1.2.1 合同当事人</w:t>
      </w:r>
      <w:r>
        <w:rPr>
          <w:rFonts w:hint="eastAsia" w:ascii="宋体" w:hAnsi="宋体" w:cs="宋体"/>
          <w:color w:val="auto"/>
          <w:highlight w:val="none"/>
          <w:lang w:eastAsia="zh-CN"/>
        </w:rPr>
        <w:t>：</w:t>
      </w:r>
      <w:r>
        <w:rPr>
          <w:rFonts w:hint="eastAsia" w:ascii="宋体" w:hAnsi="宋体" w:eastAsia="宋体" w:cs="宋体"/>
          <w:color w:val="auto"/>
          <w:highlight w:val="none"/>
        </w:rPr>
        <w:t>指发包人和（或）承包人。</w:t>
      </w:r>
    </w:p>
    <w:p w14:paraId="3774F170">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1.1.2.2 发包人：指专用合同条款中指明并与承包人在合同协议书中签字的当事人。</w:t>
      </w:r>
    </w:p>
    <w:p w14:paraId="274FB4FE">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承包人：指专用合同条款中指明并与发包人在合同协议中签字的当事人。</w:t>
      </w:r>
    </w:p>
    <w:p w14:paraId="28790651">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1.1.2.4 承包人项目经理：指承包人派驻施工场地的全权负责人。</w:t>
      </w:r>
    </w:p>
    <w:p w14:paraId="14C9749D">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分包人：指专用合同条款中指明的，从承包人处分包合同中某一部分工程，并与其签订分包合同的分包人。</w:t>
      </w:r>
    </w:p>
    <w:p w14:paraId="516FB679">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1.1.2.6 监理人：指在专用合同条款中指明的，受发包人委托对合同履行实施管理的法人或其他组织。</w:t>
      </w:r>
    </w:p>
    <w:p w14:paraId="08CF8812">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1.1.2.7 总监理工程师（总监）：指由监理人委派常驻施工场地对合同履行实施管理的全权负责人。</w:t>
      </w:r>
    </w:p>
    <w:p w14:paraId="189F066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1.1.3 工程和设备</w:t>
      </w:r>
    </w:p>
    <w:p w14:paraId="593620CF">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1.1.3.1 工程：指永久工程和（或）临时工程。</w:t>
      </w:r>
    </w:p>
    <w:p w14:paraId="2F0C1262">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1.1.3.2 永久工程：指按合同约定建造并移交给发包人的工程，包括工程设备。</w:t>
      </w:r>
    </w:p>
    <w:p w14:paraId="757A6613">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1.1.3.3 临时工程：指为完成合同约定的永久工程所修建的各类临时性工程，不包括施工设备。</w:t>
      </w:r>
    </w:p>
    <w:p w14:paraId="781A3552">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1.1.3.4 单位工程：指专用合同条款中指明特定范围的永久工程。</w:t>
      </w:r>
    </w:p>
    <w:p w14:paraId="42FB9D70">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1.1.3.5 工程设备：指构成或计划构成永久工程一部分的机电设备、金属结构设备、仪器装置及其他类似的设备和装置。</w:t>
      </w:r>
    </w:p>
    <w:p w14:paraId="321845E1">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1.1.3.6 施工设备：指为完成合同约定的各项工作所需的设备、器具和其他物品，不包括临时工程和材料。</w:t>
      </w:r>
    </w:p>
    <w:p w14:paraId="499158CA">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1.1.3.7 临时设施：指为完成合同约定的各项工作所服务的临时性生产和生活设施。</w:t>
      </w:r>
    </w:p>
    <w:p w14:paraId="3ED82223">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1.1.3.8 承包人设备：指承包人自带的施工设备。</w:t>
      </w:r>
    </w:p>
    <w:p w14:paraId="228B3B02">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1.1.3.9 施工场地（或称工地、现场）：指用于合同工程施工的场所，以及在合同中指定作为施工场地组成部分的其他场所，包括永久占地和临时占地。</w:t>
      </w:r>
    </w:p>
    <w:p w14:paraId="2B5ABCCD">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1.1.3.10</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永久占地：指发包人为建设本合同工程永久征用的场地。</w:t>
      </w:r>
    </w:p>
    <w:p w14:paraId="428EA0A8">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1.1.3.11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临时占地：指发包人为建设本合同工程临时征用，承包人在完工后必须按合同要求退还的场地。</w:t>
      </w:r>
    </w:p>
    <w:p w14:paraId="44A9A4A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1.1.4 日期</w:t>
      </w:r>
    </w:p>
    <w:p w14:paraId="6965FC9F">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1.1.4.1 开工通知：指监理人按第11.1款通知承包人开工的函件。</w:t>
      </w:r>
    </w:p>
    <w:p w14:paraId="0C58BD25">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1.1.4.2 开工日期：指监理人按第11.1款发出的开工通知中写明的开工日期。</w:t>
      </w:r>
    </w:p>
    <w:p w14:paraId="1F97ACB8">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工期：指承包人在投标函中承诺的完成合同工程所需的期限，包括按第11.3款、第11.4款和第11.6款约定所作的变更。</w:t>
      </w:r>
    </w:p>
    <w:p w14:paraId="0DE09DB5">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竣工日期：即合同工程完工日期，指第1.1.4.3目约定工期届满时的日期。实际完工日期以合同工程完工证书中写明的日期为准。</w:t>
      </w:r>
    </w:p>
    <w:p w14:paraId="37482E58">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缺陷责任期：即工程质量保修期，指履行第19.2款约定的缺陷责任的期限，包括第19.3款约定所作的延长，具体期限由专用合同条款约定。</w:t>
      </w:r>
    </w:p>
    <w:p w14:paraId="5EB3342D">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1.1.4.6 基准日期：指</w:t>
      </w:r>
      <w:r>
        <w:rPr>
          <w:rFonts w:hint="eastAsia" w:ascii="宋体" w:hAnsi="宋体" w:cs="宋体"/>
          <w:color w:val="auto"/>
          <w:highlight w:val="none"/>
          <w:lang w:eastAsia="zh-CN"/>
        </w:rPr>
        <w:t>响应文件递交截止时间</w:t>
      </w:r>
      <w:r>
        <w:rPr>
          <w:rFonts w:hint="eastAsia" w:ascii="宋体" w:hAnsi="宋体" w:eastAsia="宋体" w:cs="宋体"/>
          <w:color w:val="auto"/>
          <w:highlight w:val="none"/>
        </w:rPr>
        <w:t>前28天的日期。</w:t>
      </w:r>
    </w:p>
    <w:p w14:paraId="6CD8B80A">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1.1.4.7 天：除特别指明外，指日历天。合同中按天计算时间的，开始当天不计入，从次日开始计算。期限最后一天的截止时间为当天24:00。</w:t>
      </w:r>
    </w:p>
    <w:p w14:paraId="7E9B0FC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1.1.5 合同价格和费用</w:t>
      </w:r>
    </w:p>
    <w:p w14:paraId="07D4ABF1">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1.1.5.1 签约合同价：指</w:t>
      </w:r>
      <w:r>
        <w:rPr>
          <w:rFonts w:hint="eastAsia" w:ascii="宋体" w:hAnsi="宋体" w:cs="宋体"/>
          <w:color w:val="auto"/>
          <w:highlight w:val="none"/>
          <w:lang w:eastAsia="zh-CN"/>
        </w:rPr>
        <w:t>签订合同</w:t>
      </w:r>
      <w:r>
        <w:rPr>
          <w:rFonts w:hint="eastAsia" w:ascii="宋体" w:hAnsi="宋体" w:eastAsia="宋体" w:cs="宋体"/>
          <w:color w:val="auto"/>
          <w:highlight w:val="none"/>
        </w:rPr>
        <w:t>时合同协议书中写明的，包括了暂列金额、暂估价的合同总金额。</w:t>
      </w:r>
    </w:p>
    <w:p w14:paraId="310776F8">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1.1.5.2 合同价格：指承包人按合同约定完成了包括缺陷责任期内的全部承包工作后，发包人应付给承包人的金额，包括在履行合同过程中按合同约定进行的变更和调整。</w:t>
      </w:r>
    </w:p>
    <w:p w14:paraId="3FBC87E5">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1.1.5.3 费用：指为履行合同所发生的或将要发生的所有合理开支，包括管理费和应分摊的其他费用，但不包括利润。</w:t>
      </w:r>
    </w:p>
    <w:p w14:paraId="2287FFE6">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1.1.5.4 暂列金额：指已标价工程量清单中所列的暂列金额，用于在签订协议书时尚未确定或不可预见变更的施工及其所需材料、工程设备、服务等的金额，包括以计日工方式支付的金额。</w:t>
      </w:r>
    </w:p>
    <w:p w14:paraId="5CF9769D">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1.1.5.5暂估价：指发包人在工程量清单中给定的用于支付必然发生但暂时不能确定价格的材料、设备以及专业工程的金额。</w:t>
      </w:r>
    </w:p>
    <w:p w14:paraId="009FAFD1">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1.1.5.6 计日工：指对零星工作采取的一种计价方式，按合同中的计日工子目及其单价计价付款。</w:t>
      </w:r>
    </w:p>
    <w:p w14:paraId="23A84FC1">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1.1.5.7 质量保证金（或称保留金）：指按第17.4.1项约定用于保证在缺陷责任期内履行缺陷修复义务的金额。</w:t>
      </w:r>
    </w:p>
    <w:p w14:paraId="7455EA0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1.1.6 其他</w:t>
      </w:r>
    </w:p>
    <w:p w14:paraId="00737E27">
      <w:pPr>
        <w:pageBreakBefore w:val="0"/>
        <w:widowControl w:val="0"/>
        <w:kinsoku/>
        <w:wordWrap/>
        <w:overflowPunct/>
        <w:topLinePunct w:val="0"/>
        <w:autoSpaceDE/>
        <w:autoSpaceDN/>
        <w:bidi w:val="0"/>
        <w:spacing w:line="360" w:lineRule="auto"/>
        <w:ind w:firstLine="718" w:firstLineChars="342"/>
        <w:textAlignment w:val="auto"/>
        <w:rPr>
          <w:rFonts w:hint="eastAsia" w:ascii="宋体" w:hAnsi="宋体" w:eastAsia="宋体" w:cs="宋体"/>
          <w:color w:val="auto"/>
          <w:highlight w:val="none"/>
        </w:rPr>
      </w:pPr>
      <w:r>
        <w:rPr>
          <w:rFonts w:hint="eastAsia" w:ascii="宋体" w:hAnsi="宋体" w:eastAsia="宋体" w:cs="宋体"/>
          <w:color w:val="auto"/>
          <w:highlight w:val="none"/>
        </w:rPr>
        <w:t>1.1.6.1 书面形式：指合同文件、信函、电报、传真等可以有形地表现所载内容的形式。</w:t>
      </w:r>
    </w:p>
    <w:p w14:paraId="0329FF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44" w:name="_Toc179632631"/>
      <w:bookmarkStart w:id="445" w:name="_Toc144974581"/>
      <w:bookmarkStart w:id="446" w:name="_Toc152042391"/>
      <w:bookmarkStart w:id="447" w:name="_Toc152045613"/>
      <w:r>
        <w:rPr>
          <w:rFonts w:hint="eastAsia" w:ascii="宋体" w:hAnsi="宋体" w:eastAsia="宋体" w:cs="宋体"/>
          <w:b/>
          <w:bCs/>
          <w:color w:val="auto"/>
          <w:highlight w:val="none"/>
        </w:rPr>
        <w:t>1.2 语言文字</w:t>
      </w:r>
      <w:bookmarkEnd w:id="444"/>
      <w:bookmarkEnd w:id="445"/>
      <w:bookmarkEnd w:id="446"/>
      <w:bookmarkEnd w:id="447"/>
    </w:p>
    <w:p w14:paraId="30DAED0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除专用术语外，合同使用的语言文字为中文。必要时专用术语应附有中文注释。</w:t>
      </w:r>
    </w:p>
    <w:p w14:paraId="623CE4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48" w:name="_Toc152042392"/>
      <w:bookmarkStart w:id="449" w:name="_Toc144974582"/>
      <w:bookmarkStart w:id="450" w:name="_Toc152045614"/>
      <w:bookmarkStart w:id="451" w:name="_Toc179632632"/>
      <w:r>
        <w:rPr>
          <w:rFonts w:hint="eastAsia" w:ascii="宋体" w:hAnsi="宋体" w:eastAsia="宋体" w:cs="宋体"/>
          <w:b/>
          <w:bCs/>
          <w:color w:val="auto"/>
          <w:highlight w:val="none"/>
        </w:rPr>
        <w:t>1.3 法律</w:t>
      </w:r>
      <w:bookmarkEnd w:id="448"/>
      <w:bookmarkEnd w:id="449"/>
      <w:bookmarkEnd w:id="450"/>
      <w:bookmarkEnd w:id="451"/>
    </w:p>
    <w:p w14:paraId="355F639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适用于合同的法律包括中华人民共和国法律、行政法规、部门规章，以及工程所在地的</w:t>
      </w:r>
      <w:r>
        <w:rPr>
          <w:rFonts w:hint="eastAsia" w:ascii="宋体" w:hAnsi="宋体" w:cs="宋体"/>
          <w:color w:val="auto"/>
          <w:highlight w:val="none"/>
          <w:lang w:eastAsia="zh-CN"/>
        </w:rPr>
        <w:t>地方性法规</w:t>
      </w:r>
      <w:r>
        <w:rPr>
          <w:rFonts w:hint="eastAsia" w:ascii="宋体" w:hAnsi="宋体" w:eastAsia="宋体" w:cs="宋体"/>
          <w:color w:val="auto"/>
          <w:highlight w:val="none"/>
        </w:rPr>
        <w:t>、自治条例、单行条例和地方政府规章。</w:t>
      </w:r>
    </w:p>
    <w:p w14:paraId="1E33C2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52" w:name="_Toc179632633"/>
      <w:bookmarkStart w:id="453" w:name="_Toc144974583"/>
      <w:bookmarkStart w:id="454" w:name="_Toc152045615"/>
      <w:bookmarkStart w:id="455" w:name="_Toc152042393"/>
      <w:r>
        <w:rPr>
          <w:rFonts w:hint="eastAsia" w:ascii="宋体" w:hAnsi="宋体" w:eastAsia="宋体" w:cs="宋体"/>
          <w:b/>
          <w:bCs/>
          <w:color w:val="auto"/>
          <w:highlight w:val="none"/>
        </w:rPr>
        <w:t>1.4 合同文件的优先顺序</w:t>
      </w:r>
      <w:bookmarkEnd w:id="452"/>
      <w:bookmarkEnd w:id="453"/>
      <w:bookmarkEnd w:id="454"/>
      <w:bookmarkEnd w:id="455"/>
    </w:p>
    <w:p w14:paraId="4A2E3D4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组成合同的各项文件应互相解释，互为说明。除专用合同条款另有约定外，解释合同文件的优先顺序如下：</w:t>
      </w:r>
    </w:p>
    <w:p w14:paraId="4661ACCE">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（1）合同协议书；</w:t>
      </w:r>
    </w:p>
    <w:p w14:paraId="466DA60C">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（2）中标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通知书；</w:t>
      </w:r>
    </w:p>
    <w:p w14:paraId="39B8E94C">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（3）投标函及投标函附录；</w:t>
      </w:r>
    </w:p>
    <w:p w14:paraId="044A0F43">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（4）专用合同条款；</w:t>
      </w:r>
    </w:p>
    <w:p w14:paraId="3B80BC03">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（5）通用合同条款；</w:t>
      </w:r>
    </w:p>
    <w:p w14:paraId="0C85EE99">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（6）技术标准和要求；</w:t>
      </w:r>
    </w:p>
    <w:p w14:paraId="760019D8">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（7）图纸；</w:t>
      </w:r>
    </w:p>
    <w:p w14:paraId="5D033BCE">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（8）已标价工程量清单；</w:t>
      </w:r>
    </w:p>
    <w:p w14:paraId="0B701FAB">
      <w:pPr>
        <w:pageBreakBefore w:val="0"/>
        <w:widowControl w:val="0"/>
        <w:kinsoku/>
        <w:wordWrap/>
        <w:overflowPunct/>
        <w:topLinePunct w:val="0"/>
        <w:autoSpaceDE/>
        <w:autoSpaceDN/>
        <w:bidi w:val="0"/>
        <w:spacing w:line="360" w:lineRule="auto"/>
        <w:ind w:firstLine="359" w:firstLineChars="171"/>
        <w:textAlignment w:val="auto"/>
        <w:rPr>
          <w:rFonts w:hint="eastAsia" w:ascii="宋体" w:hAnsi="宋体" w:eastAsia="宋体" w:cs="宋体"/>
          <w:color w:val="auto"/>
          <w:highlight w:val="none"/>
        </w:rPr>
      </w:pPr>
      <w:r>
        <w:rPr>
          <w:rFonts w:hint="eastAsia" w:ascii="宋体" w:hAnsi="宋体" w:eastAsia="宋体" w:cs="宋体"/>
          <w:color w:val="auto"/>
          <w:highlight w:val="none"/>
        </w:rPr>
        <w:t>（9）其他合同文件。</w:t>
      </w:r>
    </w:p>
    <w:p w14:paraId="49CB32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56" w:name="_Toc152042394"/>
      <w:bookmarkStart w:id="457" w:name="_Toc152045616"/>
      <w:bookmarkStart w:id="458" w:name="_Toc144974584"/>
      <w:bookmarkStart w:id="459" w:name="_Toc179632634"/>
      <w:r>
        <w:rPr>
          <w:rFonts w:hint="eastAsia" w:ascii="宋体" w:hAnsi="宋体" w:eastAsia="宋体" w:cs="宋体"/>
          <w:b/>
          <w:bCs/>
          <w:color w:val="auto"/>
          <w:highlight w:val="none"/>
        </w:rPr>
        <w:t>1.5 合同协议书</w:t>
      </w:r>
      <w:bookmarkEnd w:id="456"/>
      <w:bookmarkEnd w:id="457"/>
      <w:bookmarkEnd w:id="458"/>
      <w:bookmarkEnd w:id="459"/>
    </w:p>
    <w:p w14:paraId="7FB2C95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承包人按中标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通知书规定的时间与发包人签订合同协议书。除法律另有规定或合同另有约定外，发包人和承包人的法定代表人或其委托代理人在合同协议书上签字</w:t>
      </w:r>
      <w:r>
        <w:rPr>
          <w:rFonts w:hint="eastAsia" w:ascii="宋体" w:hAnsi="宋体" w:cs="宋体"/>
          <w:color w:val="auto"/>
          <w:highlight w:val="none"/>
          <w:lang w:eastAsia="zh-CN"/>
        </w:rPr>
        <w:t>并加盖单位章后</w:t>
      </w:r>
      <w:r>
        <w:rPr>
          <w:rFonts w:hint="eastAsia" w:ascii="宋体" w:hAnsi="宋体" w:eastAsia="宋体" w:cs="宋体"/>
          <w:color w:val="auto"/>
          <w:highlight w:val="none"/>
        </w:rPr>
        <w:t>，合同生效。</w:t>
      </w:r>
    </w:p>
    <w:p w14:paraId="651D2E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60" w:name="_Toc179632635"/>
      <w:bookmarkStart w:id="461" w:name="_Toc152045617"/>
      <w:bookmarkStart w:id="462" w:name="_Toc152042395"/>
      <w:bookmarkStart w:id="463" w:name="_Toc144974585"/>
      <w:r>
        <w:rPr>
          <w:rFonts w:hint="eastAsia" w:ascii="宋体" w:hAnsi="宋体" w:eastAsia="宋体" w:cs="宋体"/>
          <w:b/>
          <w:bCs/>
          <w:color w:val="auto"/>
          <w:highlight w:val="none"/>
        </w:rPr>
        <w:t>1.6 图纸和承包人文件</w:t>
      </w:r>
      <w:bookmarkEnd w:id="460"/>
      <w:bookmarkEnd w:id="461"/>
      <w:bookmarkEnd w:id="462"/>
      <w:bookmarkEnd w:id="463"/>
    </w:p>
    <w:p w14:paraId="74C54A0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1.6.1 图纸的提供</w:t>
      </w:r>
    </w:p>
    <w:p w14:paraId="2340BDF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发包人应按技术标准和要求（合同技术条款）约定的期限和数量将施工图纸以及</w:t>
      </w:r>
      <w:r>
        <w:rPr>
          <w:rFonts w:hint="eastAsia" w:ascii="宋体" w:hAnsi="宋体" w:cs="宋体"/>
          <w:color w:val="auto"/>
          <w:highlight w:val="none"/>
          <w:lang w:eastAsia="zh-CN"/>
        </w:rPr>
        <w:t>其他</w:t>
      </w:r>
      <w:r>
        <w:rPr>
          <w:rFonts w:hint="eastAsia" w:ascii="宋体" w:hAnsi="宋体" w:eastAsia="宋体" w:cs="宋体"/>
          <w:color w:val="auto"/>
          <w:highlight w:val="none"/>
        </w:rPr>
        <w:t>图纸（包括配套说明和有关资料）提供给承包人。由于发包人</w:t>
      </w:r>
      <w:r>
        <w:rPr>
          <w:rFonts w:hint="eastAsia" w:ascii="宋体" w:hAnsi="宋体" w:cs="宋体"/>
          <w:color w:val="auto"/>
          <w:highlight w:val="none"/>
          <w:lang w:eastAsia="zh-CN"/>
        </w:rPr>
        <w:t>未</w:t>
      </w:r>
      <w:r>
        <w:rPr>
          <w:rFonts w:hint="eastAsia" w:ascii="宋体" w:hAnsi="宋体" w:eastAsia="宋体" w:cs="宋体"/>
          <w:color w:val="auto"/>
          <w:highlight w:val="none"/>
        </w:rPr>
        <w:t>按时提供图纸造成工期延误的，按第11.3款的约定办理。</w:t>
      </w:r>
    </w:p>
    <w:p w14:paraId="69385E7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1.6.2 承包人提供的文件</w:t>
      </w:r>
    </w:p>
    <w:p w14:paraId="79975AC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承包人提供的文件应按技术标准和要求（合同技术条款）约定的期限和数量提供给监理人。监理人应按技术标准和要求（合同技术条款）约定的期限批复承包人。</w:t>
      </w:r>
    </w:p>
    <w:p w14:paraId="69AEE97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1.6.3 图纸的修改</w:t>
      </w:r>
    </w:p>
    <w:p w14:paraId="3E97C2D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2AEC591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1.6.4 图纸的错误</w:t>
      </w:r>
    </w:p>
    <w:p w14:paraId="3FDD963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承包人发现发包人提供的图纸存在明显错误或疏忽，应及时通知监理人。</w:t>
      </w:r>
    </w:p>
    <w:p w14:paraId="60501FA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1.6.5 图纸和承包人文件的保管</w:t>
      </w:r>
    </w:p>
    <w:p w14:paraId="7ADBA7E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监理人和承包人均应在施工场地各保存一套完整的包含第1.6.1项、第1.6.2项、第1.6.3项约定内容的图纸和承包人文件。</w:t>
      </w:r>
    </w:p>
    <w:p w14:paraId="2DD956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64" w:name="_Toc152045618"/>
      <w:bookmarkStart w:id="465" w:name="_Toc179632636"/>
      <w:bookmarkStart w:id="466" w:name="_Toc144974586"/>
      <w:bookmarkStart w:id="467" w:name="_Toc152042396"/>
      <w:r>
        <w:rPr>
          <w:rFonts w:hint="eastAsia" w:ascii="宋体" w:hAnsi="宋体" w:eastAsia="宋体" w:cs="宋体"/>
          <w:b/>
          <w:bCs/>
          <w:color w:val="auto"/>
          <w:highlight w:val="none"/>
        </w:rPr>
        <w:t>1.7 联络</w:t>
      </w:r>
      <w:bookmarkEnd w:id="464"/>
      <w:bookmarkEnd w:id="465"/>
      <w:bookmarkEnd w:id="466"/>
      <w:bookmarkEnd w:id="467"/>
    </w:p>
    <w:p w14:paraId="302D40C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1.7.1 与合同有关的通知、批准、证明、证书、指示、要求、请求、同意、意见、确定和决定等，均应采用书面形式。</w:t>
      </w:r>
    </w:p>
    <w:p w14:paraId="0097C6A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bookmarkStart w:id="468" w:name="_Toc144974587"/>
      <w:bookmarkStart w:id="469" w:name="_Toc179632637"/>
      <w:bookmarkStart w:id="470" w:name="_Toc152045619"/>
      <w:bookmarkStart w:id="471" w:name="_Toc152042397"/>
      <w:r>
        <w:rPr>
          <w:rFonts w:hint="eastAsia" w:ascii="宋体" w:hAnsi="宋体" w:eastAsia="宋体" w:cs="宋体"/>
          <w:color w:val="auto"/>
          <w:highlight w:val="none"/>
        </w:rPr>
        <w:t>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57FB923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1.7.3 来往函件均应按合同约定的期限及时发出和答复，不得无故</w:t>
      </w:r>
      <w:r>
        <w:rPr>
          <w:rFonts w:hint="eastAsia" w:ascii="宋体" w:hAnsi="宋体" w:cs="宋体"/>
          <w:color w:val="auto"/>
          <w:highlight w:val="none"/>
          <w:lang w:eastAsia="zh-CN"/>
        </w:rPr>
        <w:t>扣押</w:t>
      </w:r>
      <w:r>
        <w:rPr>
          <w:rFonts w:hint="eastAsia" w:ascii="宋体" w:hAnsi="宋体" w:eastAsia="宋体" w:cs="宋体"/>
          <w:color w:val="auto"/>
          <w:highlight w:val="none"/>
        </w:rPr>
        <w:t>和拖延，亦不得拒收。否则，由此造成的后果由责任方负责。</w:t>
      </w:r>
    </w:p>
    <w:p w14:paraId="40CA0B32">
      <w:pPr>
        <w:pageBreakBefore w:val="0"/>
        <w:widowControl w:val="0"/>
        <w:kinsoku/>
        <w:wordWrap/>
        <w:overflowPunct/>
        <w:topLinePunct w:val="0"/>
        <w:autoSpaceDE/>
        <w:autoSpaceDN/>
        <w:bidi w:val="0"/>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1.8 转让</w:t>
      </w:r>
      <w:bookmarkEnd w:id="468"/>
      <w:bookmarkEnd w:id="469"/>
      <w:bookmarkEnd w:id="470"/>
      <w:bookmarkEnd w:id="471"/>
    </w:p>
    <w:p w14:paraId="47A492E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除合同另有约定外，未经对方当事人同意，一方当事人不得将合同权利全部或部分转让给第三人，也不得全部或部分转移合同义务。</w:t>
      </w:r>
    </w:p>
    <w:p w14:paraId="24A55C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72" w:name="_Toc152042398"/>
      <w:bookmarkStart w:id="473" w:name="_Toc144974588"/>
      <w:bookmarkStart w:id="474" w:name="_Toc152045620"/>
      <w:bookmarkStart w:id="475" w:name="_Toc179632638"/>
      <w:r>
        <w:rPr>
          <w:rFonts w:hint="eastAsia" w:ascii="宋体" w:hAnsi="宋体" w:eastAsia="宋体" w:cs="宋体"/>
          <w:b/>
          <w:bCs/>
          <w:color w:val="auto"/>
          <w:highlight w:val="none"/>
        </w:rPr>
        <w:t>1.9 严禁贿赂</w:t>
      </w:r>
      <w:bookmarkEnd w:id="472"/>
      <w:bookmarkEnd w:id="473"/>
      <w:bookmarkEnd w:id="474"/>
      <w:bookmarkEnd w:id="475"/>
    </w:p>
    <w:p w14:paraId="7DD153D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合同双方当事人不得以贿赂或变相贿赂的方式，谋取不当利益或损害对方权益。因贿赂造成对方损失的，行为人应赔偿损失，并承担相应的法律责任。</w:t>
      </w:r>
    </w:p>
    <w:p w14:paraId="7FDAB8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76" w:name="_Toc152042399"/>
      <w:bookmarkStart w:id="477" w:name="_Toc144974589"/>
      <w:bookmarkStart w:id="478" w:name="_Toc179632639"/>
      <w:bookmarkStart w:id="479" w:name="_Toc152045621"/>
      <w:r>
        <w:rPr>
          <w:rFonts w:hint="eastAsia" w:ascii="宋体" w:hAnsi="宋体" w:eastAsia="宋体" w:cs="宋体"/>
          <w:b/>
          <w:bCs/>
          <w:color w:val="auto"/>
          <w:highlight w:val="none"/>
        </w:rPr>
        <w:t>1.10 化石、文物</w:t>
      </w:r>
      <w:bookmarkEnd w:id="476"/>
      <w:bookmarkEnd w:id="477"/>
      <w:bookmarkEnd w:id="478"/>
      <w:bookmarkEnd w:id="479"/>
    </w:p>
    <w:p w14:paraId="330A9A3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5FB67D6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1.10.2 承包人发现文物后不及时报告或隐瞒不报，致使文物丢失或损坏的，应赔偿损失，并承担相应的法律责任。</w:t>
      </w:r>
    </w:p>
    <w:p w14:paraId="06AB29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80" w:name="_Toc144974590"/>
      <w:bookmarkStart w:id="481" w:name="_Toc152045622"/>
      <w:bookmarkStart w:id="482" w:name="_Toc179632640"/>
      <w:bookmarkStart w:id="483" w:name="_Toc152042400"/>
      <w:r>
        <w:rPr>
          <w:rFonts w:hint="eastAsia" w:ascii="宋体" w:hAnsi="宋体" w:eastAsia="宋体" w:cs="宋体"/>
          <w:b/>
          <w:bCs/>
          <w:color w:val="auto"/>
          <w:highlight w:val="none"/>
        </w:rPr>
        <w:t>1.11 专利技术</w:t>
      </w:r>
      <w:bookmarkEnd w:id="480"/>
      <w:bookmarkEnd w:id="481"/>
      <w:bookmarkEnd w:id="482"/>
      <w:bookmarkEnd w:id="483"/>
    </w:p>
    <w:p w14:paraId="18BFBED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74F8BE2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1.11.2 承包人在投标文件中采用专利技术的，专利技术的使用费包含在</w:t>
      </w:r>
      <w:r>
        <w:rPr>
          <w:rFonts w:hint="eastAsia" w:ascii="宋体" w:hAnsi="宋体" w:cs="宋体"/>
          <w:color w:val="auto"/>
          <w:highlight w:val="none"/>
          <w:lang w:eastAsia="zh-CN"/>
        </w:rPr>
        <w:t>响应报价</w:t>
      </w:r>
      <w:r>
        <w:rPr>
          <w:rFonts w:hint="eastAsia" w:ascii="宋体" w:hAnsi="宋体" w:eastAsia="宋体" w:cs="宋体"/>
          <w:color w:val="auto"/>
          <w:highlight w:val="none"/>
        </w:rPr>
        <w:t>内。</w:t>
      </w:r>
    </w:p>
    <w:p w14:paraId="1C0D911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1.11.3 承包人的技术秘密和声明需要保密的资料和信息，发包人和监理人不得为合同以外的目的泄露给他人。</w:t>
      </w:r>
    </w:p>
    <w:p w14:paraId="24E6BA2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1.11.4 合同实施过程中，发包人要求承包人采用专利技术的，发包人应办理相应的使用手续，承包人应按发包人约定的条件使用，并承担使用专利技术的相关试验工作，所需费用由发包人承担。</w:t>
      </w:r>
    </w:p>
    <w:p w14:paraId="5AD7F4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84" w:name="_Toc144974591"/>
      <w:bookmarkStart w:id="485" w:name="_Toc179632641"/>
      <w:bookmarkStart w:id="486" w:name="_Toc152042401"/>
      <w:bookmarkStart w:id="487" w:name="_Toc152045623"/>
      <w:r>
        <w:rPr>
          <w:rFonts w:hint="eastAsia" w:ascii="宋体" w:hAnsi="宋体" w:eastAsia="宋体" w:cs="宋体"/>
          <w:b/>
          <w:bCs/>
          <w:color w:val="auto"/>
          <w:highlight w:val="none"/>
        </w:rPr>
        <w:t>1.12 图纸和文件的保密</w:t>
      </w:r>
      <w:bookmarkEnd w:id="484"/>
      <w:bookmarkEnd w:id="485"/>
      <w:bookmarkEnd w:id="486"/>
      <w:bookmarkEnd w:id="487"/>
    </w:p>
    <w:p w14:paraId="123404A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1.12.1 发包人提供的图纸和文件，未经发包人同意，承包人不得为合同以外的目的泄露给他人或公开发表与引用。</w:t>
      </w:r>
    </w:p>
    <w:p w14:paraId="43857A7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1.12.2 承包人提供的文件，未经承包人同意，发包人和监理人不得为合同以外的目的泄露给他人或公开发表与引用。</w:t>
      </w:r>
    </w:p>
    <w:p w14:paraId="73F94D0A">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488" w:name="_Toc152042402"/>
      <w:bookmarkStart w:id="489" w:name="_Toc152045624"/>
      <w:bookmarkStart w:id="490" w:name="_Toc179632642"/>
      <w:bookmarkStart w:id="491" w:name="_Toc144974592"/>
      <w:r>
        <w:rPr>
          <w:rFonts w:hint="eastAsia" w:ascii="宋体" w:hAnsi="宋体" w:eastAsia="宋体" w:cs="宋体"/>
          <w:color w:val="auto"/>
          <w:sz w:val="21"/>
          <w:szCs w:val="21"/>
          <w:highlight w:val="none"/>
          <w:lang w:val="zh-CN" w:eastAsia="zh-CN"/>
        </w:rPr>
        <w:t>2. 发包人义务</w:t>
      </w:r>
      <w:bookmarkEnd w:id="488"/>
      <w:bookmarkEnd w:id="489"/>
      <w:bookmarkEnd w:id="490"/>
      <w:bookmarkEnd w:id="491"/>
    </w:p>
    <w:p w14:paraId="23C28C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92" w:name="_Toc179632643"/>
      <w:bookmarkStart w:id="493" w:name="_Toc152045625"/>
      <w:bookmarkStart w:id="494" w:name="_Toc144974593"/>
      <w:bookmarkStart w:id="495" w:name="_Toc152042403"/>
      <w:r>
        <w:rPr>
          <w:rFonts w:hint="eastAsia" w:ascii="宋体" w:hAnsi="宋体" w:eastAsia="宋体" w:cs="宋体"/>
          <w:b/>
          <w:bCs/>
          <w:color w:val="auto"/>
          <w:highlight w:val="none"/>
        </w:rPr>
        <w:t>2.1 遵守法律</w:t>
      </w:r>
      <w:bookmarkEnd w:id="492"/>
      <w:bookmarkEnd w:id="493"/>
      <w:bookmarkEnd w:id="494"/>
      <w:bookmarkEnd w:id="495"/>
    </w:p>
    <w:p w14:paraId="21DE5C6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发包人在履行合同过程中应遵守法律，并保证承包人免于承担因发包人违反法律而引起的任何责任。</w:t>
      </w:r>
    </w:p>
    <w:p w14:paraId="6562F6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496" w:name="_Toc152045626"/>
      <w:bookmarkStart w:id="497" w:name="_Toc179632644"/>
      <w:bookmarkStart w:id="498" w:name="_Toc152042404"/>
      <w:bookmarkStart w:id="499" w:name="_Toc144974594"/>
      <w:r>
        <w:rPr>
          <w:rFonts w:hint="eastAsia" w:ascii="宋体" w:hAnsi="宋体" w:eastAsia="宋体" w:cs="宋体"/>
          <w:b/>
          <w:bCs/>
          <w:color w:val="auto"/>
          <w:highlight w:val="none"/>
        </w:rPr>
        <w:t>2.2 发出开工通知</w:t>
      </w:r>
      <w:bookmarkEnd w:id="496"/>
      <w:bookmarkEnd w:id="497"/>
      <w:bookmarkEnd w:id="498"/>
      <w:bookmarkEnd w:id="499"/>
    </w:p>
    <w:p w14:paraId="3139940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发包人应委托监理人按第11.1款的约定向承包人发出开工通知。</w:t>
      </w:r>
    </w:p>
    <w:p w14:paraId="134F6A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00" w:name="_Toc144974595"/>
      <w:bookmarkStart w:id="501" w:name="_Toc152045627"/>
      <w:bookmarkStart w:id="502" w:name="_Toc179632645"/>
      <w:bookmarkStart w:id="503" w:name="_Toc152042405"/>
      <w:r>
        <w:rPr>
          <w:rFonts w:hint="eastAsia" w:ascii="宋体" w:hAnsi="宋体" w:eastAsia="宋体" w:cs="宋体"/>
          <w:b/>
          <w:bCs/>
          <w:color w:val="auto"/>
          <w:highlight w:val="none"/>
        </w:rPr>
        <w:t>2.3 提供施工场地</w:t>
      </w:r>
      <w:bookmarkEnd w:id="500"/>
      <w:bookmarkEnd w:id="501"/>
      <w:bookmarkEnd w:id="502"/>
      <w:bookmarkEnd w:id="503"/>
    </w:p>
    <w:p w14:paraId="61DE40F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bookmarkStart w:id="504" w:name="_Toc179632646"/>
      <w:bookmarkStart w:id="505" w:name="_Toc144974596"/>
      <w:bookmarkStart w:id="506" w:name="_Toc152045628"/>
      <w:bookmarkStart w:id="507" w:name="_Toc152042406"/>
      <w:r>
        <w:rPr>
          <w:rFonts w:hint="eastAsia" w:ascii="宋体" w:hAnsi="宋体" w:eastAsia="宋体" w:cs="宋体"/>
          <w:color w:val="auto"/>
          <w:highlight w:val="none"/>
        </w:rPr>
        <w:t>2.3.1 发包人应在合同双方签订合同协议书后的14天内，将本合同工程的施工场地范围图提交给承包人。发包人提供的施工场地范围应标明场地范围内永久占地与临时占地的范围和界限，以及指明提供给承包人用于施工场地布置的范围和界限及其有关资料。</w:t>
      </w:r>
    </w:p>
    <w:p w14:paraId="6588CA6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2.3.2  发包人提供的施工用地范围在专用合同条款中约定。</w:t>
      </w:r>
    </w:p>
    <w:p w14:paraId="6B7F006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2.3.3  除专用合同条款另有约定外，发包人应按技术标准和要求（合同技术条款）的约定，向承包人提供施工场地内的工程地质图纸和报告，以及地下障碍物图纸等施工场地有关资料，并保证资料的真实、准确、完整。2.4 协助承包人办理证件和批件</w:t>
      </w:r>
      <w:bookmarkEnd w:id="504"/>
      <w:bookmarkEnd w:id="505"/>
      <w:bookmarkEnd w:id="506"/>
      <w:bookmarkEnd w:id="507"/>
    </w:p>
    <w:p w14:paraId="4664674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发包人应协助承包人办理法律规定的有关施工证件和批件。</w:t>
      </w:r>
    </w:p>
    <w:p w14:paraId="4E38E4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08" w:name="_Toc152042407"/>
      <w:bookmarkStart w:id="509" w:name="_Toc152045629"/>
      <w:bookmarkStart w:id="510" w:name="_Toc144974597"/>
      <w:bookmarkStart w:id="511" w:name="_Toc179632647"/>
      <w:r>
        <w:rPr>
          <w:rFonts w:hint="eastAsia" w:ascii="宋体" w:hAnsi="宋体" w:eastAsia="宋体" w:cs="宋体"/>
          <w:b/>
          <w:bCs/>
          <w:color w:val="auto"/>
          <w:highlight w:val="none"/>
        </w:rPr>
        <w:t>2.5 组织设计交底</w:t>
      </w:r>
      <w:bookmarkEnd w:id="508"/>
      <w:bookmarkEnd w:id="509"/>
      <w:bookmarkEnd w:id="510"/>
      <w:bookmarkEnd w:id="511"/>
    </w:p>
    <w:p w14:paraId="56FE7BD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发包人应根据合同进度计划，组织设计单位向承包人进行设计交底。</w:t>
      </w:r>
    </w:p>
    <w:p w14:paraId="27ED21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12" w:name="_Toc152042408"/>
      <w:bookmarkStart w:id="513" w:name="_Toc179632648"/>
      <w:bookmarkStart w:id="514" w:name="_Toc144974598"/>
      <w:bookmarkStart w:id="515" w:name="_Toc152045630"/>
      <w:r>
        <w:rPr>
          <w:rFonts w:hint="eastAsia" w:ascii="宋体" w:hAnsi="宋体" w:eastAsia="宋体" w:cs="宋体"/>
          <w:b/>
          <w:bCs/>
          <w:color w:val="auto"/>
          <w:highlight w:val="none"/>
        </w:rPr>
        <w:t>2.6 支付合同价款</w:t>
      </w:r>
      <w:bookmarkEnd w:id="512"/>
      <w:bookmarkEnd w:id="513"/>
      <w:bookmarkEnd w:id="514"/>
      <w:bookmarkEnd w:id="515"/>
    </w:p>
    <w:p w14:paraId="0964213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发包人应按合同约定向承包人及时支付合同价款。</w:t>
      </w:r>
    </w:p>
    <w:p w14:paraId="777292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eastAsia="zh-CN"/>
        </w:rPr>
      </w:pPr>
      <w:bookmarkStart w:id="516" w:name="_Toc152045632"/>
      <w:bookmarkStart w:id="517" w:name="_Toc152042410"/>
      <w:bookmarkStart w:id="518" w:name="_Toc179632650"/>
      <w:bookmarkStart w:id="519" w:name="_Toc144974600"/>
      <w:r>
        <w:rPr>
          <w:rFonts w:hint="eastAsia" w:ascii="宋体" w:hAnsi="宋体" w:eastAsia="宋体" w:cs="宋体"/>
          <w:b/>
          <w:bCs/>
          <w:color w:val="auto"/>
          <w:highlight w:val="none"/>
        </w:rPr>
        <w:t>2.7 组织竣工验收</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组织法人验收</w:t>
      </w:r>
      <w:r>
        <w:rPr>
          <w:rFonts w:hint="eastAsia" w:ascii="宋体" w:hAnsi="宋体" w:eastAsia="宋体" w:cs="宋体"/>
          <w:b/>
          <w:bCs/>
          <w:color w:val="auto"/>
          <w:highlight w:val="none"/>
          <w:lang w:eastAsia="zh-CN"/>
        </w:rPr>
        <w:t>）</w:t>
      </w:r>
    </w:p>
    <w:p w14:paraId="1DB7AED2">
      <w:pPr>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发包人应按合同约定及时组织法人验收。</w:t>
      </w:r>
    </w:p>
    <w:p w14:paraId="648291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2.8 其他义务</w:t>
      </w:r>
      <w:bookmarkEnd w:id="516"/>
      <w:bookmarkEnd w:id="517"/>
      <w:bookmarkEnd w:id="518"/>
      <w:bookmarkEnd w:id="519"/>
    </w:p>
    <w:p w14:paraId="12598AD7">
      <w:pPr>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bookmarkStart w:id="520" w:name="_Toc152042411"/>
      <w:bookmarkStart w:id="521" w:name="_Toc144974601"/>
      <w:bookmarkStart w:id="522" w:name="_Toc179632651"/>
      <w:bookmarkStart w:id="523" w:name="_Toc152045633"/>
      <w:r>
        <w:rPr>
          <w:rFonts w:hint="eastAsia" w:ascii="宋体" w:hAnsi="宋体" w:eastAsia="宋体" w:cs="宋体"/>
          <w:color w:val="auto"/>
          <w:sz w:val="24"/>
          <w:szCs w:val="24"/>
          <w:highlight w:val="none"/>
        </w:rPr>
        <w:t>其它义务在专用合同条款中补充约定。</w:t>
      </w:r>
    </w:p>
    <w:p w14:paraId="59FC06C2">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 监理人</w:t>
      </w:r>
      <w:bookmarkEnd w:id="520"/>
      <w:bookmarkEnd w:id="521"/>
      <w:bookmarkEnd w:id="522"/>
      <w:bookmarkEnd w:id="523"/>
    </w:p>
    <w:p w14:paraId="19EDC966">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监理人的职责和权力</w:t>
      </w:r>
    </w:p>
    <w:p w14:paraId="6845CC9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3.1.1监理人受发包人的委托，享有合同约定的</w:t>
      </w:r>
      <w:r>
        <w:rPr>
          <w:rFonts w:hint="eastAsia" w:ascii="宋体" w:hAnsi="宋体" w:cs="宋体"/>
          <w:color w:val="auto"/>
          <w:highlight w:val="none"/>
          <w:lang w:eastAsia="zh-CN"/>
        </w:rPr>
        <w:t>权利</w:t>
      </w:r>
      <w:r>
        <w:rPr>
          <w:rFonts w:hint="eastAsia" w:ascii="宋体" w:hAnsi="宋体" w:eastAsia="宋体" w:cs="宋体"/>
          <w:color w:val="auto"/>
          <w:highlight w:val="none"/>
        </w:rPr>
        <w:t>。监理人的</w:t>
      </w:r>
      <w:r>
        <w:rPr>
          <w:rFonts w:hint="eastAsia" w:ascii="宋体" w:hAnsi="宋体" w:cs="宋体"/>
          <w:color w:val="auto"/>
          <w:highlight w:val="none"/>
          <w:lang w:eastAsia="zh-CN"/>
        </w:rPr>
        <w:t>权利</w:t>
      </w:r>
      <w:r>
        <w:rPr>
          <w:rFonts w:hint="eastAsia" w:ascii="宋体" w:hAnsi="宋体" w:eastAsia="宋体" w:cs="宋体"/>
          <w:color w:val="auto"/>
          <w:highlight w:val="none"/>
        </w:rPr>
        <w:t>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1840137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3.1.2 监理人发出的任何指示应视为已得到发包人的批准，但监理人无权免除或变更合同约定的发包人和承包人的权利、义务和责任。</w:t>
      </w:r>
    </w:p>
    <w:p w14:paraId="025E611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3.1.3 合同约定应由承包人承担的义务和责任，不因监理人对承包人提交文件的审查或批准，对工程、材料和设备的检查和检验，以及为实施监理作出的指示等职务行为而减轻或解除。</w:t>
      </w:r>
    </w:p>
    <w:p w14:paraId="015D8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24" w:name="_Toc144974603"/>
      <w:bookmarkStart w:id="525" w:name="_Toc152042413"/>
      <w:bookmarkStart w:id="526" w:name="_Toc152045635"/>
      <w:bookmarkStart w:id="527" w:name="_Toc179632653"/>
      <w:r>
        <w:rPr>
          <w:rFonts w:hint="eastAsia" w:ascii="宋体" w:hAnsi="宋体" w:eastAsia="宋体" w:cs="宋体"/>
          <w:b/>
          <w:bCs/>
          <w:color w:val="auto"/>
          <w:highlight w:val="none"/>
        </w:rPr>
        <w:t>3.2 总监理工程师</w:t>
      </w:r>
      <w:bookmarkEnd w:id="524"/>
      <w:bookmarkEnd w:id="525"/>
      <w:bookmarkEnd w:id="526"/>
      <w:bookmarkEnd w:id="527"/>
    </w:p>
    <w:p w14:paraId="2E20ADE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561869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28" w:name="_Toc144974604"/>
      <w:bookmarkStart w:id="529" w:name="_Toc179632654"/>
      <w:bookmarkStart w:id="530" w:name="_Toc152045636"/>
      <w:bookmarkStart w:id="531" w:name="_Toc152042414"/>
      <w:r>
        <w:rPr>
          <w:rFonts w:hint="eastAsia" w:ascii="宋体" w:hAnsi="宋体" w:eastAsia="宋体" w:cs="宋体"/>
          <w:b/>
          <w:bCs/>
          <w:color w:val="auto"/>
          <w:highlight w:val="none"/>
        </w:rPr>
        <w:t>3.3 监理人员</w:t>
      </w:r>
      <w:bookmarkEnd w:id="528"/>
      <w:bookmarkEnd w:id="529"/>
      <w:bookmarkEnd w:id="530"/>
      <w:bookmarkEnd w:id="531"/>
    </w:p>
    <w:p w14:paraId="68009FC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47F098F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06E9A32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3.3.3 承包人对总监理工程师授权的监理人员发出的指示有疑问的，可向总监理工程师提出书面异议，总监理工程师应在48小时内对该指示予以确认、更改或撤销。</w:t>
      </w:r>
    </w:p>
    <w:p w14:paraId="357C07D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3.3.4 除专用合同条款另有约定外，总监理工程师不应将第3.5款约定应由总监理工程师作出确定的权力授权或委托给其他监理人员。</w:t>
      </w:r>
    </w:p>
    <w:p w14:paraId="651707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32" w:name="_Toc152042415"/>
      <w:bookmarkStart w:id="533" w:name="_Toc152045637"/>
      <w:bookmarkStart w:id="534" w:name="_Toc144974605"/>
      <w:bookmarkStart w:id="535" w:name="_Toc179632655"/>
      <w:r>
        <w:rPr>
          <w:rFonts w:hint="eastAsia" w:ascii="宋体" w:hAnsi="宋体" w:eastAsia="宋体" w:cs="宋体"/>
          <w:b/>
          <w:bCs/>
          <w:color w:val="auto"/>
          <w:highlight w:val="none"/>
        </w:rPr>
        <w:t>3.4 监理人的指示</w:t>
      </w:r>
      <w:bookmarkEnd w:id="532"/>
      <w:bookmarkEnd w:id="533"/>
      <w:bookmarkEnd w:id="534"/>
      <w:bookmarkEnd w:id="535"/>
    </w:p>
    <w:p w14:paraId="414F363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3.4.1 监理人应按第3.1款的约定向承包人发出指示，监理人的指示应盖有监理人授权的施工场地机构章，并由总监理工程师或总监理工程师按第3.3.1项约定授权的监理人员签字。</w:t>
      </w:r>
    </w:p>
    <w:p w14:paraId="5BE9E7A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3.4.2 承包人收到监理人按第3.4.1项作出的指示后应遵照执行。指示构成变更的，应按第15条处理。</w:t>
      </w:r>
    </w:p>
    <w:p w14:paraId="35976AC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C613A5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3.4.4 除合同另有约定外，承包人只从总监理工程师或按第3.3.1项被授权的监理人员处取得指示。</w:t>
      </w:r>
    </w:p>
    <w:p w14:paraId="1D833E2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3.4.5 由于监理人未能按合同约定发出指示、指示延误或指示错误而导致承包人费用增加和（或）工期延误的，由发包人承担赔偿责任。 </w:t>
      </w:r>
    </w:p>
    <w:p w14:paraId="4B3CE4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36" w:name="_Toc152042416"/>
      <w:bookmarkStart w:id="537" w:name="_Toc144974606"/>
      <w:bookmarkStart w:id="538" w:name="_Toc179632656"/>
      <w:bookmarkStart w:id="539" w:name="_Toc152045638"/>
      <w:r>
        <w:rPr>
          <w:rFonts w:hint="eastAsia" w:ascii="宋体" w:hAnsi="宋体" w:eastAsia="宋体" w:cs="宋体"/>
          <w:b/>
          <w:bCs/>
          <w:color w:val="auto"/>
          <w:highlight w:val="none"/>
        </w:rPr>
        <w:t>3.5 商定或确定</w:t>
      </w:r>
      <w:bookmarkEnd w:id="536"/>
      <w:bookmarkEnd w:id="537"/>
      <w:bookmarkEnd w:id="538"/>
      <w:bookmarkEnd w:id="539"/>
    </w:p>
    <w:p w14:paraId="6BFB5B1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3.5.1合同约定总监理工程师应按照本款对任何事项进行商定或确定时，总监理工程师应与合同当事人协商，尽量达成一致。不能达成一致的，总监理工程师应认真研究后审慎确定。</w:t>
      </w:r>
    </w:p>
    <w:p w14:paraId="33A0C1B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60F5B00E">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540" w:name="_Toc179632657"/>
      <w:bookmarkStart w:id="541" w:name="_Toc144974607"/>
      <w:bookmarkStart w:id="542" w:name="_Toc152045639"/>
      <w:bookmarkStart w:id="543" w:name="_Toc152042417"/>
      <w:r>
        <w:rPr>
          <w:rFonts w:hint="eastAsia" w:ascii="宋体" w:hAnsi="宋体" w:eastAsia="宋体" w:cs="宋体"/>
          <w:color w:val="auto"/>
          <w:sz w:val="21"/>
          <w:szCs w:val="21"/>
          <w:highlight w:val="none"/>
          <w:lang w:val="zh-CN" w:eastAsia="zh-CN"/>
        </w:rPr>
        <w:t>4. 承包人</w:t>
      </w:r>
      <w:bookmarkEnd w:id="540"/>
      <w:bookmarkEnd w:id="541"/>
      <w:bookmarkEnd w:id="542"/>
      <w:bookmarkEnd w:id="543"/>
    </w:p>
    <w:p w14:paraId="6AF2DB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44" w:name="_Toc179632658"/>
      <w:bookmarkStart w:id="545" w:name="_Toc152042418"/>
      <w:bookmarkStart w:id="546" w:name="_Toc144974608"/>
      <w:bookmarkStart w:id="547" w:name="_Toc152045640"/>
      <w:r>
        <w:rPr>
          <w:rFonts w:hint="eastAsia" w:ascii="宋体" w:hAnsi="宋体" w:eastAsia="宋体" w:cs="宋体"/>
          <w:b/>
          <w:bCs/>
          <w:color w:val="auto"/>
          <w:highlight w:val="none"/>
        </w:rPr>
        <w:t>4.1 承包人的一般义务</w:t>
      </w:r>
      <w:bookmarkEnd w:id="544"/>
      <w:bookmarkEnd w:id="545"/>
      <w:bookmarkEnd w:id="546"/>
      <w:bookmarkEnd w:id="547"/>
    </w:p>
    <w:p w14:paraId="243BF21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4.1.1 遵守法律</w:t>
      </w:r>
    </w:p>
    <w:p w14:paraId="168B6BD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承包人在履行合同过程中应遵守法律，并保证发包人免于承担因承包人违反法律而引起的任何责任。</w:t>
      </w:r>
    </w:p>
    <w:p w14:paraId="40629DE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4.1.2 依法纳税</w:t>
      </w:r>
    </w:p>
    <w:p w14:paraId="2281B5E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承包人应按有关法律规定纳税，应缴纳的税金包括在合同价格内。</w:t>
      </w:r>
    </w:p>
    <w:p w14:paraId="2A14EA0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4.1.3 完成各项承包工作</w:t>
      </w:r>
    </w:p>
    <w:p w14:paraId="60854B9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承包人应按合同约定以及监理人根据第3.4款作出的指示，实施、完成全部工程，并修补工程中的任何缺陷。除第5.2款另有约定外，承包人应提供为完成合同工作所需的劳务、材料、施工设备、工程设备</w:t>
      </w:r>
      <w:r>
        <w:rPr>
          <w:rFonts w:hint="eastAsia" w:ascii="宋体" w:hAnsi="宋体" w:cs="宋体"/>
          <w:color w:val="auto"/>
          <w:highlight w:val="none"/>
          <w:lang w:eastAsia="zh-CN"/>
        </w:rPr>
        <w:t>和其他物品</w:t>
      </w:r>
      <w:r>
        <w:rPr>
          <w:rFonts w:hint="eastAsia" w:ascii="宋体" w:hAnsi="宋体" w:eastAsia="宋体" w:cs="宋体"/>
          <w:color w:val="auto"/>
          <w:highlight w:val="none"/>
        </w:rPr>
        <w:t>，并按合同约定负责临时设施的设计、建造、运行、维护、管理和拆除。</w:t>
      </w:r>
    </w:p>
    <w:p w14:paraId="14AFCE9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4.1.4 对施工作业和施工方法的完备性负责</w:t>
      </w:r>
    </w:p>
    <w:p w14:paraId="0A495CC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承包人应按合同约定的工作内容和施工进度要求，编制施工组织设计和施工措施计划，并对所有施工作业和施工方法的完备性和安全可靠性负责。</w:t>
      </w:r>
    </w:p>
    <w:p w14:paraId="1585018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4.1.5 保证工程施工和人员的安全</w:t>
      </w:r>
    </w:p>
    <w:p w14:paraId="7E2D762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承包人应按第9.2款约定采取施工安全措施，确保工程及其人员、材料、设备和设施的安全，防止因工程施工造成的人身伤害和财产损失。</w:t>
      </w:r>
    </w:p>
    <w:p w14:paraId="07BE32E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4.1.6 负责施工场地及其周边环境与生态的保护工作</w:t>
      </w:r>
    </w:p>
    <w:p w14:paraId="5C0C85E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承包人应按照第9.4款约定负责施工场地及其周边环境与生态的保护工作。</w:t>
      </w:r>
    </w:p>
    <w:p w14:paraId="5F585DB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4.1.7 避免施工对公众与他人的利益造成损害</w:t>
      </w:r>
    </w:p>
    <w:p w14:paraId="6BB6AC0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A3EA0E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4.1.8 为他人提供方便</w:t>
      </w:r>
    </w:p>
    <w:p w14:paraId="2DC776A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2901EFB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4.1.9 工程的维护和照管</w:t>
      </w:r>
    </w:p>
    <w:p w14:paraId="2B34AEF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6736530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4.1.10 其他义务</w:t>
      </w:r>
    </w:p>
    <w:p w14:paraId="431FA24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bookmarkStart w:id="548" w:name="_Toc179632659"/>
      <w:bookmarkStart w:id="549" w:name="_Toc152045641"/>
      <w:bookmarkStart w:id="550" w:name="_Toc144974609"/>
      <w:bookmarkStart w:id="551" w:name="_Toc152042419"/>
      <w:r>
        <w:rPr>
          <w:rFonts w:hint="eastAsia" w:ascii="宋体" w:hAnsi="宋体" w:eastAsia="宋体" w:cs="宋体"/>
          <w:color w:val="auto"/>
          <w:highlight w:val="none"/>
        </w:rPr>
        <w:t>其它义务在专用合同条款中补充约定。</w:t>
      </w:r>
    </w:p>
    <w:p w14:paraId="51D4A4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4.2 履约担保</w:t>
      </w:r>
      <w:bookmarkEnd w:id="548"/>
      <w:bookmarkEnd w:id="549"/>
      <w:bookmarkEnd w:id="550"/>
      <w:bookmarkEnd w:id="551"/>
    </w:p>
    <w:p w14:paraId="07EF8D0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bookmarkStart w:id="552" w:name="_Toc152042420"/>
      <w:bookmarkStart w:id="553" w:name="_Toc144974610"/>
      <w:bookmarkStart w:id="554" w:name="_Toc179632660"/>
      <w:bookmarkStart w:id="555" w:name="_Toc152045642"/>
      <w:r>
        <w:rPr>
          <w:rFonts w:hint="eastAsia" w:ascii="宋体" w:hAnsi="宋体" w:cs="宋体"/>
          <w:color w:val="auto"/>
          <w:highlight w:val="none"/>
          <w:lang w:eastAsia="zh-CN"/>
        </w:rPr>
        <w:t>承</w:t>
      </w:r>
      <w:r>
        <w:rPr>
          <w:rFonts w:hint="eastAsia" w:ascii="宋体" w:hAnsi="宋体" w:eastAsia="宋体" w:cs="宋体"/>
          <w:color w:val="auto"/>
          <w:highlight w:val="none"/>
        </w:rPr>
        <w:t>包人应保证其履约担保在发包人颁发合同工程完工证书前一直有效。发包人应在合同工程完工证书颁发后28天内将履约担保退还给承包人。</w:t>
      </w:r>
    </w:p>
    <w:p w14:paraId="616214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4.3 分包</w:t>
      </w:r>
      <w:bookmarkEnd w:id="552"/>
      <w:bookmarkEnd w:id="553"/>
      <w:bookmarkEnd w:id="554"/>
      <w:bookmarkEnd w:id="555"/>
    </w:p>
    <w:p w14:paraId="65E69B3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4.3.1 承包人不得将其承包的全部工程转包给第三人，或将其承包的全部工程肢解后以分包的名义转包给第三人。</w:t>
      </w:r>
    </w:p>
    <w:p w14:paraId="6CB56A9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4.3.2 承包人不得将工程主体、关键性工作分包给第三人。除专用合同条款另有约定外，未经发包人同意，承包人不得将工程的其他部分或工作分包给第三人。</w:t>
      </w:r>
    </w:p>
    <w:p w14:paraId="01EB5DF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4.3.3 分包人的资格能力应与其分包工程的标准和规模相适应。</w:t>
      </w:r>
    </w:p>
    <w:p w14:paraId="169AB8E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4.3.4 按投标函附录约定分包工程的，承包人应向发包人和监理人提交分包合同副本。</w:t>
      </w:r>
    </w:p>
    <w:p w14:paraId="7928851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4.3.5 承包人应与分包人就分包工程向发包人承担连带责任。</w:t>
      </w:r>
    </w:p>
    <w:p w14:paraId="0850C24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4.3.6 分包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4C654AC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4.3.7 在合同实施过程中，如承包人无力</w:t>
      </w:r>
      <w:r>
        <w:rPr>
          <w:rFonts w:hint="eastAsia" w:ascii="宋体" w:hAnsi="宋体" w:cs="宋体"/>
          <w:color w:val="auto"/>
          <w:highlight w:val="none"/>
          <w:lang w:eastAsia="zh-CN"/>
        </w:rPr>
        <w:t>在</w:t>
      </w:r>
      <w:r>
        <w:rPr>
          <w:rFonts w:hint="eastAsia" w:ascii="宋体" w:hAnsi="宋体" w:eastAsia="宋体" w:cs="宋体"/>
          <w:color w:val="auto"/>
          <w:highlight w:val="none"/>
        </w:rPr>
        <w:t>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530E8C0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由指定分包人造成的与其分包工作有关的一切索赔、诉讼和损失赔偿由指定发包人直接对发包人负责，承包人不对此承担责任。</w:t>
      </w:r>
    </w:p>
    <w:p w14:paraId="07364E5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4.3.8 承包人和发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282F390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4.3.9 除第4.3.7项规定的指定分包外，承包人对其分包项目的实施以及分包人的行为向发包人负全部责任。承包人应对分包项目的工程进度、质量、安全、计量和验收等实施活动。</w:t>
      </w:r>
    </w:p>
    <w:p w14:paraId="126A3A2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4.3.10 分包人应按专用合同条款的约定设立项目管理机构组织管理分包工程的施工活动。</w:t>
      </w:r>
    </w:p>
    <w:p w14:paraId="078755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56" w:name="_Toc152045643"/>
      <w:bookmarkStart w:id="557" w:name="_Toc179632661"/>
      <w:bookmarkStart w:id="558" w:name="_Toc144974611"/>
      <w:bookmarkStart w:id="559" w:name="_Toc152042421"/>
      <w:r>
        <w:rPr>
          <w:rFonts w:hint="eastAsia" w:ascii="宋体" w:hAnsi="宋体" w:eastAsia="宋体" w:cs="宋体"/>
          <w:b/>
          <w:bCs/>
          <w:color w:val="auto"/>
          <w:highlight w:val="none"/>
        </w:rPr>
        <w:t>4.4 联合体</w:t>
      </w:r>
      <w:bookmarkEnd w:id="556"/>
      <w:bookmarkEnd w:id="557"/>
      <w:bookmarkEnd w:id="558"/>
      <w:bookmarkEnd w:id="559"/>
    </w:p>
    <w:p w14:paraId="71349B7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4.4.1 联合体各方应共同与发包人签订合同协议书。联合体各方应为履行合同承担连带责任。</w:t>
      </w:r>
    </w:p>
    <w:p w14:paraId="26CD7C0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4.4.2 联合体协议经发包人确认后作为合同附件。在履行合同过程中，未经发包人同意，不得修改联合体协议。</w:t>
      </w:r>
    </w:p>
    <w:p w14:paraId="050F405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4.4.3 联合体牵头人负责与发包人和监理人联系，并接受指示，负责组织联合体各成员全面履行合同。</w:t>
      </w:r>
    </w:p>
    <w:p w14:paraId="07B3A2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60" w:name="_Toc152045644"/>
      <w:bookmarkStart w:id="561" w:name="_Toc144974612"/>
      <w:bookmarkStart w:id="562" w:name="_Toc152042422"/>
      <w:bookmarkStart w:id="563" w:name="_Toc179632662"/>
      <w:r>
        <w:rPr>
          <w:rFonts w:hint="eastAsia" w:ascii="宋体" w:hAnsi="宋体" w:eastAsia="宋体" w:cs="宋体"/>
          <w:b/>
          <w:bCs/>
          <w:color w:val="auto"/>
          <w:highlight w:val="none"/>
        </w:rPr>
        <w:t>4.5 承包人项目经理</w:t>
      </w:r>
      <w:bookmarkEnd w:id="560"/>
      <w:bookmarkEnd w:id="561"/>
      <w:bookmarkEnd w:id="562"/>
      <w:bookmarkEnd w:id="563"/>
    </w:p>
    <w:p w14:paraId="17DF7E7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02151B9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67CE3A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4.5.3承包人为履行合同发出的一切函件均应盖有承包人授权的施工场地管理机构章，并由承包人项目经理或其授权代表签字。</w:t>
      </w:r>
    </w:p>
    <w:p w14:paraId="343F54B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4.5.4 承包人项目经理可以授权其下属人员履行其某项职责，但事先应将这些人员的姓名和授权范围通知监理人。</w:t>
      </w:r>
    </w:p>
    <w:p w14:paraId="44F2FF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64" w:name="_Toc152042423"/>
      <w:bookmarkStart w:id="565" w:name="_Toc179632663"/>
      <w:bookmarkStart w:id="566" w:name="_Toc144974613"/>
      <w:bookmarkStart w:id="567" w:name="_Toc152045645"/>
      <w:r>
        <w:rPr>
          <w:rFonts w:hint="eastAsia" w:ascii="宋体" w:hAnsi="宋体" w:eastAsia="宋体" w:cs="宋体"/>
          <w:b/>
          <w:bCs/>
          <w:color w:val="auto"/>
          <w:highlight w:val="none"/>
        </w:rPr>
        <w:t>4.6 承包人人员的管理</w:t>
      </w:r>
      <w:bookmarkEnd w:id="564"/>
      <w:bookmarkEnd w:id="565"/>
      <w:bookmarkEnd w:id="566"/>
      <w:bookmarkEnd w:id="567"/>
    </w:p>
    <w:p w14:paraId="4C77806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566C315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4.6.2 为完成合同约定的各项工作，承包人应向施工场地派遣或雇佣足够数量的下列人员：</w:t>
      </w:r>
    </w:p>
    <w:p w14:paraId="726C0E1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（1）具有相应资格的专业技工和合格的普工；</w:t>
      </w:r>
    </w:p>
    <w:p w14:paraId="1437C64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（2）具有相应施工经验的技术人员；</w:t>
      </w:r>
    </w:p>
    <w:p w14:paraId="5AB584F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（3）具有相应岗位资格的各级管理人员。</w:t>
      </w:r>
    </w:p>
    <w:p w14:paraId="143AA10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4.6.3 承包人安排在施工场地的主要管理人员和技术骨干应相对稳定。承包人更换主要管理人员和技术骨干时，应取得监理人的同意。</w:t>
      </w:r>
    </w:p>
    <w:p w14:paraId="585F1C4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4.6.4 特殊岗位的工作人员均应持有相应的资格证明，监理人有权随时检查。监理人认为有必要时，可进行现场考核。</w:t>
      </w:r>
    </w:p>
    <w:p w14:paraId="356B9C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68" w:name="_Toc152045646"/>
      <w:bookmarkStart w:id="569" w:name="_Toc152042424"/>
      <w:bookmarkStart w:id="570" w:name="_Toc179632664"/>
      <w:bookmarkStart w:id="571" w:name="_Toc144974614"/>
      <w:r>
        <w:rPr>
          <w:rFonts w:hint="eastAsia" w:ascii="宋体" w:hAnsi="宋体" w:eastAsia="宋体" w:cs="宋体"/>
          <w:b/>
          <w:bCs/>
          <w:color w:val="auto"/>
          <w:highlight w:val="none"/>
        </w:rPr>
        <w:t>4.7 撤换承包人项目经理和其他人员</w:t>
      </w:r>
      <w:bookmarkEnd w:id="568"/>
      <w:bookmarkEnd w:id="569"/>
      <w:bookmarkEnd w:id="570"/>
      <w:bookmarkEnd w:id="571"/>
    </w:p>
    <w:p w14:paraId="0CEBF92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承包人应对其项目经理和其他人员进行有效管理。监理人要求撤换不能胜任本职工作、行为不端或玩忽职守的承包人项目经理和其他人员的，承包人应予以撤换。</w:t>
      </w:r>
    </w:p>
    <w:p w14:paraId="1FED76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72" w:name="_Toc152042425"/>
      <w:bookmarkStart w:id="573" w:name="_Toc152045647"/>
      <w:bookmarkStart w:id="574" w:name="_Toc144974615"/>
      <w:bookmarkStart w:id="575" w:name="_Toc179632665"/>
      <w:r>
        <w:rPr>
          <w:rFonts w:hint="eastAsia" w:ascii="宋体" w:hAnsi="宋体" w:eastAsia="宋体" w:cs="宋体"/>
          <w:b/>
          <w:bCs/>
          <w:color w:val="auto"/>
          <w:highlight w:val="none"/>
        </w:rPr>
        <w:t>4.8 保障承包人人员的合法权益</w:t>
      </w:r>
      <w:bookmarkEnd w:id="572"/>
      <w:bookmarkEnd w:id="573"/>
      <w:bookmarkEnd w:id="574"/>
      <w:bookmarkEnd w:id="575"/>
    </w:p>
    <w:p w14:paraId="12E400B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4.8.1 承包人应与其雇佣的人员签订劳动合同，并按时发放工资。</w:t>
      </w:r>
    </w:p>
    <w:p w14:paraId="631EAFF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61160BA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4.8.3 承包人应为其雇佣人员提供必要的食宿条件，以及符合环境保护和卫生要求的生活环境，在远离城镇的施工场地，还应配备必要的伤病防治和急救的医务人员与医疗设施。</w:t>
      </w:r>
    </w:p>
    <w:p w14:paraId="385A752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46B1680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4.8.5 承包人应按有关法律规定和合同约定，为其雇佣人员办理保险。</w:t>
      </w:r>
    </w:p>
    <w:p w14:paraId="2A43EE2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4.8.6 承包人应负责处理其雇佣人员因工伤亡事故的善后事宜。</w:t>
      </w:r>
    </w:p>
    <w:p w14:paraId="73C119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76" w:name="_Toc144974616"/>
      <w:bookmarkStart w:id="577" w:name="_Toc179632666"/>
      <w:bookmarkStart w:id="578" w:name="_Toc152042426"/>
      <w:bookmarkStart w:id="579" w:name="_Toc152045648"/>
      <w:r>
        <w:rPr>
          <w:rFonts w:hint="eastAsia" w:ascii="宋体" w:hAnsi="宋体" w:eastAsia="宋体" w:cs="宋体"/>
          <w:b/>
          <w:bCs/>
          <w:color w:val="auto"/>
          <w:highlight w:val="none"/>
        </w:rPr>
        <w:t>4.9 工程价款应专款专用</w:t>
      </w:r>
      <w:bookmarkEnd w:id="576"/>
      <w:bookmarkEnd w:id="577"/>
      <w:bookmarkEnd w:id="578"/>
      <w:bookmarkEnd w:id="579"/>
    </w:p>
    <w:p w14:paraId="4F2D31B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发包人按合同约定支付给承包人的各项价款应专用于合同工程。</w:t>
      </w:r>
    </w:p>
    <w:p w14:paraId="64F62B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80" w:name="_Toc144974617"/>
      <w:bookmarkStart w:id="581" w:name="_Toc179632667"/>
      <w:bookmarkStart w:id="582" w:name="_Toc152042427"/>
      <w:bookmarkStart w:id="583" w:name="_Toc152045649"/>
      <w:r>
        <w:rPr>
          <w:rFonts w:hint="eastAsia" w:ascii="宋体" w:hAnsi="宋体" w:eastAsia="宋体" w:cs="宋体"/>
          <w:b/>
          <w:bCs/>
          <w:color w:val="auto"/>
          <w:highlight w:val="none"/>
          <w:lang w:val="en-US" w:eastAsia="zh-CN"/>
        </w:rPr>
        <w:t>4.10 承包人现场查勘</w:t>
      </w:r>
      <w:bookmarkEnd w:id="580"/>
      <w:bookmarkEnd w:id="581"/>
      <w:bookmarkEnd w:id="582"/>
      <w:bookmarkEnd w:id="583"/>
    </w:p>
    <w:p w14:paraId="389D8EE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4.10.1 发包人应将其持有的现场地质勘探资料、水文气象资料提供给承包人，并对其准确性负责。但承包人应对其阅读上述有关资料后所作出的解释和推断负责。</w:t>
      </w:r>
    </w:p>
    <w:p w14:paraId="51742FE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8C4A7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84" w:name="_Toc152045650"/>
      <w:bookmarkStart w:id="585" w:name="_Toc179632668"/>
      <w:bookmarkStart w:id="586" w:name="_Toc144974618"/>
      <w:bookmarkStart w:id="587" w:name="_Toc152042428"/>
      <w:r>
        <w:rPr>
          <w:rFonts w:hint="eastAsia" w:ascii="宋体" w:hAnsi="宋体" w:eastAsia="宋体" w:cs="宋体"/>
          <w:b/>
          <w:bCs/>
          <w:color w:val="auto"/>
          <w:highlight w:val="none"/>
        </w:rPr>
        <w:t>4.11 不利物质条件</w:t>
      </w:r>
      <w:bookmarkEnd w:id="584"/>
      <w:bookmarkEnd w:id="585"/>
      <w:bookmarkEnd w:id="586"/>
      <w:bookmarkEnd w:id="587"/>
    </w:p>
    <w:p w14:paraId="35C0A0A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bookmarkStart w:id="588" w:name="_Toc144974619"/>
      <w:bookmarkStart w:id="589" w:name="_Toc152042429"/>
      <w:bookmarkStart w:id="590" w:name="_Toc152045651"/>
      <w:bookmarkStart w:id="591" w:name="_Toc179632669"/>
      <w:r>
        <w:rPr>
          <w:rFonts w:hint="eastAsia" w:ascii="宋体" w:hAnsi="宋体" w:eastAsia="宋体" w:cs="宋体"/>
          <w:color w:val="auto"/>
          <w:highlight w:val="none"/>
        </w:rPr>
        <w:t>4.11.1 除专用合同条款另外约定外，不利物质条件是指在施工中遭遇不可预见的外界障碍或自然条件造成施工受阻。</w:t>
      </w:r>
    </w:p>
    <w:p w14:paraId="0584A05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的程度的基础上，按照通用合同条款第15条的约定办理。</w:t>
      </w:r>
    </w:p>
    <w:p w14:paraId="3407FBFE">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5. 材料和工程设备</w:t>
      </w:r>
      <w:bookmarkEnd w:id="588"/>
      <w:bookmarkEnd w:id="589"/>
      <w:bookmarkEnd w:id="590"/>
      <w:bookmarkEnd w:id="591"/>
    </w:p>
    <w:p w14:paraId="622292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92" w:name="_Toc152042430"/>
      <w:bookmarkStart w:id="593" w:name="_Toc144974620"/>
      <w:bookmarkStart w:id="594" w:name="_Toc152045652"/>
      <w:bookmarkStart w:id="595" w:name="_Toc179632670"/>
      <w:r>
        <w:rPr>
          <w:rFonts w:hint="eastAsia" w:ascii="宋体" w:hAnsi="宋体" w:eastAsia="宋体" w:cs="宋体"/>
          <w:b/>
          <w:bCs/>
          <w:color w:val="auto"/>
          <w:highlight w:val="none"/>
        </w:rPr>
        <w:t>5.1 承包人提供的材料和工程设备</w:t>
      </w:r>
      <w:bookmarkEnd w:id="592"/>
      <w:bookmarkEnd w:id="593"/>
      <w:bookmarkEnd w:id="594"/>
      <w:bookmarkEnd w:id="595"/>
    </w:p>
    <w:p w14:paraId="70182FC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5.1.1除第5.2款约定由发包人提供的材料和工程设备外，承包人负责采购、运输和保管完成本合同工作所需的材料和工程设备。承包人应对其采购的材料和工程设备负责。</w:t>
      </w:r>
    </w:p>
    <w:p w14:paraId="3D9E690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5DCCCF0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018C25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596" w:name="_Toc179632671"/>
      <w:bookmarkStart w:id="597" w:name="_Toc152045653"/>
      <w:bookmarkStart w:id="598" w:name="_Toc144974621"/>
      <w:bookmarkStart w:id="599" w:name="_Toc152042431"/>
      <w:r>
        <w:rPr>
          <w:rFonts w:hint="eastAsia" w:ascii="宋体" w:hAnsi="宋体" w:eastAsia="宋体" w:cs="宋体"/>
          <w:b/>
          <w:bCs/>
          <w:color w:val="auto"/>
          <w:highlight w:val="none"/>
        </w:rPr>
        <w:t>5.2 发包人提供的材料和工程设备</w:t>
      </w:r>
      <w:bookmarkEnd w:id="596"/>
      <w:bookmarkEnd w:id="597"/>
      <w:bookmarkEnd w:id="598"/>
      <w:bookmarkEnd w:id="599"/>
    </w:p>
    <w:p w14:paraId="3AA7FD0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5.2.1 发包人提供的材料和工程设备，应在专用合同条款中写明材料和工程设备的名称、规格、数量、价格、交货方式、交货地点和计划交货日期等。</w:t>
      </w:r>
    </w:p>
    <w:p w14:paraId="7B5AC25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5.2.2 承包人应根据合同进度计划的安排，向监理人报送要求发包人交货的日期计划。发包人应按照监理人与合同双方当事人商定的交货日期，向承包人提交材料和工程设备。</w:t>
      </w:r>
    </w:p>
    <w:p w14:paraId="5CB638E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75438FE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5.2.4 发包人要求向承包人提前交货的，承包人不得拒绝，但发包人应承担承包人由此增加的费用。 </w:t>
      </w:r>
    </w:p>
    <w:p w14:paraId="5FE579C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5.2.5 承包人要求更改交货日期或地点的，应事先报请监理人批准。由于承包人要求更改交货时间或地点所增加的费用和（或）工期延误由承包人承担。 </w:t>
      </w:r>
    </w:p>
    <w:p w14:paraId="75F89BD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FF4EC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00" w:name="_Toc179632672"/>
      <w:bookmarkStart w:id="601" w:name="_Toc144974622"/>
      <w:bookmarkStart w:id="602" w:name="_Toc152045654"/>
      <w:bookmarkStart w:id="603" w:name="_Toc152042432"/>
      <w:r>
        <w:rPr>
          <w:rFonts w:hint="eastAsia" w:ascii="宋体" w:hAnsi="宋体" w:eastAsia="宋体" w:cs="宋体"/>
          <w:b/>
          <w:bCs/>
          <w:color w:val="auto"/>
          <w:highlight w:val="none"/>
        </w:rPr>
        <w:t>5.3 材料和工程设备专用于合同工程</w:t>
      </w:r>
      <w:bookmarkEnd w:id="600"/>
      <w:bookmarkEnd w:id="601"/>
      <w:bookmarkEnd w:id="602"/>
      <w:bookmarkEnd w:id="603"/>
    </w:p>
    <w:p w14:paraId="40C17E5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5.3.1运入施工场地的材料、工程设备，包括备品备件、安装专用工器具与随机资料，必须专用于合同工程，未经监理人同意，承包人不得运出施工场地或挪作他用。</w:t>
      </w:r>
    </w:p>
    <w:p w14:paraId="5DFCD00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150EE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04" w:name="_Toc152042433"/>
      <w:bookmarkStart w:id="605" w:name="_Toc144974623"/>
      <w:bookmarkStart w:id="606" w:name="_Toc179632673"/>
      <w:bookmarkStart w:id="607" w:name="_Toc152045655"/>
      <w:r>
        <w:rPr>
          <w:rFonts w:hint="eastAsia" w:ascii="宋体" w:hAnsi="宋体" w:eastAsia="宋体" w:cs="宋体"/>
          <w:b/>
          <w:bCs/>
          <w:color w:val="auto"/>
          <w:highlight w:val="none"/>
        </w:rPr>
        <w:t>5.4 禁止使用不合格的材料和工程设备</w:t>
      </w:r>
      <w:bookmarkEnd w:id="604"/>
      <w:bookmarkEnd w:id="605"/>
      <w:bookmarkEnd w:id="606"/>
      <w:bookmarkEnd w:id="607"/>
    </w:p>
    <w:p w14:paraId="640BEA7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5.4.1 监理人有权拒绝承包人提供的不合格材料或工程设备，并要求承包人立即进行更换。监理人应在更换后再次进行检查和检验，由此增加的费用和（或）工期延误由承包人承担。</w:t>
      </w:r>
    </w:p>
    <w:p w14:paraId="7E1D31A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5.4.2 监理人发现承包人使用了不合格的材料和工程设备，应</w:t>
      </w:r>
      <w:r>
        <w:rPr>
          <w:rFonts w:hint="eastAsia" w:ascii="宋体" w:hAnsi="宋体" w:cs="宋体"/>
          <w:color w:val="auto"/>
          <w:highlight w:val="none"/>
          <w:lang w:eastAsia="zh-CN"/>
        </w:rPr>
        <w:t>及时</w:t>
      </w:r>
      <w:r>
        <w:rPr>
          <w:rFonts w:hint="eastAsia" w:ascii="宋体" w:hAnsi="宋体" w:eastAsia="宋体" w:cs="宋体"/>
          <w:color w:val="auto"/>
          <w:highlight w:val="none"/>
        </w:rPr>
        <w:t>发出指示要求承包人立即改正，并禁止在工程中继续使用不合格的材料和工程设备。</w:t>
      </w:r>
    </w:p>
    <w:p w14:paraId="637C440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5.4.3 发包人提供的材料或工程设备不符合合同要求的，承包人有权拒绝，并可要求发包人更换，由此增加的费用和（或）工期延误由发包人承担。</w:t>
      </w:r>
    </w:p>
    <w:p w14:paraId="1396804F">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608" w:name="_Toc144974624"/>
      <w:bookmarkStart w:id="609" w:name="_Toc152045656"/>
      <w:bookmarkStart w:id="610" w:name="_Toc179632674"/>
      <w:bookmarkStart w:id="611" w:name="_Toc152042434"/>
      <w:r>
        <w:rPr>
          <w:rFonts w:hint="eastAsia" w:ascii="宋体" w:hAnsi="宋体" w:eastAsia="宋体" w:cs="宋体"/>
          <w:color w:val="auto"/>
          <w:sz w:val="21"/>
          <w:szCs w:val="21"/>
          <w:highlight w:val="none"/>
          <w:lang w:val="zh-CN" w:eastAsia="zh-CN"/>
        </w:rPr>
        <w:t>6. 施工设备和临时设施</w:t>
      </w:r>
      <w:bookmarkEnd w:id="608"/>
      <w:bookmarkEnd w:id="609"/>
      <w:bookmarkEnd w:id="610"/>
      <w:bookmarkEnd w:id="611"/>
    </w:p>
    <w:p w14:paraId="0DA78B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12" w:name="_Toc144974625"/>
      <w:bookmarkStart w:id="613" w:name="_Toc152045657"/>
      <w:bookmarkStart w:id="614" w:name="_Toc152042435"/>
      <w:bookmarkStart w:id="615" w:name="_Toc179632675"/>
      <w:r>
        <w:rPr>
          <w:rFonts w:hint="eastAsia" w:ascii="宋体" w:hAnsi="宋体" w:eastAsia="宋体" w:cs="宋体"/>
          <w:b/>
          <w:bCs/>
          <w:color w:val="auto"/>
          <w:highlight w:val="none"/>
        </w:rPr>
        <w:t>6.1 承包人提供的施工设备和临时设施</w:t>
      </w:r>
      <w:bookmarkEnd w:id="612"/>
      <w:bookmarkEnd w:id="613"/>
      <w:bookmarkEnd w:id="614"/>
      <w:bookmarkEnd w:id="615"/>
    </w:p>
    <w:p w14:paraId="23AA6F4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60CF6D8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6.1.2除专用合同条款另有约定外，承包人应自行承担修建临时设施的费用，需要临时占地的，应由发包人办理申请手续并承担相应费用。</w:t>
      </w:r>
    </w:p>
    <w:p w14:paraId="44D655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16" w:name="_Toc179632676"/>
      <w:bookmarkStart w:id="617" w:name="_Toc152045658"/>
      <w:bookmarkStart w:id="618" w:name="_Toc144974626"/>
      <w:bookmarkStart w:id="619" w:name="_Toc152042436"/>
      <w:r>
        <w:rPr>
          <w:rFonts w:hint="eastAsia" w:ascii="宋体" w:hAnsi="宋体" w:eastAsia="宋体" w:cs="宋体"/>
          <w:b/>
          <w:bCs/>
          <w:color w:val="auto"/>
          <w:highlight w:val="none"/>
        </w:rPr>
        <w:t>6.2 发包人提供的施工设备和临时设施</w:t>
      </w:r>
      <w:bookmarkEnd w:id="616"/>
      <w:bookmarkEnd w:id="617"/>
      <w:bookmarkEnd w:id="618"/>
      <w:bookmarkEnd w:id="619"/>
    </w:p>
    <w:p w14:paraId="2B23611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发包人提供的施工设备或临时设施在专用合同条款中约定。</w:t>
      </w:r>
    </w:p>
    <w:p w14:paraId="50B772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20" w:name="_Toc152042437"/>
      <w:bookmarkStart w:id="621" w:name="_Toc152045659"/>
      <w:bookmarkStart w:id="622" w:name="_Toc144974627"/>
      <w:bookmarkStart w:id="623" w:name="_Toc179632677"/>
      <w:r>
        <w:rPr>
          <w:rFonts w:hint="eastAsia" w:ascii="宋体" w:hAnsi="宋体" w:eastAsia="宋体" w:cs="宋体"/>
          <w:b/>
          <w:bCs/>
          <w:color w:val="auto"/>
          <w:highlight w:val="none"/>
        </w:rPr>
        <w:t>6.3 要求承包人增加或更换施工设备</w:t>
      </w:r>
      <w:bookmarkEnd w:id="620"/>
      <w:bookmarkEnd w:id="621"/>
      <w:bookmarkEnd w:id="622"/>
      <w:bookmarkEnd w:id="623"/>
    </w:p>
    <w:p w14:paraId="3C6F259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承包人使用的施工设备不能满足合同进度计划和（或）质量要求时，监理人有权要求承包人增加或更换施工设备，承包人应及时增加或更换，由此增加的费用和（或）工期延误由承包人承担。</w:t>
      </w:r>
    </w:p>
    <w:p w14:paraId="2AF4F5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24" w:name="_Toc179632678"/>
      <w:bookmarkStart w:id="625" w:name="_Toc144974628"/>
      <w:bookmarkStart w:id="626" w:name="_Toc152042438"/>
      <w:bookmarkStart w:id="627" w:name="_Toc152045660"/>
      <w:r>
        <w:rPr>
          <w:rFonts w:hint="eastAsia" w:ascii="宋体" w:hAnsi="宋体" w:eastAsia="宋体" w:cs="宋体"/>
          <w:b/>
          <w:bCs/>
          <w:color w:val="auto"/>
          <w:highlight w:val="none"/>
        </w:rPr>
        <w:t>6.4 施工设备和临时设施专用于合同工程</w:t>
      </w:r>
      <w:bookmarkEnd w:id="624"/>
      <w:bookmarkEnd w:id="625"/>
      <w:bookmarkEnd w:id="626"/>
      <w:bookmarkEnd w:id="627"/>
    </w:p>
    <w:p w14:paraId="09AE6CE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6.4.1除合同另有约定外，运入施工场地的所有施工设备以及在施工场地建设的临时设施应专用于合同工程。未经监理人同意，不得将上述施工设备和临时设施中的任何部分运出施工场地或挪作他用。</w:t>
      </w:r>
    </w:p>
    <w:p w14:paraId="7CB2706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6.4.2 经监理人同意，承包人可根据合同进度计划撤走闲置的施工设备。</w:t>
      </w:r>
    </w:p>
    <w:p w14:paraId="49E13476">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628" w:name="_Toc179632679"/>
      <w:bookmarkStart w:id="629" w:name="_Toc144974629"/>
      <w:bookmarkStart w:id="630" w:name="_Toc152042439"/>
      <w:bookmarkStart w:id="631" w:name="_Toc152045661"/>
      <w:r>
        <w:rPr>
          <w:rFonts w:hint="eastAsia" w:ascii="宋体" w:hAnsi="宋体" w:eastAsia="宋体" w:cs="宋体"/>
          <w:color w:val="auto"/>
          <w:sz w:val="21"/>
          <w:szCs w:val="21"/>
          <w:highlight w:val="none"/>
          <w:lang w:val="zh-CN" w:eastAsia="zh-CN"/>
        </w:rPr>
        <w:t>7. 交通运输</w:t>
      </w:r>
      <w:bookmarkEnd w:id="628"/>
      <w:bookmarkEnd w:id="629"/>
      <w:bookmarkEnd w:id="630"/>
      <w:bookmarkEnd w:id="631"/>
    </w:p>
    <w:p w14:paraId="60F2DB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32" w:name="_Toc179632681"/>
      <w:bookmarkStart w:id="633" w:name="_Toc152042441"/>
      <w:bookmarkStart w:id="634" w:name="_Toc144974631"/>
      <w:bookmarkStart w:id="635" w:name="_Toc152045663"/>
      <w:r>
        <w:rPr>
          <w:rFonts w:hint="eastAsia" w:ascii="宋体" w:hAnsi="宋体" w:eastAsia="宋体" w:cs="宋体"/>
          <w:b/>
          <w:bCs/>
          <w:color w:val="auto"/>
          <w:highlight w:val="none"/>
        </w:rPr>
        <w:t>7.1 道路通行权和场外设施</w:t>
      </w:r>
    </w:p>
    <w:p w14:paraId="1509DF3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承包人应根据合同工程的施工需要，负责办理取得出入施工场地的专用和临时道路的通行权，以及取得为工程建设所需要修建场外设施的权利，并承担相关费用。发包人应协助承包人办理上述手续。</w:t>
      </w:r>
    </w:p>
    <w:p w14:paraId="5AB95A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7.2 场内施工道路</w:t>
      </w:r>
      <w:bookmarkEnd w:id="632"/>
      <w:bookmarkEnd w:id="633"/>
      <w:bookmarkEnd w:id="634"/>
      <w:bookmarkEnd w:id="635"/>
    </w:p>
    <w:p w14:paraId="101D47A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bookmarkStart w:id="636" w:name="_Toc152042442"/>
      <w:bookmarkStart w:id="637" w:name="_Toc144974632"/>
      <w:bookmarkStart w:id="638" w:name="_Toc179632682"/>
      <w:bookmarkStart w:id="639" w:name="_Toc152045664"/>
      <w:r>
        <w:rPr>
          <w:rFonts w:hint="eastAsia" w:ascii="宋体" w:hAnsi="宋体" w:eastAsia="宋体" w:cs="宋体"/>
          <w:color w:val="auto"/>
          <w:highlight w:val="none"/>
        </w:rPr>
        <w:t>7.2.1 除本合同约定的</w:t>
      </w:r>
      <w:r>
        <w:rPr>
          <w:rFonts w:hint="eastAsia" w:ascii="宋体" w:hAnsi="宋体" w:cs="宋体"/>
          <w:color w:val="auto"/>
          <w:highlight w:val="none"/>
          <w:lang w:eastAsia="zh-CN"/>
        </w:rPr>
        <w:t>由</w:t>
      </w:r>
      <w:r>
        <w:rPr>
          <w:rFonts w:hint="eastAsia" w:ascii="宋体" w:hAnsi="宋体" w:eastAsia="宋体" w:cs="宋体"/>
          <w:color w:val="auto"/>
          <w:highlight w:val="none"/>
        </w:rPr>
        <w:t>发包人提供的部分道路和交通设施外，承包人应负责修建、维修、养护和管理其施工所需的全部临时道路和交通设施（包括合同约定由发包人提供的部分道路和交通设施的维修、养护和管理），并承担相应费用。</w:t>
      </w:r>
    </w:p>
    <w:p w14:paraId="6FF7E1E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
          <w:bCs/>
          <w:color w:val="auto"/>
          <w:highlight w:val="none"/>
        </w:rPr>
      </w:pPr>
      <w:r>
        <w:rPr>
          <w:rFonts w:hint="eastAsia" w:ascii="宋体" w:hAnsi="宋体" w:eastAsia="宋体" w:cs="宋体"/>
          <w:color w:val="auto"/>
          <w:highlight w:val="none"/>
        </w:rPr>
        <w:t>7.2.2 承包人修建的临时道路和交通设施，应免费提供发包人，监理人以及与本合同有关的其他承包人使用</w:t>
      </w:r>
      <w:r>
        <w:rPr>
          <w:rFonts w:hint="eastAsia" w:ascii="宋体" w:hAnsi="宋体" w:eastAsia="宋体" w:cs="宋体"/>
          <w:b/>
          <w:bCs/>
          <w:color w:val="auto"/>
          <w:highlight w:val="none"/>
        </w:rPr>
        <w:t>。</w:t>
      </w:r>
    </w:p>
    <w:p w14:paraId="0987A82A">
      <w:pPr>
        <w:pageBreakBefore w:val="0"/>
        <w:widowControl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7.3 场外交通</w:t>
      </w:r>
      <w:bookmarkEnd w:id="636"/>
      <w:bookmarkEnd w:id="637"/>
      <w:bookmarkEnd w:id="638"/>
      <w:bookmarkEnd w:id="639"/>
    </w:p>
    <w:p w14:paraId="377C5C3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7.3.1 承包人车辆外出行驶所需的场外公共道路的通行费、养路费和税款等由承包人承担。</w:t>
      </w:r>
    </w:p>
    <w:p w14:paraId="0345C53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7.3.2 承包人应遵守有关交通法规，严格按照道路和桥梁的限制荷重安全行驶，并服从交通管理部门的检查和监督。</w:t>
      </w:r>
    </w:p>
    <w:p w14:paraId="57A7DA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40" w:name="_Toc152045665"/>
      <w:bookmarkStart w:id="641" w:name="_Toc179632683"/>
      <w:bookmarkStart w:id="642" w:name="_Toc144974633"/>
      <w:bookmarkStart w:id="643" w:name="_Toc152042443"/>
      <w:r>
        <w:rPr>
          <w:rFonts w:hint="eastAsia" w:ascii="宋体" w:hAnsi="宋体" w:eastAsia="宋体" w:cs="宋体"/>
          <w:b/>
          <w:bCs/>
          <w:color w:val="auto"/>
          <w:highlight w:val="none"/>
        </w:rPr>
        <w:t>7.4 超大件和超重件的运输</w:t>
      </w:r>
      <w:bookmarkEnd w:id="640"/>
      <w:bookmarkEnd w:id="641"/>
      <w:bookmarkEnd w:id="642"/>
      <w:bookmarkEnd w:id="643"/>
    </w:p>
    <w:p w14:paraId="5DD0987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55F6A5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44" w:name="_Toc179632684"/>
      <w:bookmarkStart w:id="645" w:name="_Toc144974634"/>
      <w:bookmarkStart w:id="646" w:name="_Toc152042444"/>
      <w:bookmarkStart w:id="647" w:name="_Toc152045666"/>
      <w:r>
        <w:rPr>
          <w:rFonts w:hint="eastAsia" w:ascii="宋体" w:hAnsi="宋体" w:eastAsia="宋体" w:cs="宋体"/>
          <w:b/>
          <w:bCs/>
          <w:color w:val="auto"/>
          <w:highlight w:val="none"/>
        </w:rPr>
        <w:t>7.5 道路和桥梁的损坏责任</w:t>
      </w:r>
      <w:bookmarkEnd w:id="644"/>
      <w:bookmarkEnd w:id="645"/>
      <w:bookmarkEnd w:id="646"/>
      <w:bookmarkEnd w:id="647"/>
    </w:p>
    <w:p w14:paraId="5A9194F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因承包人运输造成施工场地内外公共道路和桥梁损坏的，由承包人承担修复损坏的全部费用和可能引起的赔偿。</w:t>
      </w:r>
    </w:p>
    <w:p w14:paraId="092631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48" w:name="_Toc152042445"/>
      <w:bookmarkStart w:id="649" w:name="_Toc179632685"/>
      <w:bookmarkStart w:id="650" w:name="_Toc144974635"/>
      <w:bookmarkStart w:id="651" w:name="_Toc152045667"/>
      <w:r>
        <w:rPr>
          <w:rFonts w:hint="eastAsia" w:ascii="宋体" w:hAnsi="宋体" w:eastAsia="宋体" w:cs="宋体"/>
          <w:b/>
          <w:bCs/>
          <w:color w:val="auto"/>
          <w:highlight w:val="none"/>
        </w:rPr>
        <w:t>7.6 水路和航空运输</w:t>
      </w:r>
      <w:bookmarkEnd w:id="648"/>
      <w:bookmarkEnd w:id="649"/>
      <w:bookmarkEnd w:id="650"/>
      <w:bookmarkEnd w:id="651"/>
    </w:p>
    <w:p w14:paraId="0C21BFF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本条上述各款的内容适用于水路运输和航空运输，其中“道路”一词的</w:t>
      </w:r>
      <w:r>
        <w:rPr>
          <w:rFonts w:hint="eastAsia" w:ascii="宋体" w:hAnsi="宋体" w:cs="宋体"/>
          <w:color w:val="auto"/>
          <w:highlight w:val="none"/>
          <w:lang w:eastAsia="zh-CN"/>
        </w:rPr>
        <w:t>含义</w:t>
      </w:r>
      <w:r>
        <w:rPr>
          <w:rFonts w:hint="eastAsia" w:ascii="宋体" w:hAnsi="宋体" w:eastAsia="宋体" w:cs="宋体"/>
          <w:color w:val="auto"/>
          <w:highlight w:val="none"/>
        </w:rPr>
        <w:t>包括河道、航线、船闸、机场、码头、堤防以及水路或航空运输中其他相似结构物；“车辆”一词的</w:t>
      </w:r>
      <w:r>
        <w:rPr>
          <w:rFonts w:hint="eastAsia" w:ascii="宋体" w:hAnsi="宋体" w:cs="宋体"/>
          <w:color w:val="auto"/>
          <w:highlight w:val="none"/>
          <w:lang w:eastAsia="zh-CN"/>
        </w:rPr>
        <w:t>含义</w:t>
      </w:r>
      <w:r>
        <w:rPr>
          <w:rFonts w:hint="eastAsia" w:ascii="宋体" w:hAnsi="宋体" w:eastAsia="宋体" w:cs="宋体"/>
          <w:color w:val="auto"/>
          <w:highlight w:val="none"/>
        </w:rPr>
        <w:t xml:space="preserve">包括船舶和飞机等。 </w:t>
      </w:r>
    </w:p>
    <w:p w14:paraId="49C3409A">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652" w:name="_Toc152045668"/>
      <w:bookmarkStart w:id="653" w:name="_Toc152042446"/>
      <w:bookmarkStart w:id="654" w:name="_Toc179632686"/>
      <w:bookmarkStart w:id="655" w:name="_Toc144974636"/>
      <w:r>
        <w:rPr>
          <w:rFonts w:hint="eastAsia" w:ascii="宋体" w:hAnsi="宋体" w:eastAsia="宋体" w:cs="宋体"/>
          <w:color w:val="auto"/>
          <w:sz w:val="21"/>
          <w:szCs w:val="21"/>
          <w:highlight w:val="none"/>
          <w:lang w:val="zh-CN" w:eastAsia="zh-CN"/>
        </w:rPr>
        <w:t>8. 测量放线</w:t>
      </w:r>
      <w:bookmarkEnd w:id="652"/>
      <w:bookmarkEnd w:id="653"/>
      <w:bookmarkEnd w:id="654"/>
      <w:bookmarkEnd w:id="655"/>
    </w:p>
    <w:p w14:paraId="010BEE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56" w:name="_Toc179632687"/>
      <w:bookmarkStart w:id="657" w:name="_Toc152042447"/>
      <w:bookmarkStart w:id="658" w:name="_Toc152045669"/>
      <w:bookmarkStart w:id="659" w:name="_Toc144974637"/>
      <w:r>
        <w:rPr>
          <w:rFonts w:hint="eastAsia" w:ascii="宋体" w:hAnsi="宋体" w:eastAsia="宋体" w:cs="宋体"/>
          <w:b/>
          <w:bCs/>
          <w:color w:val="auto"/>
          <w:highlight w:val="none"/>
        </w:rPr>
        <w:t>8.1 施工控制网</w:t>
      </w:r>
      <w:bookmarkEnd w:id="656"/>
      <w:bookmarkEnd w:id="657"/>
      <w:bookmarkEnd w:id="658"/>
      <w:bookmarkEnd w:id="659"/>
    </w:p>
    <w:p w14:paraId="1EA993E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8.1.1除专用合同条款另有约定外，施工控制网由承包人负责测设，发包人应在本合同协议书签订后的14天内，向承包人提供测量基准点、基准线和水准点及其相关资料。承包人应在收到上述资料后的28天内，将</w:t>
      </w:r>
      <w:r>
        <w:rPr>
          <w:rFonts w:hint="eastAsia" w:ascii="宋体" w:hAnsi="宋体" w:cs="宋体"/>
          <w:color w:val="auto"/>
          <w:highlight w:val="none"/>
          <w:lang w:eastAsia="zh-CN"/>
        </w:rPr>
        <w:t>实测</w:t>
      </w:r>
      <w:r>
        <w:rPr>
          <w:rFonts w:hint="eastAsia" w:ascii="宋体" w:hAnsi="宋体" w:eastAsia="宋体" w:cs="宋体"/>
          <w:color w:val="auto"/>
          <w:highlight w:val="none"/>
        </w:rPr>
        <w:t>的施工控制网资料提交监理人审批。监理人应在收到报批文件后的14天内批复承包人。</w:t>
      </w:r>
    </w:p>
    <w:p w14:paraId="4778563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8.1.2承包人应负责管理施工控制网点。施工控制网点丢失或损坏的，承包人应及时修复。承包人应承担施工控制网点的管理与修复费用，并在工程竣工后将施工控制网点移交发包人。</w:t>
      </w:r>
    </w:p>
    <w:p w14:paraId="55951B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60" w:name="_Toc152042448"/>
      <w:bookmarkStart w:id="661" w:name="_Toc152045670"/>
      <w:bookmarkStart w:id="662" w:name="_Toc144974638"/>
      <w:bookmarkStart w:id="663" w:name="_Toc179632688"/>
      <w:r>
        <w:rPr>
          <w:rFonts w:hint="eastAsia" w:ascii="宋体" w:hAnsi="宋体" w:eastAsia="宋体" w:cs="宋体"/>
          <w:b/>
          <w:bCs/>
          <w:color w:val="auto"/>
          <w:highlight w:val="none"/>
        </w:rPr>
        <w:t>8.2 施工测量</w:t>
      </w:r>
      <w:bookmarkEnd w:id="660"/>
      <w:bookmarkEnd w:id="661"/>
      <w:bookmarkEnd w:id="662"/>
      <w:bookmarkEnd w:id="663"/>
    </w:p>
    <w:p w14:paraId="6E19FC7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8.2.1承包人应负责施工过程中的全部施工测量放线工作，并配置合格的人员、仪器、设备和其他物品。</w:t>
      </w:r>
    </w:p>
    <w:p w14:paraId="61390E8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8.2.2监理人可以指示承包人进行抽样复测，当复测中发现错误或出现超过合同约定的误差时，承包人应按监理人指示进行修正或补测，并承担相应的复测费用。</w:t>
      </w:r>
    </w:p>
    <w:p w14:paraId="72D08F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664" w:name="_Toc144974639"/>
      <w:bookmarkStart w:id="665" w:name="_Toc179632689"/>
      <w:bookmarkStart w:id="666" w:name="_Toc152042449"/>
      <w:bookmarkStart w:id="667" w:name="_Toc152045671"/>
      <w:r>
        <w:rPr>
          <w:rFonts w:hint="eastAsia" w:ascii="宋体" w:hAnsi="宋体" w:eastAsia="宋体" w:cs="宋体"/>
          <w:b/>
          <w:bCs/>
          <w:color w:val="auto"/>
          <w:highlight w:val="none"/>
        </w:rPr>
        <w:t>8.3 基准资料错误的责任</w:t>
      </w:r>
      <w:bookmarkEnd w:id="664"/>
      <w:bookmarkEnd w:id="665"/>
      <w:bookmarkEnd w:id="666"/>
      <w:bookmarkEnd w:id="667"/>
    </w:p>
    <w:p w14:paraId="5A7DCAD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64293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668" w:name="_Toc152042450"/>
      <w:bookmarkStart w:id="669" w:name="_Toc179632690"/>
      <w:bookmarkStart w:id="670" w:name="_Toc152045672"/>
      <w:bookmarkStart w:id="671" w:name="_Toc144974640"/>
      <w:r>
        <w:rPr>
          <w:rFonts w:hint="eastAsia" w:ascii="宋体" w:hAnsi="宋体" w:eastAsia="宋体" w:cs="宋体"/>
          <w:b/>
          <w:bCs/>
          <w:color w:val="auto"/>
          <w:highlight w:val="none"/>
          <w:lang w:val="en-US" w:eastAsia="zh-CN"/>
        </w:rPr>
        <w:t>8.4 监理人使用施工控制网</w:t>
      </w:r>
      <w:bookmarkEnd w:id="668"/>
      <w:bookmarkEnd w:id="669"/>
      <w:bookmarkEnd w:id="670"/>
      <w:bookmarkEnd w:id="671"/>
    </w:p>
    <w:p w14:paraId="40B82B1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监理人需要使用施工控制网的，承包人应提供必要的协助，发包人不再为此支付费用。</w:t>
      </w:r>
    </w:p>
    <w:p w14:paraId="38982B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8.5 补充地质勘探 </w:t>
      </w:r>
    </w:p>
    <w:p w14:paraId="6FF8817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在合同实施期间，监理人可以指示承包人进行必要的补充地质勘探并提供有关资料，承包人为本合同永久工程施工的需要进行补充地质勘探时，需经监理人批准，并应向监理人提交有关资料，上述补充勘探的费用由发包人承担。承包人为其临时工程设计及施工的需要进行的补充地质勘探，其费用由承包人承担。</w:t>
      </w:r>
    </w:p>
    <w:p w14:paraId="05239520">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672" w:name="_Toc179632691"/>
      <w:bookmarkStart w:id="673" w:name="_Toc152042451"/>
      <w:bookmarkStart w:id="674" w:name="_Toc144974641"/>
      <w:bookmarkStart w:id="675" w:name="_Toc152045673"/>
      <w:r>
        <w:rPr>
          <w:rFonts w:hint="eastAsia" w:ascii="宋体" w:hAnsi="宋体" w:eastAsia="宋体" w:cs="宋体"/>
          <w:color w:val="auto"/>
          <w:sz w:val="21"/>
          <w:szCs w:val="21"/>
          <w:highlight w:val="none"/>
          <w:lang w:val="en-US" w:eastAsia="zh-CN"/>
        </w:rPr>
        <w:t>9. 施工安全、治安保卫和环境保护</w:t>
      </w:r>
      <w:bookmarkEnd w:id="672"/>
      <w:bookmarkEnd w:id="673"/>
      <w:bookmarkEnd w:id="674"/>
      <w:bookmarkEnd w:id="675"/>
    </w:p>
    <w:p w14:paraId="6A9633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676" w:name="_Toc179632692"/>
      <w:bookmarkStart w:id="677" w:name="_Toc152042452"/>
      <w:bookmarkStart w:id="678" w:name="_Toc144974642"/>
      <w:bookmarkStart w:id="679" w:name="_Toc152045674"/>
      <w:r>
        <w:rPr>
          <w:rFonts w:hint="eastAsia" w:ascii="宋体" w:hAnsi="宋体" w:eastAsia="宋体" w:cs="宋体"/>
          <w:b/>
          <w:bCs/>
          <w:color w:val="auto"/>
          <w:highlight w:val="none"/>
          <w:lang w:val="en-US" w:eastAsia="zh-CN"/>
        </w:rPr>
        <w:t>9.1 发包人的施工安全责任</w:t>
      </w:r>
      <w:bookmarkEnd w:id="676"/>
      <w:bookmarkEnd w:id="677"/>
      <w:bookmarkEnd w:id="678"/>
      <w:bookmarkEnd w:id="679"/>
    </w:p>
    <w:p w14:paraId="564C4F8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9.1.1 发包人应按合同约定履行安全职责。发包人委托监理人根据国家有关安全的</w:t>
      </w:r>
      <w:r>
        <w:rPr>
          <w:rFonts w:hint="eastAsia" w:ascii="宋体" w:hAnsi="宋体" w:cs="宋体"/>
          <w:color w:val="auto"/>
          <w:highlight w:val="none"/>
          <w:lang w:eastAsia="zh-CN"/>
        </w:rPr>
        <w:t>法律法规</w:t>
      </w:r>
      <w:r>
        <w:rPr>
          <w:rFonts w:hint="eastAsia" w:ascii="宋体" w:hAnsi="宋体" w:eastAsia="宋体" w:cs="宋体"/>
          <w:color w:val="auto"/>
          <w:highlight w:val="none"/>
        </w:rPr>
        <w:t>、强制性标准以及部门规章，对承包人的安全责任履行情况进行监督和检查。监理人的监督检查不减轻承包人应负的安全责任。</w:t>
      </w:r>
    </w:p>
    <w:p w14:paraId="03CEE41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9.1.2 发包人应对其现场机构雇佣的全部人员的工伤事故承担责任，但由于承包人原因造成发包人人员工伤的，应由承包人承担责任。</w:t>
      </w:r>
    </w:p>
    <w:p w14:paraId="38B3D9C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9.1.3 发包人应负责赔偿以下各种情况造成的第三者人身伤亡和财产损失：</w:t>
      </w:r>
    </w:p>
    <w:p w14:paraId="14B1E60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 工程或工程的任何部分对土地的占用所造成的第三者财产损失；</w:t>
      </w:r>
    </w:p>
    <w:p w14:paraId="02E3702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 由于发包人原因在施工场地及其毗邻地带造成的第三者人身伤亡和财产损失。</w:t>
      </w:r>
    </w:p>
    <w:p w14:paraId="583B7BA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3C6838E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9.1.5 发包人按照已标价工程量清单所列金额和合同约定的计量支付规定，支付安全作业环境及安全施工措施所需费用。</w:t>
      </w:r>
    </w:p>
    <w:p w14:paraId="7A3BF6B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9.1.6 发包人负责组织工程参建单位编制保证安全生产的措施方案。工程开工前，就落实保证安全生产的措施进行全面系统的布置，进一步明确承包人的安全生产责任。</w:t>
      </w:r>
    </w:p>
    <w:p w14:paraId="68FB41C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9.1.7 发包人负责在拆除工程和爆破工程施工14天前向有关部门或机构报送相关备案资料。</w:t>
      </w:r>
    </w:p>
    <w:p w14:paraId="4AE0C7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680" w:name="_Toc179632693"/>
      <w:bookmarkStart w:id="681" w:name="_Toc152042453"/>
      <w:bookmarkStart w:id="682" w:name="_Toc144974643"/>
      <w:bookmarkStart w:id="683" w:name="_Toc152045675"/>
      <w:r>
        <w:rPr>
          <w:rFonts w:hint="eastAsia" w:ascii="宋体" w:hAnsi="宋体" w:eastAsia="宋体" w:cs="宋体"/>
          <w:b/>
          <w:bCs/>
          <w:color w:val="auto"/>
          <w:highlight w:val="none"/>
          <w:lang w:val="en-US" w:eastAsia="zh-CN"/>
        </w:rPr>
        <w:t>9.2 承包人的施工安全责任</w:t>
      </w:r>
      <w:bookmarkEnd w:id="680"/>
      <w:bookmarkEnd w:id="681"/>
      <w:bookmarkEnd w:id="682"/>
      <w:bookmarkEnd w:id="683"/>
    </w:p>
    <w:p w14:paraId="415F458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5DEE31E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9.2.2 承包人应加强施工作业安全管理，特别应加强易燃、易爆材料、火工器材、有毒与腐蚀性材料和其他危险品的管理，以及对爆破作业和地下工程施工等危险作业的管理。</w:t>
      </w:r>
    </w:p>
    <w:p w14:paraId="22C8795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9.2.3 承包人应严格按照国家安全标准制定施工安全操作规程，配备必要的安全生产和劳动保护设施，加强对承包人人员的安全教育，并发放安全工作手册和劳动保护用具。</w:t>
      </w:r>
    </w:p>
    <w:p w14:paraId="4A0DC20F">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9.2.4 承包人应按监理人的指示制定应对灾害的紧急预案，报送监理人审批。承包人还应按预案做好安全检查，配置必要的救助物资和器材，切实保护好有关人员的人身和财产安全。</w:t>
      </w:r>
    </w:p>
    <w:p w14:paraId="4100AFF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7A3C73E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9.2.6 承包人应对其履行合同所雇佣的全部人员，包括分包人人员的工伤事故承担责任，但由于发包人原因造成承包人人员工伤事故的，应由发包人承担责任。</w:t>
      </w:r>
    </w:p>
    <w:p w14:paraId="2690459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9.2.7 由于承包人原因在施工场地内及其毗邻地带造成的第三者人员伤亡和财产损失，由承包人负责赔偿。</w:t>
      </w:r>
    </w:p>
    <w:p w14:paraId="483A5EA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9.2.8 承包人已标价工程量清单应包含工程安全作业环境及安全施工措施所需费用。</w:t>
      </w:r>
    </w:p>
    <w:p w14:paraId="4FE49A4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9.2.9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74E1123D">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9.2.10 承包人应设立安全生产管理机构，施工现场应有专职安全生产管理人员。</w:t>
      </w:r>
    </w:p>
    <w:p w14:paraId="644D8C7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9.2.11 承包人应负责对特种作业人员进行专门的安全作业培训，并保证特种作业人员持证上岗。</w:t>
      </w:r>
    </w:p>
    <w:p w14:paraId="682D5E1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9.2.12  承包人在施工组织设计中编制安全技术措施和施工现场临时用电方案。对专用合同条款约定的工程，应编制专项施工方案报监理人批准。对专用合同条款约定的专项施工方案，还应组织专家建立论证、审查，其中专家1/2人员应经发包人同意。</w:t>
      </w:r>
    </w:p>
    <w:p w14:paraId="0DEDD49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9.2.13  承包人在使用施工起重机械和整体提升脚手架、模板等自升式架设设施前，应组织有关单位进行验收。</w:t>
      </w:r>
    </w:p>
    <w:p w14:paraId="6F1F77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684" w:name="_Toc179632694"/>
      <w:bookmarkStart w:id="685" w:name="_Toc152045676"/>
      <w:bookmarkStart w:id="686" w:name="_Toc144974644"/>
      <w:bookmarkStart w:id="687" w:name="_Toc152042454"/>
      <w:r>
        <w:rPr>
          <w:rFonts w:hint="eastAsia" w:ascii="宋体" w:hAnsi="宋体" w:eastAsia="宋体" w:cs="宋体"/>
          <w:b/>
          <w:bCs/>
          <w:color w:val="auto"/>
          <w:highlight w:val="none"/>
          <w:lang w:val="en-US" w:eastAsia="zh-CN"/>
        </w:rPr>
        <w:t>9.3 治安保卫</w:t>
      </w:r>
      <w:bookmarkEnd w:id="684"/>
      <w:bookmarkEnd w:id="685"/>
      <w:bookmarkEnd w:id="686"/>
      <w:bookmarkEnd w:id="687"/>
    </w:p>
    <w:p w14:paraId="31F1698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9.3.1 除合同另有约定外，发包人应与当地公安部门协商，在现场建立治安管理机构或联防组织，统一管理施工场地的治安保卫事项，履行合同工程的治安保卫职责。</w:t>
      </w:r>
    </w:p>
    <w:p w14:paraId="72CC2D8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9.3.2 发包人和承包人除应协助现场治安管理机构或联防组织维护施工场地的社会治安外，还应做好包括生活区在内的各自管辖区的治安保卫工作。</w:t>
      </w:r>
    </w:p>
    <w:p w14:paraId="3B4989C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25EC65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688" w:name="_Toc179632695"/>
      <w:bookmarkStart w:id="689" w:name="_Toc152042455"/>
      <w:bookmarkStart w:id="690" w:name="_Toc152045677"/>
      <w:bookmarkStart w:id="691" w:name="_Toc144974645"/>
      <w:r>
        <w:rPr>
          <w:rFonts w:hint="eastAsia" w:ascii="宋体" w:hAnsi="宋体" w:eastAsia="宋体" w:cs="宋体"/>
          <w:b/>
          <w:bCs/>
          <w:color w:val="auto"/>
          <w:highlight w:val="none"/>
          <w:lang w:val="en-US" w:eastAsia="zh-CN"/>
        </w:rPr>
        <w:t>9.4 环境保护</w:t>
      </w:r>
      <w:bookmarkEnd w:id="688"/>
      <w:bookmarkEnd w:id="689"/>
      <w:bookmarkEnd w:id="690"/>
      <w:bookmarkEnd w:id="691"/>
    </w:p>
    <w:p w14:paraId="7ABE598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9.4.1 承包人在施工过程中，应遵守有关环境保护的法律，履行合同约定的环境保护义务，并对违反法律和合同约定义务所造成的环境破坏、人身伤害和财产损失负责。</w:t>
      </w:r>
    </w:p>
    <w:p w14:paraId="69AA99C0">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9.4.2 承包人应按合同约定的环保工作内容，编制施工环保措施计划，报送监理人审批。</w:t>
      </w:r>
    </w:p>
    <w:p w14:paraId="07D6E8E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2C4549B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9.4.4 承包人应按合同约定采取有效措施，对施工开挖的边坡及时进行支护</w:t>
      </w:r>
      <w:r>
        <w:rPr>
          <w:rFonts w:hint="eastAsia" w:ascii="宋体" w:hAnsi="宋体" w:cs="宋体"/>
          <w:color w:val="auto"/>
          <w:highlight w:val="none"/>
          <w:lang w:eastAsia="zh-CN"/>
        </w:rPr>
        <w:t>，</w:t>
      </w:r>
      <w:r>
        <w:rPr>
          <w:rFonts w:hint="eastAsia" w:ascii="宋体" w:hAnsi="宋体" w:eastAsia="宋体" w:cs="宋体"/>
          <w:color w:val="auto"/>
          <w:highlight w:val="none"/>
        </w:rPr>
        <w:t>维护排水设施，并进行水土保护，避免因施工造成的地质灾害。</w:t>
      </w:r>
    </w:p>
    <w:p w14:paraId="0F3A729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9.4.5 承包人应按国家饮用水管理标准定期对饮用水源进行监测，防止施工活动污染饮用水源。</w:t>
      </w:r>
    </w:p>
    <w:p w14:paraId="7F3DC85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9.4.6 承包人应按合同约定，加强对噪声、粉尘、废气、废水和废油的控制，努力降低噪声，控制粉尘和废气浓度，做好废水和废油的治理和排放。</w:t>
      </w:r>
    </w:p>
    <w:p w14:paraId="2347DF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692" w:name="_Toc144974646"/>
      <w:bookmarkStart w:id="693" w:name="_Toc179632696"/>
      <w:bookmarkStart w:id="694" w:name="_Toc152045678"/>
      <w:bookmarkStart w:id="695" w:name="_Toc152042456"/>
      <w:r>
        <w:rPr>
          <w:rFonts w:hint="eastAsia" w:ascii="宋体" w:hAnsi="宋体" w:eastAsia="宋体" w:cs="宋体"/>
          <w:b/>
          <w:bCs/>
          <w:color w:val="auto"/>
          <w:highlight w:val="none"/>
          <w:lang w:val="en-US" w:eastAsia="zh-CN"/>
        </w:rPr>
        <w:t>9.5 事故处理</w:t>
      </w:r>
      <w:bookmarkEnd w:id="692"/>
      <w:bookmarkEnd w:id="693"/>
      <w:bookmarkEnd w:id="694"/>
      <w:bookmarkEnd w:id="695"/>
    </w:p>
    <w:p w14:paraId="19D2E20B">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bookmarkStart w:id="696" w:name="_Toc144974647"/>
      <w:bookmarkStart w:id="697" w:name="_Toc152042457"/>
      <w:bookmarkStart w:id="698" w:name="_Toc152045679"/>
      <w:bookmarkStart w:id="699" w:name="_Toc179632697"/>
      <w:r>
        <w:rPr>
          <w:rFonts w:hint="eastAsia" w:ascii="宋体" w:hAnsi="宋体" w:eastAsia="宋体" w:cs="宋体"/>
          <w:color w:val="auto"/>
          <w:highlight w:val="none"/>
          <w:lang w:val="en-US" w:eastAsia="zh-CN"/>
        </w:rPr>
        <w:t>9.5.1 发包人负责组织参建单位制定本工程的质量与安全事故应急预案，建立质量与安全事故应急处置指挥部。</w:t>
      </w:r>
    </w:p>
    <w:p w14:paraId="623433E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9.5.2 承包人应对施工现场易发生重大事故的部位、环节进行监控，配备救援器材、设备，并定期组织演练。</w:t>
      </w:r>
    </w:p>
    <w:p w14:paraId="438A74B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9.5.3 工程开工前，承包人应根据本工程的特点制定施工现场施工质量与安全事故应急预案，并报发包人备案。</w:t>
      </w:r>
    </w:p>
    <w:p w14:paraId="31D35FA4">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9.5.4 施工过程中发生事故时，发包人、承包人应立即启动应急预案。</w:t>
      </w:r>
    </w:p>
    <w:p w14:paraId="76928C5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9.5.5 施工调查处理由发包人按相关规定履行手续，承包人应配合。</w:t>
      </w:r>
    </w:p>
    <w:p w14:paraId="381FF1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9.6 水土保持</w:t>
      </w:r>
    </w:p>
    <w:p w14:paraId="20D90073">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9.6.1 发包人应及时向承包人提供水土保持方案。</w:t>
      </w:r>
    </w:p>
    <w:p w14:paraId="0521DCBE">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9.6.2 承包人在施工过程中，应遵守有关水土保持的相关法律法规和规章，履行合同约定的水土保持义务，并对其违反法律和合同义务所造成的水土流失灾害、人身伤害和财产损失负责。</w:t>
      </w:r>
    </w:p>
    <w:p w14:paraId="00B6AB6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9.6.3 承包人的水土保持措施计划，应满足技术标准和要求（合同技术条款）约定的要求。</w:t>
      </w:r>
    </w:p>
    <w:p w14:paraId="548DFA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9.7 文明工地</w:t>
      </w:r>
    </w:p>
    <w:p w14:paraId="7F30F79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9.7.1 发包人应按专用合同条款的约定，负责建立创建文明建设工地的组织机构，制定创建文明建设工地的规划和办法。</w:t>
      </w:r>
    </w:p>
    <w:p w14:paraId="68FCE57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9.7.2 承包人应按创建文明建设工地的规划和办法，履行职责，承担相应责任。所需费用</w:t>
      </w:r>
      <w:r>
        <w:rPr>
          <w:rFonts w:hint="eastAsia" w:ascii="宋体" w:hAnsi="宋体" w:cs="宋体"/>
          <w:color w:val="auto"/>
          <w:highlight w:val="none"/>
          <w:lang w:val="en-US" w:eastAsia="zh-CN"/>
        </w:rPr>
        <w:t>应包</w:t>
      </w:r>
      <w:r>
        <w:rPr>
          <w:rFonts w:hint="eastAsia" w:ascii="宋体" w:hAnsi="宋体" w:eastAsia="宋体" w:cs="宋体"/>
          <w:color w:val="auto"/>
          <w:highlight w:val="none"/>
          <w:lang w:val="en-US" w:eastAsia="zh-CN"/>
        </w:rPr>
        <w:t>含在已标价工程量清单中。</w:t>
      </w:r>
    </w:p>
    <w:p w14:paraId="2A6299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9.8 防汛度汛</w:t>
      </w:r>
    </w:p>
    <w:p w14:paraId="39877ED5">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9.8.1 发包人负责组织工程参建单位编制本工程的度汛方案和措施。</w:t>
      </w:r>
    </w:p>
    <w:p w14:paraId="1BD9D2BA">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9.8.2 承包人应根据发包人编制的本工程度汛方案和措施，制定相应的度汛方案，报发包人批准后实施。</w:t>
      </w:r>
    </w:p>
    <w:p w14:paraId="64785D65">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 进度计划</w:t>
      </w:r>
      <w:bookmarkEnd w:id="696"/>
      <w:bookmarkEnd w:id="697"/>
      <w:bookmarkEnd w:id="698"/>
      <w:bookmarkEnd w:id="699"/>
    </w:p>
    <w:p w14:paraId="20CBED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00" w:name="_Toc144974648"/>
      <w:bookmarkStart w:id="701" w:name="_Toc152042458"/>
      <w:bookmarkStart w:id="702" w:name="_Toc152045680"/>
      <w:bookmarkStart w:id="703" w:name="_Toc179632698"/>
      <w:r>
        <w:rPr>
          <w:rFonts w:hint="eastAsia" w:ascii="宋体" w:hAnsi="宋体" w:eastAsia="宋体" w:cs="宋体"/>
          <w:b/>
          <w:bCs/>
          <w:color w:val="auto"/>
          <w:highlight w:val="none"/>
          <w:lang w:val="en-US" w:eastAsia="zh-CN"/>
        </w:rPr>
        <w:t>10.1 合同进度计划</w:t>
      </w:r>
      <w:bookmarkEnd w:id="700"/>
      <w:bookmarkEnd w:id="701"/>
      <w:bookmarkEnd w:id="702"/>
      <w:bookmarkEnd w:id="703"/>
    </w:p>
    <w:p w14:paraId="175E32C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lang w:val="en-US" w:eastAsia="zh-CN"/>
        </w:rPr>
      </w:pPr>
      <w:bookmarkStart w:id="704" w:name="_Toc144974649"/>
      <w:bookmarkStart w:id="705" w:name="_Toc152042459"/>
      <w:bookmarkStart w:id="706" w:name="_Toc152045681"/>
      <w:bookmarkStart w:id="707" w:name="_Toc179632699"/>
      <w:r>
        <w:rPr>
          <w:rFonts w:hint="eastAsia" w:ascii="宋体" w:hAnsi="宋体" w:eastAsia="宋体" w:cs="宋体"/>
          <w:color w:val="auto"/>
          <w:highlight w:val="none"/>
          <w:lang w:val="en-US" w:eastAsia="zh-CN"/>
        </w:rPr>
        <w:t>承包人应按技术标准和要求（合同技术条款）约定的内容和期限以及监理人的指示，编制详细的施工总进度计划及其说明提交给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50B69C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10.2 合同进度计划的修订</w:t>
      </w:r>
      <w:bookmarkEnd w:id="704"/>
      <w:bookmarkEnd w:id="705"/>
      <w:bookmarkEnd w:id="706"/>
      <w:bookmarkEnd w:id="707"/>
    </w:p>
    <w:p w14:paraId="128DEDB7">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198EC9B6">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规定办理；由于承包人原因造成施工进度延迟，应按11.5款的约定办理。</w:t>
      </w:r>
    </w:p>
    <w:p w14:paraId="6AEAE3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10.3 单位工程进度计划</w:t>
      </w:r>
    </w:p>
    <w:p w14:paraId="7761245C">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监理人认为有必要时，承包人应按监理人指示的内容和期限，并根据合同进度计划的进度控制要求，编制单位工程进度计划，提交监理人审批。</w:t>
      </w:r>
    </w:p>
    <w:p w14:paraId="4CD981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10.4 提交资金流估算表</w:t>
      </w:r>
    </w:p>
    <w:p w14:paraId="2836B7F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应在按第10.1款约定向监理人提交施工总进度计划的同时，按下表约定的格式，向监理人提交按月的资金流估算表。估算表应包括承包人计划可从发包人处理得到的全部款额，以供发包人参考。此后，当监理人提出要求时，承包人应在监理人指定的期限内提交修订的资金流估算表。</w:t>
      </w:r>
    </w:p>
    <w:p w14:paraId="5A391017">
      <w:pPr>
        <w:adjustRightInd w:val="0"/>
        <w:snapToGrid w:val="0"/>
        <w:spacing w:line="500" w:lineRule="exact"/>
        <w:jc w:val="right"/>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资金流估算表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参考格式</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金额单位</w:t>
      </w:r>
    </w:p>
    <w:tbl>
      <w:tblPr>
        <w:tblStyle w:val="32"/>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457"/>
        <w:gridCol w:w="1173"/>
        <w:gridCol w:w="1386"/>
        <w:gridCol w:w="1279"/>
        <w:gridCol w:w="956"/>
        <w:gridCol w:w="944"/>
        <w:gridCol w:w="794"/>
        <w:gridCol w:w="953"/>
        <w:gridCol w:w="865"/>
      </w:tblGrid>
      <w:tr w14:paraId="1F20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noWrap w:val="0"/>
            <w:vAlign w:val="center"/>
          </w:tcPr>
          <w:p w14:paraId="66012F3E">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年</w:t>
            </w:r>
          </w:p>
        </w:tc>
        <w:tc>
          <w:tcPr>
            <w:tcW w:w="457" w:type="dxa"/>
            <w:noWrap w:val="0"/>
            <w:vAlign w:val="center"/>
          </w:tcPr>
          <w:p w14:paraId="1E20F4CD">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月</w:t>
            </w:r>
          </w:p>
        </w:tc>
        <w:tc>
          <w:tcPr>
            <w:tcW w:w="1173" w:type="dxa"/>
            <w:noWrap w:val="0"/>
            <w:vAlign w:val="center"/>
          </w:tcPr>
          <w:p w14:paraId="5845A8F7">
            <w:pPr>
              <w:adjustRightInd w:val="0"/>
              <w:snapToGrid w:val="0"/>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w:t>
            </w:r>
          </w:p>
          <w:p w14:paraId="3E291451">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预付款</w:t>
            </w:r>
          </w:p>
        </w:tc>
        <w:tc>
          <w:tcPr>
            <w:tcW w:w="1386" w:type="dxa"/>
            <w:noWrap w:val="0"/>
            <w:vAlign w:val="center"/>
          </w:tcPr>
          <w:p w14:paraId="65E8A354">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完成工作量付款</w:t>
            </w:r>
          </w:p>
        </w:tc>
        <w:tc>
          <w:tcPr>
            <w:tcW w:w="1279" w:type="dxa"/>
            <w:noWrap w:val="0"/>
            <w:vAlign w:val="center"/>
          </w:tcPr>
          <w:p w14:paraId="6D2AD204">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质量保证金扣留</w:t>
            </w:r>
          </w:p>
        </w:tc>
        <w:tc>
          <w:tcPr>
            <w:tcW w:w="956" w:type="dxa"/>
            <w:noWrap w:val="0"/>
            <w:vAlign w:val="center"/>
          </w:tcPr>
          <w:p w14:paraId="3592EC84">
            <w:pPr>
              <w:adjustRightInd w:val="0"/>
              <w:snapToGrid w:val="0"/>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材料款</w:t>
            </w:r>
          </w:p>
          <w:p w14:paraId="41E3AD97">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扣除</w:t>
            </w:r>
          </w:p>
        </w:tc>
        <w:tc>
          <w:tcPr>
            <w:tcW w:w="944" w:type="dxa"/>
            <w:noWrap w:val="0"/>
            <w:vAlign w:val="center"/>
          </w:tcPr>
          <w:p w14:paraId="0928B7E7">
            <w:pPr>
              <w:adjustRightInd w:val="0"/>
              <w:snapToGrid w:val="0"/>
              <w:spacing w:line="5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w:t>
            </w:r>
          </w:p>
          <w:p w14:paraId="5E041079">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扣还</w:t>
            </w:r>
          </w:p>
        </w:tc>
        <w:tc>
          <w:tcPr>
            <w:tcW w:w="794" w:type="dxa"/>
            <w:noWrap w:val="0"/>
            <w:vAlign w:val="center"/>
          </w:tcPr>
          <w:p w14:paraId="01F24F0A">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eastAsia="zh-CN"/>
              </w:rPr>
              <w:t>其他</w:t>
            </w:r>
          </w:p>
        </w:tc>
        <w:tc>
          <w:tcPr>
            <w:tcW w:w="953" w:type="dxa"/>
            <w:noWrap w:val="0"/>
            <w:vAlign w:val="center"/>
          </w:tcPr>
          <w:p w14:paraId="15826FA8">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应收款</w:t>
            </w:r>
          </w:p>
        </w:tc>
        <w:tc>
          <w:tcPr>
            <w:tcW w:w="865" w:type="dxa"/>
            <w:noWrap w:val="0"/>
            <w:vAlign w:val="center"/>
          </w:tcPr>
          <w:p w14:paraId="78BDECFF">
            <w:pPr>
              <w:adjustRightInd w:val="0"/>
              <w:snapToGrid w:val="0"/>
              <w:spacing w:line="500" w:lineRule="exact"/>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累计应收款</w:t>
            </w:r>
          </w:p>
        </w:tc>
      </w:tr>
      <w:tr w14:paraId="03AC0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443" w:type="dxa"/>
            <w:noWrap w:val="0"/>
            <w:vAlign w:val="center"/>
          </w:tcPr>
          <w:p w14:paraId="3A40A3F8">
            <w:pPr>
              <w:adjustRightInd w:val="0"/>
              <w:snapToGrid w:val="0"/>
              <w:spacing w:line="500" w:lineRule="exact"/>
              <w:rPr>
                <w:rFonts w:hint="eastAsia" w:ascii="宋体" w:hAnsi="宋体" w:eastAsia="宋体" w:cs="宋体"/>
                <w:b/>
                <w:bCs/>
                <w:color w:val="auto"/>
                <w:sz w:val="21"/>
                <w:szCs w:val="21"/>
                <w:highlight w:val="none"/>
              </w:rPr>
            </w:pPr>
          </w:p>
        </w:tc>
        <w:tc>
          <w:tcPr>
            <w:tcW w:w="457" w:type="dxa"/>
            <w:noWrap w:val="0"/>
            <w:vAlign w:val="center"/>
          </w:tcPr>
          <w:p w14:paraId="47076A07">
            <w:pPr>
              <w:adjustRightInd w:val="0"/>
              <w:snapToGrid w:val="0"/>
              <w:spacing w:line="500" w:lineRule="exact"/>
              <w:rPr>
                <w:rFonts w:hint="eastAsia" w:ascii="宋体" w:hAnsi="宋体" w:eastAsia="宋体" w:cs="宋体"/>
                <w:b/>
                <w:bCs/>
                <w:color w:val="auto"/>
                <w:sz w:val="21"/>
                <w:szCs w:val="21"/>
                <w:highlight w:val="none"/>
              </w:rPr>
            </w:pPr>
          </w:p>
        </w:tc>
        <w:tc>
          <w:tcPr>
            <w:tcW w:w="1173" w:type="dxa"/>
            <w:noWrap w:val="0"/>
            <w:vAlign w:val="center"/>
          </w:tcPr>
          <w:p w14:paraId="08C25969">
            <w:pPr>
              <w:adjustRightInd w:val="0"/>
              <w:snapToGrid w:val="0"/>
              <w:spacing w:line="500" w:lineRule="exact"/>
              <w:rPr>
                <w:rFonts w:hint="eastAsia" w:ascii="宋体" w:hAnsi="宋体" w:eastAsia="宋体" w:cs="宋体"/>
                <w:b/>
                <w:bCs/>
                <w:color w:val="auto"/>
                <w:sz w:val="21"/>
                <w:szCs w:val="21"/>
                <w:highlight w:val="none"/>
              </w:rPr>
            </w:pPr>
          </w:p>
        </w:tc>
        <w:tc>
          <w:tcPr>
            <w:tcW w:w="1386" w:type="dxa"/>
            <w:noWrap w:val="0"/>
            <w:vAlign w:val="center"/>
          </w:tcPr>
          <w:p w14:paraId="68F42E8E">
            <w:pPr>
              <w:adjustRightInd w:val="0"/>
              <w:snapToGrid w:val="0"/>
              <w:spacing w:line="500" w:lineRule="exact"/>
              <w:rPr>
                <w:rFonts w:hint="eastAsia" w:ascii="宋体" w:hAnsi="宋体" w:eastAsia="宋体" w:cs="宋体"/>
                <w:b/>
                <w:bCs/>
                <w:color w:val="auto"/>
                <w:sz w:val="21"/>
                <w:szCs w:val="21"/>
                <w:highlight w:val="none"/>
              </w:rPr>
            </w:pPr>
          </w:p>
        </w:tc>
        <w:tc>
          <w:tcPr>
            <w:tcW w:w="1279" w:type="dxa"/>
            <w:noWrap w:val="0"/>
            <w:vAlign w:val="center"/>
          </w:tcPr>
          <w:p w14:paraId="25BDA3FA">
            <w:pPr>
              <w:adjustRightInd w:val="0"/>
              <w:snapToGrid w:val="0"/>
              <w:spacing w:line="500" w:lineRule="exact"/>
              <w:rPr>
                <w:rFonts w:hint="eastAsia" w:ascii="宋体" w:hAnsi="宋体" w:eastAsia="宋体" w:cs="宋体"/>
                <w:b/>
                <w:bCs/>
                <w:color w:val="auto"/>
                <w:sz w:val="21"/>
                <w:szCs w:val="21"/>
                <w:highlight w:val="none"/>
              </w:rPr>
            </w:pPr>
          </w:p>
        </w:tc>
        <w:tc>
          <w:tcPr>
            <w:tcW w:w="956" w:type="dxa"/>
            <w:noWrap w:val="0"/>
            <w:vAlign w:val="center"/>
          </w:tcPr>
          <w:p w14:paraId="6A1808FF">
            <w:pPr>
              <w:adjustRightInd w:val="0"/>
              <w:snapToGrid w:val="0"/>
              <w:spacing w:line="500" w:lineRule="exact"/>
              <w:rPr>
                <w:rFonts w:hint="eastAsia" w:ascii="宋体" w:hAnsi="宋体" w:eastAsia="宋体" w:cs="宋体"/>
                <w:b/>
                <w:bCs/>
                <w:color w:val="auto"/>
                <w:sz w:val="21"/>
                <w:szCs w:val="21"/>
                <w:highlight w:val="none"/>
              </w:rPr>
            </w:pPr>
          </w:p>
        </w:tc>
        <w:tc>
          <w:tcPr>
            <w:tcW w:w="944" w:type="dxa"/>
            <w:noWrap w:val="0"/>
            <w:vAlign w:val="center"/>
          </w:tcPr>
          <w:p w14:paraId="09DCCAD7">
            <w:pPr>
              <w:adjustRightInd w:val="0"/>
              <w:snapToGrid w:val="0"/>
              <w:spacing w:line="500" w:lineRule="exact"/>
              <w:rPr>
                <w:rFonts w:hint="eastAsia" w:ascii="宋体" w:hAnsi="宋体" w:eastAsia="宋体" w:cs="宋体"/>
                <w:b/>
                <w:bCs/>
                <w:color w:val="auto"/>
                <w:sz w:val="21"/>
                <w:szCs w:val="21"/>
                <w:highlight w:val="none"/>
              </w:rPr>
            </w:pPr>
          </w:p>
        </w:tc>
        <w:tc>
          <w:tcPr>
            <w:tcW w:w="794" w:type="dxa"/>
            <w:noWrap w:val="0"/>
            <w:vAlign w:val="center"/>
          </w:tcPr>
          <w:p w14:paraId="399BBFC7">
            <w:pPr>
              <w:adjustRightInd w:val="0"/>
              <w:snapToGrid w:val="0"/>
              <w:spacing w:line="500" w:lineRule="exact"/>
              <w:rPr>
                <w:rFonts w:hint="eastAsia" w:ascii="宋体" w:hAnsi="宋体" w:eastAsia="宋体" w:cs="宋体"/>
                <w:b/>
                <w:bCs/>
                <w:color w:val="auto"/>
                <w:sz w:val="21"/>
                <w:szCs w:val="21"/>
                <w:highlight w:val="none"/>
              </w:rPr>
            </w:pPr>
          </w:p>
        </w:tc>
        <w:tc>
          <w:tcPr>
            <w:tcW w:w="953" w:type="dxa"/>
            <w:noWrap w:val="0"/>
            <w:vAlign w:val="center"/>
          </w:tcPr>
          <w:p w14:paraId="0A34F685">
            <w:pPr>
              <w:adjustRightInd w:val="0"/>
              <w:snapToGrid w:val="0"/>
              <w:spacing w:line="500" w:lineRule="exact"/>
              <w:rPr>
                <w:rFonts w:hint="eastAsia" w:ascii="宋体" w:hAnsi="宋体" w:eastAsia="宋体" w:cs="宋体"/>
                <w:b/>
                <w:bCs/>
                <w:color w:val="auto"/>
                <w:sz w:val="21"/>
                <w:szCs w:val="21"/>
                <w:highlight w:val="none"/>
              </w:rPr>
            </w:pPr>
          </w:p>
        </w:tc>
        <w:tc>
          <w:tcPr>
            <w:tcW w:w="865" w:type="dxa"/>
            <w:noWrap w:val="0"/>
            <w:vAlign w:val="center"/>
          </w:tcPr>
          <w:p w14:paraId="53C784A2">
            <w:pPr>
              <w:adjustRightInd w:val="0"/>
              <w:snapToGrid w:val="0"/>
              <w:spacing w:line="500" w:lineRule="exact"/>
              <w:rPr>
                <w:rFonts w:hint="eastAsia" w:ascii="宋体" w:hAnsi="宋体" w:eastAsia="宋体" w:cs="宋体"/>
                <w:b/>
                <w:bCs/>
                <w:color w:val="auto"/>
                <w:sz w:val="21"/>
                <w:szCs w:val="21"/>
                <w:highlight w:val="none"/>
              </w:rPr>
            </w:pPr>
          </w:p>
        </w:tc>
      </w:tr>
      <w:tr w14:paraId="513A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443" w:type="dxa"/>
            <w:noWrap w:val="0"/>
            <w:vAlign w:val="center"/>
          </w:tcPr>
          <w:p w14:paraId="6F1EE1CC">
            <w:pPr>
              <w:adjustRightInd w:val="0"/>
              <w:snapToGrid w:val="0"/>
              <w:spacing w:line="500" w:lineRule="exact"/>
              <w:rPr>
                <w:rFonts w:hint="eastAsia" w:ascii="宋体" w:hAnsi="宋体" w:eastAsia="宋体" w:cs="宋体"/>
                <w:b/>
                <w:bCs/>
                <w:color w:val="auto"/>
                <w:sz w:val="21"/>
                <w:szCs w:val="21"/>
                <w:highlight w:val="none"/>
              </w:rPr>
            </w:pPr>
          </w:p>
        </w:tc>
        <w:tc>
          <w:tcPr>
            <w:tcW w:w="457" w:type="dxa"/>
            <w:noWrap w:val="0"/>
            <w:vAlign w:val="center"/>
          </w:tcPr>
          <w:p w14:paraId="218FC141">
            <w:pPr>
              <w:adjustRightInd w:val="0"/>
              <w:snapToGrid w:val="0"/>
              <w:spacing w:line="500" w:lineRule="exact"/>
              <w:rPr>
                <w:rFonts w:hint="eastAsia" w:ascii="宋体" w:hAnsi="宋体" w:eastAsia="宋体" w:cs="宋体"/>
                <w:b/>
                <w:bCs/>
                <w:color w:val="auto"/>
                <w:sz w:val="21"/>
                <w:szCs w:val="21"/>
                <w:highlight w:val="none"/>
              </w:rPr>
            </w:pPr>
          </w:p>
        </w:tc>
        <w:tc>
          <w:tcPr>
            <w:tcW w:w="1173" w:type="dxa"/>
            <w:noWrap w:val="0"/>
            <w:vAlign w:val="center"/>
          </w:tcPr>
          <w:p w14:paraId="2EBE3181">
            <w:pPr>
              <w:adjustRightInd w:val="0"/>
              <w:snapToGrid w:val="0"/>
              <w:spacing w:line="500" w:lineRule="exact"/>
              <w:rPr>
                <w:rFonts w:hint="eastAsia" w:ascii="宋体" w:hAnsi="宋体" w:eastAsia="宋体" w:cs="宋体"/>
                <w:b/>
                <w:bCs/>
                <w:color w:val="auto"/>
                <w:sz w:val="21"/>
                <w:szCs w:val="21"/>
                <w:highlight w:val="none"/>
              </w:rPr>
            </w:pPr>
          </w:p>
        </w:tc>
        <w:tc>
          <w:tcPr>
            <w:tcW w:w="1386" w:type="dxa"/>
            <w:noWrap w:val="0"/>
            <w:vAlign w:val="center"/>
          </w:tcPr>
          <w:p w14:paraId="4AB021CF">
            <w:pPr>
              <w:adjustRightInd w:val="0"/>
              <w:snapToGrid w:val="0"/>
              <w:spacing w:line="500" w:lineRule="exact"/>
              <w:rPr>
                <w:rFonts w:hint="eastAsia" w:ascii="宋体" w:hAnsi="宋体" w:eastAsia="宋体" w:cs="宋体"/>
                <w:b/>
                <w:bCs/>
                <w:color w:val="auto"/>
                <w:sz w:val="21"/>
                <w:szCs w:val="21"/>
                <w:highlight w:val="none"/>
              </w:rPr>
            </w:pPr>
          </w:p>
        </w:tc>
        <w:tc>
          <w:tcPr>
            <w:tcW w:w="1279" w:type="dxa"/>
            <w:noWrap w:val="0"/>
            <w:vAlign w:val="center"/>
          </w:tcPr>
          <w:p w14:paraId="1D0DD1DE">
            <w:pPr>
              <w:adjustRightInd w:val="0"/>
              <w:snapToGrid w:val="0"/>
              <w:spacing w:line="500" w:lineRule="exact"/>
              <w:rPr>
                <w:rFonts w:hint="eastAsia" w:ascii="宋体" w:hAnsi="宋体" w:eastAsia="宋体" w:cs="宋体"/>
                <w:b/>
                <w:bCs/>
                <w:color w:val="auto"/>
                <w:sz w:val="21"/>
                <w:szCs w:val="21"/>
                <w:highlight w:val="none"/>
              </w:rPr>
            </w:pPr>
          </w:p>
        </w:tc>
        <w:tc>
          <w:tcPr>
            <w:tcW w:w="956" w:type="dxa"/>
            <w:noWrap w:val="0"/>
            <w:vAlign w:val="center"/>
          </w:tcPr>
          <w:p w14:paraId="0FE266B9">
            <w:pPr>
              <w:adjustRightInd w:val="0"/>
              <w:snapToGrid w:val="0"/>
              <w:spacing w:line="500" w:lineRule="exact"/>
              <w:rPr>
                <w:rFonts w:hint="eastAsia" w:ascii="宋体" w:hAnsi="宋体" w:eastAsia="宋体" w:cs="宋体"/>
                <w:b/>
                <w:bCs/>
                <w:color w:val="auto"/>
                <w:sz w:val="21"/>
                <w:szCs w:val="21"/>
                <w:highlight w:val="none"/>
              </w:rPr>
            </w:pPr>
          </w:p>
        </w:tc>
        <w:tc>
          <w:tcPr>
            <w:tcW w:w="944" w:type="dxa"/>
            <w:noWrap w:val="0"/>
            <w:vAlign w:val="center"/>
          </w:tcPr>
          <w:p w14:paraId="1B701DF7">
            <w:pPr>
              <w:adjustRightInd w:val="0"/>
              <w:snapToGrid w:val="0"/>
              <w:spacing w:line="500" w:lineRule="exact"/>
              <w:rPr>
                <w:rFonts w:hint="eastAsia" w:ascii="宋体" w:hAnsi="宋体" w:eastAsia="宋体" w:cs="宋体"/>
                <w:b/>
                <w:bCs/>
                <w:color w:val="auto"/>
                <w:sz w:val="21"/>
                <w:szCs w:val="21"/>
                <w:highlight w:val="none"/>
              </w:rPr>
            </w:pPr>
          </w:p>
        </w:tc>
        <w:tc>
          <w:tcPr>
            <w:tcW w:w="794" w:type="dxa"/>
            <w:noWrap w:val="0"/>
            <w:vAlign w:val="center"/>
          </w:tcPr>
          <w:p w14:paraId="47158645">
            <w:pPr>
              <w:adjustRightInd w:val="0"/>
              <w:snapToGrid w:val="0"/>
              <w:spacing w:line="500" w:lineRule="exact"/>
              <w:rPr>
                <w:rFonts w:hint="eastAsia" w:ascii="宋体" w:hAnsi="宋体" w:eastAsia="宋体" w:cs="宋体"/>
                <w:b/>
                <w:bCs/>
                <w:color w:val="auto"/>
                <w:sz w:val="21"/>
                <w:szCs w:val="21"/>
                <w:highlight w:val="none"/>
              </w:rPr>
            </w:pPr>
          </w:p>
        </w:tc>
        <w:tc>
          <w:tcPr>
            <w:tcW w:w="953" w:type="dxa"/>
            <w:noWrap w:val="0"/>
            <w:vAlign w:val="center"/>
          </w:tcPr>
          <w:p w14:paraId="5B218F03">
            <w:pPr>
              <w:adjustRightInd w:val="0"/>
              <w:snapToGrid w:val="0"/>
              <w:spacing w:line="500" w:lineRule="exact"/>
              <w:rPr>
                <w:rFonts w:hint="eastAsia" w:ascii="宋体" w:hAnsi="宋体" w:eastAsia="宋体" w:cs="宋体"/>
                <w:b/>
                <w:bCs/>
                <w:color w:val="auto"/>
                <w:sz w:val="21"/>
                <w:szCs w:val="21"/>
                <w:highlight w:val="none"/>
              </w:rPr>
            </w:pPr>
          </w:p>
        </w:tc>
        <w:tc>
          <w:tcPr>
            <w:tcW w:w="865" w:type="dxa"/>
            <w:noWrap w:val="0"/>
            <w:vAlign w:val="center"/>
          </w:tcPr>
          <w:p w14:paraId="0A2E8F1C">
            <w:pPr>
              <w:adjustRightInd w:val="0"/>
              <w:snapToGrid w:val="0"/>
              <w:spacing w:line="500" w:lineRule="exact"/>
              <w:rPr>
                <w:rFonts w:hint="eastAsia" w:ascii="宋体" w:hAnsi="宋体" w:eastAsia="宋体" w:cs="宋体"/>
                <w:b/>
                <w:bCs/>
                <w:color w:val="auto"/>
                <w:sz w:val="21"/>
                <w:szCs w:val="21"/>
                <w:highlight w:val="none"/>
              </w:rPr>
            </w:pPr>
          </w:p>
        </w:tc>
      </w:tr>
      <w:tr w14:paraId="4856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43" w:type="dxa"/>
            <w:noWrap w:val="0"/>
            <w:vAlign w:val="center"/>
          </w:tcPr>
          <w:p w14:paraId="67152086">
            <w:pPr>
              <w:adjustRightInd w:val="0"/>
              <w:snapToGrid w:val="0"/>
              <w:spacing w:line="500" w:lineRule="exact"/>
              <w:rPr>
                <w:rFonts w:hint="eastAsia" w:ascii="宋体" w:hAnsi="宋体" w:eastAsia="宋体" w:cs="宋体"/>
                <w:b/>
                <w:bCs/>
                <w:color w:val="auto"/>
                <w:sz w:val="21"/>
                <w:szCs w:val="21"/>
                <w:highlight w:val="none"/>
              </w:rPr>
            </w:pPr>
          </w:p>
        </w:tc>
        <w:tc>
          <w:tcPr>
            <w:tcW w:w="457" w:type="dxa"/>
            <w:noWrap w:val="0"/>
            <w:vAlign w:val="center"/>
          </w:tcPr>
          <w:p w14:paraId="3E8A0E74">
            <w:pPr>
              <w:adjustRightInd w:val="0"/>
              <w:snapToGrid w:val="0"/>
              <w:spacing w:line="500" w:lineRule="exact"/>
              <w:rPr>
                <w:rFonts w:hint="eastAsia" w:ascii="宋体" w:hAnsi="宋体" w:eastAsia="宋体" w:cs="宋体"/>
                <w:b/>
                <w:bCs/>
                <w:color w:val="auto"/>
                <w:sz w:val="21"/>
                <w:szCs w:val="21"/>
                <w:highlight w:val="none"/>
              </w:rPr>
            </w:pPr>
          </w:p>
        </w:tc>
        <w:tc>
          <w:tcPr>
            <w:tcW w:w="1173" w:type="dxa"/>
            <w:noWrap w:val="0"/>
            <w:vAlign w:val="center"/>
          </w:tcPr>
          <w:p w14:paraId="23EB46DB">
            <w:pPr>
              <w:adjustRightInd w:val="0"/>
              <w:snapToGrid w:val="0"/>
              <w:spacing w:line="500" w:lineRule="exact"/>
              <w:rPr>
                <w:rFonts w:hint="eastAsia" w:ascii="宋体" w:hAnsi="宋体" w:eastAsia="宋体" w:cs="宋体"/>
                <w:b/>
                <w:bCs/>
                <w:color w:val="auto"/>
                <w:sz w:val="21"/>
                <w:szCs w:val="21"/>
                <w:highlight w:val="none"/>
              </w:rPr>
            </w:pPr>
          </w:p>
        </w:tc>
        <w:tc>
          <w:tcPr>
            <w:tcW w:w="1386" w:type="dxa"/>
            <w:noWrap w:val="0"/>
            <w:vAlign w:val="center"/>
          </w:tcPr>
          <w:p w14:paraId="693A06C4">
            <w:pPr>
              <w:adjustRightInd w:val="0"/>
              <w:snapToGrid w:val="0"/>
              <w:spacing w:line="500" w:lineRule="exact"/>
              <w:rPr>
                <w:rFonts w:hint="eastAsia" w:ascii="宋体" w:hAnsi="宋体" w:eastAsia="宋体" w:cs="宋体"/>
                <w:b/>
                <w:bCs/>
                <w:color w:val="auto"/>
                <w:sz w:val="21"/>
                <w:szCs w:val="21"/>
                <w:highlight w:val="none"/>
              </w:rPr>
            </w:pPr>
          </w:p>
        </w:tc>
        <w:tc>
          <w:tcPr>
            <w:tcW w:w="1279" w:type="dxa"/>
            <w:noWrap w:val="0"/>
            <w:vAlign w:val="center"/>
          </w:tcPr>
          <w:p w14:paraId="7F7EC119">
            <w:pPr>
              <w:adjustRightInd w:val="0"/>
              <w:snapToGrid w:val="0"/>
              <w:spacing w:line="500" w:lineRule="exact"/>
              <w:rPr>
                <w:rFonts w:hint="eastAsia" w:ascii="宋体" w:hAnsi="宋体" w:eastAsia="宋体" w:cs="宋体"/>
                <w:b/>
                <w:bCs/>
                <w:color w:val="auto"/>
                <w:sz w:val="21"/>
                <w:szCs w:val="21"/>
                <w:highlight w:val="none"/>
              </w:rPr>
            </w:pPr>
          </w:p>
        </w:tc>
        <w:tc>
          <w:tcPr>
            <w:tcW w:w="956" w:type="dxa"/>
            <w:noWrap w:val="0"/>
            <w:vAlign w:val="center"/>
          </w:tcPr>
          <w:p w14:paraId="59BA1E4D">
            <w:pPr>
              <w:adjustRightInd w:val="0"/>
              <w:snapToGrid w:val="0"/>
              <w:spacing w:line="500" w:lineRule="exact"/>
              <w:rPr>
                <w:rFonts w:hint="eastAsia" w:ascii="宋体" w:hAnsi="宋体" w:eastAsia="宋体" w:cs="宋体"/>
                <w:b/>
                <w:bCs/>
                <w:color w:val="auto"/>
                <w:sz w:val="21"/>
                <w:szCs w:val="21"/>
                <w:highlight w:val="none"/>
              </w:rPr>
            </w:pPr>
          </w:p>
        </w:tc>
        <w:tc>
          <w:tcPr>
            <w:tcW w:w="944" w:type="dxa"/>
            <w:noWrap w:val="0"/>
            <w:vAlign w:val="center"/>
          </w:tcPr>
          <w:p w14:paraId="2BE71900">
            <w:pPr>
              <w:adjustRightInd w:val="0"/>
              <w:snapToGrid w:val="0"/>
              <w:spacing w:line="500" w:lineRule="exact"/>
              <w:rPr>
                <w:rFonts w:hint="eastAsia" w:ascii="宋体" w:hAnsi="宋体" w:eastAsia="宋体" w:cs="宋体"/>
                <w:b/>
                <w:bCs/>
                <w:color w:val="auto"/>
                <w:sz w:val="21"/>
                <w:szCs w:val="21"/>
                <w:highlight w:val="none"/>
              </w:rPr>
            </w:pPr>
          </w:p>
        </w:tc>
        <w:tc>
          <w:tcPr>
            <w:tcW w:w="794" w:type="dxa"/>
            <w:noWrap w:val="0"/>
            <w:vAlign w:val="center"/>
          </w:tcPr>
          <w:p w14:paraId="7CE4C613">
            <w:pPr>
              <w:adjustRightInd w:val="0"/>
              <w:snapToGrid w:val="0"/>
              <w:spacing w:line="500" w:lineRule="exact"/>
              <w:rPr>
                <w:rFonts w:hint="eastAsia" w:ascii="宋体" w:hAnsi="宋体" w:eastAsia="宋体" w:cs="宋体"/>
                <w:b/>
                <w:bCs/>
                <w:color w:val="auto"/>
                <w:sz w:val="21"/>
                <w:szCs w:val="21"/>
                <w:highlight w:val="none"/>
              </w:rPr>
            </w:pPr>
          </w:p>
        </w:tc>
        <w:tc>
          <w:tcPr>
            <w:tcW w:w="953" w:type="dxa"/>
            <w:noWrap w:val="0"/>
            <w:vAlign w:val="center"/>
          </w:tcPr>
          <w:p w14:paraId="4F6D6F84">
            <w:pPr>
              <w:adjustRightInd w:val="0"/>
              <w:snapToGrid w:val="0"/>
              <w:spacing w:line="500" w:lineRule="exact"/>
              <w:rPr>
                <w:rFonts w:hint="eastAsia" w:ascii="宋体" w:hAnsi="宋体" w:eastAsia="宋体" w:cs="宋体"/>
                <w:b/>
                <w:bCs/>
                <w:color w:val="auto"/>
                <w:sz w:val="21"/>
                <w:szCs w:val="21"/>
                <w:highlight w:val="none"/>
              </w:rPr>
            </w:pPr>
          </w:p>
        </w:tc>
        <w:tc>
          <w:tcPr>
            <w:tcW w:w="865" w:type="dxa"/>
            <w:noWrap w:val="0"/>
            <w:vAlign w:val="center"/>
          </w:tcPr>
          <w:p w14:paraId="1ABA9CD0">
            <w:pPr>
              <w:adjustRightInd w:val="0"/>
              <w:snapToGrid w:val="0"/>
              <w:spacing w:line="500" w:lineRule="exact"/>
              <w:rPr>
                <w:rFonts w:hint="eastAsia" w:ascii="宋体" w:hAnsi="宋体" w:eastAsia="宋体" w:cs="宋体"/>
                <w:b/>
                <w:bCs/>
                <w:color w:val="auto"/>
                <w:sz w:val="21"/>
                <w:szCs w:val="21"/>
                <w:highlight w:val="none"/>
              </w:rPr>
            </w:pPr>
          </w:p>
        </w:tc>
      </w:tr>
    </w:tbl>
    <w:p w14:paraId="78C7879A">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708" w:name="_Toc144974650"/>
      <w:bookmarkStart w:id="709" w:name="_Toc152045682"/>
      <w:bookmarkStart w:id="710" w:name="_Toc152042460"/>
      <w:bookmarkStart w:id="711" w:name="_Toc179632700"/>
      <w:r>
        <w:rPr>
          <w:rFonts w:hint="eastAsia" w:ascii="宋体" w:hAnsi="宋体" w:eastAsia="宋体" w:cs="宋体"/>
          <w:color w:val="auto"/>
          <w:sz w:val="21"/>
          <w:szCs w:val="21"/>
          <w:highlight w:val="none"/>
          <w:lang w:val="en-US" w:eastAsia="zh-CN"/>
        </w:rPr>
        <w:t>11. 开工和竣工</w:t>
      </w:r>
      <w:bookmarkEnd w:id="708"/>
      <w:bookmarkEnd w:id="709"/>
      <w:bookmarkEnd w:id="710"/>
      <w:bookmarkEnd w:id="711"/>
      <w:r>
        <w:rPr>
          <w:rFonts w:hint="eastAsia" w:ascii="宋体" w:hAnsi="宋体" w:eastAsia="宋体" w:cs="宋体"/>
          <w:color w:val="auto"/>
          <w:sz w:val="21"/>
          <w:szCs w:val="21"/>
          <w:highlight w:val="none"/>
          <w:lang w:val="en-US" w:eastAsia="zh-CN"/>
        </w:rPr>
        <w:t>（完工）</w:t>
      </w:r>
    </w:p>
    <w:p w14:paraId="19A93E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12" w:name="_Toc152045683"/>
      <w:bookmarkStart w:id="713" w:name="_Toc152042461"/>
      <w:bookmarkStart w:id="714" w:name="_Toc144974651"/>
      <w:bookmarkStart w:id="715" w:name="_Toc179632701"/>
      <w:r>
        <w:rPr>
          <w:rFonts w:hint="eastAsia" w:ascii="宋体" w:hAnsi="宋体" w:eastAsia="宋体" w:cs="宋体"/>
          <w:b/>
          <w:bCs/>
          <w:color w:val="auto"/>
          <w:highlight w:val="none"/>
          <w:lang w:val="en-US" w:eastAsia="zh-CN"/>
        </w:rPr>
        <w:t>11.1 开工</w:t>
      </w:r>
      <w:bookmarkEnd w:id="712"/>
      <w:bookmarkEnd w:id="713"/>
      <w:bookmarkEnd w:id="714"/>
      <w:bookmarkEnd w:id="715"/>
    </w:p>
    <w:p w14:paraId="4015BCD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783B0F8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6BE33A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11.1.3  若发包人未能按合同约定向承包人提供开工的必要条件，承包人有权要求延长工期。监理人应在收到承包人的书面要求后，按第3.5款的约定，与合同双方商定或确定增加的费用和延长的工期。</w:t>
      </w:r>
    </w:p>
    <w:p w14:paraId="30021B0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2826F3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16" w:name="_Toc144974652"/>
      <w:bookmarkStart w:id="717" w:name="_Toc179632702"/>
      <w:bookmarkStart w:id="718" w:name="_Toc152042462"/>
      <w:bookmarkStart w:id="719" w:name="_Toc152045684"/>
      <w:r>
        <w:rPr>
          <w:rFonts w:hint="eastAsia" w:ascii="宋体" w:hAnsi="宋体" w:eastAsia="宋体" w:cs="宋体"/>
          <w:b/>
          <w:bCs/>
          <w:color w:val="auto"/>
          <w:highlight w:val="none"/>
          <w:lang w:val="en-US" w:eastAsia="zh-CN"/>
        </w:rPr>
        <w:t>11.2 竣工</w:t>
      </w:r>
      <w:bookmarkEnd w:id="716"/>
      <w:bookmarkEnd w:id="717"/>
      <w:bookmarkEnd w:id="718"/>
      <w:bookmarkEnd w:id="719"/>
      <w:r>
        <w:rPr>
          <w:rFonts w:hint="eastAsia" w:ascii="宋体" w:hAnsi="宋体" w:eastAsia="宋体" w:cs="宋体"/>
          <w:b/>
          <w:bCs/>
          <w:color w:val="auto"/>
          <w:highlight w:val="none"/>
          <w:lang w:val="en-US" w:eastAsia="zh-CN"/>
        </w:rPr>
        <w:t>（完工）</w:t>
      </w:r>
    </w:p>
    <w:p w14:paraId="7B1B515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承包人应在第1.1.4.3目约定的期限内完成合同工程。合同工程实际完工日期在合同工程完工证书中明确。</w:t>
      </w:r>
    </w:p>
    <w:p w14:paraId="5F8299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20" w:name="_Toc152042463"/>
      <w:bookmarkStart w:id="721" w:name="_Toc152045685"/>
      <w:bookmarkStart w:id="722" w:name="_Toc144974653"/>
      <w:bookmarkStart w:id="723" w:name="_Toc179632703"/>
      <w:r>
        <w:rPr>
          <w:rFonts w:hint="eastAsia" w:ascii="宋体" w:hAnsi="宋体" w:eastAsia="宋体" w:cs="宋体"/>
          <w:b/>
          <w:bCs/>
          <w:color w:val="auto"/>
          <w:highlight w:val="none"/>
          <w:lang w:val="en-US" w:eastAsia="zh-CN"/>
        </w:rPr>
        <w:t>11.3 发包人的工期延误</w:t>
      </w:r>
      <w:bookmarkEnd w:id="720"/>
      <w:bookmarkEnd w:id="721"/>
      <w:bookmarkEnd w:id="722"/>
      <w:bookmarkEnd w:id="723"/>
    </w:p>
    <w:p w14:paraId="51D875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在履行合同过程中，由于发包人的下列原因造成工期延误的，承包人有权要求发包人延长工期和（或）增加费用，并支付合理利润。需要修订合同进度计划的，按照第10.2款的约定办理。</w:t>
      </w:r>
    </w:p>
    <w:p w14:paraId="5F510AD5">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（1）增加合同工作内容；</w:t>
      </w:r>
    </w:p>
    <w:p w14:paraId="146B0A51">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（2）改变合同中任何一项工作的质量要求或其他特性；</w:t>
      </w:r>
    </w:p>
    <w:p w14:paraId="23FBB961">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（3）发包人迟延提供材料、工程设备或变更交货地点的；</w:t>
      </w:r>
    </w:p>
    <w:p w14:paraId="04F1BAA7">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（4）因发包人原因导致的暂停施工；</w:t>
      </w:r>
    </w:p>
    <w:p w14:paraId="2E353963">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（5）提供图纸延误；</w:t>
      </w:r>
    </w:p>
    <w:p w14:paraId="37E81FB6">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（6）未按合同约定及时支付预付款、进度款；</w:t>
      </w:r>
    </w:p>
    <w:p w14:paraId="4A43B1E1">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（7）发包人造成工期延误的其他原因。</w:t>
      </w:r>
    </w:p>
    <w:p w14:paraId="46A921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24" w:name="_Toc179632704"/>
      <w:bookmarkStart w:id="725" w:name="_Toc152045686"/>
      <w:bookmarkStart w:id="726" w:name="_Toc144974654"/>
      <w:bookmarkStart w:id="727" w:name="_Toc152042464"/>
      <w:r>
        <w:rPr>
          <w:rFonts w:hint="eastAsia" w:ascii="宋体" w:hAnsi="宋体" w:eastAsia="宋体" w:cs="宋体"/>
          <w:b/>
          <w:bCs/>
          <w:color w:val="auto"/>
          <w:highlight w:val="none"/>
          <w:lang w:val="en-US" w:eastAsia="zh-CN"/>
        </w:rPr>
        <w:t>11.4 异常恶劣的气候条件</w:t>
      </w:r>
      <w:bookmarkEnd w:id="724"/>
      <w:bookmarkEnd w:id="725"/>
      <w:bookmarkEnd w:id="726"/>
      <w:bookmarkEnd w:id="727"/>
    </w:p>
    <w:p w14:paraId="0FB4501D">
      <w:pPr>
        <w:spacing w:line="360" w:lineRule="auto"/>
        <w:ind w:firstLine="359" w:firstLineChars="171"/>
        <w:rPr>
          <w:rFonts w:hint="eastAsia" w:ascii="宋体" w:hAnsi="宋体" w:eastAsia="宋体" w:cs="宋体"/>
          <w:color w:val="auto"/>
          <w:highlight w:val="none"/>
          <w:lang w:val="en-US" w:eastAsia="zh-CN"/>
        </w:rPr>
      </w:pPr>
      <w:bookmarkStart w:id="728" w:name="_Toc152045687"/>
      <w:bookmarkStart w:id="729" w:name="_Toc179632705"/>
      <w:bookmarkStart w:id="730" w:name="_Toc144974655"/>
      <w:bookmarkStart w:id="731" w:name="_Toc152042465"/>
      <w:r>
        <w:rPr>
          <w:rFonts w:hint="eastAsia" w:ascii="宋体" w:hAnsi="宋体" w:eastAsia="宋体" w:cs="宋体"/>
          <w:color w:val="auto"/>
          <w:highlight w:val="none"/>
          <w:lang w:val="en-US" w:eastAsia="zh-CN"/>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3404D996">
      <w:pPr>
        <w:spacing w:line="360" w:lineRule="auto"/>
        <w:ind w:firstLine="359" w:firstLineChars="1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11.4.2  异常恶劣气候条件造成的工期延误和工程损坏，应由发包人与承包人参照本合同通用合同条款第21.3款的约定协商处理。</w:t>
      </w:r>
    </w:p>
    <w:p w14:paraId="5C58285C">
      <w:pPr>
        <w:spacing w:line="360" w:lineRule="auto"/>
        <w:ind w:firstLine="359" w:firstLineChars="1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11.4.3  本合同工程界定异常恶劣气候条件的范围在专用合同条款中约定。</w:t>
      </w:r>
    </w:p>
    <w:p w14:paraId="6D5F4BD0">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11.5 承包人的工期延误</w:t>
      </w:r>
      <w:bookmarkEnd w:id="728"/>
      <w:bookmarkEnd w:id="729"/>
      <w:bookmarkEnd w:id="730"/>
      <w:bookmarkEnd w:id="731"/>
    </w:p>
    <w:p w14:paraId="1B7A7AF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689E62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32" w:name="_Toc144974656"/>
      <w:bookmarkStart w:id="733" w:name="_Toc152042466"/>
      <w:bookmarkStart w:id="734" w:name="_Toc152045688"/>
      <w:bookmarkStart w:id="735" w:name="_Toc179632706"/>
      <w:r>
        <w:rPr>
          <w:rFonts w:hint="eastAsia" w:ascii="宋体" w:hAnsi="宋体" w:eastAsia="宋体" w:cs="宋体"/>
          <w:b/>
          <w:bCs/>
          <w:color w:val="auto"/>
          <w:highlight w:val="none"/>
          <w:lang w:val="en-US" w:eastAsia="zh-CN"/>
        </w:rPr>
        <w:t>11.6</w:t>
      </w:r>
      <w:bookmarkEnd w:id="732"/>
      <w:bookmarkStart w:id="736" w:name="_Toc144974657"/>
      <w:r>
        <w:rPr>
          <w:rFonts w:hint="eastAsia" w:ascii="宋体" w:hAnsi="宋体" w:eastAsia="宋体" w:cs="宋体"/>
          <w:b/>
          <w:bCs/>
          <w:color w:val="auto"/>
          <w:highlight w:val="none"/>
          <w:lang w:val="en-US" w:eastAsia="zh-CN"/>
        </w:rPr>
        <w:t xml:space="preserve"> 工期提前</w:t>
      </w:r>
      <w:bookmarkEnd w:id="733"/>
      <w:bookmarkEnd w:id="734"/>
      <w:bookmarkEnd w:id="735"/>
      <w:bookmarkEnd w:id="736"/>
    </w:p>
    <w:p w14:paraId="060569B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发包人要求承包人提前完工，或承包人提出提前完工的建议能够给发包人带来效益的，应由监理人与承包人</w:t>
      </w:r>
      <w:r>
        <w:rPr>
          <w:rFonts w:hint="eastAsia" w:ascii="宋体" w:hAnsi="宋体" w:cs="宋体"/>
          <w:color w:val="auto"/>
          <w:highlight w:val="none"/>
          <w:lang w:eastAsia="zh-CN"/>
        </w:rPr>
        <w:t>协商</w:t>
      </w:r>
      <w:r>
        <w:rPr>
          <w:rFonts w:hint="eastAsia" w:ascii="宋体" w:hAnsi="宋体" w:eastAsia="宋体" w:cs="宋体"/>
          <w:color w:val="auto"/>
          <w:highlight w:val="none"/>
        </w:rPr>
        <w:t>采取加快工程进度的措施和修订合同进度计划。发包人应承担承包人由此增加的费用，并向承包人支付专用合同条款约定的相应奖金。</w:t>
      </w:r>
    </w:p>
    <w:p w14:paraId="097FA07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发包人要求提前完工的，双方协商一致后应签订提前完工协议，协议内容包括：</w:t>
      </w:r>
    </w:p>
    <w:p w14:paraId="684EC07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（1）提前的时间和修订后的进度计划；</w:t>
      </w:r>
    </w:p>
    <w:p w14:paraId="78F42D4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（2）承包人的赶工措施；</w:t>
      </w:r>
    </w:p>
    <w:p w14:paraId="32B1F46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（3）发包人为赶工提供的条件；</w:t>
      </w:r>
    </w:p>
    <w:p w14:paraId="7B37C58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（4）赶工费用（包括利润和奖金）。 </w:t>
      </w:r>
    </w:p>
    <w:p w14:paraId="2FC0F14A">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737" w:name="_Toc144974658"/>
      <w:bookmarkStart w:id="738" w:name="_Toc152042467"/>
      <w:bookmarkStart w:id="739" w:name="_Toc179632707"/>
      <w:bookmarkStart w:id="740" w:name="_Toc152045689"/>
      <w:r>
        <w:rPr>
          <w:rFonts w:hint="eastAsia" w:ascii="宋体" w:hAnsi="宋体" w:eastAsia="宋体" w:cs="宋体"/>
          <w:color w:val="auto"/>
          <w:sz w:val="21"/>
          <w:szCs w:val="21"/>
          <w:highlight w:val="none"/>
          <w:lang w:val="en-US" w:eastAsia="zh-CN"/>
        </w:rPr>
        <w:t>12. 暂停施工</w:t>
      </w:r>
      <w:bookmarkEnd w:id="737"/>
      <w:bookmarkEnd w:id="738"/>
      <w:bookmarkEnd w:id="739"/>
      <w:bookmarkEnd w:id="740"/>
    </w:p>
    <w:p w14:paraId="3B97A9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41" w:name="_Toc179632708"/>
      <w:bookmarkStart w:id="742" w:name="_Toc144974659"/>
      <w:bookmarkStart w:id="743" w:name="_Toc152045690"/>
      <w:bookmarkStart w:id="744" w:name="_Toc152042468"/>
      <w:r>
        <w:rPr>
          <w:rFonts w:hint="eastAsia" w:ascii="宋体" w:hAnsi="宋体" w:eastAsia="宋体" w:cs="宋体"/>
          <w:b/>
          <w:bCs/>
          <w:color w:val="auto"/>
          <w:highlight w:val="none"/>
          <w:lang w:val="en-US" w:eastAsia="zh-CN"/>
        </w:rPr>
        <w:t>12.1 承包人暂停施工的责任</w:t>
      </w:r>
      <w:bookmarkEnd w:id="741"/>
      <w:bookmarkEnd w:id="742"/>
      <w:bookmarkEnd w:id="743"/>
      <w:bookmarkEnd w:id="744"/>
    </w:p>
    <w:p w14:paraId="2B0FE5E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因下列暂停施工增加的费用和（或）工期延误由承包人承担：</w:t>
      </w:r>
    </w:p>
    <w:p w14:paraId="72B2C66A">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（1）承包人违约引起的暂停施工；</w:t>
      </w:r>
    </w:p>
    <w:p w14:paraId="06685AE5">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（2）由于承包人原因为工程合理施工和安全保障所必需的暂停施工；</w:t>
      </w:r>
    </w:p>
    <w:p w14:paraId="16ADE2B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（3）承包人擅自暂停施工；</w:t>
      </w:r>
    </w:p>
    <w:p w14:paraId="7EC04733">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（4）承包人其他原因引起的暂停施工；</w:t>
      </w:r>
    </w:p>
    <w:p w14:paraId="69954866">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（5）专用合同条款约定由承包人承担的其他暂停施工。</w:t>
      </w:r>
    </w:p>
    <w:p w14:paraId="73EAA2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45" w:name="_Toc152045691"/>
      <w:bookmarkStart w:id="746" w:name="_Toc144974660"/>
      <w:bookmarkStart w:id="747" w:name="_Toc152042469"/>
      <w:bookmarkStart w:id="748" w:name="_Toc179632709"/>
      <w:r>
        <w:rPr>
          <w:rFonts w:hint="eastAsia" w:ascii="宋体" w:hAnsi="宋体" w:eastAsia="宋体" w:cs="宋体"/>
          <w:b/>
          <w:bCs/>
          <w:color w:val="auto"/>
          <w:highlight w:val="none"/>
          <w:lang w:val="en-US" w:eastAsia="zh-CN"/>
        </w:rPr>
        <w:t>12.2 发包人暂停施工的责任</w:t>
      </w:r>
      <w:bookmarkEnd w:id="745"/>
      <w:bookmarkEnd w:id="746"/>
      <w:bookmarkEnd w:id="747"/>
      <w:bookmarkEnd w:id="748"/>
    </w:p>
    <w:p w14:paraId="484F30EF">
      <w:pPr>
        <w:spacing w:line="360" w:lineRule="auto"/>
        <w:ind w:firstLine="359" w:firstLineChars="171"/>
        <w:rPr>
          <w:rFonts w:hint="eastAsia" w:ascii="宋体" w:hAnsi="宋体" w:eastAsia="宋体" w:cs="宋体"/>
          <w:color w:val="auto"/>
          <w:highlight w:val="none"/>
          <w:lang w:val="en-US" w:eastAsia="zh-CN"/>
        </w:rPr>
      </w:pPr>
      <w:bookmarkStart w:id="749" w:name="_Toc179632710"/>
      <w:bookmarkStart w:id="750" w:name="_Toc152045692"/>
      <w:bookmarkStart w:id="751" w:name="_Toc152042470"/>
      <w:bookmarkStart w:id="752" w:name="_Toc144974661"/>
      <w:r>
        <w:rPr>
          <w:rFonts w:hint="eastAsia" w:ascii="宋体" w:hAnsi="宋体" w:eastAsia="宋体" w:cs="宋体"/>
          <w:color w:val="auto"/>
          <w:highlight w:val="none"/>
          <w:lang w:val="en-US" w:eastAsia="zh-CN"/>
        </w:rPr>
        <w:t>由于发包人原因引起的暂停施工造成工期延误的，承包人有权要求发包人延长工期和（或）增加费用，并支付合理利润。</w:t>
      </w:r>
    </w:p>
    <w:p w14:paraId="64D41E7A">
      <w:pPr>
        <w:spacing w:line="360" w:lineRule="auto"/>
        <w:ind w:firstLine="359" w:firstLineChars="1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属于下列任何一种情况引起的暂停施工，均为发包人的责任：</w:t>
      </w:r>
    </w:p>
    <w:p w14:paraId="3DD370DB">
      <w:pPr>
        <w:spacing w:line="360" w:lineRule="auto"/>
        <w:ind w:firstLine="359" w:firstLineChars="1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（1）由于发包人违约引起的暂停施工；</w:t>
      </w:r>
    </w:p>
    <w:p w14:paraId="22241011">
      <w:pPr>
        <w:spacing w:line="360" w:lineRule="auto"/>
        <w:ind w:firstLine="359" w:firstLineChars="1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（2）由于不可抗力的自然或社会因素引起的暂停施工；</w:t>
      </w:r>
    </w:p>
    <w:p w14:paraId="2D312431">
      <w:pPr>
        <w:spacing w:line="360" w:lineRule="auto"/>
        <w:ind w:firstLine="359" w:firstLineChars="17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（3）专用合同条款中约定的</w:t>
      </w:r>
      <w:r>
        <w:rPr>
          <w:rFonts w:hint="eastAsia" w:ascii="宋体" w:hAnsi="宋体" w:cs="宋体"/>
          <w:color w:val="auto"/>
          <w:highlight w:val="none"/>
          <w:lang w:val="en-US" w:eastAsia="zh-CN"/>
        </w:rPr>
        <w:t>其他</w:t>
      </w:r>
      <w:r>
        <w:rPr>
          <w:rFonts w:hint="eastAsia" w:ascii="宋体" w:hAnsi="宋体" w:eastAsia="宋体" w:cs="宋体"/>
          <w:color w:val="auto"/>
          <w:highlight w:val="none"/>
          <w:lang w:val="en-US" w:eastAsia="zh-CN"/>
        </w:rPr>
        <w:t>由于发包人原因引起的暂停施工。</w:t>
      </w:r>
    </w:p>
    <w:p w14:paraId="1DE7E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12.3 监理人暂停施工指示</w:t>
      </w:r>
      <w:bookmarkEnd w:id="749"/>
      <w:bookmarkEnd w:id="750"/>
      <w:bookmarkEnd w:id="751"/>
      <w:bookmarkEnd w:id="752"/>
    </w:p>
    <w:p w14:paraId="1E6C805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6604866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CE819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53" w:name="_Toc152045693"/>
      <w:bookmarkStart w:id="754" w:name="_Toc152042471"/>
      <w:bookmarkStart w:id="755" w:name="_Toc144974662"/>
      <w:bookmarkStart w:id="756" w:name="_Toc179632711"/>
      <w:r>
        <w:rPr>
          <w:rFonts w:hint="eastAsia" w:ascii="宋体" w:hAnsi="宋体" w:eastAsia="宋体" w:cs="宋体"/>
          <w:b/>
          <w:bCs/>
          <w:color w:val="auto"/>
          <w:highlight w:val="none"/>
          <w:lang w:val="en-US" w:eastAsia="zh-CN"/>
        </w:rPr>
        <w:t>12.4 暂停施工后的复工</w:t>
      </w:r>
      <w:bookmarkEnd w:id="753"/>
      <w:bookmarkEnd w:id="754"/>
      <w:bookmarkEnd w:id="755"/>
      <w:bookmarkEnd w:id="756"/>
    </w:p>
    <w:p w14:paraId="799D600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3C9630F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12.4.2 承包人无故拖延和拒绝复工的，由此增加的费用和工期延误由承包人承担；因发包人原因无法按时复工的，承包人有权要求发包人延长工期和（或）增加费用，并支付合理利润。</w:t>
      </w:r>
    </w:p>
    <w:p w14:paraId="5D5224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57" w:name="_Toc152045694"/>
      <w:bookmarkStart w:id="758" w:name="_Toc144974663"/>
      <w:bookmarkStart w:id="759" w:name="_Toc152042472"/>
      <w:bookmarkStart w:id="760" w:name="_Toc179632712"/>
      <w:r>
        <w:rPr>
          <w:rFonts w:hint="eastAsia" w:ascii="宋体" w:hAnsi="宋体" w:eastAsia="宋体" w:cs="宋体"/>
          <w:b/>
          <w:bCs/>
          <w:color w:val="auto"/>
          <w:highlight w:val="none"/>
          <w:lang w:val="en-US" w:eastAsia="zh-CN"/>
        </w:rPr>
        <w:t>12.5 暂停施工持续56天以上</w:t>
      </w:r>
      <w:bookmarkEnd w:id="757"/>
      <w:bookmarkEnd w:id="758"/>
      <w:bookmarkEnd w:id="759"/>
      <w:bookmarkEnd w:id="760"/>
    </w:p>
    <w:p w14:paraId="4726FC89">
      <w:pPr>
        <w:spacing w:line="360" w:lineRule="auto"/>
        <w:ind w:firstLine="411" w:firstLineChars="196"/>
        <w:rPr>
          <w:rFonts w:hint="eastAsia" w:ascii="宋体" w:hAnsi="宋体" w:eastAsia="宋体" w:cs="宋体"/>
          <w:color w:val="auto"/>
          <w:highlight w:val="none"/>
        </w:rPr>
      </w:pPr>
      <w:r>
        <w:rPr>
          <w:rFonts w:hint="eastAsia" w:ascii="宋体" w:hAnsi="宋体" w:eastAsia="宋体" w:cs="宋体"/>
          <w:color w:val="auto"/>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7345E50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12.5.2 由于承包人责任引起的暂停施工，如承包人在收到监理人暂停施工指示后56天内不认真采取有效的复工措施，造成工期延误，可视为承包人违约，应按第22.1款的规定办理。</w:t>
      </w:r>
    </w:p>
    <w:p w14:paraId="77B7C4CC">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761" w:name="_Toc179632713"/>
      <w:bookmarkStart w:id="762" w:name="_Toc152045695"/>
      <w:bookmarkStart w:id="763" w:name="_Toc144974664"/>
      <w:bookmarkStart w:id="764" w:name="_Toc152042473"/>
      <w:r>
        <w:rPr>
          <w:rFonts w:hint="eastAsia" w:ascii="宋体" w:hAnsi="宋体" w:eastAsia="宋体" w:cs="宋体"/>
          <w:color w:val="auto"/>
          <w:sz w:val="21"/>
          <w:szCs w:val="21"/>
          <w:highlight w:val="none"/>
          <w:lang w:val="en-US" w:eastAsia="zh-CN"/>
        </w:rPr>
        <w:t>13. 工程质量</w:t>
      </w:r>
      <w:bookmarkEnd w:id="761"/>
      <w:bookmarkEnd w:id="762"/>
      <w:bookmarkEnd w:id="763"/>
      <w:bookmarkEnd w:id="764"/>
    </w:p>
    <w:p w14:paraId="66A9D4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65" w:name="_Toc152042474"/>
      <w:bookmarkStart w:id="766" w:name="_Toc144974665"/>
      <w:bookmarkStart w:id="767" w:name="_Toc152045696"/>
      <w:bookmarkStart w:id="768" w:name="_Toc179632714"/>
      <w:r>
        <w:rPr>
          <w:rFonts w:hint="eastAsia" w:ascii="宋体" w:hAnsi="宋体" w:eastAsia="宋体" w:cs="宋体"/>
          <w:b/>
          <w:bCs/>
          <w:color w:val="auto"/>
          <w:highlight w:val="none"/>
          <w:lang w:val="en-US" w:eastAsia="zh-CN"/>
        </w:rPr>
        <w:t>13.1 工程质量要求</w:t>
      </w:r>
      <w:bookmarkEnd w:id="765"/>
      <w:bookmarkEnd w:id="766"/>
      <w:bookmarkEnd w:id="767"/>
      <w:bookmarkEnd w:id="768"/>
    </w:p>
    <w:p w14:paraId="4968774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13.1.1 工程质量验收按合同约定验收标准执行。</w:t>
      </w:r>
    </w:p>
    <w:p w14:paraId="53AB8EF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13.1.2 因承包人原因造成工程质量达不到合同约定验收标准的，监理人有权要求承包人返工直至符合合同要求为止，由此造成的费用增加和（或）工期延误由承包人承担。</w:t>
      </w:r>
    </w:p>
    <w:p w14:paraId="0C2F425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13.1.3 因发包人原因造成工程质量达不到合同约定验收标准的，发包人应承担由于承包人返工造成的费用增加和（或）工期延误，并支付承包人合理利润。</w:t>
      </w:r>
    </w:p>
    <w:p w14:paraId="648873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69" w:name="_Toc152042475"/>
      <w:bookmarkStart w:id="770" w:name="_Toc179632715"/>
      <w:bookmarkStart w:id="771" w:name="_Toc144974666"/>
      <w:bookmarkStart w:id="772" w:name="_Toc152045697"/>
      <w:r>
        <w:rPr>
          <w:rFonts w:hint="eastAsia" w:ascii="宋体" w:hAnsi="宋体" w:eastAsia="宋体" w:cs="宋体"/>
          <w:b/>
          <w:bCs/>
          <w:color w:val="auto"/>
          <w:highlight w:val="none"/>
          <w:lang w:val="en-US" w:eastAsia="zh-CN"/>
        </w:rPr>
        <w:t>13.2 承包人的质量管理</w:t>
      </w:r>
      <w:bookmarkEnd w:id="769"/>
      <w:bookmarkEnd w:id="770"/>
      <w:bookmarkEnd w:id="771"/>
      <w:bookmarkEnd w:id="772"/>
    </w:p>
    <w:p w14:paraId="1D0C81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13.2.1 承包人应在施工场地设置专门的质 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23AD2B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13.2.2 承包人应加强对施工人员的质量教育和技术培训，定期考核施工人员的劳动技能，严格执行规范和操作规程。</w:t>
      </w:r>
    </w:p>
    <w:p w14:paraId="21C016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73" w:name="_Toc179632716"/>
      <w:bookmarkStart w:id="774" w:name="_Toc152045698"/>
      <w:bookmarkStart w:id="775" w:name="_Toc152042476"/>
      <w:bookmarkStart w:id="776" w:name="_Toc144974667"/>
      <w:r>
        <w:rPr>
          <w:rFonts w:hint="eastAsia" w:ascii="宋体" w:hAnsi="宋体" w:eastAsia="宋体" w:cs="宋体"/>
          <w:b/>
          <w:bCs/>
          <w:color w:val="auto"/>
          <w:highlight w:val="none"/>
          <w:lang w:val="en-US" w:eastAsia="zh-CN"/>
        </w:rPr>
        <w:t>13.3 承包人的质量检查</w:t>
      </w:r>
      <w:bookmarkEnd w:id="773"/>
      <w:bookmarkEnd w:id="774"/>
      <w:bookmarkEnd w:id="775"/>
      <w:bookmarkEnd w:id="776"/>
    </w:p>
    <w:p w14:paraId="7C81A93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承包人应按合同约定对材料、工程设备以及工程的所有部位及其施工工艺进行全过程的质量检查和检验，并</w:t>
      </w:r>
      <w:r>
        <w:rPr>
          <w:rFonts w:hint="eastAsia" w:ascii="宋体" w:hAnsi="宋体" w:cs="宋体"/>
          <w:color w:val="auto"/>
          <w:highlight w:val="none"/>
          <w:lang w:eastAsia="zh-CN"/>
        </w:rPr>
        <w:t>做</w:t>
      </w:r>
      <w:r>
        <w:rPr>
          <w:rFonts w:hint="eastAsia" w:ascii="宋体" w:hAnsi="宋体" w:eastAsia="宋体" w:cs="宋体"/>
          <w:color w:val="auto"/>
          <w:highlight w:val="none"/>
        </w:rPr>
        <w:t>详细记录，编制工程质量报表，报送监理人审查。</w:t>
      </w:r>
    </w:p>
    <w:p w14:paraId="5FF5F1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77" w:name="_Toc152045699"/>
      <w:bookmarkStart w:id="778" w:name="_Toc152042477"/>
      <w:bookmarkStart w:id="779" w:name="_Toc179632717"/>
      <w:bookmarkStart w:id="780" w:name="_Toc144974668"/>
      <w:r>
        <w:rPr>
          <w:rFonts w:hint="eastAsia" w:ascii="宋体" w:hAnsi="宋体" w:eastAsia="宋体" w:cs="宋体"/>
          <w:b/>
          <w:bCs/>
          <w:color w:val="auto"/>
          <w:highlight w:val="none"/>
          <w:lang w:val="en-US" w:eastAsia="zh-CN"/>
        </w:rPr>
        <w:t>13.4 监理人的质量检查</w:t>
      </w:r>
      <w:bookmarkEnd w:id="777"/>
      <w:bookmarkEnd w:id="778"/>
      <w:bookmarkEnd w:id="779"/>
      <w:bookmarkEnd w:id="780"/>
    </w:p>
    <w:p w14:paraId="65AAE90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6125FF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81" w:name="_Toc152045700"/>
      <w:bookmarkStart w:id="782" w:name="_Toc144974669"/>
      <w:bookmarkStart w:id="783" w:name="_Toc152042478"/>
      <w:bookmarkStart w:id="784" w:name="_Toc179632718"/>
      <w:r>
        <w:rPr>
          <w:rFonts w:hint="eastAsia" w:ascii="宋体" w:hAnsi="宋体" w:eastAsia="宋体" w:cs="宋体"/>
          <w:b/>
          <w:bCs/>
          <w:color w:val="auto"/>
          <w:highlight w:val="none"/>
          <w:lang w:val="en-US" w:eastAsia="zh-CN"/>
        </w:rPr>
        <w:t>13.5 工程隐蔽部位覆盖前的检查</w:t>
      </w:r>
      <w:bookmarkEnd w:id="781"/>
      <w:bookmarkEnd w:id="782"/>
      <w:bookmarkEnd w:id="783"/>
      <w:bookmarkEnd w:id="784"/>
    </w:p>
    <w:p w14:paraId="2F7B7B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13.5.1 通知监理人检查</w:t>
      </w:r>
    </w:p>
    <w:p w14:paraId="04F5060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2A3E4BA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13.5.2 监理人未到场检查</w:t>
      </w:r>
    </w:p>
    <w:p w14:paraId="677AC68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4F2A6A6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13.5.3 监理人重新检查</w:t>
      </w:r>
    </w:p>
    <w:p w14:paraId="1F408EA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243381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13.5.4 承包人私自覆盖</w:t>
      </w:r>
    </w:p>
    <w:p w14:paraId="5AEE4C7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承包人未通知监理人到场检查，私自将工程隐蔽部位覆盖的，监理人有权指示承包人钻孔探测或揭开检查，由此增加的费用和（或）工期延误由承包人承担。</w:t>
      </w:r>
    </w:p>
    <w:p w14:paraId="4BFE69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85" w:name="_Toc152045701"/>
      <w:bookmarkStart w:id="786" w:name="_Toc179632719"/>
      <w:bookmarkStart w:id="787" w:name="_Toc152042479"/>
      <w:bookmarkStart w:id="788" w:name="_Toc144974670"/>
      <w:r>
        <w:rPr>
          <w:rFonts w:hint="eastAsia" w:ascii="宋体" w:hAnsi="宋体" w:eastAsia="宋体" w:cs="宋体"/>
          <w:b/>
          <w:bCs/>
          <w:color w:val="auto"/>
          <w:highlight w:val="none"/>
          <w:lang w:val="en-US" w:eastAsia="zh-CN"/>
        </w:rPr>
        <w:t>13.6 清除不合格工程</w:t>
      </w:r>
      <w:bookmarkEnd w:id="785"/>
      <w:bookmarkEnd w:id="786"/>
      <w:bookmarkEnd w:id="787"/>
      <w:bookmarkEnd w:id="788"/>
    </w:p>
    <w:p w14:paraId="07A4416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D0A7A6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13.6.2 由于发包人提供的材料或工程设备不合格造成的工程不合格，需要承包人采取措施补救的，发包人应承担由此增加的费用和（或）工期延误，并支付承包人合理利润。</w:t>
      </w:r>
    </w:p>
    <w:p w14:paraId="5FC1D2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89" w:name="_Toc144974671"/>
      <w:bookmarkStart w:id="790" w:name="_Toc152042480"/>
      <w:bookmarkStart w:id="791" w:name="_Toc179632720"/>
      <w:bookmarkStart w:id="792" w:name="_Toc152045702"/>
      <w:r>
        <w:rPr>
          <w:rFonts w:hint="eastAsia" w:ascii="宋体" w:hAnsi="宋体" w:eastAsia="宋体" w:cs="宋体"/>
          <w:b/>
          <w:bCs/>
          <w:color w:val="auto"/>
          <w:highlight w:val="none"/>
          <w:lang w:val="en-US" w:eastAsia="zh-CN"/>
        </w:rPr>
        <w:t>13.7 质量评定</w:t>
      </w:r>
    </w:p>
    <w:p w14:paraId="5DB91922">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13.7.1发包人应组织承包人进行工程项目划分，并确定单位工程、主要分部工程 、重要隐蔽单元工程和关键部位单元工程。</w:t>
      </w:r>
    </w:p>
    <w:p w14:paraId="3DE2E52C">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13.7.2  工程实施过程中，单位工程、主要分部工程、重要隐蔽单元工程和关键部位单元工程的项目划分需要调整时，承包人应报发包人确认。</w:t>
      </w:r>
    </w:p>
    <w:p w14:paraId="7563302D">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13.7.3  承包人应在单元（工序 ）工程质量自评合格后，报监理人核定质量等级并签证认可。</w:t>
      </w:r>
    </w:p>
    <w:p w14:paraId="1A35489F">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定手续。</w:t>
      </w:r>
    </w:p>
    <w:p w14:paraId="7F1CAFC4">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13.7.5  承包人应在分部工程质量自评合格后，报监理人复核和发包人认定。发包人负责按有关规定完成分部工程质量结论报工程质量监督机构核备（核定）手续。</w:t>
      </w:r>
    </w:p>
    <w:p w14:paraId="37C8C76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13.7.6  承包人应在单位工程质量自评合格后，报监理人复核和发包人认定。发包人负责按有关规定完成单位工程质量结论报工程质量监督机构核定手续。</w:t>
      </w:r>
    </w:p>
    <w:p w14:paraId="03C7D13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13.7.7  除专用合同条款另有约定外，工程质量等级分为合格和优良，应分别达到约定的标准。</w:t>
      </w:r>
    </w:p>
    <w:p w14:paraId="1AB3B4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13.8 质量事故处理</w:t>
      </w:r>
    </w:p>
    <w:p w14:paraId="6404CC8B">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13.8.1  发生质量事故时，承包人应及时向发包人和监理人报告。</w:t>
      </w:r>
    </w:p>
    <w:p w14:paraId="76BC330E">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13.8.2  质量事故调查处理由发包人按相关规定履行手续，承包人应配合。</w:t>
      </w:r>
    </w:p>
    <w:p w14:paraId="15708FAB">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13.8.3  承包人应对质量缺陷进行备案。发包人委托监理人对质量缺陷备案情况进行监督检查并履行相关手续。</w:t>
      </w:r>
    </w:p>
    <w:p w14:paraId="6F31AF1B">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13.8.4  除专用合同条款另有约定外，工程竣工验收时，发包人负责向竣工验收委员会汇报并提交历次质量缺陷处理的备案资料。</w:t>
      </w:r>
    </w:p>
    <w:p w14:paraId="7DABA5D9">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 试验和检验</w:t>
      </w:r>
      <w:bookmarkEnd w:id="789"/>
      <w:bookmarkEnd w:id="790"/>
      <w:bookmarkEnd w:id="791"/>
      <w:bookmarkEnd w:id="792"/>
    </w:p>
    <w:p w14:paraId="4E45C4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93" w:name="_Toc144974672"/>
      <w:bookmarkStart w:id="794" w:name="_Toc179632721"/>
      <w:bookmarkStart w:id="795" w:name="_Toc152045703"/>
      <w:bookmarkStart w:id="796" w:name="_Toc152042481"/>
      <w:r>
        <w:rPr>
          <w:rFonts w:hint="eastAsia" w:ascii="宋体" w:hAnsi="宋体" w:eastAsia="宋体" w:cs="宋体"/>
          <w:b/>
          <w:bCs/>
          <w:color w:val="auto"/>
          <w:highlight w:val="none"/>
          <w:lang w:val="en-US" w:eastAsia="zh-CN"/>
        </w:rPr>
        <w:t>14.1 材料、工程设备和工程的试验和检验</w:t>
      </w:r>
      <w:bookmarkEnd w:id="793"/>
      <w:bookmarkEnd w:id="794"/>
      <w:bookmarkEnd w:id="795"/>
      <w:bookmarkEnd w:id="796"/>
    </w:p>
    <w:p w14:paraId="4478E13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E55A7F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14.1.2 监理人未按合同约定派员参加试验和检验的，除监理人另有指示外，承包人可自行试验和检验，并应立即将试验和检验结果报送监理人，监理人应签字确认。</w:t>
      </w:r>
    </w:p>
    <w:p w14:paraId="7F1ADF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44D147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14.1.4  承包人应按相关规定和标准对水泥、钢材等原材料与中间产品质量进行检验，并报监理人复核。</w:t>
      </w:r>
    </w:p>
    <w:p w14:paraId="65BFE1B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cs="宋体"/>
          <w:color w:val="auto"/>
          <w:highlight w:val="none"/>
          <w:lang w:eastAsia="zh-CN"/>
        </w:rPr>
        <w:t>做好</w:t>
      </w:r>
      <w:r>
        <w:rPr>
          <w:rFonts w:hint="eastAsia" w:ascii="宋体" w:hAnsi="宋体" w:eastAsia="宋体" w:cs="宋体"/>
          <w:color w:val="auto"/>
          <w:highlight w:val="none"/>
        </w:rPr>
        <w:t>记录，并进行妥善处理。</w:t>
      </w:r>
    </w:p>
    <w:p w14:paraId="1966185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14.1.6  对专用合同条款约定的试块、试件及有关材料，监理人实行见证取样。见证取样</w:t>
      </w:r>
    </w:p>
    <w:p w14:paraId="5E6CCA2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资料由承包人制备，记录应真实齐全，监理人、承包人等参与见证取样人员均应在相关文件上签字。</w:t>
      </w:r>
    </w:p>
    <w:p w14:paraId="0ABE79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797" w:name="_Toc179632722"/>
      <w:bookmarkStart w:id="798" w:name="_Toc144974673"/>
      <w:bookmarkStart w:id="799" w:name="_Toc152045704"/>
      <w:bookmarkStart w:id="800" w:name="_Toc152042482"/>
      <w:r>
        <w:rPr>
          <w:rFonts w:hint="eastAsia" w:ascii="宋体" w:hAnsi="宋体" w:eastAsia="宋体" w:cs="宋体"/>
          <w:b/>
          <w:bCs/>
          <w:color w:val="auto"/>
          <w:highlight w:val="none"/>
          <w:lang w:val="en-US" w:eastAsia="zh-CN"/>
        </w:rPr>
        <w:t>14.2 现场材料试验</w:t>
      </w:r>
      <w:bookmarkEnd w:id="797"/>
      <w:bookmarkEnd w:id="798"/>
      <w:bookmarkEnd w:id="799"/>
      <w:bookmarkEnd w:id="800"/>
    </w:p>
    <w:p w14:paraId="75C562B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14.2.1 承包人根据合同约定或监理人指示进行的现场材料试验，应由承包人提供试验场所、试验人员、试验设备器材以及其他必要的试验条件。</w:t>
      </w:r>
    </w:p>
    <w:p w14:paraId="42C68D5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14.2.2 监理人在必要时可以使用承包人的试验场所、试验设备器材以及其他试验条件，进行以工程质量检查为目的的复核性材料试验，承包人应予以协助。</w:t>
      </w:r>
    </w:p>
    <w:p w14:paraId="10B4B0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01" w:name="_Toc152042483"/>
      <w:bookmarkStart w:id="802" w:name="_Toc144974674"/>
      <w:bookmarkStart w:id="803" w:name="_Toc179632723"/>
      <w:bookmarkStart w:id="804" w:name="_Toc152045705"/>
      <w:r>
        <w:rPr>
          <w:rFonts w:hint="eastAsia" w:ascii="宋体" w:hAnsi="宋体" w:eastAsia="宋体" w:cs="宋体"/>
          <w:b/>
          <w:bCs/>
          <w:color w:val="auto"/>
          <w:highlight w:val="none"/>
          <w:lang w:val="en-US" w:eastAsia="zh-CN"/>
        </w:rPr>
        <w:t>14.3 现场工艺试验</w:t>
      </w:r>
      <w:bookmarkEnd w:id="801"/>
      <w:bookmarkEnd w:id="802"/>
      <w:bookmarkEnd w:id="803"/>
      <w:bookmarkEnd w:id="804"/>
    </w:p>
    <w:p w14:paraId="59ED3B4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02AB36D0">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805" w:name="_Toc179632724"/>
      <w:bookmarkStart w:id="806" w:name="_Toc152045706"/>
      <w:bookmarkStart w:id="807" w:name="_Toc144974675"/>
      <w:bookmarkStart w:id="808" w:name="_Toc152042484"/>
      <w:r>
        <w:rPr>
          <w:rFonts w:hint="eastAsia" w:ascii="宋体" w:hAnsi="宋体" w:eastAsia="宋体" w:cs="宋体"/>
          <w:color w:val="auto"/>
          <w:sz w:val="21"/>
          <w:szCs w:val="21"/>
          <w:highlight w:val="none"/>
          <w:lang w:val="en-US" w:eastAsia="zh-CN"/>
        </w:rPr>
        <w:t>15. 变更</w:t>
      </w:r>
      <w:bookmarkEnd w:id="805"/>
      <w:bookmarkEnd w:id="806"/>
      <w:bookmarkEnd w:id="807"/>
      <w:bookmarkEnd w:id="808"/>
    </w:p>
    <w:p w14:paraId="25ECE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09" w:name="_Toc179632725"/>
      <w:bookmarkStart w:id="810" w:name="_Toc152045707"/>
      <w:bookmarkStart w:id="811" w:name="_Toc152042485"/>
      <w:bookmarkStart w:id="812" w:name="_Toc144974676"/>
      <w:r>
        <w:rPr>
          <w:rFonts w:hint="eastAsia" w:ascii="宋体" w:hAnsi="宋体" w:eastAsia="宋体" w:cs="宋体"/>
          <w:b/>
          <w:bCs/>
          <w:color w:val="auto"/>
          <w:highlight w:val="none"/>
          <w:lang w:val="en-US" w:eastAsia="zh-CN"/>
        </w:rPr>
        <w:t>15.1 变更的范围和内容</w:t>
      </w:r>
      <w:bookmarkEnd w:id="809"/>
      <w:bookmarkEnd w:id="810"/>
      <w:bookmarkEnd w:id="811"/>
      <w:bookmarkEnd w:id="812"/>
    </w:p>
    <w:p w14:paraId="1E8E4B9C">
      <w:pPr>
        <w:spacing w:line="360" w:lineRule="auto"/>
        <w:ind w:firstLine="420" w:firstLineChars="200"/>
        <w:rPr>
          <w:rFonts w:hint="eastAsia" w:ascii="宋体" w:hAnsi="宋体" w:eastAsia="宋体" w:cs="宋体"/>
          <w:color w:val="auto"/>
          <w:highlight w:val="none"/>
          <w:lang w:val="en-US" w:eastAsia="zh-CN"/>
        </w:rPr>
      </w:pPr>
      <w:bookmarkStart w:id="813" w:name="_Toc144974677"/>
      <w:bookmarkStart w:id="814" w:name="_Toc152042486"/>
      <w:bookmarkStart w:id="815" w:name="_Toc179632726"/>
      <w:bookmarkStart w:id="816" w:name="_Toc152045708"/>
      <w:r>
        <w:rPr>
          <w:rFonts w:hint="eastAsia" w:ascii="宋体" w:hAnsi="宋体" w:eastAsia="宋体" w:cs="宋体"/>
          <w:color w:val="auto"/>
          <w:highlight w:val="none"/>
          <w:lang w:val="en-US" w:eastAsia="zh-CN"/>
        </w:rPr>
        <w:t>在履行合同中发生以下情形之一，应按照本款规定进行变更。</w:t>
      </w:r>
    </w:p>
    <w:p w14:paraId="4605680D">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（1）取消合同中任何一项工作，但被取消的工作不能转由发包人或</w:t>
      </w:r>
      <w:r>
        <w:rPr>
          <w:rFonts w:hint="eastAsia" w:ascii="宋体" w:hAnsi="宋体" w:cs="宋体"/>
          <w:color w:val="auto"/>
          <w:highlight w:val="none"/>
          <w:lang w:val="en-US" w:eastAsia="zh-CN"/>
        </w:rPr>
        <w:t>其他人</w:t>
      </w:r>
      <w:r>
        <w:rPr>
          <w:rFonts w:hint="eastAsia" w:ascii="宋体" w:hAnsi="宋体" w:eastAsia="宋体" w:cs="宋体"/>
          <w:color w:val="auto"/>
          <w:highlight w:val="none"/>
          <w:lang w:val="en-US" w:eastAsia="zh-CN"/>
        </w:rPr>
        <w:t>实施；</w:t>
      </w:r>
    </w:p>
    <w:p w14:paraId="2C41A400">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（2）改变合同中任何一项工作的质量或其它特性；</w:t>
      </w:r>
    </w:p>
    <w:p w14:paraId="5F81FB1A">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（3）改变合同工程的基线、标高、位置或尺寸；</w:t>
      </w:r>
    </w:p>
    <w:p w14:paraId="188F203A">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（4）改变合同中任何一项工作的施工时间或改变已批准的施工工艺或顺序；</w:t>
      </w:r>
    </w:p>
    <w:p w14:paraId="7C7253CD">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（5）为完成工程需要追加的额外工作；</w:t>
      </w:r>
    </w:p>
    <w:p w14:paraId="37BB8C4E">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（6）增加或减少专用合同条款中约定的关键项目工程量超过其工程总量的一定数量百分比。</w:t>
      </w:r>
    </w:p>
    <w:p w14:paraId="5B5981B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上述第（1）～（6）目的变更内容引起工程施工组织和进度计划发生实质性变动和影响其原定的价格时，才予调整该项目的单价。第（6）目情形下单价调整方式在专用合同条款中约定。</w:t>
      </w:r>
    </w:p>
    <w:p w14:paraId="7A6C3E4E">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15.2 变更权</w:t>
      </w:r>
      <w:bookmarkEnd w:id="813"/>
      <w:bookmarkEnd w:id="814"/>
      <w:bookmarkEnd w:id="815"/>
      <w:bookmarkEnd w:id="816"/>
    </w:p>
    <w:p w14:paraId="22349D6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在履行合同过程中，经发包人同意，监理人可按第15.3款约定的变更程序向承包人作出变更指示，承包人应遵照执行。没有监理人的变更指示，承包人不得擅自变更。</w:t>
      </w:r>
    </w:p>
    <w:p w14:paraId="1742F9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17" w:name="_Toc152042487"/>
      <w:bookmarkStart w:id="818" w:name="_Toc152045709"/>
      <w:bookmarkStart w:id="819" w:name="_Toc179632727"/>
      <w:bookmarkStart w:id="820" w:name="_Toc144974678"/>
      <w:r>
        <w:rPr>
          <w:rFonts w:hint="eastAsia" w:ascii="宋体" w:hAnsi="宋体" w:eastAsia="宋体" w:cs="宋体"/>
          <w:b/>
          <w:bCs/>
          <w:color w:val="auto"/>
          <w:highlight w:val="none"/>
          <w:lang w:val="en-US" w:eastAsia="zh-CN"/>
        </w:rPr>
        <w:t>15.3 变更程序</w:t>
      </w:r>
      <w:bookmarkEnd w:id="817"/>
      <w:bookmarkEnd w:id="818"/>
      <w:bookmarkEnd w:id="819"/>
      <w:bookmarkEnd w:id="820"/>
    </w:p>
    <w:p w14:paraId="5D81687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15.3.1 变更的提出</w:t>
      </w:r>
    </w:p>
    <w:p w14:paraId="5F78129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26F5883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（2）在合同履行过程中，发生第15.1款约定情形的，监理人应按照第15.3.3项约定向承包人发出变更指示。</w:t>
      </w:r>
    </w:p>
    <w:p w14:paraId="23C0A04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024145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（4）若承包人收到监理人的变更意向书后认为难以实施此项变更，应立即通知监理人，说明原因并附详细依据。监理人与承包人和发包人协商后确定撤销、改变或不改变原变更意向书。</w:t>
      </w:r>
    </w:p>
    <w:p w14:paraId="557EA1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15.3.2 变更估价</w:t>
      </w:r>
    </w:p>
    <w:p w14:paraId="5BB8E78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6A072D2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（2）变更工作影响工期的，承包人应提出调整工期的具体细节。监理人认为有必要时，可要求承包人提交要求提前或延长工期的施工进度计划及相应施工措施等详细资料。</w:t>
      </w:r>
    </w:p>
    <w:p w14:paraId="22A6EE2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（3）除专用合同条款对期限另有约定外，监理人收到承包人变更报价书后的14天内，根据第15.4款约定的估价原则，按照第3.5款商定或确定变更价格。</w:t>
      </w:r>
    </w:p>
    <w:p w14:paraId="35C3191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15.3.3 变更指示</w:t>
      </w:r>
    </w:p>
    <w:p w14:paraId="28D9040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（1）变更指示只能由监理人发出。</w:t>
      </w:r>
    </w:p>
    <w:p w14:paraId="5C5B8F2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（2）变更指示应说明变更的目的、范围、变更内容以及变更的工程量及其进度和技术要求，并附有关图纸和文件。承包人收到变更指示后，应按变更指示进行变更工作。</w:t>
      </w:r>
    </w:p>
    <w:p w14:paraId="3F216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21" w:name="_Toc179632728"/>
      <w:bookmarkStart w:id="822" w:name="_Toc144974679"/>
      <w:bookmarkStart w:id="823" w:name="_Toc152045710"/>
      <w:bookmarkStart w:id="824" w:name="_Toc152042488"/>
      <w:r>
        <w:rPr>
          <w:rFonts w:hint="eastAsia" w:ascii="宋体" w:hAnsi="宋体" w:eastAsia="宋体" w:cs="宋体"/>
          <w:b/>
          <w:bCs/>
          <w:color w:val="auto"/>
          <w:highlight w:val="none"/>
          <w:lang w:val="en-US" w:eastAsia="zh-CN"/>
        </w:rPr>
        <w:t>15.4 变更的估价原则</w:t>
      </w:r>
      <w:bookmarkEnd w:id="821"/>
      <w:bookmarkEnd w:id="822"/>
      <w:bookmarkEnd w:id="823"/>
      <w:bookmarkEnd w:id="824"/>
    </w:p>
    <w:p w14:paraId="2ABBACD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除专用合同条款另有约定外，因变更引起的价格调整按照本款约定处理。</w:t>
      </w:r>
    </w:p>
    <w:p w14:paraId="06CEA20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15.4.1 已标价工程量清单中有适用于变更工作的子目的，采用该子目的单价。</w:t>
      </w:r>
    </w:p>
    <w:p w14:paraId="5B4B43A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15.4.2 已标价工程量清单中无适用于变更工作的子目，但有类似子目的，可在合理范围内参照类似子目的单价，由监理人按第3.5款商定或确定变更工作的单价。</w:t>
      </w:r>
    </w:p>
    <w:p w14:paraId="7FD3487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15.4.3 已标价工程量清单中无适用或类似子目的单价，可按照成本加利润的原则，由监理人按第3.5款商定或确定变更工作的单价。</w:t>
      </w:r>
    </w:p>
    <w:p w14:paraId="12BA5D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25" w:name="_Toc152042489"/>
      <w:bookmarkStart w:id="826" w:name="_Toc144974680"/>
      <w:bookmarkStart w:id="827" w:name="_Toc179632729"/>
      <w:bookmarkStart w:id="828" w:name="_Toc152045711"/>
      <w:r>
        <w:rPr>
          <w:rFonts w:hint="eastAsia" w:ascii="宋体" w:hAnsi="宋体" w:eastAsia="宋体" w:cs="宋体"/>
          <w:b/>
          <w:bCs/>
          <w:color w:val="auto"/>
          <w:highlight w:val="none"/>
          <w:lang w:val="en-US" w:eastAsia="zh-CN"/>
        </w:rPr>
        <w:t>15.5 承包人的合理化建议</w:t>
      </w:r>
      <w:bookmarkEnd w:id="825"/>
      <w:bookmarkEnd w:id="826"/>
      <w:bookmarkEnd w:id="827"/>
      <w:bookmarkEnd w:id="828"/>
    </w:p>
    <w:p w14:paraId="5D7AE06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178905A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15.5.2 承包人提出的合理化建议降低了合同价格、缩短了工期或者提高了工程经济效益的，发包人可按国家有关规定在专用合同条款中约定给予奖励。</w:t>
      </w:r>
    </w:p>
    <w:p w14:paraId="15467B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29" w:name="_Toc144974681"/>
      <w:bookmarkStart w:id="830" w:name="_Toc152042490"/>
      <w:bookmarkStart w:id="831" w:name="_Toc179632730"/>
      <w:bookmarkStart w:id="832" w:name="_Toc152045712"/>
      <w:r>
        <w:rPr>
          <w:rFonts w:hint="eastAsia" w:ascii="宋体" w:hAnsi="宋体" w:eastAsia="宋体" w:cs="宋体"/>
          <w:b/>
          <w:bCs/>
          <w:color w:val="auto"/>
          <w:highlight w:val="none"/>
          <w:lang w:val="en-US" w:eastAsia="zh-CN"/>
        </w:rPr>
        <w:t>15.6 暂列金额</w:t>
      </w:r>
      <w:bookmarkEnd w:id="829"/>
      <w:bookmarkEnd w:id="830"/>
      <w:bookmarkEnd w:id="831"/>
      <w:bookmarkEnd w:id="832"/>
    </w:p>
    <w:p w14:paraId="3AFFD15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暂列金额只能按照监理人的指示使用，并对合同价格进行相应调整。</w:t>
      </w:r>
    </w:p>
    <w:p w14:paraId="4C722E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33" w:name="_Toc179632731"/>
      <w:bookmarkStart w:id="834" w:name="_Toc152045713"/>
      <w:bookmarkStart w:id="835" w:name="_Toc152042491"/>
      <w:bookmarkStart w:id="836" w:name="_Toc144974682"/>
      <w:r>
        <w:rPr>
          <w:rFonts w:hint="eastAsia" w:ascii="宋体" w:hAnsi="宋体" w:eastAsia="宋体" w:cs="宋体"/>
          <w:b/>
          <w:bCs/>
          <w:color w:val="auto"/>
          <w:highlight w:val="none"/>
          <w:lang w:val="en-US" w:eastAsia="zh-CN"/>
        </w:rPr>
        <w:t>15.7 计日工</w:t>
      </w:r>
      <w:bookmarkEnd w:id="833"/>
      <w:bookmarkEnd w:id="834"/>
      <w:bookmarkEnd w:id="835"/>
      <w:bookmarkEnd w:id="836"/>
    </w:p>
    <w:p w14:paraId="132EC83A">
      <w:pPr>
        <w:spacing w:line="360" w:lineRule="auto"/>
        <w:ind w:firstLine="420" w:firstLineChars="200"/>
        <w:rPr>
          <w:rFonts w:hint="eastAsia" w:ascii="宋体" w:hAnsi="宋体" w:eastAsia="宋体" w:cs="宋体"/>
          <w:color w:val="auto"/>
          <w:highlight w:val="none"/>
          <w:shd w:val="pct10" w:color="auto" w:fill="FFFFFF"/>
        </w:rPr>
      </w:pPr>
      <w:r>
        <w:rPr>
          <w:rFonts w:hint="eastAsia" w:ascii="宋体" w:hAnsi="宋体" w:eastAsia="宋体" w:cs="宋体"/>
          <w:color w:val="auto"/>
          <w:highlight w:val="none"/>
        </w:rPr>
        <w:t>15.7.1 发包人认为有必要时，</w:t>
      </w:r>
      <w:r>
        <w:rPr>
          <w:rFonts w:hint="eastAsia" w:ascii="宋体" w:hAnsi="宋体" w:eastAsia="宋体" w:cs="宋体"/>
          <w:color w:val="auto"/>
          <w:szCs w:val="21"/>
          <w:highlight w:val="none"/>
        </w:rPr>
        <w:t>由</w:t>
      </w:r>
      <w:r>
        <w:rPr>
          <w:rFonts w:hint="eastAsia" w:ascii="宋体" w:hAnsi="宋体" w:eastAsia="宋体" w:cs="宋体"/>
          <w:color w:val="auto"/>
          <w:highlight w:val="none"/>
        </w:rPr>
        <w:t>监理人通知承包人以计日工方式实施变更的零星工作。其价款按列入已标价工程量清单中的计日工计价子目及其单价进行计算。</w:t>
      </w:r>
    </w:p>
    <w:p w14:paraId="5641B3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15.7.2 采用计日工计价的任何一项变更工作，应从暂列金额中支付，承包人应在该项变更的实施过程中，每天提交以下报表和有关凭证报送监理人审批：</w:t>
      </w:r>
    </w:p>
    <w:p w14:paraId="69BB87A4">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（1）工作名称、内容和数量；</w:t>
      </w:r>
    </w:p>
    <w:p w14:paraId="5C4CBDD8">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（2）投入该工作所有人员的姓名、工种、级别和耗用工时；</w:t>
      </w:r>
    </w:p>
    <w:p w14:paraId="71C48F1C">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（3）投入该工作的材料类别和数量；</w:t>
      </w:r>
    </w:p>
    <w:p w14:paraId="14010B76">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（4）投入该工作的施工设备型号、台数和耗用台时；</w:t>
      </w:r>
    </w:p>
    <w:p w14:paraId="20F51B0B">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（5）监理人要求提交的其他资料和凭证。</w:t>
      </w:r>
    </w:p>
    <w:p w14:paraId="16C8E30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15.7.3 计日工由承包人汇总后，按第17.3.2项的约定列入进度付款申请单，由监理人复核并经发包人同意后列入进度付款。</w:t>
      </w:r>
    </w:p>
    <w:p w14:paraId="62343A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37" w:name="_Toc152042492"/>
      <w:bookmarkStart w:id="838" w:name="_Toc179632732"/>
      <w:bookmarkStart w:id="839" w:name="_Toc152045714"/>
      <w:bookmarkStart w:id="840" w:name="_Toc144974683"/>
      <w:r>
        <w:rPr>
          <w:rFonts w:hint="eastAsia" w:ascii="宋体" w:hAnsi="宋体" w:eastAsia="宋体" w:cs="宋体"/>
          <w:b/>
          <w:bCs/>
          <w:color w:val="auto"/>
          <w:highlight w:val="none"/>
          <w:lang w:val="en-US" w:eastAsia="zh-CN"/>
        </w:rPr>
        <w:t>15.8 暂估价</w:t>
      </w:r>
      <w:bookmarkEnd w:id="837"/>
      <w:bookmarkEnd w:id="838"/>
      <w:bookmarkEnd w:id="839"/>
      <w:bookmarkEnd w:id="840"/>
    </w:p>
    <w:p w14:paraId="1E18720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5F3AF39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185C44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1AC49872">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841" w:name="_Toc152045715"/>
      <w:bookmarkStart w:id="842" w:name="_Toc144974684"/>
      <w:bookmarkStart w:id="843" w:name="_Toc179632733"/>
      <w:bookmarkStart w:id="844" w:name="_Toc152042493"/>
      <w:r>
        <w:rPr>
          <w:rFonts w:hint="eastAsia" w:ascii="宋体" w:hAnsi="宋体" w:eastAsia="宋体" w:cs="宋体"/>
          <w:color w:val="auto"/>
          <w:sz w:val="21"/>
          <w:szCs w:val="21"/>
          <w:highlight w:val="none"/>
          <w:lang w:val="en-US" w:eastAsia="zh-CN"/>
        </w:rPr>
        <w:t>16. 价格调整</w:t>
      </w:r>
      <w:bookmarkEnd w:id="841"/>
      <w:bookmarkEnd w:id="842"/>
      <w:bookmarkEnd w:id="843"/>
      <w:bookmarkEnd w:id="844"/>
    </w:p>
    <w:p w14:paraId="6BB3D2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45" w:name="_Toc152045716"/>
      <w:bookmarkStart w:id="846" w:name="_Toc144974685"/>
      <w:bookmarkStart w:id="847" w:name="_Toc179632734"/>
      <w:bookmarkStart w:id="848" w:name="_Toc152042494"/>
      <w:r>
        <w:rPr>
          <w:rFonts w:hint="eastAsia" w:ascii="宋体" w:hAnsi="宋体" w:eastAsia="宋体" w:cs="宋体"/>
          <w:b/>
          <w:bCs/>
          <w:color w:val="auto"/>
          <w:highlight w:val="none"/>
          <w:lang w:val="en-US" w:eastAsia="zh-CN"/>
        </w:rPr>
        <w:t>16.1 物价波动引起的价格调整</w:t>
      </w:r>
      <w:bookmarkEnd w:id="845"/>
      <w:bookmarkEnd w:id="846"/>
      <w:bookmarkEnd w:id="847"/>
      <w:bookmarkEnd w:id="848"/>
    </w:p>
    <w:p w14:paraId="2729B62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除专用合同条款另有约定外，因物价波动引起的价格调整按照本款约定处理。</w:t>
      </w:r>
    </w:p>
    <w:p w14:paraId="6F79EBB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16.1.1 采用价格指数调整价格差额</w:t>
      </w:r>
    </w:p>
    <w:p w14:paraId="57E49B5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16.1.1.1 价格调整公式</w:t>
      </w:r>
    </w:p>
    <w:p w14:paraId="03526BB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因人工、材料和设备等价格波动影响合同价格时，根据投标函附录中的价格指数和权重表约定的数据，按以下公式计算差额并调整合同价格。</w:t>
      </w:r>
    </w:p>
    <w:p w14:paraId="51F62DDE">
      <w:pPr>
        <w:autoSpaceDE w:val="0"/>
        <w:autoSpaceDN w:val="0"/>
        <w:adjustRightInd w:val="0"/>
        <w:spacing w:line="720" w:lineRule="auto"/>
        <w:ind w:right="248" w:firstLine="835" w:firstLineChars="398"/>
        <w:jc w:val="center"/>
        <w:rPr>
          <w:rFonts w:hint="eastAsia" w:ascii="宋体" w:hAnsi="宋体" w:eastAsia="宋体" w:cs="宋体"/>
          <w:color w:val="auto"/>
          <w:highlight w:val="none"/>
        </w:rPr>
      </w:pPr>
      <w:r>
        <w:rPr>
          <w:rFonts w:hint="eastAsia" w:ascii="宋体" w:hAnsi="宋体" w:eastAsia="宋体" w:cs="宋体"/>
          <w:color w:val="auto"/>
          <w:position w:val="-34"/>
          <w:highlight w:val="none"/>
        </w:rPr>
        <w:object>
          <v:shape id="_x0000_i1025" o:spt="75" type="#_x0000_t75" style="height:40pt;width:306pt;" o:ole="t" filled="f" o:preferrelative="t" stroked="f" coordsize="21600,21600">
            <v:path/>
            <v:fill on="f" focussize="0,0"/>
            <v:stroke on="f" joinstyle="miter"/>
            <v:imagedata r:id="rId16" o:title=""/>
            <o:lock v:ext="edit" aspectratio="t"/>
            <w10:wrap type="none"/>
            <w10:anchorlock/>
          </v:shape>
          <o:OLEObject Type="Embed" ProgID="Equation.3" ShapeID="_x0000_i1025" DrawAspect="Content" ObjectID="_1468075725" r:id="rId15">
            <o:LockedField>false</o:LockedField>
          </o:OLEObject>
        </w:object>
      </w:r>
    </w:p>
    <w:p w14:paraId="5E790869">
      <w:pPr>
        <w:tabs>
          <w:tab w:val="left" w:pos="1260"/>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式中： △P -- 需调整的价格差额；</w:t>
      </w:r>
    </w:p>
    <w:p w14:paraId="0A9CB7C9">
      <w:pPr>
        <w:tabs>
          <w:tab w:val="left" w:pos="1260"/>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P</w:t>
      </w:r>
      <w:r>
        <w:rPr>
          <w:rFonts w:hint="eastAsia" w:ascii="宋体" w:hAnsi="宋体" w:eastAsia="宋体" w:cs="宋体"/>
          <w:color w:val="auto"/>
          <w:szCs w:val="21"/>
          <w:highlight w:val="none"/>
          <w:vertAlign w:val="subscript"/>
        </w:rPr>
        <w:t>0</w:t>
      </w:r>
      <w:r>
        <w:rPr>
          <w:rFonts w:hint="eastAsia" w:ascii="宋体" w:hAnsi="宋体" w:eastAsia="宋体" w:cs="宋体"/>
          <w:color w:val="auto"/>
          <w:highlight w:val="none"/>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257F5099">
      <w:pPr>
        <w:tabs>
          <w:tab w:val="left" w:pos="1260"/>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ab/>
      </w:r>
      <w:bookmarkStart w:id="849" w:name="_Toc144974686"/>
      <w:bookmarkStart w:id="850" w:name="_Toc152042495"/>
      <w:r>
        <w:rPr>
          <w:rFonts w:hint="eastAsia" w:ascii="宋体" w:hAnsi="宋体" w:eastAsia="宋体" w:cs="宋体"/>
          <w:color w:val="auto"/>
          <w:highlight w:val="none"/>
        </w:rPr>
        <w:t>A -- 定值权重</w:t>
      </w:r>
      <w:r>
        <w:rPr>
          <w:rFonts w:hint="eastAsia" w:ascii="宋体" w:hAnsi="宋体" w:cs="宋体"/>
          <w:color w:val="auto"/>
          <w:highlight w:val="none"/>
          <w:lang w:eastAsia="zh-CN"/>
        </w:rPr>
        <w:t>（</w:t>
      </w:r>
      <w:r>
        <w:rPr>
          <w:rFonts w:hint="eastAsia" w:ascii="宋体" w:hAnsi="宋体" w:eastAsia="宋体" w:cs="宋体"/>
          <w:color w:val="auto"/>
          <w:highlight w:val="none"/>
        </w:rPr>
        <w:t>即不调部分的权重</w:t>
      </w:r>
      <w:r>
        <w:rPr>
          <w:rFonts w:hint="eastAsia" w:ascii="宋体" w:hAnsi="宋体" w:cs="宋体"/>
          <w:color w:val="auto"/>
          <w:highlight w:val="none"/>
          <w:lang w:eastAsia="zh-CN"/>
        </w:rPr>
        <w:t>）</w:t>
      </w:r>
      <w:r>
        <w:rPr>
          <w:rFonts w:hint="eastAsia" w:ascii="宋体" w:hAnsi="宋体" w:eastAsia="宋体" w:cs="宋体"/>
          <w:color w:val="auto"/>
          <w:highlight w:val="none"/>
        </w:rPr>
        <w:t>；</w:t>
      </w:r>
      <w:bookmarkEnd w:id="849"/>
      <w:bookmarkEnd w:id="850"/>
    </w:p>
    <w:p w14:paraId="5D1155AC">
      <w:pPr>
        <w:tabs>
          <w:tab w:val="left" w:pos="1260"/>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B</w:t>
      </w:r>
      <w:r>
        <w:rPr>
          <w:rFonts w:hint="eastAsia" w:ascii="宋体" w:hAnsi="宋体" w:eastAsia="宋体" w:cs="宋体"/>
          <w:color w:val="auto"/>
          <w:szCs w:val="21"/>
          <w:highlight w:val="none"/>
          <w:vertAlign w:val="subscript"/>
        </w:rPr>
        <w:t>1</w:t>
      </w:r>
      <w:r>
        <w:rPr>
          <w:rFonts w:hint="eastAsia" w:ascii="宋体" w:hAnsi="宋体" w:eastAsia="宋体" w:cs="宋体"/>
          <w:color w:val="auto"/>
          <w:sz w:val="15"/>
          <w:szCs w:val="15"/>
          <w:highlight w:val="none"/>
        </w:rPr>
        <w:t>;</w:t>
      </w:r>
      <w:r>
        <w:rPr>
          <w:rFonts w:hint="eastAsia" w:ascii="宋体" w:hAnsi="宋体" w:eastAsia="宋体" w:cs="宋体"/>
          <w:color w:val="auto"/>
          <w:highlight w:val="none"/>
        </w:rPr>
        <w:t xml:space="preserve"> B</w:t>
      </w:r>
      <w:r>
        <w:rPr>
          <w:rFonts w:hint="eastAsia" w:ascii="宋体" w:hAnsi="宋体" w:eastAsia="宋体" w:cs="宋体"/>
          <w:color w:val="auto"/>
          <w:szCs w:val="21"/>
          <w:highlight w:val="none"/>
          <w:vertAlign w:val="subscript"/>
        </w:rPr>
        <w:t>2</w:t>
      </w:r>
      <w:r>
        <w:rPr>
          <w:rFonts w:hint="eastAsia" w:ascii="宋体" w:hAnsi="宋体" w:eastAsia="宋体" w:cs="宋体"/>
          <w:color w:val="auto"/>
          <w:highlight w:val="none"/>
        </w:rPr>
        <w:t xml:space="preserve"> ;B</w:t>
      </w:r>
      <w:r>
        <w:rPr>
          <w:rFonts w:hint="eastAsia" w:ascii="宋体" w:hAnsi="宋体" w:eastAsia="宋体" w:cs="宋体"/>
          <w:color w:val="auto"/>
          <w:szCs w:val="21"/>
          <w:highlight w:val="none"/>
          <w:vertAlign w:val="subscript"/>
        </w:rPr>
        <w:t>3</w:t>
      </w:r>
      <w:r>
        <w:rPr>
          <w:rFonts w:hint="eastAsia" w:ascii="宋体" w:hAnsi="宋体" w:eastAsia="宋体" w:cs="宋体"/>
          <w:color w:val="auto"/>
          <w:sz w:val="15"/>
          <w:szCs w:val="15"/>
          <w:highlight w:val="none"/>
        </w:rPr>
        <w:t>·····</w:t>
      </w:r>
      <w:r>
        <w:rPr>
          <w:rFonts w:hint="eastAsia" w:ascii="宋体" w:hAnsi="宋体" w:eastAsia="宋体" w:cs="宋体"/>
          <w:color w:val="auto"/>
          <w:highlight w:val="none"/>
        </w:rPr>
        <w:t>B</w:t>
      </w:r>
      <w:r>
        <w:rPr>
          <w:rFonts w:hint="eastAsia" w:ascii="宋体" w:hAnsi="宋体" w:eastAsia="宋体" w:cs="宋体"/>
          <w:color w:val="auto"/>
          <w:szCs w:val="21"/>
          <w:highlight w:val="none"/>
          <w:vertAlign w:val="subscript"/>
        </w:rPr>
        <w:t>n</w:t>
      </w:r>
      <w:r>
        <w:rPr>
          <w:rFonts w:hint="eastAsia" w:ascii="宋体" w:hAnsi="宋体" w:eastAsia="宋体" w:cs="宋体"/>
          <w:color w:val="auto"/>
          <w:highlight w:val="none"/>
        </w:rPr>
        <w:t xml:space="preserve"> -- 各可调因子的变值权重</w:t>
      </w:r>
      <w:r>
        <w:rPr>
          <w:rFonts w:hint="eastAsia" w:ascii="宋体" w:hAnsi="宋体" w:cs="宋体"/>
          <w:color w:val="auto"/>
          <w:highlight w:val="none"/>
          <w:lang w:eastAsia="zh-CN"/>
        </w:rPr>
        <w:t>（</w:t>
      </w:r>
      <w:r>
        <w:rPr>
          <w:rFonts w:hint="eastAsia" w:ascii="宋体" w:hAnsi="宋体" w:eastAsia="宋体" w:cs="宋体"/>
          <w:color w:val="auto"/>
          <w:highlight w:val="none"/>
        </w:rPr>
        <w:t>即可调部分的权重</w:t>
      </w:r>
      <w:r>
        <w:rPr>
          <w:rFonts w:hint="eastAsia" w:ascii="宋体" w:hAnsi="宋体" w:cs="宋体"/>
          <w:color w:val="auto"/>
          <w:highlight w:val="none"/>
          <w:lang w:eastAsia="zh-CN"/>
        </w:rPr>
        <w:t>）</w:t>
      </w:r>
      <w:r>
        <w:rPr>
          <w:rFonts w:hint="eastAsia" w:ascii="宋体" w:hAnsi="宋体" w:eastAsia="宋体" w:cs="宋体"/>
          <w:color w:val="auto"/>
          <w:highlight w:val="none"/>
        </w:rPr>
        <w:t>为各可调因子在投标函投标总报价中所占的比例；</w:t>
      </w:r>
    </w:p>
    <w:p w14:paraId="25D5BF7C">
      <w:pPr>
        <w:tabs>
          <w:tab w:val="left" w:pos="1260"/>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F</w:t>
      </w:r>
      <w:r>
        <w:rPr>
          <w:rFonts w:hint="eastAsia" w:ascii="宋体" w:hAnsi="宋体" w:eastAsia="宋体" w:cs="宋体"/>
          <w:color w:val="auto"/>
          <w:szCs w:val="21"/>
          <w:highlight w:val="none"/>
          <w:vertAlign w:val="subscript"/>
        </w:rPr>
        <w:t>t1</w:t>
      </w:r>
      <w:r>
        <w:rPr>
          <w:rFonts w:hint="eastAsia" w:ascii="宋体" w:hAnsi="宋体" w:eastAsia="宋体" w:cs="宋体"/>
          <w:color w:val="auto"/>
          <w:highlight w:val="none"/>
        </w:rPr>
        <w:t xml:space="preserve"> ;F</w:t>
      </w:r>
      <w:r>
        <w:rPr>
          <w:rFonts w:hint="eastAsia" w:ascii="宋体" w:hAnsi="宋体" w:eastAsia="宋体" w:cs="宋体"/>
          <w:color w:val="auto"/>
          <w:szCs w:val="21"/>
          <w:highlight w:val="none"/>
          <w:vertAlign w:val="subscript"/>
        </w:rPr>
        <w:t>t2</w:t>
      </w:r>
      <w:r>
        <w:rPr>
          <w:rFonts w:hint="eastAsia" w:ascii="宋体" w:hAnsi="宋体" w:eastAsia="宋体" w:cs="宋体"/>
          <w:color w:val="auto"/>
          <w:highlight w:val="none"/>
        </w:rPr>
        <w:t xml:space="preserve"> ;F</w:t>
      </w:r>
      <w:r>
        <w:rPr>
          <w:rFonts w:hint="eastAsia" w:ascii="宋体" w:hAnsi="宋体" w:eastAsia="宋体" w:cs="宋体"/>
          <w:color w:val="auto"/>
          <w:szCs w:val="21"/>
          <w:highlight w:val="none"/>
          <w:vertAlign w:val="subscript"/>
        </w:rPr>
        <w:t>t3</w:t>
      </w:r>
      <w:r>
        <w:rPr>
          <w:rFonts w:hint="eastAsia" w:ascii="宋体" w:hAnsi="宋体" w:eastAsia="宋体" w:cs="宋体"/>
          <w:color w:val="auto"/>
          <w:sz w:val="15"/>
          <w:szCs w:val="15"/>
          <w:highlight w:val="none"/>
        </w:rPr>
        <w:t>·····</w:t>
      </w:r>
      <w:r>
        <w:rPr>
          <w:rFonts w:hint="eastAsia" w:ascii="宋体" w:hAnsi="宋体" w:eastAsia="宋体" w:cs="宋体"/>
          <w:color w:val="auto"/>
          <w:highlight w:val="none"/>
        </w:rPr>
        <w:t>F</w:t>
      </w:r>
      <w:r>
        <w:rPr>
          <w:rFonts w:hint="eastAsia" w:ascii="宋体" w:hAnsi="宋体" w:eastAsia="宋体" w:cs="宋体"/>
          <w:color w:val="auto"/>
          <w:szCs w:val="21"/>
          <w:highlight w:val="none"/>
          <w:vertAlign w:val="subscript"/>
        </w:rPr>
        <w:t>tn</w:t>
      </w:r>
      <w:r>
        <w:rPr>
          <w:rFonts w:hint="eastAsia" w:ascii="宋体" w:hAnsi="宋体" w:eastAsia="宋体" w:cs="宋体"/>
          <w:color w:val="auto"/>
          <w:highlight w:val="none"/>
        </w:rPr>
        <w:t xml:space="preserve"> -- 各可调因子的现行价格指数，指第17.3.3项、第17.5.2项和第17.6.2项约定的付款证书相关周期最后一天的前42天的各可调因子的价格指数；</w:t>
      </w:r>
    </w:p>
    <w:p w14:paraId="1AAAE0FC">
      <w:pPr>
        <w:tabs>
          <w:tab w:val="left" w:pos="1260"/>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F</w:t>
      </w:r>
      <w:r>
        <w:rPr>
          <w:rFonts w:hint="eastAsia" w:ascii="宋体" w:hAnsi="宋体" w:eastAsia="宋体" w:cs="宋体"/>
          <w:color w:val="auto"/>
          <w:szCs w:val="21"/>
          <w:highlight w:val="none"/>
          <w:vertAlign w:val="subscript"/>
        </w:rPr>
        <w:t>o1</w:t>
      </w:r>
      <w:r>
        <w:rPr>
          <w:rFonts w:hint="eastAsia" w:ascii="宋体" w:hAnsi="宋体" w:eastAsia="宋体" w:cs="宋体"/>
          <w:color w:val="auto"/>
          <w:highlight w:val="none"/>
        </w:rPr>
        <w:t>; F</w:t>
      </w:r>
      <w:r>
        <w:rPr>
          <w:rFonts w:hint="eastAsia" w:ascii="宋体" w:hAnsi="宋体" w:eastAsia="宋体" w:cs="宋体"/>
          <w:color w:val="auto"/>
          <w:szCs w:val="21"/>
          <w:highlight w:val="none"/>
          <w:vertAlign w:val="subscript"/>
        </w:rPr>
        <w:t>o2</w:t>
      </w:r>
      <w:r>
        <w:rPr>
          <w:rFonts w:hint="eastAsia" w:ascii="宋体" w:hAnsi="宋体" w:eastAsia="宋体" w:cs="宋体"/>
          <w:color w:val="auto"/>
          <w:sz w:val="15"/>
          <w:szCs w:val="15"/>
          <w:highlight w:val="none"/>
        </w:rPr>
        <w:t>;</w:t>
      </w:r>
      <w:r>
        <w:rPr>
          <w:rFonts w:hint="eastAsia" w:ascii="宋体" w:hAnsi="宋体" w:eastAsia="宋体" w:cs="宋体"/>
          <w:color w:val="auto"/>
          <w:highlight w:val="none"/>
        </w:rPr>
        <w:t xml:space="preserve"> F</w:t>
      </w:r>
      <w:r>
        <w:rPr>
          <w:rFonts w:hint="eastAsia" w:ascii="宋体" w:hAnsi="宋体" w:eastAsia="宋体" w:cs="宋体"/>
          <w:color w:val="auto"/>
          <w:szCs w:val="21"/>
          <w:highlight w:val="none"/>
          <w:vertAlign w:val="subscript"/>
        </w:rPr>
        <w:t>o3</w:t>
      </w:r>
      <w:r>
        <w:rPr>
          <w:rFonts w:hint="eastAsia" w:ascii="宋体" w:hAnsi="宋体" w:eastAsia="宋体" w:cs="宋体"/>
          <w:color w:val="auto"/>
          <w:sz w:val="15"/>
          <w:szCs w:val="15"/>
          <w:highlight w:val="none"/>
        </w:rPr>
        <w:t>·····</w:t>
      </w:r>
      <w:r>
        <w:rPr>
          <w:rFonts w:hint="eastAsia" w:ascii="宋体" w:hAnsi="宋体" w:eastAsia="宋体" w:cs="宋体"/>
          <w:color w:val="auto"/>
          <w:highlight w:val="none"/>
        </w:rPr>
        <w:t>F</w:t>
      </w:r>
      <w:r>
        <w:rPr>
          <w:rFonts w:hint="eastAsia" w:ascii="宋体" w:hAnsi="宋体" w:eastAsia="宋体" w:cs="宋体"/>
          <w:color w:val="auto"/>
          <w:szCs w:val="21"/>
          <w:highlight w:val="none"/>
          <w:vertAlign w:val="subscript"/>
        </w:rPr>
        <w:t>on</w:t>
      </w:r>
      <w:r>
        <w:rPr>
          <w:rFonts w:hint="eastAsia" w:ascii="宋体" w:hAnsi="宋体" w:eastAsia="宋体" w:cs="宋体"/>
          <w:color w:val="auto"/>
          <w:highlight w:val="none"/>
        </w:rPr>
        <w:t xml:space="preserve"> -- 各可调因子的基本价格指数，指基准日期的各可调因子的价格指数。</w:t>
      </w:r>
    </w:p>
    <w:p w14:paraId="140E0B0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1593E36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16.1.1.2 暂时确定调整差额</w:t>
      </w:r>
    </w:p>
    <w:p w14:paraId="7096301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在计算调整差额时得不到现行价格指数的，可暂用上一次价格指数计算，并在以后的付款中再按实际价格指数进行调整。</w:t>
      </w:r>
    </w:p>
    <w:p w14:paraId="194A5C7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16.1.1.3 权重的调整</w:t>
      </w:r>
    </w:p>
    <w:p w14:paraId="6CB7320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按第15.1款约定的变更导致原定合同中的权重不合理时，由监理人与承包人和发包人协商后进行调整。</w:t>
      </w:r>
    </w:p>
    <w:p w14:paraId="2CC0B74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16.1.1.4 承包人工期延误后的价格调整</w:t>
      </w:r>
    </w:p>
    <w:p w14:paraId="0C94C9F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1C6F156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16.1.2 采用造价信息调整价格差额</w:t>
      </w:r>
    </w:p>
    <w:p w14:paraId="43BBB0F7">
      <w:pPr>
        <w:spacing w:line="360" w:lineRule="auto"/>
        <w:ind w:firstLine="420" w:firstLineChars="200"/>
        <w:rPr>
          <w:rFonts w:hint="eastAsia" w:ascii="宋体" w:hAnsi="宋体" w:eastAsia="宋体" w:cs="宋体"/>
          <w:color w:val="auto"/>
          <w:highlight w:val="none"/>
          <w:lang w:val="en-US" w:eastAsia="zh-CN"/>
        </w:rPr>
      </w:pPr>
      <w:bookmarkStart w:id="851" w:name="_Toc152042496"/>
      <w:bookmarkStart w:id="852" w:name="_Toc144974688"/>
      <w:bookmarkStart w:id="853" w:name="_Toc152045717"/>
      <w:bookmarkStart w:id="854" w:name="_Toc179632735"/>
      <w:r>
        <w:rPr>
          <w:rFonts w:hint="eastAsia" w:ascii="宋体" w:hAnsi="宋体" w:eastAsia="宋体" w:cs="宋体"/>
          <w:color w:val="auto"/>
          <w:highlight w:val="none"/>
          <w:lang w:val="en-US"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Fonts w:hint="eastAsia" w:ascii="宋体" w:hAnsi="宋体" w:cs="宋体"/>
          <w:color w:val="auto"/>
          <w:highlight w:val="none"/>
          <w:lang w:val="en-US" w:eastAsia="zh-CN"/>
        </w:rPr>
        <w:t>数量</w:t>
      </w:r>
      <w:r>
        <w:rPr>
          <w:rFonts w:hint="eastAsia" w:ascii="宋体" w:hAnsi="宋体" w:eastAsia="宋体" w:cs="宋体"/>
          <w:color w:val="auto"/>
          <w:highlight w:val="none"/>
          <w:lang w:val="en-US" w:eastAsia="zh-CN"/>
        </w:rPr>
        <w:t>应由监理人复核，监理人确认需调整的材料单价及数量，作为调整工程合同价格差额的依据。</w:t>
      </w:r>
    </w:p>
    <w:p w14:paraId="55CAA2DE">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工程造价信息的来源以及价格调整的项目和系数在专用合同条款中约定。</w:t>
      </w:r>
    </w:p>
    <w:p w14:paraId="047481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16.2 法律变化引起的价格调整</w:t>
      </w:r>
      <w:bookmarkEnd w:id="851"/>
      <w:bookmarkEnd w:id="852"/>
      <w:bookmarkEnd w:id="853"/>
      <w:bookmarkEnd w:id="854"/>
    </w:p>
    <w:p w14:paraId="565DE20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538B56B7">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855" w:name="_Toc179632736"/>
      <w:bookmarkStart w:id="856" w:name="_Toc152045718"/>
      <w:bookmarkStart w:id="857" w:name="_Toc152042497"/>
      <w:bookmarkStart w:id="858" w:name="_Toc144974689"/>
      <w:r>
        <w:rPr>
          <w:rFonts w:hint="eastAsia" w:ascii="宋体" w:hAnsi="宋体" w:eastAsia="宋体" w:cs="宋体"/>
          <w:color w:val="auto"/>
          <w:sz w:val="21"/>
          <w:szCs w:val="21"/>
          <w:highlight w:val="none"/>
          <w:lang w:val="en-US" w:eastAsia="zh-CN"/>
        </w:rPr>
        <w:t>17. 计量与支付</w:t>
      </w:r>
      <w:bookmarkEnd w:id="855"/>
      <w:bookmarkEnd w:id="856"/>
      <w:bookmarkEnd w:id="857"/>
      <w:bookmarkEnd w:id="858"/>
    </w:p>
    <w:p w14:paraId="21D924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59" w:name="_Toc144974690"/>
      <w:bookmarkStart w:id="860" w:name="_Toc152045719"/>
      <w:bookmarkStart w:id="861" w:name="_Toc179632737"/>
      <w:bookmarkStart w:id="862" w:name="_Toc152042498"/>
      <w:r>
        <w:rPr>
          <w:rFonts w:hint="eastAsia" w:ascii="宋体" w:hAnsi="宋体" w:eastAsia="宋体" w:cs="宋体"/>
          <w:b/>
          <w:bCs/>
          <w:color w:val="auto"/>
          <w:highlight w:val="none"/>
          <w:lang w:val="en-US" w:eastAsia="zh-CN"/>
        </w:rPr>
        <w:t>17.1 计量</w:t>
      </w:r>
      <w:bookmarkEnd w:id="859"/>
      <w:bookmarkEnd w:id="860"/>
      <w:bookmarkEnd w:id="861"/>
      <w:bookmarkEnd w:id="862"/>
    </w:p>
    <w:p w14:paraId="0805519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17.1.1 计量单位</w:t>
      </w:r>
    </w:p>
    <w:p w14:paraId="76BB2BE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计量采用国家法定的计量单位。</w:t>
      </w:r>
    </w:p>
    <w:p w14:paraId="5CD745F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17.1.2 计量方法</w:t>
      </w:r>
    </w:p>
    <w:p w14:paraId="4919C5E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结算工程量应按工程量清单中约定的方法计量。</w:t>
      </w:r>
    </w:p>
    <w:p w14:paraId="67D59D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17.1.3 计量周期</w:t>
      </w:r>
    </w:p>
    <w:p w14:paraId="7007DC6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除专用合同条款另有约定外，单价子目已完成工程量按月计量，总价子目的计量周期按批准的支付分解报告确定。</w:t>
      </w:r>
    </w:p>
    <w:p w14:paraId="4F2BD2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17.1.4 单价子目的计量</w:t>
      </w:r>
    </w:p>
    <w:p w14:paraId="19F0193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（1）已标价工程量清单中的单价子目工程量为估算工程量。结算工程量是承包人实际完成的，并按合同约定的计量方法进行计量的工程量。</w:t>
      </w:r>
    </w:p>
    <w:p w14:paraId="21E7DCB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（2）承包人对已完成的工程进行计量，向监理人提交进度付款申请单、已完成工程量报表和有关计量资料。</w:t>
      </w:r>
    </w:p>
    <w:p w14:paraId="236159B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60A4054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（4）监理人认为有必要时，可通知承包人共同进行联合测量、计量，承包人应遵照执行。</w:t>
      </w:r>
    </w:p>
    <w:p w14:paraId="001EDE9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20FEA95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（6）监理人应在收到承包人提交的工程量报表后的7天内进行复核，监理人未在约定时间内复核的，承包人提交的工程量报表中的工程量视为承包人实际完成的工程量，据此计算工程价款。</w:t>
      </w:r>
    </w:p>
    <w:p w14:paraId="6358A34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17.1.5 总价子目的计量</w:t>
      </w:r>
    </w:p>
    <w:p w14:paraId="1976D69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总价子目的分解和计量按照下述约定进行。</w:t>
      </w:r>
    </w:p>
    <w:p w14:paraId="3795458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（1）总价子目的计量和支付应以总价为基础，不因第16.1款中的因素而进行调整。承包人实际完成的工程量，是进行工程目标管理和控制进度支付的依据。</w:t>
      </w:r>
    </w:p>
    <w:p w14:paraId="19F33C0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6DB11C7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（3）监理人对承包人提交的上述资料进行复核，以确定分阶段实际完成的工程量和工程形象目标。对其有异议的，可要求承包人按第8.2款约定进行共同复核和抽样复测。</w:t>
      </w:r>
    </w:p>
    <w:p w14:paraId="463ADC0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（4）除按照第15条约定的变更外，总价子目的工程量是承包人用于结算的最终工程量 </w:t>
      </w:r>
    </w:p>
    <w:p w14:paraId="7490DC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63" w:name="_Toc152042499"/>
      <w:bookmarkStart w:id="864" w:name="_Toc179632738"/>
      <w:bookmarkStart w:id="865" w:name="_Toc144974691"/>
      <w:bookmarkStart w:id="866" w:name="_Toc152045720"/>
      <w:r>
        <w:rPr>
          <w:rFonts w:hint="eastAsia" w:ascii="宋体" w:hAnsi="宋体" w:eastAsia="宋体" w:cs="宋体"/>
          <w:b/>
          <w:bCs/>
          <w:color w:val="auto"/>
          <w:highlight w:val="none"/>
          <w:lang w:val="en-US" w:eastAsia="zh-CN"/>
        </w:rPr>
        <w:t>17.2 预付款</w:t>
      </w:r>
      <w:bookmarkEnd w:id="863"/>
      <w:bookmarkEnd w:id="864"/>
      <w:bookmarkEnd w:id="865"/>
      <w:bookmarkEnd w:id="866"/>
    </w:p>
    <w:p w14:paraId="6130B00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17.2.1 预付款</w:t>
      </w:r>
    </w:p>
    <w:p w14:paraId="6422CE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62CB7CC0">
      <w:pPr>
        <w:spacing w:line="36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17.2.2 预付款保函</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担保</w:t>
      </w:r>
      <w:r>
        <w:rPr>
          <w:rFonts w:hint="eastAsia" w:ascii="宋体" w:hAnsi="宋体" w:eastAsia="宋体" w:cs="宋体"/>
          <w:color w:val="auto"/>
          <w:highlight w:val="none"/>
          <w:lang w:eastAsia="zh-CN"/>
        </w:rPr>
        <w:t>）</w:t>
      </w:r>
    </w:p>
    <w:p w14:paraId="6E7F266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（1）承包人应在收到第一次工程预付款的同时向发包人提交工程预付款担保，担保金额应与第一次工程预付款金额相同，工程预付款担保在第一次工程预付款被发包人扣回前一直有效。</w:t>
      </w:r>
    </w:p>
    <w:p w14:paraId="2B79A34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（2）工程材料预付款的担保在专用合同条款中约定。</w:t>
      </w:r>
    </w:p>
    <w:p w14:paraId="3D8B02D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（3）预付款担保的担保金额可根据预付款扣回的金额相应递减。</w:t>
      </w:r>
    </w:p>
    <w:p w14:paraId="66AA8CF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17.2.3 预付款的扣回与还清</w:t>
      </w:r>
    </w:p>
    <w:p w14:paraId="52B2666D">
      <w:pPr>
        <w:spacing w:line="360" w:lineRule="auto"/>
        <w:ind w:firstLine="420" w:firstLineChars="200"/>
        <w:rPr>
          <w:rFonts w:hint="eastAsia" w:ascii="宋体" w:hAnsi="宋体" w:eastAsia="宋体" w:cs="宋体"/>
          <w:color w:val="auto"/>
          <w:highlight w:val="none"/>
          <w:lang w:val="en-US" w:eastAsia="zh-CN"/>
        </w:rPr>
      </w:pPr>
      <w:bookmarkStart w:id="867" w:name="_Toc152045721"/>
      <w:bookmarkStart w:id="868" w:name="_Toc144974692"/>
      <w:bookmarkStart w:id="869" w:name="_Toc152042500"/>
      <w:bookmarkStart w:id="870" w:name="_Toc179632739"/>
      <w:r>
        <w:rPr>
          <w:rFonts w:hint="eastAsia" w:ascii="宋体" w:hAnsi="宋体" w:eastAsia="宋体" w:cs="宋体"/>
          <w:color w:val="auto"/>
          <w:highlight w:val="none"/>
          <w:lang w:val="en-US" w:eastAsia="zh-CN"/>
        </w:rPr>
        <w:t>预付款在进度付款中扣回，扣回与还清办法在专用合同条款中约定。在颁发合同工程完工证书前，由于不可抗力或</w:t>
      </w:r>
      <w:r>
        <w:rPr>
          <w:rFonts w:hint="eastAsia" w:ascii="宋体" w:hAnsi="宋体" w:cs="宋体"/>
          <w:color w:val="auto"/>
          <w:highlight w:val="none"/>
          <w:lang w:val="en-US" w:eastAsia="zh-CN"/>
        </w:rPr>
        <w:t>其他</w:t>
      </w:r>
      <w:r>
        <w:rPr>
          <w:rFonts w:hint="eastAsia" w:ascii="宋体" w:hAnsi="宋体" w:eastAsia="宋体" w:cs="宋体"/>
          <w:color w:val="auto"/>
          <w:highlight w:val="none"/>
          <w:lang w:val="en-US" w:eastAsia="zh-CN"/>
        </w:rPr>
        <w:t>原因解除合同时，预付款尚未扣清的，尚未扣清的预付款余额应作为承包人的到期应付款。</w:t>
      </w:r>
    </w:p>
    <w:p w14:paraId="1D35C1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17.3 工程进度付款</w:t>
      </w:r>
      <w:bookmarkEnd w:id="867"/>
      <w:bookmarkEnd w:id="868"/>
      <w:bookmarkEnd w:id="869"/>
      <w:bookmarkEnd w:id="870"/>
    </w:p>
    <w:p w14:paraId="0BE4A36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17.3.1 付款周期</w:t>
      </w:r>
    </w:p>
    <w:p w14:paraId="3E27EAD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付款周期同计量周期。</w:t>
      </w:r>
    </w:p>
    <w:p w14:paraId="0E9F395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17.3.2 进度付款申请单</w:t>
      </w:r>
    </w:p>
    <w:p w14:paraId="0CB557EC">
      <w:pPr>
        <w:spacing w:line="360" w:lineRule="auto"/>
        <w:ind w:firstLine="420" w:firstLineChars="200"/>
        <w:rPr>
          <w:rFonts w:hint="eastAsia" w:ascii="宋体" w:hAnsi="宋体" w:eastAsia="宋体" w:cs="宋体"/>
          <w:dstrike/>
          <w:color w:val="auto"/>
          <w:szCs w:val="21"/>
          <w:highlight w:val="none"/>
        </w:rPr>
      </w:pPr>
      <w:r>
        <w:rPr>
          <w:rFonts w:hint="eastAsia" w:ascii="宋体" w:hAnsi="宋体" w:eastAsia="宋体" w:cs="宋体"/>
          <w:color w:val="auto"/>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1CC1BC5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（1）截至本次付款周期末已实施工程的价款；</w:t>
      </w:r>
    </w:p>
    <w:p w14:paraId="3C72880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（2）根据第15条应增加和扣减的变更金额；</w:t>
      </w:r>
    </w:p>
    <w:p w14:paraId="4BEE396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（3）根据第23条应增加和扣减的索赔金额；</w:t>
      </w:r>
    </w:p>
    <w:p w14:paraId="77CA36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（4）根据第17.2款约定应支付的预付款和扣减的返还预付款；</w:t>
      </w:r>
    </w:p>
    <w:p w14:paraId="6FE8F7F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（5）根据第17.4.1项约定应扣减的质量保证金；</w:t>
      </w:r>
    </w:p>
    <w:p w14:paraId="36F235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（6）根据合同应增加和扣减的其他金额。</w:t>
      </w:r>
    </w:p>
    <w:p w14:paraId="78DB9EE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17.3.3 进度付款证书和支付时间</w:t>
      </w:r>
    </w:p>
    <w:p w14:paraId="2035F3E9">
      <w:pPr>
        <w:spacing w:line="360" w:lineRule="auto"/>
        <w:ind w:firstLine="630" w:firstLineChars="300"/>
        <w:rPr>
          <w:rFonts w:hint="eastAsia" w:ascii="宋体" w:hAnsi="宋体" w:eastAsia="宋体" w:cs="宋体"/>
          <w:color w:val="auto"/>
          <w:highlight w:val="none"/>
        </w:rPr>
      </w:pPr>
      <w:r>
        <w:rPr>
          <w:rFonts w:hint="eastAsia" w:ascii="宋体" w:hAnsi="宋体" w:eastAsia="宋体" w:cs="宋体"/>
          <w:color w:val="auto"/>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17FE2E1F">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（2）发包人应在监理人收到进度付款申请单后的28天内，将进度应付款支付给承包人。发包人不按期支付的，按专用合同条款的约定支付逾期付款违约金。</w:t>
      </w:r>
    </w:p>
    <w:p w14:paraId="076407F2">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（3）监理人出具进度付款证书，不应视为监理人已同意、批准或接受了承包人完成的该部分工作。</w:t>
      </w:r>
    </w:p>
    <w:p w14:paraId="019BE1CB">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（4）进度付款涉及政府投资资金的，按照国库集中支付等国家相关规定和专用合同条款的约定办理。</w:t>
      </w:r>
    </w:p>
    <w:p w14:paraId="3BF2E47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17.3.4 工程进度付款的修正</w:t>
      </w:r>
    </w:p>
    <w:p w14:paraId="4AC961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2B83F8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71" w:name="_Toc144974693"/>
      <w:bookmarkStart w:id="872" w:name="_Toc152045722"/>
      <w:bookmarkStart w:id="873" w:name="_Toc152042501"/>
      <w:bookmarkStart w:id="874" w:name="_Toc179632740"/>
      <w:r>
        <w:rPr>
          <w:rFonts w:hint="eastAsia" w:ascii="宋体" w:hAnsi="宋体" w:eastAsia="宋体" w:cs="宋体"/>
          <w:b/>
          <w:bCs/>
          <w:color w:val="auto"/>
          <w:highlight w:val="none"/>
          <w:lang w:val="en-US" w:eastAsia="zh-CN"/>
        </w:rPr>
        <w:t xml:space="preserve">17.4 </w:t>
      </w:r>
      <w:bookmarkEnd w:id="871"/>
      <w:bookmarkEnd w:id="872"/>
      <w:bookmarkEnd w:id="873"/>
      <w:r>
        <w:rPr>
          <w:rFonts w:hint="eastAsia" w:ascii="宋体" w:hAnsi="宋体" w:eastAsia="宋体" w:cs="宋体"/>
          <w:b/>
          <w:bCs/>
          <w:color w:val="auto"/>
          <w:highlight w:val="none"/>
          <w:lang w:val="en-US" w:eastAsia="zh-CN"/>
        </w:rPr>
        <w:t>质量保证金</w:t>
      </w:r>
      <w:bookmarkEnd w:id="874"/>
    </w:p>
    <w:p w14:paraId="5D72384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17.4.1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1AA4F9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71202E7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7DAE80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75" w:name="_Toc179632741"/>
      <w:bookmarkStart w:id="876" w:name="_Toc152045723"/>
      <w:bookmarkStart w:id="877" w:name="_Toc144974694"/>
      <w:bookmarkStart w:id="878" w:name="_Toc152042502"/>
      <w:r>
        <w:rPr>
          <w:rFonts w:hint="eastAsia" w:ascii="宋体" w:hAnsi="宋体" w:eastAsia="宋体" w:cs="宋体"/>
          <w:b/>
          <w:bCs/>
          <w:color w:val="auto"/>
          <w:highlight w:val="none"/>
          <w:lang w:val="en-US" w:eastAsia="zh-CN"/>
        </w:rPr>
        <w:t>17.5 竣工结算</w:t>
      </w:r>
      <w:bookmarkEnd w:id="875"/>
      <w:bookmarkEnd w:id="876"/>
      <w:bookmarkEnd w:id="877"/>
      <w:bookmarkEnd w:id="878"/>
      <w:r>
        <w:rPr>
          <w:rFonts w:hint="eastAsia" w:ascii="宋体" w:hAnsi="宋体" w:eastAsia="宋体" w:cs="宋体"/>
          <w:b/>
          <w:bCs/>
          <w:color w:val="auto"/>
          <w:highlight w:val="none"/>
          <w:lang w:val="en-US" w:eastAsia="zh-CN"/>
        </w:rPr>
        <w:t>（完工结算）</w:t>
      </w:r>
    </w:p>
    <w:p w14:paraId="12B257D8">
      <w:pPr>
        <w:spacing w:line="360" w:lineRule="auto"/>
        <w:ind w:firstLine="420" w:firstLineChars="200"/>
        <w:rPr>
          <w:rFonts w:hint="eastAsia" w:ascii="宋体" w:hAnsi="宋体" w:eastAsia="宋体" w:cs="宋体"/>
          <w:color w:val="auto"/>
          <w:highlight w:val="none"/>
          <w:lang w:val="en-US" w:eastAsia="zh-CN"/>
        </w:rPr>
      </w:pPr>
      <w:bookmarkStart w:id="879" w:name="_Toc152042503"/>
      <w:bookmarkStart w:id="880" w:name="_Toc152045724"/>
      <w:bookmarkStart w:id="881" w:name="_Toc144974695"/>
      <w:bookmarkStart w:id="882" w:name="_Toc179632742"/>
      <w:r>
        <w:rPr>
          <w:rFonts w:hint="eastAsia" w:ascii="宋体" w:hAnsi="宋体" w:eastAsia="宋体" w:cs="宋体"/>
          <w:color w:val="auto"/>
          <w:highlight w:val="none"/>
          <w:lang w:val="en-US" w:eastAsia="zh-CN"/>
        </w:rPr>
        <w:t>17.5.1 竣工付款（完工）申请单</w:t>
      </w:r>
    </w:p>
    <w:p w14:paraId="1C240B4E">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477D6DF6">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（2）监理人对完工付款申请单有异议的，有权要求承包人进行修正和提供补充资料。经监理人和承包人协商后，由承包人向监理人提交修正后的完工付款申请单。</w:t>
      </w:r>
    </w:p>
    <w:p w14:paraId="3B613A8F">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17.5.2 竣工（完工）付款证书及支付时间</w:t>
      </w:r>
    </w:p>
    <w:p w14:paraId="0523410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441C4CD2">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（2）发包人应在监理人出具完工付款证书后的14天内，将应支付款支付给承包人。发包人不按期支付的，按第17.3.3（2）目的约定，将逾期付款违约金支付给承包人。</w:t>
      </w:r>
    </w:p>
    <w:p w14:paraId="6A6D7BF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（3）承包人对发包人签认的完工付款证书有异议的，发包人可出具完工付款申请单中承包人已同意部分的临时付款证书。存在争议的部分，按第24条的约定办理。</w:t>
      </w:r>
    </w:p>
    <w:p w14:paraId="49D4B81A">
      <w:pPr>
        <w:spacing w:line="360" w:lineRule="auto"/>
        <w:ind w:firstLine="420" w:firstLineChars="200"/>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（4）完工付款涉及政府投资资金的，按第17.3.3</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4</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目的约定办理。</w:t>
      </w:r>
    </w:p>
    <w:p w14:paraId="0A6093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17.6 最终结清</w:t>
      </w:r>
      <w:bookmarkEnd w:id="879"/>
      <w:bookmarkEnd w:id="880"/>
      <w:bookmarkEnd w:id="881"/>
      <w:bookmarkEnd w:id="882"/>
    </w:p>
    <w:p w14:paraId="415175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17.6.1 最终结清申请单</w:t>
      </w:r>
    </w:p>
    <w:p w14:paraId="38087A4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（1）工程质量保修责任终止证书签发后，承包人应按监理人批准的格式提交最终结清申请单。提交最终结清申请单的份数在专用合同条款中约定。</w:t>
      </w:r>
    </w:p>
    <w:p w14:paraId="7E2841F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（2）发包人对最终结清申请单内容有异议的，有权要求承包人进行修正和提供补充资料，由承包人向监理人提交修正后的最终结清申请单。</w:t>
      </w:r>
    </w:p>
    <w:p w14:paraId="1663280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17.6.2 最终结清证书和支付时间</w:t>
      </w:r>
    </w:p>
    <w:p w14:paraId="052B28E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57C98C5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（2）发包人应在监理人出具最终结清证书后的14天内，将应支付款支付给承包人。发包人不按期支付的，按第17.3.3（2）目的约定，将逾期付款违约金支付给承包人。</w:t>
      </w:r>
    </w:p>
    <w:p w14:paraId="6886AA3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（3）承包人对发包人签认的最终结清证书有异议的，按第24条的约定办理。</w:t>
      </w:r>
    </w:p>
    <w:p w14:paraId="4380D94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（4）最终结清付款涉及政府投资资金的，按第17.3.3（</w:t>
      </w:r>
      <w:r>
        <w:rPr>
          <w:rFonts w:hint="eastAsia" w:ascii="宋体" w:hAnsi="宋体" w:cs="宋体"/>
          <w:color w:val="auto"/>
          <w:highlight w:val="none"/>
          <w:lang w:eastAsia="zh-CN"/>
        </w:rPr>
        <w:t>4</w:t>
      </w:r>
      <w:r>
        <w:rPr>
          <w:rFonts w:hint="eastAsia" w:ascii="宋体" w:hAnsi="宋体" w:eastAsia="宋体" w:cs="宋体"/>
          <w:color w:val="auto"/>
          <w:highlight w:val="none"/>
        </w:rPr>
        <w:t>）目的约定办理。</w:t>
      </w:r>
    </w:p>
    <w:p w14:paraId="6AC148A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17.7 竣工财务决算</w:t>
      </w:r>
    </w:p>
    <w:p w14:paraId="0A27B51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发包人负责编制本工程项目竣工财务决算，承包人应按专用合同条款的约定提供竣工财务决算编制所需的相关材料。</w:t>
      </w:r>
    </w:p>
    <w:p w14:paraId="05B2BA2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17.8 竣工审计</w:t>
      </w:r>
    </w:p>
    <w:p w14:paraId="75E331A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发包人负责完成本工程竣工审计手续，承包人应完成相关配合工作。</w:t>
      </w:r>
    </w:p>
    <w:p w14:paraId="52164E1B">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883" w:name="_Toc152042504"/>
      <w:bookmarkStart w:id="884" w:name="_Toc152045725"/>
      <w:bookmarkStart w:id="885" w:name="_Toc179632743"/>
      <w:bookmarkStart w:id="886" w:name="_Toc144974696"/>
      <w:r>
        <w:rPr>
          <w:rFonts w:hint="eastAsia" w:ascii="宋体" w:hAnsi="宋体" w:eastAsia="宋体" w:cs="宋体"/>
          <w:color w:val="auto"/>
          <w:sz w:val="21"/>
          <w:szCs w:val="21"/>
          <w:highlight w:val="none"/>
          <w:lang w:val="en-US" w:eastAsia="zh-CN"/>
        </w:rPr>
        <w:t>18. 竣工验收</w:t>
      </w:r>
      <w:bookmarkEnd w:id="883"/>
      <w:bookmarkEnd w:id="884"/>
      <w:bookmarkEnd w:id="885"/>
      <w:bookmarkEnd w:id="886"/>
    </w:p>
    <w:p w14:paraId="473833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87" w:name="_Toc152042505"/>
      <w:bookmarkStart w:id="888" w:name="_Toc152045726"/>
      <w:bookmarkStart w:id="889" w:name="_Toc144974697"/>
      <w:bookmarkStart w:id="890" w:name="_Toc179632744"/>
      <w:r>
        <w:rPr>
          <w:rFonts w:hint="eastAsia" w:ascii="宋体" w:hAnsi="宋体" w:eastAsia="宋体" w:cs="宋体"/>
          <w:b/>
          <w:bCs/>
          <w:color w:val="auto"/>
          <w:highlight w:val="none"/>
          <w:lang w:val="en-US" w:eastAsia="zh-CN"/>
        </w:rPr>
        <w:t>18.1 验收</w:t>
      </w:r>
      <w:bookmarkEnd w:id="887"/>
      <w:bookmarkEnd w:id="888"/>
      <w:bookmarkEnd w:id="889"/>
      <w:bookmarkEnd w:id="890"/>
      <w:r>
        <w:rPr>
          <w:rFonts w:hint="eastAsia" w:ascii="宋体" w:hAnsi="宋体" w:eastAsia="宋体" w:cs="宋体"/>
          <w:b/>
          <w:bCs/>
          <w:color w:val="auto"/>
          <w:highlight w:val="none"/>
          <w:lang w:val="en-US" w:eastAsia="zh-CN"/>
        </w:rPr>
        <w:t>工作分类</w:t>
      </w:r>
    </w:p>
    <w:p w14:paraId="46E99B4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 </w:t>
      </w:r>
    </w:p>
    <w:p w14:paraId="6B991B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91" w:name="_Toc152045728"/>
      <w:bookmarkStart w:id="892" w:name="_Toc179632746"/>
      <w:bookmarkStart w:id="893" w:name="_Toc152042507"/>
      <w:bookmarkStart w:id="894" w:name="_Toc144974699"/>
      <w:r>
        <w:rPr>
          <w:rFonts w:hint="eastAsia" w:ascii="宋体" w:hAnsi="宋体" w:eastAsia="宋体" w:cs="宋体"/>
          <w:b/>
          <w:bCs/>
          <w:color w:val="auto"/>
          <w:highlight w:val="none"/>
          <w:lang w:val="en-US" w:eastAsia="zh-CN"/>
        </w:rPr>
        <w:t>18.2 分部工程验收</w:t>
      </w:r>
    </w:p>
    <w:p w14:paraId="12C48706">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18.2.1  分部工程具备验收条件时，承包人应向发包人提交验收申请报告，发包人应在收到验收申请报告之日起10个工作日内决定是否同意进行验收。</w:t>
      </w:r>
    </w:p>
    <w:p w14:paraId="627732C5">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18.2.2  除专用合同条款另有约定外，监理人主持分部工程验收，承包人应派符合条件的代表参加验收工作组。</w:t>
      </w:r>
    </w:p>
    <w:p w14:paraId="016BEE32">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18.2.3  分部工程验收通过后，发包人向承包人发送分部工程验收鉴定书。承包人应及时完成分部工程验收鉴定书载明应由承包人处理的遗留问题。</w:t>
      </w:r>
    </w:p>
    <w:bookmarkEnd w:id="891"/>
    <w:bookmarkEnd w:id="892"/>
    <w:bookmarkEnd w:id="893"/>
    <w:bookmarkEnd w:id="894"/>
    <w:p w14:paraId="038FF8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95" w:name="_Toc179632747"/>
      <w:bookmarkStart w:id="896" w:name="_Toc152045729"/>
      <w:bookmarkStart w:id="897" w:name="_Toc152042508"/>
      <w:bookmarkStart w:id="898" w:name="_Toc144974700"/>
      <w:r>
        <w:rPr>
          <w:rFonts w:hint="eastAsia" w:ascii="宋体" w:hAnsi="宋体" w:eastAsia="宋体" w:cs="宋体"/>
          <w:b/>
          <w:bCs/>
          <w:color w:val="auto"/>
          <w:highlight w:val="none"/>
          <w:lang w:val="en-US" w:eastAsia="zh-CN"/>
        </w:rPr>
        <w:t>18.3 单位工程验收</w:t>
      </w:r>
    </w:p>
    <w:p w14:paraId="57750A88">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18.3.1  单位工程具备验收条件时，承包人应向发包人提交验收申请报告，发包人应在收到验收申请报告之日起10个工作日内决定是否同意进行验收。</w:t>
      </w:r>
    </w:p>
    <w:p w14:paraId="6A13987D">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18.3.2  发包人主持单位工程验收，承包人应派符合条件的代表参加验收工作组。</w:t>
      </w:r>
    </w:p>
    <w:p w14:paraId="483162ED">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18.3.3  单位工程验收通过后，发包人向承包人发送单位工程验收鉴定书。承包人应及时完成单位工程验收鉴定书载明应由承包人处理的遗留问题。</w:t>
      </w:r>
    </w:p>
    <w:p w14:paraId="175A996F">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18.3.4  需提前投入使用的单位工程在专用合同条款中明确。</w:t>
      </w:r>
    </w:p>
    <w:p w14:paraId="31A207A9">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18.3.5 除专用合同条款另有约定外，经验收合格工程的实际竣工日期，以提交竣工验收申请报告的日期为准，并在工程接收证书中写明。</w:t>
      </w:r>
    </w:p>
    <w:p w14:paraId="2EF3C88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18.3.6 发包人在收到承包人竣工验收申请报告56 天后未进行验收的，视为验收合格，实际竣工日期以提交竣工验收申请报告的日期为准，但发包人由于不可抗力不能进行验收的除外。</w:t>
      </w:r>
    </w:p>
    <w:bookmarkEnd w:id="895"/>
    <w:bookmarkEnd w:id="896"/>
    <w:bookmarkEnd w:id="897"/>
    <w:bookmarkEnd w:id="898"/>
    <w:p w14:paraId="2F8933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899" w:name="_Toc179632748"/>
      <w:bookmarkStart w:id="900" w:name="_Toc144974701"/>
      <w:bookmarkStart w:id="901" w:name="_Toc152045730"/>
      <w:bookmarkStart w:id="902" w:name="_Toc152042509"/>
      <w:r>
        <w:rPr>
          <w:rFonts w:hint="eastAsia" w:ascii="宋体" w:hAnsi="宋体" w:eastAsia="宋体" w:cs="宋体"/>
          <w:b/>
          <w:bCs/>
          <w:color w:val="auto"/>
          <w:highlight w:val="none"/>
          <w:lang w:val="en-US" w:eastAsia="zh-CN"/>
        </w:rPr>
        <w:t>18.4 合同工程完工验收</w:t>
      </w:r>
    </w:p>
    <w:p w14:paraId="1DBCDC57">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18.4.1  合同工程具备验收条件时，承包人应向发包人提交验收申请报告，发包人应在收到验收申请报告之日起20个工作日内决定是否同意进行验收。</w:t>
      </w:r>
    </w:p>
    <w:p w14:paraId="2365B4B8">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18.4.2  发包人主持合同工程完工验收，承包人应派代表参加验收工作组。</w:t>
      </w:r>
    </w:p>
    <w:p w14:paraId="52E66D72">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18.4.3  合同工程完工验收通过后，发包人向承包人发送合同工程完工验收鉴定书。承包人应及时完成合同工程完工验收鉴定书载明应由承包人处理的遗留问题。</w:t>
      </w:r>
    </w:p>
    <w:p w14:paraId="3EA985CF">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7B6C01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18.5 阶段验收</w:t>
      </w:r>
    </w:p>
    <w:p w14:paraId="6DC1C04E">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18.5.1  工程建设具备阶段验收条件时，发包人负责提出阶段验收申请报告。承包人应派代表参加阶段验收，并作为被验收单位在验收鉴定书上签字。阶段验收的具体类别在专用合同条款中约定。</w:t>
      </w:r>
    </w:p>
    <w:p w14:paraId="7157369A">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18.5.2  承包人应及时完成阶段验收鉴定书载明应由承包人处理的遗留问题。</w:t>
      </w:r>
    </w:p>
    <w:p w14:paraId="4D6D51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18.6 专项验收</w:t>
      </w:r>
    </w:p>
    <w:p w14:paraId="30DBF86C">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18.6.1 发包人负责提出专项验收申请报告，承包人应按专项验收的相关规定参加专项验收。专项验收的具体类别在专用合同条款中约定。</w:t>
      </w:r>
    </w:p>
    <w:p w14:paraId="01F38259">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18.6.2 承包人应及时完成专项验收成果性文件载明应由承包人处理的遗留问题。</w:t>
      </w:r>
    </w:p>
    <w:p w14:paraId="7A06E5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18.7 竣工验收</w:t>
      </w:r>
    </w:p>
    <w:p w14:paraId="180801F3">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18.7.1 申请竣工验收前，发包人组织竣工验收自查，承包人应派代表参加。</w:t>
      </w:r>
    </w:p>
    <w:p w14:paraId="71F00A71">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18.7.2竣工验收分为竣工技术预验收和竣工验收两个阶段。发包人应通知承包人派代表参加技术预验收和竣工验收。</w:t>
      </w:r>
    </w:p>
    <w:p w14:paraId="0A8AE093">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18.7.3 专用合同条款约定工程需要进行技术鉴定的，承包人应提交有关资料并完成配合工作。</w:t>
      </w:r>
    </w:p>
    <w:p w14:paraId="59FCFD77">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18.7.4 竣工验收需要进行质量检测的，所需费用由发包人承担，但因承包人原因造成质量不合格的除外。</w:t>
      </w:r>
    </w:p>
    <w:p w14:paraId="5BF2A084">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18.7.5 工程质量保修期满以及竣工验收遗留问题和尾工处理完成并通过验收后，发包人负责将处理情况和验收成果报送竣工验收主持单位，申请领取工程竣工证书，并发送承包人。</w:t>
      </w:r>
    </w:p>
    <w:p w14:paraId="2A91FAA5">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18.5 施工期运行</w:t>
      </w:r>
      <w:bookmarkEnd w:id="899"/>
      <w:bookmarkEnd w:id="900"/>
      <w:bookmarkEnd w:id="901"/>
      <w:bookmarkEnd w:id="902"/>
    </w:p>
    <w:p w14:paraId="4F869908">
      <w:pPr>
        <w:spacing w:line="360" w:lineRule="auto"/>
        <w:ind w:firstLine="420" w:firstLineChars="200"/>
        <w:rPr>
          <w:rFonts w:hint="eastAsia" w:ascii="宋体" w:hAnsi="宋体" w:eastAsia="宋体" w:cs="宋体"/>
          <w:color w:val="auto"/>
          <w:highlight w:val="none"/>
          <w:lang w:val="en-US" w:eastAsia="zh-CN"/>
        </w:rPr>
      </w:pPr>
      <w:bookmarkStart w:id="903" w:name="_Toc152045731"/>
      <w:bookmarkStart w:id="904" w:name="_Toc144974702"/>
      <w:bookmarkStart w:id="905" w:name="_Toc152042510"/>
      <w:bookmarkStart w:id="906" w:name="_Toc179632749"/>
      <w:r>
        <w:rPr>
          <w:rFonts w:hint="eastAsia" w:ascii="宋体" w:hAnsi="宋体" w:eastAsia="宋体" w:cs="宋体"/>
          <w:color w:val="auto"/>
          <w:highlight w:val="none"/>
          <w:lang w:val="en-US" w:eastAsia="zh-CN"/>
        </w:rPr>
        <w:t>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557AC356">
      <w:pPr>
        <w:spacing w:line="360" w:lineRule="auto"/>
        <w:ind w:firstLine="420" w:firstLineChars="200"/>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18.8.2 在施工期运行中发现工程或工程设备损坏或存在缺陷的，由承包人按第19.2款约定进行修复。</w:t>
      </w:r>
    </w:p>
    <w:p w14:paraId="1A19F9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18.6 试运行</w:t>
      </w:r>
      <w:bookmarkEnd w:id="903"/>
      <w:bookmarkEnd w:id="904"/>
      <w:bookmarkEnd w:id="905"/>
      <w:bookmarkEnd w:id="906"/>
    </w:p>
    <w:p w14:paraId="5F7D0F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18.6.1 除专用合同条款另有约定外，承包人应按专用合同条款约定进行工程及工程设备试运行，负责提供试运行所需的人员、器材和必要的条件，并承担全部试运行费用。</w:t>
      </w:r>
    </w:p>
    <w:p w14:paraId="6A8AE23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4A3F97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07" w:name="_Toc152042511"/>
      <w:bookmarkStart w:id="908" w:name="_Toc179632750"/>
      <w:bookmarkStart w:id="909" w:name="_Toc152045732"/>
      <w:bookmarkStart w:id="910" w:name="_Toc144974703"/>
      <w:r>
        <w:rPr>
          <w:rFonts w:hint="eastAsia" w:ascii="宋体" w:hAnsi="宋体" w:eastAsia="宋体" w:cs="宋体"/>
          <w:b/>
          <w:bCs/>
          <w:color w:val="auto"/>
          <w:highlight w:val="none"/>
          <w:lang w:val="en-US" w:eastAsia="zh-CN"/>
        </w:rPr>
        <w:t>18.7 竣工清场</w:t>
      </w:r>
      <w:bookmarkEnd w:id="907"/>
      <w:bookmarkEnd w:id="908"/>
      <w:bookmarkEnd w:id="909"/>
      <w:bookmarkEnd w:id="910"/>
    </w:p>
    <w:p w14:paraId="27676B0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18.7.1 除合同另有约定外，工程接收证书颁发后，承包人应按以下要求对施工场地进行清理，直至监理人检验合格为止。竣工清场费用由承包人承担。</w:t>
      </w:r>
    </w:p>
    <w:p w14:paraId="4871B618">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（1）施工场地内残留的垃圾已全部清除出场；</w:t>
      </w:r>
    </w:p>
    <w:p w14:paraId="24160B3E">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（2）临时工程已拆除，场地已按合同要求进行清理、平整或复原；</w:t>
      </w:r>
    </w:p>
    <w:p w14:paraId="68AA6F08">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（3）按合同约定应撤离的承包人设备和剩余的材料，包括废弃的施工设备和材料，已按计划撤离施工场地；</w:t>
      </w:r>
    </w:p>
    <w:p w14:paraId="1FF0F6D0">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（4）工程建筑物周边及其附近道路、河道的施工堆积物，已按监理人指示全部清理；</w:t>
      </w:r>
    </w:p>
    <w:p w14:paraId="51D2F769">
      <w:pPr>
        <w:spacing w:line="360" w:lineRule="auto"/>
        <w:ind w:firstLine="718" w:firstLineChars="342"/>
        <w:rPr>
          <w:rFonts w:hint="eastAsia" w:ascii="宋体" w:hAnsi="宋体" w:eastAsia="宋体" w:cs="宋体"/>
          <w:color w:val="auto"/>
          <w:highlight w:val="none"/>
        </w:rPr>
      </w:pPr>
      <w:r>
        <w:rPr>
          <w:rFonts w:hint="eastAsia" w:ascii="宋体" w:hAnsi="宋体" w:eastAsia="宋体" w:cs="宋体"/>
          <w:color w:val="auto"/>
          <w:highlight w:val="none"/>
        </w:rPr>
        <w:t>（5）监理人指示的其他场地清理工作已全部完成。</w:t>
      </w:r>
    </w:p>
    <w:p w14:paraId="3F8CBA1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18.7.2 承包人未按监理人的要求恢复临时占地，或者场地清理未达到合同约定的，发包人有权委托其他人恢复或清理，所发生的金额从拟支付给承包人的款项中扣除。</w:t>
      </w:r>
    </w:p>
    <w:p w14:paraId="41B9C3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11" w:name="_Toc144974704"/>
      <w:bookmarkStart w:id="912" w:name="_Toc152045733"/>
      <w:bookmarkStart w:id="913" w:name="_Toc179632751"/>
      <w:bookmarkStart w:id="914" w:name="_Toc152042512"/>
      <w:r>
        <w:rPr>
          <w:rFonts w:hint="eastAsia" w:ascii="宋体" w:hAnsi="宋体" w:eastAsia="宋体" w:cs="宋体"/>
          <w:b/>
          <w:bCs/>
          <w:color w:val="auto"/>
          <w:highlight w:val="none"/>
          <w:lang w:val="en-US" w:eastAsia="zh-CN"/>
        </w:rPr>
        <w:t>18.8 施工队伍的撤离</w:t>
      </w:r>
      <w:bookmarkEnd w:id="911"/>
      <w:bookmarkEnd w:id="912"/>
      <w:bookmarkEnd w:id="913"/>
      <w:bookmarkEnd w:id="914"/>
    </w:p>
    <w:p w14:paraId="7949475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1F7EC6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18.9 试运行</w:t>
      </w:r>
    </w:p>
    <w:p w14:paraId="7D4D48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18.9.1除专用合同条款另有约定外，承包人应按规定进行工程及工程设备试运行，负责提供试运行所需的人员、器材和必要的条件，并承担全部试运行费用。</w:t>
      </w:r>
    </w:p>
    <w:p w14:paraId="3019F51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8F832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18.10 竣工（完工）清场</w:t>
      </w:r>
    </w:p>
    <w:p w14:paraId="2203190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18.10.1  工程项目竣工（完工）清场的工作范围和内容在技术标准和要求（合同技术条款）中约定。</w:t>
      </w:r>
    </w:p>
    <w:p w14:paraId="55161E6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18.10.2  承包人未按监理人的要求恢复临时占地，或者场地清理未达到合同约定的，发包人有权委托</w:t>
      </w:r>
      <w:r>
        <w:rPr>
          <w:rFonts w:hint="eastAsia" w:ascii="宋体" w:hAnsi="宋体" w:cs="宋体"/>
          <w:color w:val="auto"/>
          <w:highlight w:val="none"/>
          <w:lang w:eastAsia="zh-CN"/>
        </w:rPr>
        <w:t>其他人</w:t>
      </w:r>
      <w:r>
        <w:rPr>
          <w:rFonts w:hint="eastAsia" w:ascii="宋体" w:hAnsi="宋体" w:eastAsia="宋体" w:cs="宋体"/>
          <w:color w:val="auto"/>
          <w:highlight w:val="none"/>
        </w:rPr>
        <w:t>恢复或清理，所发生的金额从拟支付给承包人的款项中扣除。</w:t>
      </w:r>
    </w:p>
    <w:p w14:paraId="2788BC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18.11 施工队伍的撤离</w:t>
      </w:r>
    </w:p>
    <w:p w14:paraId="6946C9D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p>
    <w:p w14:paraId="38298991">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915" w:name="_Toc152045734"/>
      <w:bookmarkStart w:id="916" w:name="_Toc144974705"/>
      <w:bookmarkStart w:id="917" w:name="_Toc179632752"/>
      <w:bookmarkStart w:id="918" w:name="_Toc152042513"/>
      <w:r>
        <w:rPr>
          <w:rFonts w:hint="eastAsia" w:ascii="宋体" w:hAnsi="宋体" w:eastAsia="宋体" w:cs="宋体"/>
          <w:color w:val="auto"/>
          <w:sz w:val="21"/>
          <w:szCs w:val="21"/>
          <w:highlight w:val="none"/>
          <w:lang w:val="en-US" w:eastAsia="zh-CN"/>
        </w:rPr>
        <w:t>19. 缺陷责任与保修责任</w:t>
      </w:r>
      <w:bookmarkEnd w:id="915"/>
      <w:bookmarkEnd w:id="916"/>
      <w:bookmarkEnd w:id="917"/>
      <w:bookmarkEnd w:id="918"/>
    </w:p>
    <w:p w14:paraId="2FFAA4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19" w:name="_Toc144974706"/>
      <w:bookmarkStart w:id="920" w:name="_Toc152045735"/>
      <w:bookmarkStart w:id="921" w:name="_Toc152042514"/>
      <w:bookmarkStart w:id="922" w:name="_Toc179632753"/>
      <w:r>
        <w:rPr>
          <w:rFonts w:hint="eastAsia" w:ascii="宋体" w:hAnsi="宋体" w:eastAsia="宋体" w:cs="宋体"/>
          <w:b/>
          <w:bCs/>
          <w:color w:val="auto"/>
          <w:highlight w:val="none"/>
          <w:lang w:val="en-US" w:eastAsia="zh-CN"/>
        </w:rPr>
        <w:t>19.1 缺陷责任期（工程质量保修期）的起算时间</w:t>
      </w:r>
      <w:bookmarkEnd w:id="919"/>
      <w:bookmarkEnd w:id="920"/>
      <w:bookmarkEnd w:id="921"/>
      <w:bookmarkEnd w:id="922"/>
    </w:p>
    <w:p w14:paraId="6D488746">
      <w:pPr>
        <w:spacing w:line="360" w:lineRule="auto"/>
        <w:ind w:firstLine="420" w:firstLineChars="200"/>
        <w:rPr>
          <w:rFonts w:hint="eastAsia" w:ascii="宋体" w:hAnsi="宋体" w:eastAsia="宋体" w:cs="宋体"/>
          <w:color w:val="auto"/>
          <w:highlight w:val="none"/>
          <w:lang w:val="en-US" w:eastAsia="zh-CN"/>
        </w:rPr>
      </w:pPr>
      <w:bookmarkStart w:id="923" w:name="_Toc152045736"/>
      <w:bookmarkStart w:id="924" w:name="_Toc152042515"/>
      <w:bookmarkStart w:id="925" w:name="_Toc179632754"/>
      <w:bookmarkStart w:id="926" w:name="_Toc144974707"/>
      <w:r>
        <w:rPr>
          <w:rFonts w:hint="eastAsia" w:ascii="宋体" w:hAnsi="宋体" w:eastAsia="宋体" w:cs="宋体"/>
          <w:color w:val="auto"/>
          <w:highlight w:val="none"/>
          <w:lang w:val="en-US" w:eastAsia="zh-CN"/>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72AD03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19.2 缺陷责任</w:t>
      </w:r>
      <w:bookmarkEnd w:id="923"/>
      <w:bookmarkEnd w:id="924"/>
      <w:bookmarkEnd w:id="925"/>
      <w:bookmarkEnd w:id="926"/>
    </w:p>
    <w:p w14:paraId="7253F5D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19.2.1 承包人应在缺陷责任期内对已交付使用的工程承担缺陷责任。</w:t>
      </w:r>
    </w:p>
    <w:p w14:paraId="07656DB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263ACAB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5A58B21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19.2.4 承包人不能在合理时间内修复缺陷的，发包人可自行修复或委托其他人修复，所需费用和利润的承担，按第19.2.3项约定办理。</w:t>
      </w:r>
    </w:p>
    <w:p w14:paraId="0B7766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27" w:name="_Toc144974708"/>
      <w:bookmarkStart w:id="928" w:name="_Toc152042516"/>
      <w:bookmarkStart w:id="929" w:name="_Toc179632755"/>
      <w:bookmarkStart w:id="930" w:name="_Toc152045737"/>
      <w:r>
        <w:rPr>
          <w:rFonts w:hint="eastAsia" w:ascii="宋体" w:hAnsi="宋体" w:eastAsia="宋体" w:cs="宋体"/>
          <w:b/>
          <w:bCs/>
          <w:color w:val="auto"/>
          <w:highlight w:val="none"/>
          <w:lang w:val="en-US" w:eastAsia="zh-CN"/>
        </w:rPr>
        <w:t>19.3 缺陷责任期的延长</w:t>
      </w:r>
      <w:bookmarkEnd w:id="927"/>
      <w:bookmarkEnd w:id="928"/>
      <w:bookmarkEnd w:id="929"/>
      <w:bookmarkEnd w:id="930"/>
    </w:p>
    <w:p w14:paraId="479643C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54F387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31" w:name="_Toc179632756"/>
      <w:bookmarkStart w:id="932" w:name="_Toc152045738"/>
      <w:bookmarkStart w:id="933" w:name="_Toc144974709"/>
      <w:bookmarkStart w:id="934" w:name="_Toc152042517"/>
      <w:r>
        <w:rPr>
          <w:rFonts w:hint="eastAsia" w:ascii="宋体" w:hAnsi="宋体" w:eastAsia="宋体" w:cs="宋体"/>
          <w:b/>
          <w:bCs/>
          <w:color w:val="auto"/>
          <w:highlight w:val="none"/>
          <w:lang w:val="en-US" w:eastAsia="zh-CN"/>
        </w:rPr>
        <w:t>19.4 进一步试验和试运行</w:t>
      </w:r>
      <w:bookmarkEnd w:id="931"/>
      <w:bookmarkEnd w:id="932"/>
      <w:bookmarkEnd w:id="933"/>
      <w:bookmarkEnd w:id="934"/>
    </w:p>
    <w:p w14:paraId="3FFF74D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任何一项缺陷或损坏修复后，经检查证明其影响了工程或工程设备的使用性能，承包人应重新进行合同约定的试验和试运行，试验和试运行的全部费用应由责任方承担。</w:t>
      </w:r>
    </w:p>
    <w:p w14:paraId="64739B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35" w:name="_Toc144974710"/>
      <w:bookmarkStart w:id="936" w:name="_Toc179632757"/>
      <w:bookmarkStart w:id="937" w:name="_Toc152045739"/>
      <w:bookmarkStart w:id="938" w:name="_Toc152042518"/>
      <w:r>
        <w:rPr>
          <w:rFonts w:hint="eastAsia" w:ascii="宋体" w:hAnsi="宋体" w:eastAsia="宋体" w:cs="宋体"/>
          <w:b/>
          <w:bCs/>
          <w:color w:val="auto"/>
          <w:highlight w:val="none"/>
          <w:lang w:val="en-US" w:eastAsia="zh-CN"/>
        </w:rPr>
        <w:t>19.5 承包人的进入权</w:t>
      </w:r>
      <w:bookmarkEnd w:id="935"/>
      <w:bookmarkEnd w:id="936"/>
      <w:bookmarkEnd w:id="937"/>
      <w:bookmarkEnd w:id="938"/>
    </w:p>
    <w:p w14:paraId="3C7734B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缺陷责任期内承包人为缺陷修复工作需要，有权进入工程现场，但应遵守发包人的保安和保密规定。</w:t>
      </w:r>
    </w:p>
    <w:p w14:paraId="245EED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39" w:name="_Toc179632758"/>
      <w:bookmarkStart w:id="940" w:name="_Toc144974711"/>
      <w:bookmarkStart w:id="941" w:name="_Toc152045740"/>
      <w:bookmarkStart w:id="942" w:name="_Toc152042519"/>
      <w:r>
        <w:rPr>
          <w:rFonts w:hint="eastAsia" w:ascii="宋体" w:hAnsi="宋体" w:eastAsia="宋体" w:cs="宋体"/>
          <w:b/>
          <w:bCs/>
          <w:color w:val="auto"/>
          <w:highlight w:val="none"/>
          <w:lang w:val="en-US" w:eastAsia="zh-CN"/>
        </w:rPr>
        <w:t xml:space="preserve">19.6 </w:t>
      </w:r>
      <w:bookmarkEnd w:id="939"/>
      <w:bookmarkEnd w:id="940"/>
      <w:bookmarkEnd w:id="941"/>
      <w:bookmarkEnd w:id="942"/>
      <w:bookmarkStart w:id="943" w:name="_Toc152042520"/>
      <w:bookmarkStart w:id="944" w:name="_Toc144974712"/>
      <w:bookmarkStart w:id="945" w:name="_Toc152045741"/>
      <w:bookmarkStart w:id="946" w:name="_Toc179632759"/>
      <w:r>
        <w:rPr>
          <w:rFonts w:hint="eastAsia" w:ascii="宋体" w:hAnsi="宋体" w:eastAsia="宋体" w:cs="宋体"/>
          <w:b/>
          <w:bCs/>
          <w:color w:val="auto"/>
          <w:highlight w:val="none"/>
          <w:lang w:val="en-US" w:eastAsia="zh-CN"/>
        </w:rPr>
        <w:t>缺陷责任期终止证书（工程质量保修责任终止证书）</w:t>
      </w:r>
    </w:p>
    <w:p w14:paraId="4A703A2A">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合同工程完工验收或投入使用验收后，发包人与承包人应办理工程交接手续，承包人应向发包人递交工程质量保修书。</w:t>
      </w:r>
    </w:p>
    <w:p w14:paraId="048AC183">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缺陷责任期（工程质量保修期）满后30个工作日内，发包人应向承包人颁发工 程 质 量保修责任终止证书，并退还剩余的质量保证金，但保修责任范围内的质量缺陷未处理完成的应除外。19.7 保修责任</w:t>
      </w:r>
      <w:bookmarkEnd w:id="943"/>
      <w:bookmarkEnd w:id="944"/>
      <w:bookmarkEnd w:id="945"/>
      <w:bookmarkEnd w:id="946"/>
    </w:p>
    <w:p w14:paraId="6F0DC804">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947" w:name="_Toc144974713"/>
      <w:bookmarkStart w:id="948" w:name="_Toc152045742"/>
      <w:bookmarkStart w:id="949" w:name="_Toc152042521"/>
      <w:bookmarkStart w:id="950" w:name="_Toc179632760"/>
      <w:r>
        <w:rPr>
          <w:rFonts w:hint="eastAsia" w:ascii="宋体" w:hAnsi="宋体" w:eastAsia="宋体" w:cs="宋体"/>
          <w:color w:val="auto"/>
          <w:sz w:val="21"/>
          <w:szCs w:val="21"/>
          <w:highlight w:val="none"/>
          <w:lang w:val="en-US" w:eastAsia="zh-CN"/>
        </w:rPr>
        <w:t>20. 保险</w:t>
      </w:r>
      <w:bookmarkEnd w:id="947"/>
      <w:bookmarkEnd w:id="948"/>
      <w:bookmarkEnd w:id="949"/>
      <w:bookmarkEnd w:id="950"/>
    </w:p>
    <w:p w14:paraId="54A7C0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51" w:name="_Toc152045743"/>
      <w:bookmarkStart w:id="952" w:name="_Toc144974714"/>
      <w:bookmarkStart w:id="953" w:name="_Toc152042522"/>
      <w:bookmarkStart w:id="954" w:name="_Toc179632761"/>
      <w:r>
        <w:rPr>
          <w:rFonts w:hint="eastAsia" w:ascii="宋体" w:hAnsi="宋体" w:eastAsia="宋体" w:cs="宋体"/>
          <w:b/>
          <w:bCs/>
          <w:color w:val="auto"/>
          <w:highlight w:val="none"/>
          <w:lang w:val="en-US" w:eastAsia="zh-CN"/>
        </w:rPr>
        <w:t>20.1 工程保险</w:t>
      </w:r>
      <w:bookmarkEnd w:id="951"/>
      <w:bookmarkEnd w:id="952"/>
      <w:bookmarkEnd w:id="953"/>
      <w:bookmarkEnd w:id="954"/>
    </w:p>
    <w:p w14:paraId="5D906CB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021E97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55" w:name="_Toc144974715"/>
      <w:bookmarkStart w:id="956" w:name="_Toc152042523"/>
      <w:bookmarkStart w:id="957" w:name="_Toc179632762"/>
      <w:bookmarkStart w:id="958" w:name="_Toc152045744"/>
      <w:r>
        <w:rPr>
          <w:rFonts w:hint="eastAsia" w:ascii="宋体" w:hAnsi="宋体" w:eastAsia="宋体" w:cs="宋体"/>
          <w:b/>
          <w:bCs/>
          <w:color w:val="auto"/>
          <w:highlight w:val="none"/>
          <w:lang w:val="en-US" w:eastAsia="zh-CN"/>
        </w:rPr>
        <w:t>20.2 人员工伤事故的保险</w:t>
      </w:r>
      <w:bookmarkEnd w:id="955"/>
      <w:bookmarkEnd w:id="956"/>
      <w:bookmarkEnd w:id="957"/>
      <w:bookmarkEnd w:id="958"/>
    </w:p>
    <w:p w14:paraId="1F5B2EA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20.2.1 承包人员工伤事故的保险</w:t>
      </w:r>
    </w:p>
    <w:p w14:paraId="1F4DBA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承包人应依照有关法律规定参加工伤保险，为其履行合同所雇佣的全部人员，缴纳工伤保险费，并要求其分包人也进行此项保险。</w:t>
      </w:r>
    </w:p>
    <w:p w14:paraId="2F13E83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20.2.2 发包人员工伤事故的保险</w:t>
      </w:r>
    </w:p>
    <w:p w14:paraId="7215E1D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发包人应依照有关法律规定参加工伤保险，为其现场机构雇佣的全部人员，缴纳工伤保险费，并要求其监理人也进行此项保险。</w:t>
      </w:r>
    </w:p>
    <w:p w14:paraId="008F2B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59" w:name="_Toc144974716"/>
      <w:bookmarkStart w:id="960" w:name="_Toc179632763"/>
      <w:bookmarkStart w:id="961" w:name="_Toc152042524"/>
      <w:bookmarkStart w:id="962" w:name="_Toc152045745"/>
      <w:r>
        <w:rPr>
          <w:rFonts w:hint="eastAsia" w:ascii="宋体" w:hAnsi="宋体" w:eastAsia="宋体" w:cs="宋体"/>
          <w:b/>
          <w:bCs/>
          <w:color w:val="auto"/>
          <w:highlight w:val="none"/>
          <w:lang w:val="en-US" w:eastAsia="zh-CN"/>
        </w:rPr>
        <w:t>20.3 人身意外伤害险</w:t>
      </w:r>
      <w:bookmarkEnd w:id="959"/>
      <w:bookmarkEnd w:id="960"/>
      <w:bookmarkEnd w:id="961"/>
      <w:bookmarkEnd w:id="962"/>
    </w:p>
    <w:p w14:paraId="7F3E986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20.3.1 发包人应在整个施工期间为其现场机构雇用的全部人员，投保人身意外伤害险，缴纳保险费，并要求其监理人也进行此项保险。</w:t>
      </w:r>
    </w:p>
    <w:p w14:paraId="0B95E93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20.3.2 承包人应在整个施工期间为其现场机构雇用的全部人员，投保人身意外伤害险，缴纳保险费，并要求其分包人也进行此项保险。</w:t>
      </w:r>
    </w:p>
    <w:p w14:paraId="37733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63" w:name="_Toc144974717"/>
      <w:bookmarkStart w:id="964" w:name="_Toc152045746"/>
      <w:bookmarkStart w:id="965" w:name="_Toc152042525"/>
      <w:bookmarkStart w:id="966" w:name="_Toc179632764"/>
      <w:r>
        <w:rPr>
          <w:rFonts w:hint="eastAsia" w:ascii="宋体" w:hAnsi="宋体" w:eastAsia="宋体" w:cs="宋体"/>
          <w:b/>
          <w:bCs/>
          <w:color w:val="auto"/>
          <w:highlight w:val="none"/>
          <w:lang w:val="en-US" w:eastAsia="zh-CN"/>
        </w:rPr>
        <w:t>20.4 第三者责任险</w:t>
      </w:r>
      <w:bookmarkEnd w:id="963"/>
      <w:bookmarkEnd w:id="964"/>
      <w:bookmarkEnd w:id="965"/>
      <w:bookmarkEnd w:id="966"/>
    </w:p>
    <w:p w14:paraId="5B564AF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52A8B9C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20.4.2 在缺陷责任期终止证书颁发前，承包人应以承包人和发包人的共同名义，投保第20.4.1项约定的第三者责任险，其保险费率、保险金额等有关内容在专用合同条款中约定。</w:t>
      </w:r>
    </w:p>
    <w:p w14:paraId="54449A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67" w:name="_Toc179632765"/>
      <w:bookmarkStart w:id="968" w:name="_Toc144974718"/>
      <w:bookmarkStart w:id="969" w:name="_Toc152042526"/>
      <w:bookmarkStart w:id="970" w:name="_Toc152045747"/>
      <w:r>
        <w:rPr>
          <w:rFonts w:hint="eastAsia" w:ascii="宋体" w:hAnsi="宋体" w:eastAsia="宋体" w:cs="宋体"/>
          <w:b/>
          <w:bCs/>
          <w:color w:val="auto"/>
          <w:highlight w:val="none"/>
          <w:lang w:val="en-US" w:eastAsia="zh-CN"/>
        </w:rPr>
        <w:t>20.5 其他保险</w:t>
      </w:r>
      <w:bookmarkEnd w:id="967"/>
      <w:bookmarkEnd w:id="968"/>
      <w:bookmarkEnd w:id="969"/>
      <w:bookmarkEnd w:id="970"/>
    </w:p>
    <w:p w14:paraId="2BDE82B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除专用合同条款另有约定外，承包人应为其施工设备、进场的材料和工程设备等办理保险。</w:t>
      </w:r>
    </w:p>
    <w:p w14:paraId="78A3D8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71" w:name="_Toc144974719"/>
      <w:bookmarkStart w:id="972" w:name="_Toc152042527"/>
      <w:bookmarkStart w:id="973" w:name="_Toc152045748"/>
      <w:bookmarkStart w:id="974" w:name="_Toc179632766"/>
      <w:r>
        <w:rPr>
          <w:rFonts w:hint="eastAsia" w:ascii="宋体" w:hAnsi="宋体" w:eastAsia="宋体" w:cs="宋体"/>
          <w:b/>
          <w:bCs/>
          <w:color w:val="auto"/>
          <w:highlight w:val="none"/>
          <w:lang w:val="en-US" w:eastAsia="zh-CN"/>
        </w:rPr>
        <w:t>20.6 对各项保险的一般要求</w:t>
      </w:r>
      <w:bookmarkEnd w:id="971"/>
      <w:bookmarkEnd w:id="972"/>
      <w:bookmarkEnd w:id="973"/>
      <w:bookmarkEnd w:id="974"/>
    </w:p>
    <w:p w14:paraId="43F269A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20.6.1 保险凭证</w:t>
      </w:r>
    </w:p>
    <w:p w14:paraId="1E0052D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承包人应在专用合同条款约定的期限内向发包人提交各项保险生效的证据和保险单副本，保险单必须与专用合同条款约定的条件保持一致。</w:t>
      </w:r>
    </w:p>
    <w:p w14:paraId="0DE5F3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20.6.2 保险合同条款的变动</w:t>
      </w:r>
    </w:p>
    <w:p w14:paraId="6C16289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承包人需要变动保险合同条款时，应事先征得发包人同意，并通知监理人。保险人作出变动的，承包人应在收到保险人通知后立即通知发包人和监理人。</w:t>
      </w:r>
    </w:p>
    <w:p w14:paraId="2DDF421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20.6.3 持续保险</w:t>
      </w:r>
    </w:p>
    <w:p w14:paraId="45CDBFD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承包人应与保险人保持联系，使保险人能够随时了解工程实施中的变动，并确保按保险合同条款要求持续保险。</w:t>
      </w:r>
    </w:p>
    <w:p w14:paraId="49E9C35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20.6.4 保险金不足的补偿</w:t>
      </w:r>
    </w:p>
    <w:p w14:paraId="285A5C2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保险金不足以补偿损失时，应由承包人和发包人各自负责补偿的范围和金额在专用合同条款中约定。</w:t>
      </w:r>
    </w:p>
    <w:p w14:paraId="412D8C1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20.6.5 未按约定投保的补救</w:t>
      </w:r>
    </w:p>
    <w:p w14:paraId="490AEBC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（1）由于负有投保义务的一方当事人未按合同约定办理保险，或未能使保险持续有效的，另一方当事人可代为办理，所需费用由对方当事人承担。</w:t>
      </w:r>
    </w:p>
    <w:p w14:paraId="7D501DB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（2）由于负有投保义务的一方当事人未按合同约定办理某项保险，导致受益人未能得到保险人的赔偿，原应从该项保险得到的保险金应由负有投保义务的一方当事人支付。</w:t>
      </w:r>
    </w:p>
    <w:p w14:paraId="16094C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20.6.6 报告义务</w:t>
      </w:r>
    </w:p>
    <w:p w14:paraId="1F47AF6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当保险事故发生时，投保人应按照保险单规定的条件和期限及时向保险人报告。</w:t>
      </w:r>
    </w:p>
    <w:p w14:paraId="2B4C553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20.7 风险责任的转移</w:t>
      </w:r>
    </w:p>
    <w:p w14:paraId="3E45A97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工程通过合同工程完工验收并移交给发包人后，</w:t>
      </w:r>
      <w:r>
        <w:rPr>
          <w:rFonts w:hint="eastAsia" w:ascii="宋体" w:hAnsi="宋体" w:cs="宋体"/>
          <w:color w:val="auto"/>
          <w:highlight w:val="none"/>
          <w:lang w:eastAsia="zh-CN"/>
        </w:rPr>
        <w:t>由</w:t>
      </w:r>
      <w:r>
        <w:rPr>
          <w:rFonts w:hint="eastAsia" w:ascii="宋体" w:hAnsi="宋体" w:eastAsia="宋体" w:cs="宋体"/>
          <w:color w:val="auto"/>
          <w:highlight w:val="none"/>
        </w:rPr>
        <w:t>承包人应承担的风险责任，以及保险的责任、权利和义务同时转移给发包人，但承包人在缺陷责任期（工程质量保修期）前造成损失和损坏情形除外。</w:t>
      </w:r>
    </w:p>
    <w:p w14:paraId="502B8E73">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975" w:name="_Toc179632767"/>
      <w:bookmarkStart w:id="976" w:name="_Toc152045749"/>
      <w:bookmarkStart w:id="977" w:name="_Toc144974720"/>
      <w:bookmarkStart w:id="978" w:name="_Toc152042528"/>
      <w:r>
        <w:rPr>
          <w:rFonts w:hint="eastAsia" w:ascii="宋体" w:hAnsi="宋体" w:eastAsia="宋体" w:cs="宋体"/>
          <w:color w:val="auto"/>
          <w:sz w:val="21"/>
          <w:szCs w:val="21"/>
          <w:highlight w:val="none"/>
          <w:lang w:val="en-US" w:eastAsia="zh-CN"/>
        </w:rPr>
        <w:t>21. 不可抗力</w:t>
      </w:r>
      <w:bookmarkEnd w:id="975"/>
      <w:bookmarkEnd w:id="976"/>
      <w:bookmarkEnd w:id="977"/>
      <w:bookmarkEnd w:id="978"/>
    </w:p>
    <w:p w14:paraId="0B62EA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79" w:name="_Toc152045750"/>
      <w:bookmarkStart w:id="980" w:name="_Toc179632768"/>
      <w:bookmarkStart w:id="981" w:name="_Toc152042529"/>
      <w:bookmarkStart w:id="982" w:name="_Toc144974721"/>
      <w:r>
        <w:rPr>
          <w:rFonts w:hint="eastAsia" w:ascii="宋体" w:hAnsi="宋体" w:eastAsia="宋体" w:cs="宋体"/>
          <w:b/>
          <w:bCs/>
          <w:color w:val="auto"/>
          <w:highlight w:val="none"/>
          <w:lang w:val="en-US" w:eastAsia="zh-CN"/>
        </w:rPr>
        <w:t>21.1 不可抗力的确认</w:t>
      </w:r>
      <w:bookmarkEnd w:id="979"/>
      <w:bookmarkEnd w:id="980"/>
      <w:bookmarkEnd w:id="981"/>
      <w:bookmarkEnd w:id="982"/>
    </w:p>
    <w:p w14:paraId="60426BE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70C13FD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50DDDF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83" w:name="_Toc179632769"/>
      <w:bookmarkStart w:id="984" w:name="_Toc144974722"/>
      <w:bookmarkStart w:id="985" w:name="_Toc152045751"/>
      <w:bookmarkStart w:id="986" w:name="_Toc152042530"/>
      <w:r>
        <w:rPr>
          <w:rFonts w:hint="eastAsia" w:ascii="宋体" w:hAnsi="宋体" w:eastAsia="宋体" w:cs="宋体"/>
          <w:b/>
          <w:bCs/>
          <w:color w:val="auto"/>
          <w:highlight w:val="none"/>
          <w:lang w:val="en-US" w:eastAsia="zh-CN"/>
        </w:rPr>
        <w:t>21.2 不可抗力的通知</w:t>
      </w:r>
      <w:bookmarkEnd w:id="983"/>
      <w:bookmarkEnd w:id="984"/>
      <w:bookmarkEnd w:id="985"/>
      <w:bookmarkEnd w:id="986"/>
    </w:p>
    <w:p w14:paraId="02FDCF4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21.2.1 合同一方当事人遇到不可抗力事件，使其履行合同义务受到阻碍时，应立即通知合同另一方当事人和监理人，书面说明不可抗力和受阻碍的详细情况，并提供必要的证明。</w:t>
      </w:r>
    </w:p>
    <w:p w14:paraId="2F430E3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77C900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87" w:name="_Toc144974723"/>
      <w:bookmarkStart w:id="988" w:name="_Toc152042531"/>
      <w:bookmarkStart w:id="989" w:name="_Toc152045752"/>
      <w:bookmarkStart w:id="990" w:name="_Toc179632770"/>
      <w:r>
        <w:rPr>
          <w:rFonts w:hint="eastAsia" w:ascii="宋体" w:hAnsi="宋体" w:eastAsia="宋体" w:cs="宋体"/>
          <w:b/>
          <w:bCs/>
          <w:color w:val="auto"/>
          <w:highlight w:val="none"/>
          <w:lang w:val="en-US" w:eastAsia="zh-CN"/>
        </w:rPr>
        <w:t>21.3 不可抗力后果及其处理</w:t>
      </w:r>
      <w:bookmarkEnd w:id="987"/>
      <w:bookmarkEnd w:id="988"/>
      <w:bookmarkEnd w:id="989"/>
      <w:bookmarkEnd w:id="990"/>
    </w:p>
    <w:p w14:paraId="4ED594C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21.3.1 不可抗力造成损害的责任</w:t>
      </w:r>
    </w:p>
    <w:p w14:paraId="4C0E97FF">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除专用合同条款另有约定外，不可抗力导致的人员伤亡、财产损失、费用增加和（或）工期延误等后果，由合同双方按以下原则承担：</w:t>
      </w:r>
    </w:p>
    <w:p w14:paraId="2050C484">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（1）永久工程，包括已运至施工场地的材料和工程设备的损害，以及因工程损害造成的第三者人员伤亡和财产损失由发包人承担；</w:t>
      </w:r>
    </w:p>
    <w:p w14:paraId="5DA7E351">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（2）承包人设备的损坏由承包人承担；</w:t>
      </w:r>
    </w:p>
    <w:p w14:paraId="118899BF">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（3）发包人和承包人各自承担其人员伤亡和其他财产损失</w:t>
      </w:r>
      <w:r>
        <w:rPr>
          <w:rFonts w:hint="eastAsia" w:ascii="宋体" w:hAnsi="宋体" w:cs="宋体"/>
          <w:color w:val="auto"/>
          <w:highlight w:val="none"/>
          <w:lang w:eastAsia="zh-CN"/>
        </w:rPr>
        <w:t>及相关费用</w:t>
      </w:r>
      <w:r>
        <w:rPr>
          <w:rFonts w:hint="eastAsia" w:ascii="宋体" w:hAnsi="宋体" w:eastAsia="宋体" w:cs="宋体"/>
          <w:color w:val="auto"/>
          <w:highlight w:val="none"/>
        </w:rPr>
        <w:t>；</w:t>
      </w:r>
    </w:p>
    <w:p w14:paraId="3877901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（4）承包人的停工损失由承包人承担，但停工期间应监理人要求照管工程和清理、修复工程的金额由发包人承担；</w:t>
      </w:r>
    </w:p>
    <w:p w14:paraId="05111CB0">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（5）不能按期竣工的，应合理延长工期，承包人不需支付逾期竣工违约金。发包人要求赶工的，承包人应采取赶工措施，赶工费用由发包人承担。</w:t>
      </w:r>
    </w:p>
    <w:p w14:paraId="5515B63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21.3.2 延迟履行期间发生的不可抗力</w:t>
      </w:r>
    </w:p>
    <w:p w14:paraId="727D2F1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合同一方当事人延迟履行，在延迟履行期间发生不可抗力的，不免除其责任。</w:t>
      </w:r>
    </w:p>
    <w:p w14:paraId="3288D58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21.3.3 避免和减少不可抗力损失</w:t>
      </w:r>
    </w:p>
    <w:p w14:paraId="54A2E2F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不可抗力发生后，发包人和承包人均应采取措施尽量避免和减少损失的扩大，任何一方没有采取有效措施导致损失扩大的，应对扩大的损失承担责任。</w:t>
      </w:r>
    </w:p>
    <w:p w14:paraId="1F82BE7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21.3.4 因不可抗力解除合同</w:t>
      </w:r>
    </w:p>
    <w:p w14:paraId="23B0F82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7C440105">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991" w:name="_Toc152045753"/>
      <w:bookmarkStart w:id="992" w:name="_Toc144974724"/>
      <w:bookmarkStart w:id="993" w:name="_Toc152042532"/>
      <w:bookmarkStart w:id="994" w:name="_Toc179632771"/>
      <w:r>
        <w:rPr>
          <w:rFonts w:hint="eastAsia" w:ascii="宋体" w:hAnsi="宋体" w:eastAsia="宋体" w:cs="宋体"/>
          <w:color w:val="auto"/>
          <w:sz w:val="21"/>
          <w:szCs w:val="21"/>
          <w:highlight w:val="none"/>
          <w:lang w:val="en-US" w:eastAsia="zh-CN"/>
        </w:rPr>
        <w:t>22. 违约</w:t>
      </w:r>
      <w:bookmarkEnd w:id="991"/>
      <w:bookmarkEnd w:id="992"/>
      <w:bookmarkEnd w:id="993"/>
      <w:bookmarkEnd w:id="994"/>
    </w:p>
    <w:p w14:paraId="6BEA74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95" w:name="_Toc144974725"/>
      <w:bookmarkStart w:id="996" w:name="_Toc179632772"/>
      <w:bookmarkStart w:id="997" w:name="_Toc152045754"/>
      <w:bookmarkStart w:id="998" w:name="_Toc152042533"/>
      <w:r>
        <w:rPr>
          <w:rFonts w:hint="eastAsia" w:ascii="宋体" w:hAnsi="宋体" w:eastAsia="宋体" w:cs="宋体"/>
          <w:b/>
          <w:bCs/>
          <w:color w:val="auto"/>
          <w:highlight w:val="none"/>
          <w:lang w:val="en-US" w:eastAsia="zh-CN"/>
        </w:rPr>
        <w:t>22.1 承包人违约</w:t>
      </w:r>
      <w:bookmarkEnd w:id="995"/>
      <w:bookmarkEnd w:id="996"/>
      <w:bookmarkEnd w:id="997"/>
      <w:bookmarkEnd w:id="998"/>
    </w:p>
    <w:p w14:paraId="151D520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22.1.1 承包人违约的情形</w:t>
      </w:r>
    </w:p>
    <w:p w14:paraId="0A106086">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在履行合同过程中发生的下列情况属承包人违约：</w:t>
      </w:r>
    </w:p>
    <w:p w14:paraId="7E14EFFE">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（1）承包人违反第 1.8款或第4.3款的约定，私自将合同的全部或部分权利转让给其他人，或私自将合同的全部或部分义务转移给其他人；</w:t>
      </w:r>
    </w:p>
    <w:p w14:paraId="729BADFD">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（2）承包人违反第5.3款或第6.4款的约定，未经监理人批准，私自将已按合同约定进入施工场地的施工设备、临时设施或材料撤离施工场地 ；</w:t>
      </w:r>
    </w:p>
    <w:p w14:paraId="4ED06FA2">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（3）承包人违反第5.4款的约定使用了不合格材料或工程设备，工程质量达不到标准要求，又拒绝清除不合格工程；</w:t>
      </w:r>
    </w:p>
    <w:p w14:paraId="766B308C">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（4）承包人未能按合同进度计划及时完成合同约定的工作，已造成或预期造成工期延误 ；</w:t>
      </w:r>
    </w:p>
    <w:p w14:paraId="4A3BDBA3">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（5）承包人在缺陷责任期</w:t>
      </w:r>
      <w:r>
        <w:rPr>
          <w:rFonts w:hint="eastAsia" w:ascii="宋体" w:hAnsi="宋体" w:eastAsia="宋体" w:cs="宋体"/>
          <w:color w:val="auto"/>
          <w:highlight w:val="none"/>
        </w:rPr>
        <w:tab/>
      </w:r>
      <w:r>
        <w:rPr>
          <w:rFonts w:hint="eastAsia" w:ascii="宋体" w:hAnsi="宋体" w:eastAsia="宋体" w:cs="宋体"/>
          <w:color w:val="auto"/>
          <w:highlight w:val="none"/>
        </w:rPr>
        <w:t>（工程质量保修期）内，未能对合同工程完工验收鉴定书所列的缺陷清单的内容或缺陷责任期（工程质量保修期）内发生的缺陷进行修复，而又拒绝按监理人指示再进行修补 ；</w:t>
      </w:r>
    </w:p>
    <w:p w14:paraId="4338B6B0">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（6）承包人无法继续履行或明确表示不履行或实质上已停止履行合同；</w:t>
      </w:r>
    </w:p>
    <w:p w14:paraId="79A776D9">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（7）承包人不按合同约定履行义务的</w:t>
      </w:r>
      <w:r>
        <w:rPr>
          <w:rFonts w:hint="eastAsia" w:ascii="宋体" w:hAnsi="宋体" w:cs="宋体"/>
          <w:color w:val="auto"/>
          <w:highlight w:val="none"/>
          <w:lang w:eastAsia="zh-CN"/>
        </w:rPr>
        <w:t>其他情况</w:t>
      </w:r>
      <w:r>
        <w:rPr>
          <w:rFonts w:hint="eastAsia" w:ascii="宋体" w:hAnsi="宋体" w:eastAsia="宋体" w:cs="宋体"/>
          <w:color w:val="auto"/>
          <w:highlight w:val="none"/>
        </w:rPr>
        <w:t>。</w:t>
      </w:r>
    </w:p>
    <w:p w14:paraId="599AA81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22.1.2 对承包人违约的处理</w:t>
      </w:r>
    </w:p>
    <w:p w14:paraId="702EDD6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（1）承包人发生第22.1.1（6）目约定的违约情况时，发包人可通知承包人立即解除合同，并按有关法律处理。</w:t>
      </w:r>
    </w:p>
    <w:p w14:paraId="2DCACF5A">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（2）承包人发生除第22.1.1（6）目约定以外的其他违约情况时，监理人可向承包人发出整改通知，要求其在指定的期限内改正。承包人应承担其违约所引起的费用增加和（或）工期延误。</w:t>
      </w:r>
    </w:p>
    <w:p w14:paraId="0FC13BE0">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（3）经检查证明承包人已采取了有效措施纠正违约行为，具备复工条件的，可由监理人签发复工通知复工。</w:t>
      </w:r>
    </w:p>
    <w:p w14:paraId="6D37DE8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22.1.3 承包人违约解除合同</w:t>
      </w:r>
    </w:p>
    <w:p w14:paraId="44DAE9B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333781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22.1.4 合同解除后的估价、付款和结清</w:t>
      </w:r>
    </w:p>
    <w:p w14:paraId="521FC467">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 xml:space="preserve">（1）合同解除后，监理人按第3.5款商定或确定承包人实际完成工作的价值，以及承包人已提供的材料、施工设备、工程设备和临时工程等的价值。 </w:t>
      </w:r>
    </w:p>
    <w:p w14:paraId="1D16DC7C">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 xml:space="preserve">（2）合同解除后，发包人应暂停对承包人的一切付款，查清各项付款和已扣款金额，包括承包人应支付的违约金。 </w:t>
      </w:r>
    </w:p>
    <w:p w14:paraId="48178F0A">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（3）合同解除后，发包人应按第23.4款的约定向承包人索赔由于解除合同给发包人造成的损失。</w:t>
      </w:r>
    </w:p>
    <w:p w14:paraId="102FA4C4">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（4）合同双方确认上述往来款项后，出具最终结清付款证书，结清全部合同款项。</w:t>
      </w:r>
    </w:p>
    <w:p w14:paraId="5EE18B67">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（5）发包人和承包人未能就解除合同后的结清达成一致而形成争议的，按第24条的约定办理。</w:t>
      </w:r>
    </w:p>
    <w:p w14:paraId="600AF20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22.1.5 协议利益的转让</w:t>
      </w:r>
    </w:p>
    <w:p w14:paraId="4EAA1E3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因承包人违约解除合同的，发包人有权要求承包人将其为实施合同而签订的材料和设备的订货协议或任何服务协议利益转让给发包人，并在解除合同后的14天内，依法办理转让手续。 </w:t>
      </w:r>
    </w:p>
    <w:p w14:paraId="1105297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22.1.6 紧急情况下无能力或不愿进行抢救</w:t>
      </w:r>
    </w:p>
    <w:p w14:paraId="6707AD0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76647C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999" w:name="_Toc179632773"/>
      <w:bookmarkStart w:id="1000" w:name="_Toc144974726"/>
      <w:bookmarkStart w:id="1001" w:name="_Toc152042534"/>
      <w:bookmarkStart w:id="1002" w:name="_Toc152045755"/>
      <w:r>
        <w:rPr>
          <w:rFonts w:hint="eastAsia" w:ascii="宋体" w:hAnsi="宋体" w:eastAsia="宋体" w:cs="宋体"/>
          <w:b/>
          <w:bCs/>
          <w:color w:val="auto"/>
          <w:highlight w:val="none"/>
          <w:lang w:val="en-US" w:eastAsia="zh-CN"/>
        </w:rPr>
        <w:t>22.2 发包人违约</w:t>
      </w:r>
      <w:bookmarkEnd w:id="999"/>
      <w:bookmarkEnd w:id="1000"/>
      <w:bookmarkEnd w:id="1001"/>
      <w:bookmarkEnd w:id="1002"/>
    </w:p>
    <w:p w14:paraId="5B33C37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22.2.1 发包人违约的情形</w:t>
      </w:r>
    </w:p>
    <w:p w14:paraId="1B012A5D">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在履行合同过程中发生的下列情形，属发包人违约：</w:t>
      </w:r>
    </w:p>
    <w:p w14:paraId="5CAF1062">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（1）发包人未能按合同约定支付预付款或合同价款，或拖延、拒绝批准付款申请和支付凭证，导致付款延误的；</w:t>
      </w:r>
    </w:p>
    <w:p w14:paraId="4FA045B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（2）发包人原因造成停工的；</w:t>
      </w:r>
    </w:p>
    <w:p w14:paraId="50780FB6">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（3）监理人无正当理由没有在约定期限内发出复工指示，导致承包人无法复工的；</w:t>
      </w:r>
    </w:p>
    <w:p w14:paraId="3CB66E7D">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（4）发包人无法继续履行或明确表示不履行或实质上已停止履行合同的；</w:t>
      </w:r>
    </w:p>
    <w:p w14:paraId="2624D47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（5）发包人不履行合同约定其他义务的。</w:t>
      </w:r>
    </w:p>
    <w:p w14:paraId="00C35D5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22.2.2 承包人有权暂停施工</w:t>
      </w:r>
    </w:p>
    <w:p w14:paraId="1BB67C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1338CC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22.2.3 发包人违约解除合同 </w:t>
      </w:r>
    </w:p>
    <w:p w14:paraId="71627888">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 xml:space="preserve">（1）发生第22.2.1（4）目的违约情况时，承包人可书面通知发包人解除合同。   </w:t>
      </w:r>
    </w:p>
    <w:p w14:paraId="7E5D305A">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1CFF602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22.2.4 解除合同后的付款</w:t>
      </w:r>
    </w:p>
    <w:p w14:paraId="37D7B452">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因发包人违约解除合同的，发包人应在解除合同后28天内向承包人支付下列金额，承包人应在此期限内及时向发包人提交要求支付下列金额的有关资料和凭证：</w:t>
      </w:r>
    </w:p>
    <w:p w14:paraId="1427544E">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（1）合同解除日以前所完成工作的价款；</w:t>
      </w:r>
    </w:p>
    <w:p w14:paraId="6E78A457">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（2）承包人为该工程施工订购并已付款的材料、工程设备和其他物品的金额。发包人付还后，该材料、工程设备和其他物品归发包人所有；</w:t>
      </w:r>
    </w:p>
    <w:p w14:paraId="5A956A0B">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（3）承包人为完成工程所发生的，而发包人未支付的金额；</w:t>
      </w:r>
    </w:p>
    <w:p w14:paraId="480FDA53">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（4）承包人撤离施工场地以及遣散承包人人员的金额；</w:t>
      </w:r>
    </w:p>
    <w:p w14:paraId="2779A7F9">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（5）由于解除合同应赔偿的承包人损失；</w:t>
      </w:r>
    </w:p>
    <w:p w14:paraId="38773AF2">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（6）按合同约定在合同解除日前应支付给承包人的其他金额。</w:t>
      </w:r>
    </w:p>
    <w:p w14:paraId="2F91837A">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发包人应按本项约定支付上述金额并退还质量保证金和履约担保，但有权要求承包人支付应偿还给发包人的各项金额。</w:t>
      </w:r>
    </w:p>
    <w:p w14:paraId="00F4584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22.2.5 解除合同后的承包人撤离</w:t>
      </w:r>
    </w:p>
    <w:p w14:paraId="4F69D37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76419C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03" w:name="_Toc152042535"/>
      <w:bookmarkStart w:id="1004" w:name="_Toc179632774"/>
      <w:bookmarkStart w:id="1005" w:name="_Toc152045756"/>
      <w:r>
        <w:rPr>
          <w:rFonts w:hint="eastAsia" w:ascii="宋体" w:hAnsi="宋体" w:eastAsia="宋体" w:cs="宋体"/>
          <w:b/>
          <w:bCs/>
          <w:color w:val="auto"/>
          <w:highlight w:val="none"/>
          <w:lang w:val="en-US" w:eastAsia="zh-CN"/>
        </w:rPr>
        <w:t>22.3 第三人造成的违约</w:t>
      </w:r>
      <w:bookmarkEnd w:id="1003"/>
      <w:bookmarkEnd w:id="1004"/>
      <w:bookmarkEnd w:id="1005"/>
    </w:p>
    <w:p w14:paraId="23ED6F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在履行合同过程中，一方当事人因第三人的原因造成违约的，应当向对方当事人承担违约责任。一方当事人和第三人之间的纠纷，依照法律规定或者按照约定解决。</w:t>
      </w:r>
    </w:p>
    <w:p w14:paraId="793869C2">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1006" w:name="_Toc152045757"/>
      <w:bookmarkStart w:id="1007" w:name="_Toc179632775"/>
      <w:bookmarkStart w:id="1008" w:name="_Toc144974727"/>
      <w:bookmarkStart w:id="1009" w:name="_Toc152042536"/>
      <w:r>
        <w:rPr>
          <w:rFonts w:hint="eastAsia" w:ascii="宋体" w:hAnsi="宋体" w:eastAsia="宋体" w:cs="宋体"/>
          <w:color w:val="auto"/>
          <w:sz w:val="21"/>
          <w:szCs w:val="21"/>
          <w:highlight w:val="none"/>
          <w:lang w:val="en-US" w:eastAsia="zh-CN"/>
        </w:rPr>
        <w:t>23. 索赔</w:t>
      </w:r>
      <w:bookmarkEnd w:id="1006"/>
      <w:bookmarkEnd w:id="1007"/>
      <w:bookmarkEnd w:id="1008"/>
      <w:bookmarkEnd w:id="1009"/>
    </w:p>
    <w:p w14:paraId="0C7C83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10" w:name="_Toc152042537"/>
      <w:bookmarkStart w:id="1011" w:name="_Toc152045758"/>
      <w:bookmarkStart w:id="1012" w:name="_Toc144974728"/>
      <w:bookmarkStart w:id="1013" w:name="_Toc179632776"/>
      <w:r>
        <w:rPr>
          <w:rFonts w:hint="eastAsia" w:ascii="宋体" w:hAnsi="宋体" w:eastAsia="宋体" w:cs="宋体"/>
          <w:b/>
          <w:bCs/>
          <w:color w:val="auto"/>
          <w:highlight w:val="none"/>
          <w:lang w:val="en-US" w:eastAsia="zh-CN"/>
        </w:rPr>
        <w:t>23.1 承包人索赔的提出</w:t>
      </w:r>
      <w:bookmarkEnd w:id="1010"/>
      <w:bookmarkEnd w:id="1011"/>
      <w:bookmarkEnd w:id="1012"/>
      <w:bookmarkEnd w:id="1013"/>
    </w:p>
    <w:p w14:paraId="0A5ECFB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根据合同约定，承包人认为有权得到追加付款和（或）延长工期的，应按以下程序向发包人提出索赔：</w:t>
      </w:r>
    </w:p>
    <w:p w14:paraId="56E12B25">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651DF7AF">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（2）承包人应在发出索赔意向通知书后28天内，向监理人正式递交索赔通知书。索赔通知书应详细说明索赔理由以及要求追加的付款金额和（或）延长的工期，并附必要的记录和证明材料；</w:t>
      </w:r>
    </w:p>
    <w:p w14:paraId="62866284">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（3）索赔事件具有连续影响的，承包人应按合理时间间隔继续递交延续索赔通知，说明连续影响的实际情况和记录，列出累计的追加付款金额和（或）工期延长天数；</w:t>
      </w:r>
    </w:p>
    <w:p w14:paraId="04505502">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（4）在索赔事件影响结束后的28天内，承包人应向监理人递交最终索赔通知书，说明最终要求索赔的追加付款金额和延长的工期，并附必要的记录和证明材料。</w:t>
      </w:r>
    </w:p>
    <w:p w14:paraId="7C38F6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14" w:name="_Toc152045759"/>
      <w:bookmarkStart w:id="1015" w:name="_Toc144974729"/>
      <w:bookmarkStart w:id="1016" w:name="_Toc152042538"/>
      <w:bookmarkStart w:id="1017" w:name="_Toc179632777"/>
      <w:r>
        <w:rPr>
          <w:rFonts w:hint="eastAsia" w:ascii="宋体" w:hAnsi="宋体" w:eastAsia="宋体" w:cs="宋体"/>
          <w:b/>
          <w:bCs/>
          <w:color w:val="auto"/>
          <w:highlight w:val="none"/>
          <w:lang w:val="en-US" w:eastAsia="zh-CN"/>
        </w:rPr>
        <w:t>23.2 承包人索赔处理程序</w:t>
      </w:r>
      <w:bookmarkEnd w:id="1014"/>
      <w:bookmarkEnd w:id="1015"/>
      <w:bookmarkEnd w:id="1016"/>
      <w:bookmarkEnd w:id="1017"/>
    </w:p>
    <w:p w14:paraId="3FBF5DC2">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（1）监理人收到承包人提交的索赔通知书后，应及时审查索赔通知书的内容、查验承包人的记录和证明材料，必要时监理人可要求承包人提交全部原始记录副本。</w:t>
      </w:r>
    </w:p>
    <w:p w14:paraId="5011602B">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（2）监理人应按第3.5款商定或确定追加的付款和（或）延长的工期，并在收到上述索赔通知书或有关索赔的进一步证明材料后的42天内，将索赔处理结果答复承包人。</w:t>
      </w:r>
    </w:p>
    <w:p w14:paraId="1F7CC6BB">
      <w:pPr>
        <w:spacing w:line="360" w:lineRule="auto"/>
        <w:ind w:firstLine="359" w:firstLineChars="171"/>
        <w:rPr>
          <w:rFonts w:hint="eastAsia" w:ascii="宋体" w:hAnsi="宋体" w:eastAsia="宋体" w:cs="宋体"/>
          <w:color w:val="auto"/>
          <w:highlight w:val="none"/>
        </w:rPr>
      </w:pPr>
      <w:r>
        <w:rPr>
          <w:rFonts w:hint="eastAsia" w:ascii="宋体" w:hAnsi="宋体" w:eastAsia="宋体" w:cs="宋体"/>
          <w:color w:val="auto"/>
          <w:highlight w:val="none"/>
        </w:rPr>
        <w:t>（3）承包人接受索赔处理结果的，发包人应在作出索赔处理结果答复后28天内完成赔付。承包人不接受索赔处理结果的，按第24条的约定办理。</w:t>
      </w:r>
    </w:p>
    <w:p w14:paraId="0034FC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18" w:name="_Toc152042539"/>
      <w:bookmarkStart w:id="1019" w:name="_Toc179632778"/>
      <w:bookmarkStart w:id="1020" w:name="_Toc152045760"/>
      <w:bookmarkStart w:id="1021" w:name="_Toc144974730"/>
      <w:r>
        <w:rPr>
          <w:rFonts w:hint="eastAsia" w:ascii="宋体" w:hAnsi="宋体" w:eastAsia="宋体" w:cs="宋体"/>
          <w:b/>
          <w:bCs/>
          <w:color w:val="auto"/>
          <w:highlight w:val="none"/>
          <w:lang w:val="en-US" w:eastAsia="zh-CN"/>
        </w:rPr>
        <w:t>23.3 承包人提出索赔的期限</w:t>
      </w:r>
      <w:bookmarkEnd w:id="1018"/>
      <w:bookmarkEnd w:id="1019"/>
      <w:bookmarkEnd w:id="1020"/>
      <w:bookmarkEnd w:id="1021"/>
    </w:p>
    <w:p w14:paraId="192B11B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23.3.1 1承包人按第17.5款的约定接受了完工付款证书后，应被认为已无权再提出在合同工程完工证书颁发前所发生的任何索赔。</w:t>
      </w:r>
    </w:p>
    <w:p w14:paraId="2C7D59D3">
      <w:pPr>
        <w:spacing w:line="360" w:lineRule="auto"/>
        <w:ind w:firstLine="420" w:firstLineChars="200"/>
        <w:rPr>
          <w:rFonts w:hint="eastAsia" w:ascii="宋体" w:hAnsi="宋体" w:eastAsia="宋体" w:cs="宋体"/>
          <w:color w:val="auto"/>
          <w:highlight w:val="none"/>
          <w:shd w:val="pct10" w:color="auto" w:fill="FFFFFF"/>
        </w:rPr>
      </w:pPr>
      <w:r>
        <w:rPr>
          <w:rFonts w:hint="eastAsia" w:ascii="宋体" w:hAnsi="宋体" w:eastAsia="宋体" w:cs="宋体"/>
          <w:color w:val="auto"/>
          <w:highlight w:val="none"/>
        </w:rPr>
        <w:t xml:space="preserve">23.3.2  承包人按第17.6款的约定提交的最终结清申请单中，只限于提出合同工程完工证书颁发后发生的索赔。提出索赔的期限自接受最终结清证书时终止。 </w:t>
      </w:r>
    </w:p>
    <w:p w14:paraId="69C93C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22" w:name="_Toc179632779"/>
      <w:bookmarkStart w:id="1023" w:name="_Toc152045761"/>
      <w:bookmarkStart w:id="1024" w:name="_Toc144974731"/>
      <w:bookmarkStart w:id="1025" w:name="_Toc152042540"/>
      <w:r>
        <w:rPr>
          <w:rFonts w:hint="eastAsia" w:ascii="宋体" w:hAnsi="宋体" w:eastAsia="宋体" w:cs="宋体"/>
          <w:b/>
          <w:bCs/>
          <w:color w:val="auto"/>
          <w:highlight w:val="none"/>
          <w:lang w:val="en-US" w:eastAsia="zh-CN"/>
        </w:rPr>
        <w:t>23.4 发包人的索赔</w:t>
      </w:r>
      <w:bookmarkEnd w:id="1022"/>
      <w:bookmarkEnd w:id="1023"/>
      <w:bookmarkEnd w:id="1024"/>
      <w:bookmarkEnd w:id="1025"/>
    </w:p>
    <w:p w14:paraId="5FB3124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44927A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376F697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23.4.3 承包人对监理人按第23.4.1项发出的索赔书面通知内容持异议时，应在收到书面通知后 的</w:t>
      </w:r>
      <w:r>
        <w:rPr>
          <w:rFonts w:hint="eastAsia" w:ascii="宋体" w:hAnsi="宋体" w:cs="宋体"/>
          <w:color w:val="auto"/>
          <w:highlight w:val="none"/>
          <w:lang w:eastAsia="zh-CN"/>
        </w:rPr>
        <w:t>14</w:t>
      </w:r>
      <w:r>
        <w:rPr>
          <w:rFonts w:hint="eastAsia" w:ascii="宋体" w:hAnsi="宋体" w:eastAsia="宋体" w:cs="宋体"/>
          <w:color w:val="auto"/>
          <w:highlight w:val="none"/>
        </w:rPr>
        <w:t>天内，将持有异议的书面报告及其证明材料提交监理人。监理人应在收到承包人书面报告后 的</w:t>
      </w:r>
      <w:r>
        <w:rPr>
          <w:rFonts w:hint="eastAsia" w:ascii="宋体" w:hAnsi="宋体" w:cs="宋体"/>
          <w:color w:val="auto"/>
          <w:highlight w:val="none"/>
          <w:lang w:eastAsia="zh-CN"/>
        </w:rPr>
        <w:t>14</w:t>
      </w:r>
      <w:r>
        <w:rPr>
          <w:rFonts w:hint="eastAsia" w:ascii="宋体" w:hAnsi="宋体" w:eastAsia="宋体" w:cs="宋体"/>
          <w:color w:val="auto"/>
          <w:highlight w:val="none"/>
        </w:rPr>
        <w:t>天内，将异议的处理意见通知承包人，并按第</w:t>
      </w:r>
      <w:r>
        <w:rPr>
          <w:rFonts w:hint="eastAsia" w:ascii="宋体" w:hAnsi="宋体" w:eastAsia="宋体" w:cs="宋体"/>
          <w:color w:val="auto"/>
          <w:highlight w:val="none"/>
          <w:lang w:val="en-US" w:eastAsia="zh-CN"/>
        </w:rPr>
        <w:t>23.4.2</w:t>
      </w:r>
      <w:r>
        <w:rPr>
          <w:rFonts w:hint="eastAsia" w:ascii="宋体" w:hAnsi="宋体" w:eastAsia="宋体" w:cs="宋体"/>
          <w:color w:val="auto"/>
          <w:highlight w:val="none"/>
        </w:rPr>
        <w:t>项的约定执行赔付。若承包人不接受监理人的索赔处理意见，可按本合同第</w:t>
      </w:r>
      <w:r>
        <w:rPr>
          <w:rFonts w:hint="eastAsia" w:ascii="宋体" w:hAnsi="宋体" w:eastAsia="宋体" w:cs="宋体"/>
          <w:color w:val="auto"/>
          <w:highlight w:val="none"/>
          <w:lang w:val="en-US" w:eastAsia="zh-CN"/>
        </w:rPr>
        <w:t>24</w:t>
      </w:r>
      <w:r>
        <w:rPr>
          <w:rFonts w:hint="eastAsia" w:ascii="宋体" w:hAnsi="宋体" w:eastAsia="宋体" w:cs="宋体"/>
          <w:color w:val="auto"/>
          <w:highlight w:val="none"/>
        </w:rPr>
        <w:t>条的规定办理。</w:t>
      </w:r>
    </w:p>
    <w:p w14:paraId="7A5019DF">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en-US" w:eastAsia="zh-CN"/>
        </w:rPr>
      </w:pPr>
      <w:bookmarkStart w:id="1026" w:name="_Toc144974732"/>
      <w:bookmarkStart w:id="1027" w:name="_Toc152042541"/>
      <w:bookmarkStart w:id="1028" w:name="_Toc152045762"/>
      <w:bookmarkStart w:id="1029" w:name="_Toc179632780"/>
      <w:r>
        <w:rPr>
          <w:rFonts w:hint="eastAsia" w:ascii="宋体" w:hAnsi="宋体" w:eastAsia="宋体" w:cs="宋体"/>
          <w:color w:val="auto"/>
          <w:sz w:val="21"/>
          <w:szCs w:val="21"/>
          <w:highlight w:val="none"/>
          <w:lang w:val="en-US" w:eastAsia="zh-CN"/>
        </w:rPr>
        <w:t>24. 争议的解决</w:t>
      </w:r>
      <w:bookmarkEnd w:id="1026"/>
      <w:bookmarkEnd w:id="1027"/>
      <w:bookmarkEnd w:id="1028"/>
      <w:bookmarkEnd w:id="1029"/>
    </w:p>
    <w:p w14:paraId="0901D2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30" w:name="_Toc152042542"/>
      <w:bookmarkStart w:id="1031" w:name="_Toc144974733"/>
      <w:bookmarkStart w:id="1032" w:name="_Toc152045763"/>
      <w:bookmarkStart w:id="1033" w:name="_Toc179632781"/>
      <w:r>
        <w:rPr>
          <w:rFonts w:hint="eastAsia" w:ascii="宋体" w:hAnsi="宋体" w:eastAsia="宋体" w:cs="宋体"/>
          <w:b/>
          <w:bCs/>
          <w:color w:val="auto"/>
          <w:highlight w:val="none"/>
          <w:lang w:val="en-US" w:eastAsia="zh-CN"/>
        </w:rPr>
        <w:t>24.1 争议的解决方式</w:t>
      </w:r>
      <w:bookmarkEnd w:id="1030"/>
      <w:bookmarkEnd w:id="1031"/>
      <w:bookmarkEnd w:id="1032"/>
      <w:bookmarkEnd w:id="1033"/>
    </w:p>
    <w:p w14:paraId="631E5D6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69B189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（1）向约定的仲裁委员会申请仲裁；</w:t>
      </w:r>
    </w:p>
    <w:p w14:paraId="7F049CB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（2）向有管辖权的人民法院提起诉讼。</w:t>
      </w:r>
    </w:p>
    <w:p w14:paraId="07E671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34" w:name="_Toc152042543"/>
      <w:bookmarkStart w:id="1035" w:name="_Toc144974734"/>
      <w:bookmarkStart w:id="1036" w:name="_Toc152045764"/>
      <w:bookmarkStart w:id="1037" w:name="_Toc179632782"/>
      <w:r>
        <w:rPr>
          <w:rFonts w:hint="eastAsia" w:ascii="宋体" w:hAnsi="宋体" w:eastAsia="宋体" w:cs="宋体"/>
          <w:b/>
          <w:bCs/>
          <w:color w:val="auto"/>
          <w:highlight w:val="none"/>
          <w:lang w:val="en-US" w:eastAsia="zh-CN"/>
        </w:rPr>
        <w:t>24.2 友好解决</w:t>
      </w:r>
      <w:bookmarkEnd w:id="1034"/>
      <w:bookmarkEnd w:id="1035"/>
      <w:bookmarkEnd w:id="1036"/>
      <w:bookmarkEnd w:id="1037"/>
    </w:p>
    <w:p w14:paraId="56C5511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在提请争议评审、仲裁或者诉讼前，以及在争议评审、仲裁或诉讼过程中，发包人和承包人均可共同努力友好协商解决争议。</w:t>
      </w:r>
    </w:p>
    <w:p w14:paraId="3FF7EC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bookmarkStart w:id="1038" w:name="_Toc179632783"/>
      <w:bookmarkStart w:id="1039" w:name="_Toc152045765"/>
      <w:bookmarkStart w:id="1040" w:name="_Toc144974735"/>
      <w:bookmarkStart w:id="1041" w:name="_Toc152042544"/>
      <w:r>
        <w:rPr>
          <w:rFonts w:hint="eastAsia" w:ascii="宋体" w:hAnsi="宋体" w:eastAsia="宋体" w:cs="宋体"/>
          <w:b/>
          <w:bCs/>
          <w:color w:val="auto"/>
          <w:highlight w:val="none"/>
          <w:lang w:val="en-US" w:eastAsia="zh-CN"/>
        </w:rPr>
        <w:t>24.3 争议评审</w:t>
      </w:r>
      <w:bookmarkEnd w:id="1038"/>
      <w:bookmarkEnd w:id="1039"/>
      <w:bookmarkEnd w:id="1040"/>
      <w:bookmarkEnd w:id="1041"/>
    </w:p>
    <w:p w14:paraId="2D34F46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24.3.1 采用争议评审的，发包人和承包人应在开工日后的28天内或在争议发生后，协商成立争议评审组。争议评审组由有合同管理和工程实践经验的专家组成。</w:t>
      </w:r>
    </w:p>
    <w:p w14:paraId="2BEB17A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24.3.2 合同双方的争议，应首先由申请人向争议评审组提交一份详细的评审申请报告，并附必要的文件、图纸和证明材料，申请人还应将上述报告的副本同时提交给被申请人和监理人。</w:t>
      </w:r>
    </w:p>
    <w:p w14:paraId="606EC87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24.3.3 被申请人在收到申请人评审申请报告副本后的28天内，向争议评审组提交一份答辩报告，并附证明材料。被申请人应将答辩报告的副本同时提交给申请人和监理人。</w:t>
      </w:r>
    </w:p>
    <w:p w14:paraId="4AEDCE2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57168C7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2067117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24.3.6 发包人和承包人接受评审意见的，由监理人根据评审意见拟定执行协议，经争议双方签字后作为合同的补充文件，并遵照执行。</w:t>
      </w:r>
    </w:p>
    <w:p w14:paraId="44BEB68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5B6D76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24.4仲裁</w:t>
      </w:r>
    </w:p>
    <w:p w14:paraId="6295B11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24.4.1若合同双方商定直接向仲裁机构申请仲裁，应签订仲裁协议并约定仲裁机构。</w:t>
      </w:r>
    </w:p>
    <w:p w14:paraId="6252EBC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24.4.2若合同双方未能达成仲裁协议，则本合同的仲裁条款无效，任一方均有权向人民法院提起诉讼。</w:t>
      </w:r>
    </w:p>
    <w:p w14:paraId="3BF3B1E2">
      <w:pPr>
        <w:spacing w:line="400" w:lineRule="exact"/>
        <w:rPr>
          <w:color w:val="auto"/>
          <w:highlight w:val="none"/>
        </w:rPr>
      </w:pPr>
      <w:r>
        <w:rPr>
          <w:color w:val="auto"/>
          <w:highlight w:val="none"/>
        </w:rPr>
        <w:br w:type="page"/>
      </w:r>
    </w:p>
    <w:p w14:paraId="401B3A77">
      <w:pPr>
        <w:pStyle w:val="3"/>
        <w:keepNext w:val="0"/>
        <w:keepLines w:val="0"/>
        <w:spacing w:line="360" w:lineRule="auto"/>
        <w:jc w:val="center"/>
        <w:rPr>
          <w:rFonts w:hint="eastAsia" w:ascii="宋体" w:hAnsi="宋体" w:eastAsia="宋体" w:cs="宋体"/>
          <w:color w:val="auto"/>
          <w:szCs w:val="28"/>
          <w:highlight w:val="none"/>
          <w:lang w:eastAsia="zh-CN"/>
        </w:rPr>
      </w:pPr>
      <w:bookmarkStart w:id="1042" w:name="_Toc14329"/>
      <w:bookmarkStart w:id="1043" w:name="_Toc152045766"/>
      <w:bookmarkStart w:id="1044" w:name="_Toc28117"/>
      <w:bookmarkStart w:id="1045" w:name="_Toc152042545"/>
      <w:bookmarkStart w:id="1046" w:name="_Toc26760"/>
      <w:bookmarkStart w:id="1047" w:name="_Toc23527"/>
      <w:bookmarkStart w:id="1048" w:name="_Toc27752"/>
      <w:bookmarkStart w:id="1049" w:name="_Toc179632784"/>
      <w:bookmarkStart w:id="1050" w:name="_Toc144974736"/>
      <w:r>
        <w:rPr>
          <w:rFonts w:hint="eastAsia" w:ascii="宋体" w:hAnsi="宋体" w:eastAsia="宋体" w:cs="宋体"/>
          <w:color w:val="auto"/>
          <w:szCs w:val="28"/>
          <w:highlight w:val="none"/>
          <w:lang w:eastAsia="zh-CN"/>
        </w:rPr>
        <w:t>第二节 专用合同条款</w:t>
      </w:r>
      <w:bookmarkEnd w:id="1042"/>
      <w:bookmarkEnd w:id="1043"/>
      <w:bookmarkEnd w:id="1044"/>
      <w:bookmarkEnd w:id="1045"/>
      <w:bookmarkEnd w:id="1046"/>
      <w:bookmarkEnd w:id="1047"/>
      <w:bookmarkEnd w:id="1048"/>
      <w:bookmarkEnd w:id="1049"/>
      <w:bookmarkEnd w:id="1050"/>
    </w:p>
    <w:p w14:paraId="45A328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eastAsia="zh-CN"/>
        </w:rPr>
      </w:pPr>
      <w:bookmarkStart w:id="1051" w:name="_Toc19094"/>
      <w:bookmarkStart w:id="1052" w:name="_Toc19900813"/>
      <w:bookmarkStart w:id="1053" w:name="_Toc429311554"/>
      <w:bookmarkStart w:id="1054" w:name="_Toc505944261"/>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本条款仅作参考，具体内容在双方签订合同过程中再商定补充</w:t>
      </w:r>
      <w:r>
        <w:rPr>
          <w:rFonts w:hint="eastAsia" w:ascii="宋体" w:hAnsi="宋体" w:eastAsia="宋体" w:cs="宋体"/>
          <w:color w:val="auto"/>
          <w:szCs w:val="21"/>
          <w:highlight w:val="none"/>
          <w:lang w:eastAsia="zh-CN"/>
        </w:rPr>
        <w:t>）</w:t>
      </w:r>
    </w:p>
    <w:bookmarkEnd w:id="1051"/>
    <w:bookmarkEnd w:id="1052"/>
    <w:bookmarkEnd w:id="1053"/>
    <w:bookmarkEnd w:id="1054"/>
    <w:p w14:paraId="4A9C8D57">
      <w:pPr>
        <w:keepNext w:val="0"/>
        <w:keepLines w:val="0"/>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eastAsia="zh-CN"/>
        </w:rPr>
      </w:pPr>
      <w:bookmarkStart w:id="1055" w:name="_Toc152045767"/>
      <w:bookmarkStart w:id="1056" w:name="_Toc179632785"/>
      <w:bookmarkStart w:id="1057" w:name="_Toc144974826"/>
      <w:bookmarkStart w:id="1058" w:name="_Toc152042546"/>
      <w:r>
        <w:rPr>
          <w:rFonts w:hint="eastAsia" w:ascii="宋体" w:hAnsi="宋体" w:eastAsia="宋体" w:cs="宋体"/>
          <w:color w:val="auto"/>
          <w:szCs w:val="21"/>
          <w:highlight w:val="none"/>
        </w:rPr>
        <w:t>专用合同条款中的各条款是补充和修改通用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w:t>
      </w:r>
    </w:p>
    <w:p w14:paraId="060EE924">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059" w:name="_Toc28787"/>
      <w:r>
        <w:rPr>
          <w:rFonts w:hint="eastAsia" w:ascii="宋体" w:hAnsi="宋体" w:eastAsia="宋体" w:cs="宋体"/>
          <w:color w:val="auto"/>
          <w:sz w:val="21"/>
          <w:szCs w:val="21"/>
          <w:highlight w:val="none"/>
          <w:lang w:val="zh-CN" w:eastAsia="zh-CN"/>
        </w:rPr>
        <w:t>1.一般约定</w:t>
      </w:r>
      <w:bookmarkEnd w:id="1059"/>
    </w:p>
    <w:p w14:paraId="42229A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060" w:name="_Toc429311555"/>
      <w:bookmarkStart w:id="1061" w:name="_Toc505944262"/>
      <w:r>
        <w:rPr>
          <w:rFonts w:hint="eastAsia" w:ascii="宋体" w:hAnsi="宋体" w:eastAsia="宋体" w:cs="宋体"/>
          <w:b/>
          <w:bCs/>
          <w:color w:val="auto"/>
          <w:highlight w:val="none"/>
        </w:rPr>
        <w:t>1.1词语定义</w:t>
      </w:r>
      <w:bookmarkEnd w:id="1060"/>
      <w:bookmarkEnd w:id="1061"/>
    </w:p>
    <w:p w14:paraId="4BD453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1.1.2合同当事人和人员</w:t>
      </w:r>
    </w:p>
    <w:p w14:paraId="59A2B2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1.1.2.2发包人：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（填入发包人的名称</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494F7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1.1.2.3承包人</w:t>
      </w:r>
      <w:r>
        <w:rPr>
          <w:rFonts w:hint="eastAsia" w:ascii="宋体" w:hAnsi="宋体" w:eastAsia="宋体" w:cs="宋体"/>
          <w:color w:val="auto"/>
          <w:highlight w:val="none"/>
          <w:u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签约后填入承包人的名称</w:t>
      </w:r>
      <w:r>
        <w:rPr>
          <w:rFonts w:hint="eastAsia" w:ascii="宋体" w:hAnsi="宋体" w:cs="宋体"/>
          <w:color w:val="auto"/>
          <w:highlight w:val="none"/>
          <w:u w:val="singl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EC25B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1.1.2.5分包人：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签约后填入</w:t>
      </w:r>
      <w:r>
        <w:rPr>
          <w:rFonts w:hint="eastAsia" w:ascii="宋体" w:hAnsi="宋体" w:eastAsia="宋体" w:cs="宋体"/>
          <w:color w:val="auto"/>
          <w:highlight w:val="none"/>
          <w:u w:val="single"/>
          <w:lang w:val="en-US" w:eastAsia="zh-CN"/>
        </w:rPr>
        <w:t>分</w:t>
      </w:r>
      <w:r>
        <w:rPr>
          <w:rFonts w:hint="eastAsia" w:ascii="宋体" w:hAnsi="宋体" w:eastAsia="宋体" w:cs="宋体"/>
          <w:color w:val="auto"/>
          <w:highlight w:val="none"/>
          <w:u w:val="single"/>
        </w:rPr>
        <w:t>包人的名称</w:t>
      </w:r>
      <w:r>
        <w:rPr>
          <w:rFonts w:hint="eastAsia" w:ascii="宋体" w:hAnsi="宋体" w:cs="宋体"/>
          <w:color w:val="auto"/>
          <w:highlight w:val="none"/>
          <w:u w:val="singl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p>
    <w:p w14:paraId="437FA6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1.1.2.6监理人：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（填入监理人名称</w:t>
      </w:r>
      <w:r>
        <w:rPr>
          <w:rFonts w:hint="eastAsia" w:ascii="宋体" w:hAnsi="宋体" w:cs="宋体"/>
          <w:color w:val="auto"/>
          <w:highlight w:val="none"/>
          <w:u w:val="single"/>
          <w:lang w:val="en-US"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54509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yellow"/>
        </w:rPr>
      </w:pPr>
      <w:r>
        <w:rPr>
          <w:rFonts w:hint="eastAsia" w:ascii="宋体" w:hAnsi="宋体" w:eastAsia="宋体" w:cs="宋体"/>
          <w:color w:val="auto"/>
          <w:highlight w:val="none"/>
        </w:rPr>
        <w:t>1.1.4.5缺陷责任期（工程质量保修期）：</w:t>
      </w:r>
      <w:r>
        <w:rPr>
          <w:rFonts w:hint="eastAsia" w:ascii="宋体" w:hAnsi="宋体" w:eastAsia="宋体" w:cs="宋体"/>
          <w:color w:val="auto"/>
          <w:highlight w:val="none"/>
          <w:u w:val="single"/>
          <w:lang w:val="en-US" w:eastAsia="zh-CN"/>
        </w:rPr>
        <w:t>从工程通过合同工程验收之日起算1年</w:t>
      </w:r>
      <w:r>
        <w:rPr>
          <w:rFonts w:hint="eastAsia" w:ascii="宋体" w:hAnsi="宋体" w:eastAsia="宋体" w:cs="宋体"/>
          <w:color w:val="auto"/>
          <w:highlight w:val="none"/>
        </w:rPr>
        <w:t>。</w:t>
      </w:r>
    </w:p>
    <w:p w14:paraId="43719D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062" w:name="_Toc505944265"/>
      <w:bookmarkStart w:id="1063" w:name="_Toc429311556"/>
      <w:r>
        <w:rPr>
          <w:rFonts w:hint="eastAsia" w:ascii="宋体" w:hAnsi="宋体" w:eastAsia="宋体" w:cs="宋体"/>
          <w:b/>
          <w:bCs/>
          <w:color w:val="auto"/>
          <w:highlight w:val="none"/>
        </w:rPr>
        <w:t>1.4  合同文件的优先顺序</w:t>
      </w:r>
      <w:bookmarkEnd w:id="1062"/>
      <w:bookmarkEnd w:id="1063"/>
    </w:p>
    <w:p w14:paraId="3B71560B">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u w:val="single"/>
          <w:lang w:val="zh-CN"/>
        </w:rPr>
      </w:pPr>
      <w:bookmarkStart w:id="1064" w:name="_Toc505944266"/>
      <w:bookmarkStart w:id="1065" w:name="_Toc429311557"/>
      <w:r>
        <w:rPr>
          <w:rFonts w:hint="eastAsia" w:ascii="宋体" w:hAnsi="宋体" w:eastAsia="宋体" w:cs="宋体"/>
          <w:color w:val="auto"/>
          <w:szCs w:val="21"/>
          <w:highlight w:val="none"/>
          <w:lang w:val="zh-CN"/>
        </w:rPr>
        <w:t>进入合同文件的各项文件及其优先顺序是：</w:t>
      </w:r>
    </w:p>
    <w:p w14:paraId="640B1DA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（1）合同协议书；</w:t>
      </w:r>
    </w:p>
    <w:p w14:paraId="2C1ADA7C">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（2）中标（</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lang w:val="zh-CN"/>
        </w:rPr>
        <w:t>）通知书；</w:t>
      </w:r>
    </w:p>
    <w:p w14:paraId="07251D5D">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w:t>
      </w:r>
      <w:r>
        <w:rPr>
          <w:rFonts w:hint="eastAsia" w:ascii="宋体" w:hAnsi="宋体" w:eastAsia="宋体" w:cs="宋体"/>
          <w:color w:val="auto"/>
          <w:szCs w:val="21"/>
          <w:highlight w:val="none"/>
          <w:lang w:val="en-US" w:eastAsia="zh-CN"/>
        </w:rPr>
        <w:t>磋商申请函及报价一览表</w:t>
      </w:r>
      <w:r>
        <w:rPr>
          <w:rFonts w:hint="eastAsia" w:ascii="宋体" w:hAnsi="宋体" w:eastAsia="宋体" w:cs="宋体"/>
          <w:color w:val="auto"/>
          <w:szCs w:val="21"/>
          <w:highlight w:val="none"/>
          <w:lang w:val="zh-CN"/>
        </w:rPr>
        <w:t>；</w:t>
      </w:r>
    </w:p>
    <w:p w14:paraId="71C3CF97">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（4）专用合同条款；</w:t>
      </w:r>
    </w:p>
    <w:p w14:paraId="59501422">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（5）通用合同条款；</w:t>
      </w:r>
    </w:p>
    <w:p w14:paraId="17D52FAB">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（6）技术标准和要求；</w:t>
      </w:r>
    </w:p>
    <w:p w14:paraId="4584F28F">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（7）图纸；</w:t>
      </w:r>
    </w:p>
    <w:p w14:paraId="6ABFFE1A">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（8）已标价工程量清单；</w:t>
      </w:r>
    </w:p>
    <w:p w14:paraId="3675840F">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（9）其他合同文件。</w:t>
      </w:r>
    </w:p>
    <w:p w14:paraId="2BCBA63D">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zh-CN"/>
        </w:rPr>
        <w:t>双方在履行合同过程中形成的双方确认的会议纪要、备忘录、补充文件、变更和洽商等书面形式的文件构成本合同的组成部分。</w:t>
      </w:r>
    </w:p>
    <w:p w14:paraId="579CEB7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  联络</w:t>
      </w:r>
      <w:bookmarkEnd w:id="1064"/>
      <w:bookmarkEnd w:id="1065"/>
    </w:p>
    <w:p w14:paraId="1607E6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bookmarkStart w:id="1066" w:name="_Toc505944267"/>
      <w:r>
        <w:rPr>
          <w:rFonts w:hint="eastAsia" w:ascii="宋体" w:hAnsi="宋体" w:eastAsia="宋体" w:cs="宋体"/>
          <w:color w:val="auto"/>
          <w:highlight w:val="none"/>
        </w:rPr>
        <w:t>1.7.2 来往函件均应按技术条款标准和要求（合同技术条款）约定的期限送达</w:t>
      </w:r>
      <w:r>
        <w:rPr>
          <w:rFonts w:hint="eastAsia" w:ascii="宋体" w:hAnsi="宋体" w:eastAsia="宋体" w:cs="宋体"/>
          <w:color w:val="auto"/>
          <w:highlight w:val="none"/>
          <w:u w:val="single"/>
          <w:lang w:val="en-US" w:eastAsia="zh-CN"/>
        </w:rPr>
        <w:t xml:space="preserve">  （填写文件送达地点）   </w:t>
      </w:r>
      <w:r>
        <w:rPr>
          <w:rFonts w:hint="eastAsia" w:ascii="宋体" w:hAnsi="宋体" w:eastAsia="宋体" w:cs="宋体"/>
          <w:color w:val="auto"/>
          <w:highlight w:val="none"/>
        </w:rPr>
        <w:t>。</w:t>
      </w:r>
      <w:bookmarkEnd w:id="1066"/>
    </w:p>
    <w:p w14:paraId="5402A441">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067" w:name="_Toc429311558"/>
      <w:bookmarkStart w:id="1068" w:name="_Toc505944268"/>
      <w:bookmarkStart w:id="1069" w:name="_Toc30476"/>
      <w:bookmarkStart w:id="1070" w:name="_Toc19214"/>
      <w:bookmarkStart w:id="1071" w:name="_Toc19900814"/>
      <w:r>
        <w:rPr>
          <w:rFonts w:hint="eastAsia" w:ascii="宋体" w:hAnsi="宋体" w:eastAsia="宋体" w:cs="宋体"/>
          <w:color w:val="auto"/>
          <w:sz w:val="21"/>
          <w:szCs w:val="21"/>
          <w:highlight w:val="none"/>
          <w:lang w:val="zh-CN" w:eastAsia="zh-CN"/>
        </w:rPr>
        <w:t>2.发包人义务</w:t>
      </w:r>
      <w:bookmarkEnd w:id="1067"/>
      <w:bookmarkEnd w:id="1068"/>
      <w:bookmarkEnd w:id="1069"/>
      <w:bookmarkEnd w:id="1070"/>
      <w:bookmarkEnd w:id="1071"/>
    </w:p>
    <w:p w14:paraId="3519DA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072" w:name="_Toc429311559"/>
      <w:bookmarkStart w:id="1073" w:name="_Toc505944269"/>
      <w:r>
        <w:rPr>
          <w:rFonts w:hint="eastAsia" w:ascii="宋体" w:hAnsi="宋体" w:eastAsia="宋体" w:cs="宋体"/>
          <w:b/>
          <w:bCs/>
          <w:color w:val="auto"/>
          <w:highlight w:val="none"/>
        </w:rPr>
        <w:t>2.3  提供施工场地</w:t>
      </w:r>
      <w:bookmarkEnd w:id="1072"/>
      <w:bookmarkEnd w:id="1073"/>
    </w:p>
    <w:p w14:paraId="115EA5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bookmarkStart w:id="1074" w:name="_Toc429311560"/>
      <w:r>
        <w:rPr>
          <w:rFonts w:hint="eastAsia" w:ascii="宋体" w:hAnsi="宋体" w:eastAsia="宋体" w:cs="宋体"/>
          <w:color w:val="auto"/>
          <w:highlight w:val="none"/>
          <w:lang w:val="en-US" w:eastAsia="zh-CN"/>
        </w:rPr>
        <w:t>2.3.2</w:t>
      </w:r>
      <w:r>
        <w:rPr>
          <w:rFonts w:hint="eastAsia" w:ascii="宋体" w:hAnsi="宋体" w:eastAsia="宋体" w:cs="宋体"/>
          <w:color w:val="auto"/>
          <w:highlight w:val="none"/>
        </w:rPr>
        <w:t>发包人提供的施工用地范围为</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eastAsia="zh-CN"/>
        </w:rPr>
        <w:t>图纸规定范围</w:t>
      </w:r>
      <w:r>
        <w:rPr>
          <w:rFonts w:hint="eastAsia" w:ascii="宋体" w:hAnsi="宋体" w:eastAsia="宋体" w:cs="宋体"/>
          <w:color w:val="auto"/>
          <w:highlight w:val="none"/>
          <w:lang w:eastAsia="zh-CN"/>
        </w:rPr>
        <w:t>。</w:t>
      </w:r>
    </w:p>
    <w:p w14:paraId="1CE83E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2.3.3承包人自行勘察的施工场地范围为：</w:t>
      </w:r>
      <w:r>
        <w:rPr>
          <w:rFonts w:hint="eastAsia" w:ascii="宋体" w:hAnsi="宋体" w:eastAsia="宋体" w:cs="宋体"/>
          <w:color w:val="auto"/>
          <w:szCs w:val="21"/>
          <w:highlight w:val="none"/>
          <w:u w:val="single"/>
          <w:lang w:val="zh-CN"/>
        </w:rPr>
        <w:t>图纸规定用于修建临时设施的用地</w:t>
      </w:r>
      <w:r>
        <w:rPr>
          <w:rFonts w:hint="eastAsia" w:ascii="宋体" w:hAnsi="宋体" w:eastAsia="宋体" w:cs="宋体"/>
          <w:color w:val="auto"/>
          <w:highlight w:val="none"/>
          <w:lang w:val="en-US" w:eastAsia="zh-CN"/>
        </w:rPr>
        <w:t>。</w:t>
      </w:r>
    </w:p>
    <w:bookmarkEnd w:id="1074"/>
    <w:p w14:paraId="60812A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075" w:name="_Toc222033880"/>
      <w:bookmarkStart w:id="1076" w:name="_Toc229305389"/>
      <w:bookmarkStart w:id="1077" w:name="_Toc19900815"/>
      <w:bookmarkStart w:id="1078" w:name="_Toc222031031"/>
      <w:bookmarkStart w:id="1079" w:name="_Toc505944271"/>
      <w:bookmarkStart w:id="1080" w:name="_Toc221951140"/>
      <w:bookmarkStart w:id="1081" w:name="_Toc222032698"/>
      <w:bookmarkStart w:id="1082" w:name="_Toc222029529"/>
      <w:bookmarkStart w:id="1083" w:name="_Toc429311561"/>
      <w:bookmarkStart w:id="1084" w:name="_Toc27326"/>
      <w:r>
        <w:rPr>
          <w:rFonts w:hint="eastAsia" w:ascii="宋体" w:hAnsi="宋体" w:eastAsia="宋体" w:cs="宋体"/>
          <w:b/>
          <w:bCs/>
          <w:color w:val="auto"/>
          <w:highlight w:val="none"/>
          <w:lang w:val="zh-CN"/>
        </w:rPr>
        <w:t>2.8其它义务</w:t>
      </w:r>
    </w:p>
    <w:p w14:paraId="437B5662">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（1）建设过程中发包人应协调好参建各方（包括勘察、设计、施工等）的工作交叉等工作联系。</w:t>
      </w:r>
    </w:p>
    <w:p w14:paraId="3AC89859">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（2）本款中未列举，但合同协议、技术标准、已标价工程量清单、图纸中规定应履行的其他义务。</w:t>
      </w:r>
    </w:p>
    <w:p w14:paraId="0EDDCD7C">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协调处理施工场地周围地下管线和邻近建筑物、构筑物的保护工作。</w:t>
      </w:r>
    </w:p>
    <w:p w14:paraId="537C771E">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4</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法律规定应履行的其他义务。</w:t>
      </w:r>
    </w:p>
    <w:p w14:paraId="46387F1F">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085" w:name="_Toc1363"/>
      <w:r>
        <w:rPr>
          <w:rFonts w:hint="eastAsia" w:ascii="宋体" w:hAnsi="宋体" w:eastAsia="宋体" w:cs="宋体"/>
          <w:color w:val="auto"/>
          <w:sz w:val="21"/>
          <w:szCs w:val="21"/>
          <w:highlight w:val="none"/>
          <w:lang w:val="zh-CN" w:eastAsia="zh-CN"/>
        </w:rPr>
        <w:t>3.监理人</w:t>
      </w:r>
      <w:bookmarkEnd w:id="1075"/>
      <w:bookmarkEnd w:id="1076"/>
      <w:bookmarkEnd w:id="1077"/>
      <w:bookmarkEnd w:id="1078"/>
      <w:bookmarkEnd w:id="1079"/>
      <w:bookmarkEnd w:id="1080"/>
      <w:bookmarkEnd w:id="1081"/>
      <w:bookmarkEnd w:id="1082"/>
      <w:bookmarkEnd w:id="1083"/>
      <w:bookmarkEnd w:id="1084"/>
      <w:bookmarkEnd w:id="1085"/>
    </w:p>
    <w:p w14:paraId="1C56D4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086" w:name="_Toc19900816"/>
      <w:bookmarkStart w:id="1087" w:name="_Toc505944273"/>
      <w:bookmarkStart w:id="1088" w:name="_Toc429311563"/>
      <w:bookmarkStart w:id="1089" w:name="_Toc7508"/>
      <w:r>
        <w:rPr>
          <w:rFonts w:hint="eastAsia" w:ascii="宋体" w:hAnsi="宋体" w:eastAsia="宋体" w:cs="宋体"/>
          <w:b/>
          <w:bCs/>
          <w:color w:val="auto"/>
          <w:highlight w:val="none"/>
          <w:lang w:val="zh-CN"/>
        </w:rPr>
        <w:t>3.1监理人的职责和权力</w:t>
      </w:r>
    </w:p>
    <w:p w14:paraId="0A8617E3">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3.1.1 </w:t>
      </w:r>
      <w:r>
        <w:rPr>
          <w:rFonts w:hint="eastAsia" w:ascii="宋体" w:hAnsi="宋体" w:eastAsia="宋体" w:cs="宋体"/>
          <w:color w:val="auto"/>
          <w:szCs w:val="21"/>
          <w:highlight w:val="none"/>
          <w:u w:val="single"/>
        </w:rPr>
        <w:t>监理人受发包人委托，享有合同约定的</w:t>
      </w:r>
      <w:r>
        <w:rPr>
          <w:rFonts w:hint="eastAsia" w:ascii="宋体" w:hAnsi="宋体" w:eastAsia="宋体" w:cs="宋体"/>
          <w:color w:val="auto"/>
          <w:szCs w:val="21"/>
          <w:highlight w:val="none"/>
          <w:u w:val="single"/>
          <w:lang w:eastAsia="zh-CN"/>
        </w:rPr>
        <w:t>权利</w:t>
      </w:r>
      <w:r>
        <w:rPr>
          <w:rFonts w:hint="eastAsia" w:ascii="宋体" w:hAnsi="宋体" w:eastAsia="宋体" w:cs="宋体"/>
          <w:color w:val="auto"/>
          <w:szCs w:val="21"/>
          <w:highlight w:val="none"/>
          <w:u w:val="single"/>
        </w:rPr>
        <w:t>。监理人在行使某项权力前需要经发包人事先批准。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w:t>
      </w:r>
    </w:p>
    <w:p w14:paraId="065DEF26">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090" w:name="_Toc19448"/>
      <w:r>
        <w:rPr>
          <w:rFonts w:hint="eastAsia" w:ascii="宋体" w:hAnsi="宋体" w:eastAsia="宋体" w:cs="宋体"/>
          <w:color w:val="auto"/>
          <w:sz w:val="21"/>
          <w:szCs w:val="21"/>
          <w:highlight w:val="none"/>
          <w:lang w:val="zh-CN" w:eastAsia="zh-CN"/>
        </w:rPr>
        <w:t>4.承包人</w:t>
      </w:r>
      <w:bookmarkEnd w:id="1086"/>
      <w:bookmarkEnd w:id="1087"/>
      <w:bookmarkEnd w:id="1088"/>
      <w:bookmarkEnd w:id="1089"/>
      <w:bookmarkEnd w:id="1090"/>
    </w:p>
    <w:p w14:paraId="38D5BE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091" w:name="_Toc505944274"/>
      <w:bookmarkStart w:id="1092" w:name="_Toc429311564"/>
      <w:r>
        <w:rPr>
          <w:rFonts w:hint="eastAsia" w:ascii="宋体" w:hAnsi="宋体" w:eastAsia="宋体" w:cs="宋体"/>
          <w:b/>
          <w:bCs/>
          <w:color w:val="auto"/>
          <w:highlight w:val="none"/>
        </w:rPr>
        <w:t>4.1  承包人的一般义务</w:t>
      </w:r>
      <w:bookmarkEnd w:id="1091"/>
      <w:bookmarkEnd w:id="1092"/>
    </w:p>
    <w:p w14:paraId="1B643CB6">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lang w:val="zh-CN"/>
        </w:rPr>
      </w:pPr>
      <w:bookmarkStart w:id="1093" w:name="_Toc505944275"/>
      <w:bookmarkStart w:id="1094" w:name="_Toc429311565"/>
      <w:r>
        <w:rPr>
          <w:rFonts w:hint="eastAsia" w:ascii="宋体" w:hAnsi="宋体" w:eastAsia="宋体" w:cs="宋体"/>
          <w:color w:val="auto"/>
          <w:szCs w:val="21"/>
          <w:highlight w:val="none"/>
          <w:lang w:val="zh-CN"/>
        </w:rPr>
        <w:t>4.1.10其他义务</w:t>
      </w:r>
    </w:p>
    <w:p w14:paraId="69D8ABE1">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增加：</w:t>
      </w:r>
    </w:p>
    <w:p w14:paraId="1765054C">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lang w:val="zh-CN" w:eastAsia="zh-CN"/>
        </w:rPr>
        <w:t>农民工工资支付根据人力资源社会保障部等十部门关于印发《工程建设领域农民工工资专用账户管理暂行办法》的通知（人社部发〔2021〕53号）、关于印发《云南省工程建设领域农民工工资专用账户管理暂行办法实施细则》的通知（云人社发〔2021〕22号）、人力资源社会保障部 住房和城乡建设部 交通运输部 水利部 银保监会 铁路局 民航局关于印发《工程建设领域农民工工资保证金规定》的通知（人社部发〔2021〕65号）、《关于印发《云南省〈工程建设领域农民工工资保证金规定〉实施细则》的通知（云人社发〔2021〕26号）及关于转发《云南省工程建设领域农民工工资专用账户管理暂行办法实施细则》的通知（红人社发</w:t>
      </w:r>
      <w:r>
        <w:rPr>
          <w:rFonts w:hint="eastAsia" w:ascii="宋体" w:hAnsi="宋体" w:cs="宋体"/>
          <w:color w:val="auto"/>
          <w:szCs w:val="21"/>
          <w:highlight w:val="none"/>
          <w:lang w:val="zh-CN" w:eastAsia="zh-CN"/>
        </w:rPr>
        <w:t>〔2022〕27号</w:t>
      </w:r>
      <w:r>
        <w:rPr>
          <w:rFonts w:hint="eastAsia" w:ascii="宋体" w:hAnsi="宋体" w:eastAsia="宋体" w:cs="宋体"/>
          <w:color w:val="auto"/>
          <w:szCs w:val="21"/>
          <w:highlight w:val="none"/>
          <w:lang w:val="zh-CN" w:eastAsia="zh-CN"/>
        </w:rPr>
        <w:t>）执行。承包人应在工程建设项目所在地银行业金融机构开设农民工工资专用账户，</w:t>
      </w:r>
      <w:r>
        <w:rPr>
          <w:rFonts w:hint="eastAsia" w:ascii="宋体" w:hAnsi="宋体" w:eastAsia="宋体" w:cs="宋体"/>
          <w:color w:val="auto"/>
          <w:szCs w:val="21"/>
          <w:highlight w:val="none"/>
          <w:u w:val="single"/>
          <w:lang w:val="zh-CN" w:eastAsia="zh-CN"/>
        </w:rPr>
        <w:t xml:space="preserve">  （在签订合同时约定）   </w:t>
      </w:r>
      <w:r>
        <w:rPr>
          <w:rFonts w:hint="eastAsia" w:ascii="宋体" w:hAnsi="宋体" w:eastAsia="宋体" w:cs="宋体"/>
          <w:color w:val="auto"/>
          <w:szCs w:val="21"/>
          <w:highlight w:val="none"/>
          <w:lang w:val="zh-CN" w:eastAsia="zh-CN"/>
        </w:rPr>
        <w:t>支付农民工工资。</w:t>
      </w:r>
    </w:p>
    <w:p w14:paraId="7EF6BEED">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rPr>
      </w:pPr>
      <w:bookmarkStart w:id="1095" w:name="_Toc34320754"/>
      <w:bookmarkStart w:id="1096" w:name="_Toc34359861"/>
      <w:bookmarkStart w:id="1097" w:name="_Toc34320049"/>
      <w:r>
        <w:rPr>
          <w:rFonts w:hint="eastAsia" w:ascii="宋体" w:hAnsi="宋体" w:eastAsia="宋体" w:cs="宋体"/>
          <w:color w:val="auto"/>
          <w:szCs w:val="21"/>
          <w:highlight w:val="none"/>
        </w:rPr>
        <w:t>（2）尽管承包人已提供了投标文件内容列出的所有机械、设备和仪器，但监理工程师认为仍不能满足现场施工的需要且影响到工程的安全、质量或进度时，监理工程师有权要求承包人继续调遣或租用必要的设备、仪器。承包人在接到指令后应立即执行，除非是发包人直接原因造成的，否则此部分增加的费用将被视为承包人在投标时设备、仪器准备不充分，施工组织设计欠考虑所导致的，将不予计取该部分所增加的费用。</w:t>
      </w:r>
      <w:bookmarkEnd w:id="1095"/>
      <w:bookmarkEnd w:id="1096"/>
      <w:bookmarkEnd w:id="1097"/>
      <w:r>
        <w:rPr>
          <w:rFonts w:hint="eastAsia" w:ascii="宋体" w:hAnsi="宋体" w:eastAsia="宋体" w:cs="宋体"/>
          <w:color w:val="auto"/>
          <w:szCs w:val="21"/>
          <w:highlight w:val="none"/>
        </w:rPr>
        <w:t>若承包人不予增加（或整改）的，发包人有权更换承包人，承包人不得拒绝发包人的指令，不得提出额外费用支付的要求。</w:t>
      </w:r>
    </w:p>
    <w:p w14:paraId="2401056E">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rPr>
      </w:pPr>
      <w:bookmarkStart w:id="1098" w:name="_Toc34320051"/>
      <w:bookmarkStart w:id="1099" w:name="_Toc34320756"/>
      <w:bookmarkStart w:id="1100" w:name="_Toc34359863"/>
      <w:r>
        <w:rPr>
          <w:rFonts w:hint="eastAsia" w:ascii="宋体" w:hAnsi="宋体" w:eastAsia="宋体" w:cs="宋体"/>
          <w:color w:val="auto"/>
          <w:szCs w:val="21"/>
          <w:highlight w:val="none"/>
        </w:rPr>
        <w:t>（3）</w:t>
      </w:r>
      <w:bookmarkEnd w:id="1098"/>
      <w:bookmarkEnd w:id="1099"/>
      <w:bookmarkEnd w:id="1100"/>
      <w:r>
        <w:rPr>
          <w:rFonts w:hint="eastAsia" w:ascii="宋体" w:hAnsi="宋体" w:eastAsia="宋体" w:cs="宋体"/>
          <w:color w:val="auto"/>
          <w:szCs w:val="21"/>
          <w:highlight w:val="none"/>
        </w:rPr>
        <w:t>承包人在工程施工过程中，</w:t>
      </w:r>
      <w:r>
        <w:rPr>
          <w:rFonts w:hint="eastAsia" w:ascii="宋体" w:hAnsi="宋体" w:eastAsia="宋体" w:cs="宋体"/>
          <w:color w:val="auto"/>
          <w:highlight w:val="none"/>
        </w:rPr>
        <w:t>由于承包人自身原因</w:t>
      </w:r>
      <w:r>
        <w:rPr>
          <w:rFonts w:hint="eastAsia" w:ascii="宋体" w:hAnsi="宋体" w:eastAsia="宋体" w:cs="宋体"/>
          <w:color w:val="auto"/>
          <w:szCs w:val="21"/>
          <w:highlight w:val="none"/>
        </w:rPr>
        <w:t>造成风景区、民房等建筑物损坏的损失，由承包人全部承担，发包人不再另行支付费用。</w:t>
      </w:r>
    </w:p>
    <w:p w14:paraId="09920BF4">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zh-CN"/>
        </w:rPr>
        <w:t>）承包人在工程施工过程中，由于</w:t>
      </w:r>
      <w:r>
        <w:rPr>
          <w:rFonts w:hint="eastAsia" w:ascii="宋体" w:hAnsi="宋体" w:eastAsia="宋体" w:cs="宋体"/>
          <w:color w:val="auto"/>
          <w:highlight w:val="none"/>
        </w:rPr>
        <w:t>承包人自身原因导致</w:t>
      </w:r>
      <w:r>
        <w:rPr>
          <w:rFonts w:hint="eastAsia" w:ascii="宋体" w:hAnsi="宋体" w:eastAsia="宋体" w:cs="宋体"/>
          <w:color w:val="auto"/>
          <w:szCs w:val="21"/>
          <w:highlight w:val="none"/>
          <w:lang w:val="zh-CN"/>
        </w:rPr>
        <w:t>弃土弃渣不按指定地点堆放，造成的相关责任及一切损失由承包人承担，发包人不再另行支付费用。</w:t>
      </w:r>
    </w:p>
    <w:p w14:paraId="5F0035E7">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（5）承包人应充分考虑在施工过程中的安全隐患及雨季施工措施、防洪措施等因素，避免施工中造成安全事故和水土流失等情况，否则将承担相应责任。</w:t>
      </w:r>
    </w:p>
    <w:p w14:paraId="2F770AA0">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（6）施工当中，承包人必须尊重当地的民风民俗，加强现场施工人员教育，否则由此引起的一切责任由承包人自行承担。</w:t>
      </w:r>
    </w:p>
    <w:p w14:paraId="1F624061">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zh-CN"/>
        </w:rPr>
        <w:t>）本款中未列举，但合同协议、招标文件、发包人要求、图纸等规定的应履行的其他义务。</w:t>
      </w:r>
    </w:p>
    <w:p w14:paraId="1F5204CB">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lang w:val="zh-CN"/>
        </w:rPr>
        <w:t>档案资料的编制和移交</w:t>
      </w:r>
    </w:p>
    <w:p w14:paraId="7B335DE1">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val="zh-CN"/>
        </w:rPr>
        <w:t>承包人应按《中华人民共和国档案法》《中华人民共和国档案法实施条例》《科学技术档案案卷构成的一般要求》《水利工程建设项目档案管理规定》等相关法律法规及发包人要求完成本合同工程资料的归档工作，归档工作包括纸质档案及电子档案的制作直至移交发包人，其中纸质档案制作包含资料的收集、分类、组卷、页码编制、复印、装订等，电子档案制作</w:t>
      </w:r>
      <w:r>
        <w:rPr>
          <w:rFonts w:hint="eastAsia" w:ascii="宋体" w:hAnsi="宋体" w:eastAsia="宋体" w:cs="宋体"/>
          <w:color w:val="auto"/>
          <w:szCs w:val="21"/>
          <w:highlight w:val="none"/>
          <w:lang w:val="en-US" w:eastAsia="zh-CN"/>
        </w:rPr>
        <w:t>等</w:t>
      </w:r>
      <w:r>
        <w:rPr>
          <w:rFonts w:hint="eastAsia" w:ascii="宋体" w:hAnsi="宋体" w:eastAsia="宋体" w:cs="宋体"/>
          <w:color w:val="auto"/>
          <w:szCs w:val="21"/>
          <w:highlight w:val="none"/>
          <w:lang w:val="zh-CN"/>
        </w:rPr>
        <w:t>，含电子档案扫描、数字化、录入等。承包人向发包人移交纸质档案</w:t>
      </w:r>
      <w:r>
        <w:rPr>
          <w:rFonts w:hint="eastAsia" w:ascii="宋体" w:hAnsi="宋体" w:eastAsia="宋体" w:cs="宋体"/>
          <w:color w:val="auto"/>
          <w:szCs w:val="21"/>
          <w:highlight w:val="none"/>
          <w:lang w:val="en-US" w:eastAsia="zh-CN"/>
        </w:rPr>
        <w:t>和电子档案的套数根据项目实际情况确定</w:t>
      </w:r>
      <w:r>
        <w:rPr>
          <w:rFonts w:hint="eastAsia" w:ascii="宋体" w:hAnsi="宋体" w:eastAsia="宋体" w:cs="宋体"/>
          <w:color w:val="auto"/>
          <w:szCs w:val="21"/>
          <w:highlight w:val="none"/>
          <w:lang w:val="zh-CN"/>
        </w:rPr>
        <w:t>。</w:t>
      </w:r>
    </w:p>
    <w:p w14:paraId="520263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4.3  分包</w:t>
      </w:r>
      <w:bookmarkEnd w:id="1093"/>
      <w:bookmarkEnd w:id="1094"/>
    </w:p>
    <w:p w14:paraId="75CEE1A4">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lang w:val="zh-CN"/>
        </w:rPr>
      </w:pPr>
      <w:bookmarkStart w:id="1101" w:name="_Toc505944276"/>
      <w:bookmarkStart w:id="1102" w:name="_Toc429311566"/>
      <w:r>
        <w:rPr>
          <w:rFonts w:hint="eastAsia" w:ascii="宋体" w:hAnsi="宋体" w:eastAsia="宋体" w:cs="宋体"/>
          <w:color w:val="auto"/>
          <w:szCs w:val="21"/>
          <w:highlight w:val="none"/>
          <w:lang w:val="zh-CN"/>
        </w:rPr>
        <w:t>本工程不允许违法分包。</w:t>
      </w:r>
    </w:p>
    <w:p w14:paraId="14198D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4.5承包人项目经理</w:t>
      </w:r>
    </w:p>
    <w:p w14:paraId="49754B0A">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4.5.4</w:t>
      </w:r>
      <w:r>
        <w:rPr>
          <w:rFonts w:hint="eastAsia" w:ascii="宋体" w:hAnsi="宋体" w:eastAsia="宋体" w:cs="宋体"/>
          <w:color w:val="auto"/>
          <w:szCs w:val="21"/>
          <w:highlight w:val="none"/>
        </w:rPr>
        <w:t>承包人项目经理可以授权其下属人员履行其某项职责，但事先应将这些人员的姓名和授权范围通知监理人，不得将全部职责授权其下属人员（或他人履行）。</w:t>
      </w:r>
    </w:p>
    <w:p w14:paraId="279BDF5C">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4.5.5承包人项目经理必须与承包人投标时所承诺的人员一致，并在开工日期前到任。未经发包人书面许可，承包人不得更换项目经理。承包人项目经理的姓名、职称、身份证号、执业资格证书号、注册证书号、执业印章号、安全生产考核合格证书号等</w:t>
      </w:r>
      <w:r>
        <w:rPr>
          <w:rFonts w:hint="eastAsia" w:ascii="宋体" w:hAnsi="宋体" w:eastAsia="宋体" w:cs="宋体"/>
          <w:color w:val="auto"/>
          <w:szCs w:val="21"/>
          <w:highlight w:val="none"/>
          <w:lang w:val="en-US" w:eastAsia="zh-CN"/>
        </w:rPr>
        <w:t>详细</w:t>
      </w:r>
      <w:r>
        <w:rPr>
          <w:rFonts w:hint="eastAsia" w:ascii="宋体" w:hAnsi="宋体" w:eastAsia="宋体" w:cs="宋体"/>
          <w:color w:val="auto"/>
          <w:szCs w:val="21"/>
          <w:highlight w:val="none"/>
        </w:rPr>
        <w:t>资料应当在合同协议书中载明。</w:t>
      </w:r>
    </w:p>
    <w:p w14:paraId="07BB53AF">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4.5.6承包人如需更换项目经理，应至少提前14天以书面形式通知发包人，并征得发包人同意。如未经发包人同意擅自更换的，发包人将收取违约金。后任继续行使合同文件约定的前任的职权，履行前任的义务。</w:t>
      </w:r>
    </w:p>
    <w:p w14:paraId="7C12D227">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4.5.7项目经理在工程实施期间若因非本合同原因需离开工地3天以内须监理人书面批准，离开工地3天以上须经发包人书面批准。</w:t>
      </w:r>
    </w:p>
    <w:p w14:paraId="2CDE9B8A">
      <w:pPr>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4.5.8项目经理在工程实施期间驻工地时间每月应不少于本月施工时间的80%。</w:t>
      </w:r>
      <w:r>
        <w:rPr>
          <w:rFonts w:hint="eastAsia" w:ascii="宋体" w:hAnsi="宋体" w:eastAsia="宋体" w:cs="宋体"/>
          <w:strike w:val="0"/>
          <w:dstrike w:val="0"/>
          <w:color w:val="auto"/>
          <w:szCs w:val="21"/>
          <w:highlight w:val="none"/>
        </w:rPr>
        <w:t>少于</w:t>
      </w:r>
      <w:r>
        <w:rPr>
          <w:rFonts w:hint="eastAsia" w:ascii="宋体" w:hAnsi="宋体" w:eastAsia="宋体" w:cs="宋体"/>
          <w:color w:val="auto"/>
          <w:szCs w:val="21"/>
          <w:highlight w:val="none"/>
        </w:rPr>
        <w:t>80%</w:t>
      </w:r>
      <w:r>
        <w:rPr>
          <w:rFonts w:hint="eastAsia" w:ascii="宋体" w:hAnsi="宋体" w:eastAsia="宋体" w:cs="宋体"/>
          <w:strike w:val="0"/>
          <w:dstrike w:val="0"/>
          <w:color w:val="auto"/>
          <w:szCs w:val="21"/>
          <w:highlight w:val="none"/>
        </w:rPr>
        <w:t>的，发包人将按</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strike w:val="0"/>
          <w:dstrike w:val="0"/>
          <w:color w:val="auto"/>
          <w:szCs w:val="21"/>
          <w:highlight w:val="none"/>
          <w:u w:val="none"/>
        </w:rPr>
        <w:t>元/天</w:t>
      </w:r>
      <w:r>
        <w:rPr>
          <w:rFonts w:hint="eastAsia" w:ascii="宋体" w:hAnsi="宋体" w:eastAsia="宋体" w:cs="宋体"/>
          <w:strike w:val="0"/>
          <w:dstrike w:val="0"/>
          <w:color w:val="auto"/>
          <w:szCs w:val="21"/>
          <w:highlight w:val="none"/>
        </w:rPr>
        <w:t>收取违约金</w:t>
      </w:r>
      <w:r>
        <w:rPr>
          <w:rFonts w:hint="eastAsia" w:ascii="宋体" w:hAnsi="宋体" w:eastAsia="宋体" w:cs="宋体"/>
          <w:strike w:val="0"/>
          <w:color w:val="auto"/>
          <w:szCs w:val="21"/>
          <w:highlight w:val="none"/>
        </w:rPr>
        <w:t>。</w:t>
      </w:r>
    </w:p>
    <w:bookmarkEnd w:id="1101"/>
    <w:bookmarkEnd w:id="1102"/>
    <w:p w14:paraId="47355285">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103" w:name="_Toc505944277"/>
      <w:bookmarkStart w:id="1104" w:name="_Toc23692"/>
      <w:bookmarkStart w:id="1105" w:name="_Toc12751"/>
      <w:bookmarkStart w:id="1106" w:name="_Toc19900817"/>
      <w:bookmarkStart w:id="1107" w:name="_Toc429311567"/>
      <w:r>
        <w:rPr>
          <w:rFonts w:hint="eastAsia" w:ascii="宋体" w:hAnsi="宋体" w:eastAsia="宋体" w:cs="宋体"/>
          <w:color w:val="auto"/>
          <w:sz w:val="21"/>
          <w:szCs w:val="21"/>
          <w:highlight w:val="none"/>
          <w:lang w:val="zh-CN" w:eastAsia="zh-CN"/>
        </w:rPr>
        <w:t>5.材料和工程设备</w:t>
      </w:r>
      <w:bookmarkEnd w:id="1103"/>
      <w:bookmarkEnd w:id="1104"/>
      <w:bookmarkEnd w:id="1105"/>
      <w:bookmarkEnd w:id="1106"/>
      <w:bookmarkEnd w:id="1107"/>
    </w:p>
    <w:p w14:paraId="05269C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108" w:name="_Toc505944279"/>
      <w:bookmarkStart w:id="1109" w:name="_Toc19900818"/>
      <w:bookmarkStart w:id="1110" w:name="_Toc429311569"/>
      <w:bookmarkStart w:id="1111" w:name="_Toc3097"/>
      <w:r>
        <w:rPr>
          <w:rFonts w:hint="eastAsia" w:ascii="宋体" w:hAnsi="宋体" w:eastAsia="宋体" w:cs="宋体"/>
          <w:b/>
          <w:bCs/>
          <w:color w:val="auto"/>
          <w:highlight w:val="none"/>
          <w:lang w:val="zh-CN"/>
        </w:rPr>
        <w:t>5.1承包人提供的材料和工程设备</w:t>
      </w:r>
    </w:p>
    <w:p w14:paraId="4069B3FD">
      <w:pPr>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5.1.2除5.2.1款规定由发包人提供的材料和工程设备外，本项目所需的其他材料和工程设备均由承包人自行采购，并</w:t>
      </w:r>
      <w:r>
        <w:rPr>
          <w:rFonts w:hint="eastAsia" w:ascii="宋体" w:hAnsi="宋体" w:eastAsia="宋体" w:cs="宋体"/>
          <w:color w:val="auto"/>
          <w:szCs w:val="21"/>
          <w:highlight w:val="none"/>
        </w:rPr>
        <w:t>将各项主要材料和工程设备的供货人及品种、规格、数量和供货时间等报送监理人审批。承包人应向监理人提交其负责提供的材料和工程设备的质量证明文件，并满足合同约定的质量标准。承包人不得拒绝监理人及发包人对现场材料的随机抽检要求。</w:t>
      </w:r>
    </w:p>
    <w:p w14:paraId="2EBEC4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5.2发包人提供的材料和工程设备</w:t>
      </w:r>
    </w:p>
    <w:p w14:paraId="0F7C5510">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5.2.1发包人提供的材料和工程设备：</w:t>
      </w:r>
      <w:r>
        <w:rPr>
          <w:rFonts w:hint="eastAsia" w:ascii="宋体" w:hAnsi="宋体" w:eastAsia="宋体" w:cs="宋体"/>
          <w:color w:val="auto"/>
          <w:szCs w:val="21"/>
          <w:highlight w:val="none"/>
          <w:u w:val="single"/>
          <w:lang w:val="zh-CN"/>
        </w:rPr>
        <w:t xml:space="preserve"> 发包人不提供材料和工程设备 </w:t>
      </w:r>
    </w:p>
    <w:p w14:paraId="4FEEF039">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112" w:name="_Toc4726"/>
      <w:r>
        <w:rPr>
          <w:rFonts w:hint="eastAsia" w:ascii="宋体" w:hAnsi="宋体" w:eastAsia="宋体" w:cs="宋体"/>
          <w:color w:val="auto"/>
          <w:sz w:val="21"/>
          <w:szCs w:val="21"/>
          <w:highlight w:val="none"/>
          <w:lang w:val="zh-CN" w:eastAsia="zh-CN"/>
        </w:rPr>
        <w:t>6.施工设备和临时设施</w:t>
      </w:r>
      <w:bookmarkEnd w:id="1108"/>
      <w:bookmarkEnd w:id="1109"/>
      <w:bookmarkEnd w:id="1110"/>
      <w:bookmarkEnd w:id="1111"/>
      <w:bookmarkEnd w:id="1112"/>
    </w:p>
    <w:p w14:paraId="3172B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113" w:name="_Toc221951179"/>
      <w:bookmarkStart w:id="1114" w:name="_Toc505944282"/>
      <w:bookmarkStart w:id="1115" w:name="_Toc429311572"/>
      <w:r>
        <w:rPr>
          <w:rFonts w:hint="eastAsia" w:ascii="宋体" w:hAnsi="宋体" w:eastAsia="宋体" w:cs="宋体"/>
          <w:b/>
          <w:bCs/>
          <w:color w:val="auto"/>
          <w:highlight w:val="none"/>
          <w:lang w:val="zh-CN"/>
        </w:rPr>
        <w:t>6.2发包人提供的施工设备和临时设施</w:t>
      </w:r>
      <w:bookmarkStart w:id="1116" w:name="_Toc394480289"/>
    </w:p>
    <w:p w14:paraId="6F74F147">
      <w:pPr>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发包人不提供施工设备和临时设施</w:t>
      </w:r>
      <w:bookmarkEnd w:id="1116"/>
    </w:p>
    <w:p w14:paraId="2A4D4A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6.3要求承包人增加或更换施工设备</w:t>
      </w:r>
    </w:p>
    <w:p w14:paraId="39207900">
      <w:pPr>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本款细化为：</w:t>
      </w:r>
    </w:p>
    <w:p w14:paraId="7B4E6106">
      <w:pPr>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承包人投标时承诺的施工设备必须按需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p>
    <w:bookmarkEnd w:id="1113"/>
    <w:bookmarkEnd w:id="1114"/>
    <w:bookmarkEnd w:id="1115"/>
    <w:p w14:paraId="0A519DC8">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117" w:name="_Toc14902"/>
      <w:bookmarkStart w:id="1118" w:name="_Toc242"/>
      <w:bookmarkStart w:id="1119" w:name="_Toc398105684"/>
      <w:bookmarkStart w:id="1120" w:name="_Toc30793"/>
      <w:bookmarkStart w:id="1121" w:name="_Toc505944283"/>
      <w:bookmarkStart w:id="1122" w:name="_Toc429311573"/>
      <w:bookmarkStart w:id="1123" w:name="_Toc19900820"/>
      <w:r>
        <w:rPr>
          <w:rFonts w:hint="eastAsia" w:ascii="宋体" w:hAnsi="宋体" w:eastAsia="宋体" w:cs="宋体"/>
          <w:color w:val="auto"/>
          <w:sz w:val="21"/>
          <w:szCs w:val="21"/>
          <w:highlight w:val="none"/>
          <w:lang w:val="zh-CN" w:eastAsia="zh-CN"/>
        </w:rPr>
        <w:t>7.交通运输</w:t>
      </w:r>
      <w:bookmarkEnd w:id="1117"/>
      <w:bookmarkEnd w:id="1118"/>
      <w:bookmarkEnd w:id="1119"/>
    </w:p>
    <w:p w14:paraId="0D9440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7.1道路通行权和场外设施</w:t>
      </w:r>
    </w:p>
    <w:p w14:paraId="201A6BA1">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w:t>
      </w:r>
      <w:r>
        <w:rPr>
          <w:rFonts w:hint="eastAsia" w:ascii="宋体" w:hAnsi="宋体" w:cs="宋体"/>
          <w:color w:val="auto"/>
          <w:szCs w:val="21"/>
          <w:highlight w:val="none"/>
          <w:lang w:val="en-US" w:eastAsia="zh-CN"/>
        </w:rPr>
        <w:t>款</w:t>
      </w:r>
      <w:r>
        <w:rPr>
          <w:rFonts w:hint="eastAsia" w:ascii="宋体" w:hAnsi="宋体" w:eastAsia="宋体" w:cs="宋体"/>
          <w:color w:val="auto"/>
          <w:szCs w:val="21"/>
          <w:highlight w:val="none"/>
          <w:lang w:val="zh-CN"/>
        </w:rPr>
        <w:t>补充：</w:t>
      </w:r>
    </w:p>
    <w:p w14:paraId="6E374A27">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道路通行权和场外设施的约定：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rPr>
        <w:t>承包人修建的施工道路如果需要应无偿提供给监理人和有关单位使用。</w:t>
      </w:r>
    </w:p>
    <w:bookmarkEnd w:id="1120"/>
    <w:bookmarkEnd w:id="1121"/>
    <w:bookmarkEnd w:id="1122"/>
    <w:bookmarkEnd w:id="1123"/>
    <w:p w14:paraId="42E03AE9">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bookmarkStart w:id="1124" w:name="_Toc19900821"/>
      <w:bookmarkStart w:id="1125" w:name="_Toc505944285"/>
      <w:bookmarkStart w:id="1126" w:name="_Toc429311575"/>
      <w:bookmarkStart w:id="1127" w:name="_Toc29046"/>
      <w:r>
        <w:rPr>
          <w:rFonts w:hint="eastAsia" w:ascii="宋体" w:hAnsi="宋体" w:eastAsia="宋体" w:cs="宋体"/>
          <w:color w:val="auto"/>
          <w:sz w:val="21"/>
          <w:szCs w:val="21"/>
          <w:highlight w:val="none"/>
          <w:lang w:val="zh-CN" w:eastAsia="zh-CN"/>
        </w:rPr>
        <w:t>9.施工安全、治安保卫和环境保护</w:t>
      </w:r>
      <w:bookmarkEnd w:id="1124"/>
      <w:bookmarkEnd w:id="1125"/>
      <w:bookmarkEnd w:id="1126"/>
      <w:bookmarkEnd w:id="1127"/>
    </w:p>
    <w:p w14:paraId="230796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9.1发包人的施工安全责任</w:t>
      </w:r>
    </w:p>
    <w:p w14:paraId="04A8DBA9">
      <w:pPr>
        <w:pageBreakBefore w:val="0"/>
        <w:widowControl w:val="0"/>
        <w:tabs>
          <w:tab w:val="left" w:pos="6096"/>
        </w:tabs>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删除通用合同条款9.1.1项内容全文，代之以：</w:t>
      </w:r>
    </w:p>
    <w:p w14:paraId="1AFBDB2D">
      <w:pPr>
        <w:pageBreakBefore w:val="0"/>
        <w:widowControl w:val="0"/>
        <w:tabs>
          <w:tab w:val="left" w:pos="6096"/>
        </w:tabs>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9.1.1发包人委托监理人根据国家有关安全的法律法规、强制性标准、部门规章及合同约定等，对承包人的安全责任履行情况进行监督和检查。监理人（或发包人）的监督检查不减轻承包人应负的安全责任。</w:t>
      </w:r>
    </w:p>
    <w:p w14:paraId="17453D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9.2承包人的施工安全责任</w:t>
      </w:r>
    </w:p>
    <w:p w14:paraId="79BD43B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通用合同条款第9.2.8项内容全文修改为：</w:t>
      </w:r>
    </w:p>
    <w:p w14:paraId="34F040A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9.2.8施工安全生产措施费按《云南省水利厅关于切实落实水利工程安全生产措施费的通知》</w:t>
      </w:r>
      <w:r>
        <w:rPr>
          <w:rFonts w:hint="eastAsia" w:ascii="宋体" w:hAnsi="宋体" w:cs="宋体"/>
          <w:color w:val="auto"/>
          <w:highlight w:val="none"/>
          <w:lang w:eastAsia="zh-CN"/>
        </w:rPr>
        <w:t>（</w:t>
      </w:r>
      <w:r>
        <w:rPr>
          <w:rFonts w:hint="eastAsia" w:ascii="宋体" w:hAnsi="宋体" w:eastAsia="宋体" w:cs="宋体"/>
          <w:color w:val="auto"/>
          <w:highlight w:val="none"/>
        </w:rPr>
        <w:t>云水建管〔2026〕1号</w:t>
      </w:r>
      <w:r>
        <w:rPr>
          <w:rFonts w:hint="eastAsia" w:ascii="宋体" w:hAnsi="宋体" w:cs="宋体"/>
          <w:color w:val="auto"/>
          <w:highlight w:val="none"/>
          <w:lang w:eastAsia="zh-CN"/>
        </w:rPr>
        <w:t>）</w:t>
      </w:r>
      <w:r>
        <w:rPr>
          <w:rFonts w:hint="eastAsia" w:ascii="宋体" w:hAnsi="宋体" w:eastAsia="宋体" w:cs="宋体"/>
          <w:color w:val="auto"/>
          <w:highlight w:val="none"/>
        </w:rPr>
        <w:t>规定执行，并落实到施工生产过程中以确保安全生产。</w:t>
      </w:r>
    </w:p>
    <w:p w14:paraId="1A4FD3C5">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9.2.12下列工程应编制专项施工方案：</w:t>
      </w:r>
      <w:r>
        <w:rPr>
          <w:rFonts w:hint="eastAsia" w:ascii="宋体" w:hAnsi="宋体" w:eastAsia="宋体" w:cs="宋体"/>
          <w:color w:val="auto"/>
          <w:szCs w:val="21"/>
          <w:highlight w:val="none"/>
          <w:u w:val="single"/>
          <w:lang w:val="zh-CN"/>
        </w:rPr>
        <w:t>对达到一定规模的危险性较大的</w:t>
      </w:r>
      <w:r>
        <w:rPr>
          <w:rFonts w:hint="eastAsia" w:ascii="宋体" w:hAnsi="宋体" w:eastAsia="宋体" w:cs="宋体"/>
          <w:color w:val="auto"/>
          <w:szCs w:val="21"/>
          <w:highlight w:val="none"/>
          <w:u w:val="single"/>
          <w:lang w:val="en-US" w:eastAsia="zh-CN"/>
        </w:rPr>
        <w:t>单项工程</w:t>
      </w:r>
      <w:r>
        <w:rPr>
          <w:rFonts w:hint="eastAsia" w:ascii="宋体" w:hAnsi="宋体" w:eastAsia="宋体" w:cs="宋体"/>
          <w:color w:val="auto"/>
          <w:szCs w:val="21"/>
          <w:highlight w:val="none"/>
          <w:u w:val="single"/>
          <w:lang w:val="zh-CN"/>
        </w:rPr>
        <w:t>需编制专项施工方案</w:t>
      </w:r>
      <w:r>
        <w:rPr>
          <w:rFonts w:hint="eastAsia" w:ascii="宋体" w:hAnsi="宋体" w:eastAsia="宋体" w:cs="宋体"/>
          <w:color w:val="auto"/>
          <w:szCs w:val="21"/>
          <w:highlight w:val="none"/>
          <w:lang w:val="zh-CN"/>
        </w:rPr>
        <w:t>。其中：</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lang w:val="en-US" w:eastAsia="zh-CN"/>
        </w:rPr>
        <w:t>超过一定规模的危险性较大的单项工程</w:t>
      </w:r>
      <w:r>
        <w:rPr>
          <w:rFonts w:hint="eastAsia" w:ascii="宋体" w:hAnsi="宋体" w:eastAsia="宋体" w:cs="宋体"/>
          <w:color w:val="auto"/>
          <w:szCs w:val="21"/>
          <w:highlight w:val="none"/>
          <w:u w:val="single"/>
          <w:lang w:val="zh-CN"/>
        </w:rPr>
        <w:t>专项施工方案</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应组织专家论证和审查。</w:t>
      </w:r>
    </w:p>
    <w:p w14:paraId="264F15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9.7文明工地</w:t>
      </w:r>
    </w:p>
    <w:p w14:paraId="15FE1EB6">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9.7.1本合同文明工地的约定：</w:t>
      </w:r>
      <w:r>
        <w:rPr>
          <w:rFonts w:hint="eastAsia" w:ascii="宋体" w:hAnsi="宋体" w:eastAsia="宋体" w:cs="宋体"/>
          <w:color w:val="auto"/>
          <w:szCs w:val="21"/>
          <w:highlight w:val="none"/>
          <w:u w:val="single"/>
          <w:lang w:val="zh-CN"/>
        </w:rPr>
        <w:t xml:space="preserve"> 按国家、省、州、县各级有关部门文明施工相关规定执行。</w:t>
      </w:r>
    </w:p>
    <w:p w14:paraId="6F8B62C9">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bookmarkStart w:id="1128" w:name="_Toc222031038"/>
      <w:bookmarkStart w:id="1129" w:name="_Toc222032705"/>
      <w:bookmarkStart w:id="1130" w:name="_Toc222029536"/>
      <w:bookmarkStart w:id="1131" w:name="_Toc222033887"/>
      <w:bookmarkStart w:id="1132" w:name="_Toc229305394"/>
      <w:bookmarkStart w:id="1133" w:name="_Toc221951188"/>
      <w:bookmarkStart w:id="1134" w:name="_Toc1491"/>
      <w:bookmarkStart w:id="1135" w:name="_Toc505944289"/>
      <w:bookmarkStart w:id="1136" w:name="_Toc429311579"/>
      <w:bookmarkStart w:id="1137" w:name="_Toc19900822"/>
      <w:r>
        <w:rPr>
          <w:rFonts w:hint="eastAsia" w:ascii="宋体" w:hAnsi="宋体" w:eastAsia="宋体" w:cs="宋体"/>
          <w:color w:val="auto"/>
          <w:sz w:val="21"/>
          <w:szCs w:val="21"/>
          <w:highlight w:val="none"/>
          <w:lang w:val="zh-CN" w:eastAsia="zh-CN"/>
        </w:rPr>
        <w:t>11.开工和竣工</w:t>
      </w:r>
      <w:bookmarkEnd w:id="1128"/>
      <w:bookmarkEnd w:id="1129"/>
      <w:bookmarkEnd w:id="1130"/>
      <w:bookmarkEnd w:id="1131"/>
      <w:bookmarkEnd w:id="1132"/>
      <w:bookmarkEnd w:id="1133"/>
      <w:r>
        <w:rPr>
          <w:rFonts w:hint="eastAsia" w:ascii="宋体" w:hAnsi="宋体" w:eastAsia="宋体" w:cs="宋体"/>
          <w:color w:val="auto"/>
          <w:sz w:val="21"/>
          <w:szCs w:val="21"/>
          <w:highlight w:val="none"/>
          <w:lang w:val="zh-CN" w:eastAsia="zh-CN"/>
        </w:rPr>
        <w:t>（完工）</w:t>
      </w:r>
      <w:bookmarkEnd w:id="1134"/>
      <w:bookmarkEnd w:id="1135"/>
      <w:bookmarkEnd w:id="1136"/>
      <w:bookmarkEnd w:id="1137"/>
    </w:p>
    <w:p w14:paraId="53DD86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138" w:name="_Toc221951189"/>
      <w:bookmarkStart w:id="1139" w:name="_Toc505944290"/>
      <w:bookmarkStart w:id="1140" w:name="_Toc429311580"/>
      <w:r>
        <w:rPr>
          <w:rFonts w:hint="eastAsia" w:ascii="宋体" w:hAnsi="宋体" w:eastAsia="宋体" w:cs="宋体"/>
          <w:b/>
          <w:bCs/>
          <w:color w:val="auto"/>
          <w:highlight w:val="none"/>
        </w:rPr>
        <w:t>11.4  异常恶劣的气候条件</w:t>
      </w:r>
      <w:bookmarkEnd w:id="1138"/>
      <w:bookmarkEnd w:id="1139"/>
      <w:bookmarkEnd w:id="1140"/>
      <w:r>
        <w:rPr>
          <w:rFonts w:hint="eastAsia" w:ascii="宋体" w:hAnsi="宋体" w:eastAsia="宋体" w:cs="宋体"/>
          <w:b/>
          <w:bCs/>
          <w:color w:val="auto"/>
          <w:highlight w:val="none"/>
        </w:rPr>
        <w:t xml:space="preserve"> </w:t>
      </w:r>
    </w:p>
    <w:p w14:paraId="0DDF77B0">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bookmarkStart w:id="1141" w:name="_Toc505944291"/>
      <w:bookmarkStart w:id="1142" w:name="_Toc429311581"/>
      <w:r>
        <w:rPr>
          <w:rFonts w:hint="eastAsia" w:ascii="宋体" w:hAnsi="宋体" w:eastAsia="宋体" w:cs="宋体"/>
          <w:color w:val="auto"/>
          <w:szCs w:val="21"/>
          <w:highlight w:val="none"/>
          <w:lang w:val="zh-CN"/>
        </w:rPr>
        <w:t>11.4.3本合同工程界定异常恶劣气候条件的范围为：</w:t>
      </w:r>
    </w:p>
    <w:p w14:paraId="533ABA64">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（1）当地气象部门统计的连续日降雨量大于 50 mm的雨日超过 5天；</w:t>
      </w:r>
    </w:p>
    <w:p w14:paraId="38F6A95E">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（2）当地气象部门统计的风速大于 17.2 m/s 的 8级以上台风灾害；</w:t>
      </w:r>
    </w:p>
    <w:p w14:paraId="4FA1F8FE">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（3）当地气象部门统计的日气温超过 40℃ 的连续高温日超过5天；</w:t>
      </w:r>
    </w:p>
    <w:p w14:paraId="796ED4BD">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（4）当地气象部门统计的日气温低于 -10℃ 的连续严寒日超过5天；</w:t>
      </w:r>
    </w:p>
    <w:p w14:paraId="400D81BA">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（5）造成工程较严重损坏的冰雹和大雪：日降雪量大于 15mm。</w:t>
      </w:r>
    </w:p>
    <w:p w14:paraId="22922480">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（6）其他异常恶劣气候灾害。</w:t>
      </w:r>
    </w:p>
    <w:p w14:paraId="0E78B1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11.5  承包人工期延误</w:t>
      </w:r>
      <w:bookmarkEnd w:id="1141"/>
      <w:bookmarkEnd w:id="1142"/>
    </w:p>
    <w:p w14:paraId="61DDBDAD">
      <w:pPr>
        <w:pageBreakBefore w:val="0"/>
        <w:widowControl w:val="0"/>
        <w:tabs>
          <w:tab w:val="left" w:pos="1620"/>
        </w:tabs>
        <w:kinsoku/>
        <w:wordWrap/>
        <w:overflowPunct/>
        <w:topLinePunct w:val="0"/>
        <w:autoSpaceDE w:val="0"/>
        <w:autoSpaceDN w:val="0"/>
        <w:bidi w:val="0"/>
        <w:adjustRightInd w:val="0"/>
        <w:snapToGrid w:val="0"/>
        <w:spacing w:line="360" w:lineRule="auto"/>
        <w:ind w:firstLine="315" w:firstLineChars="15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（1）逾期完工违约金表</w:t>
      </w:r>
    </w:p>
    <w:tbl>
      <w:tblPr>
        <w:tblStyle w:val="3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976"/>
        <w:gridCol w:w="3485"/>
        <w:gridCol w:w="1663"/>
      </w:tblGrid>
      <w:tr w14:paraId="48DF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32" w:type="dxa"/>
            <w:noWrap w:val="0"/>
            <w:vAlign w:val="center"/>
          </w:tcPr>
          <w:p w14:paraId="4E702A2D">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2976" w:type="dxa"/>
            <w:noWrap w:val="0"/>
            <w:vAlign w:val="center"/>
          </w:tcPr>
          <w:p w14:paraId="570E48E1">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Cs w:val="21"/>
                <w:highlight w:val="none"/>
              </w:rPr>
            </w:pPr>
            <w:bookmarkStart w:id="1143" w:name="_Toc221951202"/>
            <w:r>
              <w:rPr>
                <w:rFonts w:hint="eastAsia" w:ascii="宋体" w:hAnsi="宋体" w:eastAsia="宋体" w:cs="宋体"/>
                <w:color w:val="auto"/>
                <w:sz w:val="20"/>
                <w:szCs w:val="20"/>
                <w:highlight w:val="none"/>
              </w:rPr>
              <w:t>项目及其说明</w:t>
            </w:r>
            <w:bookmarkEnd w:id="1143"/>
          </w:p>
        </w:tc>
        <w:tc>
          <w:tcPr>
            <w:tcW w:w="3485" w:type="dxa"/>
            <w:noWrap w:val="0"/>
            <w:vAlign w:val="center"/>
          </w:tcPr>
          <w:p w14:paraId="37A62D16">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zh-CN"/>
              </w:rPr>
              <w:t>要求完工日期</w:t>
            </w:r>
          </w:p>
        </w:tc>
        <w:tc>
          <w:tcPr>
            <w:tcW w:w="1663" w:type="dxa"/>
            <w:noWrap w:val="0"/>
            <w:vAlign w:val="center"/>
          </w:tcPr>
          <w:p w14:paraId="234401BA">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违约金（元/天）</w:t>
            </w:r>
          </w:p>
        </w:tc>
      </w:tr>
      <w:tr w14:paraId="0F6E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732" w:type="dxa"/>
            <w:noWrap w:val="0"/>
            <w:vAlign w:val="center"/>
          </w:tcPr>
          <w:p w14:paraId="53B59E86">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976" w:type="dxa"/>
            <w:noWrap w:val="0"/>
            <w:vAlign w:val="center"/>
          </w:tcPr>
          <w:p w14:paraId="4EBFEF7A">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红河县后山二台水库除险加固工程</w:t>
            </w:r>
          </w:p>
        </w:tc>
        <w:tc>
          <w:tcPr>
            <w:tcW w:w="3485" w:type="dxa"/>
            <w:noWrap w:val="0"/>
            <w:vAlign w:val="center"/>
          </w:tcPr>
          <w:p w14:paraId="2A038BAF">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自</w:t>
            </w:r>
            <w:r>
              <w:rPr>
                <w:rFonts w:hint="eastAsia" w:ascii="宋体" w:hAnsi="宋体" w:eastAsia="宋体" w:cs="宋体"/>
                <w:color w:val="auto"/>
                <w:szCs w:val="21"/>
                <w:highlight w:val="none"/>
              </w:rPr>
              <w:t>总监理工程师</w:t>
            </w:r>
          </w:p>
          <w:p w14:paraId="184C3F7B">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szCs w:val="21"/>
                <w:highlight w:val="none"/>
              </w:rPr>
              <w:t>下发开工令之日</w:t>
            </w:r>
            <w:r>
              <w:rPr>
                <w:rFonts w:hint="eastAsia" w:ascii="宋体" w:hAnsi="宋体" w:eastAsia="宋体" w:cs="宋体"/>
                <w:color w:val="auto"/>
                <w:szCs w:val="21"/>
                <w:highlight w:val="none"/>
                <w:lang w:val="zh-CN"/>
              </w:rPr>
              <w:t>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内完工</w:t>
            </w:r>
          </w:p>
        </w:tc>
        <w:tc>
          <w:tcPr>
            <w:tcW w:w="1663" w:type="dxa"/>
            <w:noWrap w:val="0"/>
            <w:vAlign w:val="center"/>
          </w:tcPr>
          <w:p w14:paraId="62460099">
            <w:pPr>
              <w:keepNext w:val="0"/>
              <w:keepLines w:val="0"/>
              <w:pageBreakBefore w:val="0"/>
              <w:widowControl w:val="0"/>
              <w:suppressLineNumbers w:val="0"/>
              <w:tabs>
                <w:tab w:val="left" w:pos="1620"/>
              </w:tabs>
              <w:kinsoku/>
              <w:wordWrap/>
              <w:overflowPunct/>
              <w:topLinePunct w:val="0"/>
              <w:autoSpaceDE w:val="0"/>
              <w:autoSpaceDN w:val="0"/>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 xml:space="preserve"> </w:t>
            </w:r>
          </w:p>
        </w:tc>
      </w:tr>
    </w:tbl>
    <w:p w14:paraId="64DEB387">
      <w:pPr>
        <w:pageBreakBefore w:val="0"/>
        <w:widowControl w:val="0"/>
        <w:tabs>
          <w:tab w:val="left" w:pos="1620"/>
        </w:tabs>
        <w:kinsoku/>
        <w:wordWrap/>
        <w:overflowPunct/>
        <w:topLinePunct w:val="0"/>
        <w:autoSpaceDE w:val="0"/>
        <w:autoSpaceDN w:val="0"/>
        <w:bidi w:val="0"/>
        <w:adjustRightInd w:val="0"/>
        <w:snapToGrid w:val="0"/>
        <w:spacing w:line="360" w:lineRule="auto"/>
        <w:ind w:firstLine="315" w:firstLineChars="15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kern w:val="0"/>
          <w:szCs w:val="21"/>
          <w:highlight w:val="none"/>
        </w:rPr>
        <w:t>（2）全部逾期完工违约金的总限额为</w:t>
      </w:r>
      <w:r>
        <w:rPr>
          <w:rFonts w:hint="eastAsia" w:ascii="宋体" w:hAnsi="宋体" w:eastAsia="宋体" w:cs="宋体"/>
          <w:color w:val="auto"/>
          <w:kern w:val="0"/>
          <w:szCs w:val="21"/>
          <w:highlight w:val="none"/>
          <w:u w:val="single"/>
        </w:rPr>
        <w:t>不超过签约合同价的</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rPr>
        <w:t>%，承包人支付逾期完工违约金，不免除承包人完成工程及修补缺陷的义务。</w:t>
      </w:r>
    </w:p>
    <w:p w14:paraId="101F0F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144" w:name="_Toc505944292"/>
      <w:bookmarkStart w:id="1145" w:name="_Toc429311582"/>
      <w:r>
        <w:rPr>
          <w:rFonts w:hint="eastAsia" w:ascii="宋体" w:hAnsi="宋体" w:eastAsia="宋体" w:cs="宋体"/>
          <w:b/>
          <w:bCs/>
          <w:color w:val="auto"/>
          <w:highlight w:val="none"/>
        </w:rPr>
        <w:t>11.6 工期提前</w:t>
      </w:r>
      <w:bookmarkEnd w:id="1144"/>
      <w:bookmarkEnd w:id="1145"/>
    </w:p>
    <w:p w14:paraId="2E28D3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工期提前的奖金约定：</w:t>
      </w:r>
      <w:r>
        <w:rPr>
          <w:rFonts w:hint="eastAsia" w:ascii="宋体" w:hAnsi="宋体" w:eastAsia="宋体" w:cs="宋体"/>
          <w:color w:val="auto"/>
          <w:szCs w:val="21"/>
          <w:highlight w:val="none"/>
          <w:u w:val="single"/>
          <w:lang w:val="zh-CN"/>
        </w:rPr>
        <w:t>本工程要求承包人按质按量按时完成工程内容，提前完工的，不进行任何奖励。</w:t>
      </w:r>
    </w:p>
    <w:p w14:paraId="18549621">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bookmarkStart w:id="1146" w:name="_Toc222029537"/>
      <w:bookmarkStart w:id="1147" w:name="_Toc222032706"/>
      <w:bookmarkStart w:id="1148" w:name="_Toc19900823"/>
      <w:bookmarkStart w:id="1149" w:name="_Toc222033888"/>
      <w:bookmarkStart w:id="1150" w:name="_Toc222031039"/>
      <w:bookmarkStart w:id="1151" w:name="_Toc429311583"/>
      <w:bookmarkStart w:id="1152" w:name="_Toc2752"/>
      <w:bookmarkStart w:id="1153" w:name="_Toc221951206"/>
      <w:bookmarkStart w:id="1154" w:name="_Toc505944293"/>
      <w:bookmarkStart w:id="1155" w:name="_Toc229305395"/>
      <w:r>
        <w:rPr>
          <w:rFonts w:hint="eastAsia" w:ascii="宋体" w:hAnsi="宋体" w:eastAsia="宋体" w:cs="宋体"/>
          <w:color w:val="auto"/>
          <w:sz w:val="21"/>
          <w:szCs w:val="21"/>
          <w:highlight w:val="none"/>
          <w:lang w:val="zh-CN" w:eastAsia="zh-CN"/>
        </w:rPr>
        <w:t>12.暂停施工</w:t>
      </w:r>
      <w:bookmarkEnd w:id="1146"/>
      <w:bookmarkEnd w:id="1147"/>
      <w:bookmarkEnd w:id="1148"/>
      <w:bookmarkEnd w:id="1149"/>
      <w:bookmarkEnd w:id="1150"/>
      <w:bookmarkEnd w:id="1151"/>
      <w:bookmarkEnd w:id="1152"/>
      <w:bookmarkEnd w:id="1153"/>
      <w:bookmarkEnd w:id="1154"/>
      <w:bookmarkEnd w:id="1155"/>
    </w:p>
    <w:p w14:paraId="17234B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156" w:name="_Toc505944296"/>
      <w:bookmarkStart w:id="1157" w:name="_Toc429311586"/>
      <w:bookmarkStart w:id="1158" w:name="_Toc12514"/>
      <w:bookmarkStart w:id="1159" w:name="_Toc19900824"/>
      <w:r>
        <w:rPr>
          <w:rFonts w:hint="eastAsia" w:ascii="宋体" w:hAnsi="宋体" w:eastAsia="宋体" w:cs="宋体"/>
          <w:b/>
          <w:bCs/>
          <w:color w:val="auto"/>
          <w:highlight w:val="none"/>
          <w:lang w:val="zh-CN"/>
        </w:rPr>
        <w:t>12.1承包人暂停施工的责任</w:t>
      </w:r>
    </w:p>
    <w:p w14:paraId="39013FD8">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（5）承包人承担暂停施工责任的其他情形：</w:t>
      </w:r>
      <w:r>
        <w:rPr>
          <w:rFonts w:hint="eastAsia" w:ascii="宋体" w:hAnsi="宋体" w:eastAsia="宋体" w:cs="宋体"/>
          <w:color w:val="auto"/>
          <w:szCs w:val="21"/>
          <w:highlight w:val="none"/>
          <w:u w:val="single"/>
          <w:lang w:val="zh-CN"/>
        </w:rPr>
        <w:t>除上述（1）～（4）项外，其他任何因承包人原因引起的暂停施工。</w:t>
      </w:r>
    </w:p>
    <w:p w14:paraId="3C05C3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12.2发包人暂停施工的责任</w:t>
      </w:r>
    </w:p>
    <w:p w14:paraId="1DA2CC88">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发包人承担暂停施工责任的其他情形：</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zh-CN"/>
        </w:rPr>
        <w:t>。</w:t>
      </w:r>
    </w:p>
    <w:p w14:paraId="46BDFB78">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eastAsia="zh-CN"/>
        </w:rPr>
        <w:t>13.工程质量</w:t>
      </w:r>
      <w:bookmarkEnd w:id="1156"/>
      <w:bookmarkEnd w:id="1157"/>
      <w:bookmarkEnd w:id="1158"/>
      <w:bookmarkEnd w:id="1159"/>
    </w:p>
    <w:p w14:paraId="661E40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160" w:name="_Toc505944297"/>
      <w:bookmarkStart w:id="1161" w:name="_Toc429311587"/>
      <w:r>
        <w:rPr>
          <w:rFonts w:hint="eastAsia" w:ascii="宋体" w:hAnsi="宋体" w:eastAsia="宋体" w:cs="宋体"/>
          <w:b/>
          <w:bCs/>
          <w:color w:val="auto"/>
          <w:highlight w:val="none"/>
        </w:rPr>
        <w:t>13.7 质量评定</w:t>
      </w:r>
      <w:bookmarkEnd w:id="1160"/>
      <w:bookmarkEnd w:id="1161"/>
    </w:p>
    <w:p w14:paraId="6B51B668">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bookmarkStart w:id="1162" w:name="_Toc429311588"/>
      <w:bookmarkStart w:id="1163" w:name="_Toc505944298"/>
      <w:r>
        <w:rPr>
          <w:rFonts w:hint="eastAsia" w:ascii="宋体" w:hAnsi="宋体" w:eastAsia="宋体" w:cs="宋体"/>
          <w:color w:val="auto"/>
          <w:szCs w:val="21"/>
          <w:highlight w:val="none"/>
          <w:lang w:val="zh-CN"/>
        </w:rPr>
        <w:t>13.7.7工程合格标准为：</w:t>
      </w:r>
      <w:r>
        <w:rPr>
          <w:rFonts w:hint="eastAsia" w:ascii="宋体" w:hAnsi="宋体" w:eastAsia="宋体" w:cs="宋体"/>
          <w:color w:val="auto"/>
          <w:szCs w:val="21"/>
          <w:highlight w:val="none"/>
          <w:u w:val="single"/>
          <w:lang w:val="zh-CN"/>
        </w:rPr>
        <w:t>按国家和行业的相关标准</w:t>
      </w:r>
      <w:r>
        <w:rPr>
          <w:rFonts w:hint="eastAsia" w:ascii="宋体" w:hAnsi="宋体" w:eastAsia="宋体" w:cs="宋体"/>
          <w:color w:val="auto"/>
          <w:szCs w:val="21"/>
          <w:highlight w:val="none"/>
          <w:lang w:val="zh-CN"/>
        </w:rPr>
        <w:t>；优良标准为：</w:t>
      </w:r>
      <w:r>
        <w:rPr>
          <w:rFonts w:hint="eastAsia" w:ascii="宋体" w:hAnsi="宋体" w:eastAsia="宋体" w:cs="宋体"/>
          <w:color w:val="auto"/>
          <w:szCs w:val="21"/>
          <w:highlight w:val="none"/>
          <w:u w:val="single"/>
          <w:lang w:val="zh-CN"/>
        </w:rPr>
        <w:t>按国家和行业的相关标准</w:t>
      </w:r>
      <w:r>
        <w:rPr>
          <w:rFonts w:hint="eastAsia" w:ascii="宋体" w:hAnsi="宋体" w:eastAsia="宋体" w:cs="宋体"/>
          <w:color w:val="auto"/>
          <w:szCs w:val="21"/>
          <w:highlight w:val="none"/>
          <w:lang w:val="zh-CN"/>
        </w:rPr>
        <w:t>。达到优良的奖金为：</w:t>
      </w:r>
      <w:r>
        <w:rPr>
          <w:rFonts w:hint="eastAsia" w:ascii="宋体" w:hAnsi="宋体" w:eastAsia="宋体" w:cs="宋体"/>
          <w:color w:val="auto"/>
          <w:szCs w:val="21"/>
          <w:highlight w:val="none"/>
          <w:u w:val="single"/>
          <w:lang w:val="zh-CN"/>
        </w:rPr>
        <w:t xml:space="preserve"> 无 </w:t>
      </w:r>
      <w:r>
        <w:rPr>
          <w:rFonts w:hint="eastAsia" w:ascii="宋体" w:hAnsi="宋体" w:eastAsia="宋体" w:cs="宋体"/>
          <w:color w:val="auto"/>
          <w:szCs w:val="21"/>
          <w:highlight w:val="none"/>
          <w:lang w:val="zh-CN"/>
        </w:rPr>
        <w:t>。</w:t>
      </w:r>
    </w:p>
    <w:p w14:paraId="109DC6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13.8 质量事故处理</w:t>
      </w:r>
      <w:bookmarkEnd w:id="1162"/>
      <w:bookmarkEnd w:id="1163"/>
    </w:p>
    <w:p w14:paraId="36EF40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13.8.4工程竣工验收时，</w:t>
      </w:r>
      <w:r>
        <w:rPr>
          <w:rFonts w:hint="eastAsia" w:ascii="宋体" w:hAnsi="宋体" w:eastAsia="宋体" w:cs="宋体"/>
          <w:color w:val="auto"/>
          <w:szCs w:val="21"/>
          <w:highlight w:val="none"/>
          <w:u w:val="single"/>
          <w:lang w:val="zh-CN"/>
        </w:rPr>
        <w:t xml:space="preserve"> 由监理单位 </w:t>
      </w:r>
      <w:r>
        <w:rPr>
          <w:rFonts w:hint="eastAsia" w:ascii="宋体" w:hAnsi="宋体" w:eastAsia="宋体" w:cs="宋体"/>
          <w:color w:val="auto"/>
          <w:szCs w:val="21"/>
          <w:highlight w:val="none"/>
          <w:lang w:val="zh-CN"/>
        </w:rPr>
        <w:t>向竣工验收委员会汇报并提交历次质量缺陷处理的备案资料。</w:t>
      </w:r>
    </w:p>
    <w:p w14:paraId="0E150874">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kern w:val="2"/>
          <w:sz w:val="21"/>
          <w:szCs w:val="21"/>
          <w:highlight w:val="none"/>
          <w:lang w:val="zh-CN" w:eastAsia="zh-CN" w:bidi="ar-SA"/>
        </w:rPr>
      </w:pPr>
      <w:bookmarkStart w:id="1164" w:name="_Toc429311589"/>
      <w:bookmarkStart w:id="1165" w:name="_Toc19900825"/>
      <w:bookmarkStart w:id="1166" w:name="_Toc28397"/>
      <w:bookmarkStart w:id="1167" w:name="_Toc505944299"/>
      <w:r>
        <w:rPr>
          <w:rFonts w:hint="eastAsia" w:ascii="宋体" w:hAnsi="宋体" w:eastAsia="宋体" w:cs="宋体"/>
          <w:color w:val="auto"/>
          <w:sz w:val="21"/>
          <w:szCs w:val="21"/>
          <w:highlight w:val="none"/>
          <w:lang w:val="zh-CN" w:eastAsia="zh-CN"/>
        </w:rPr>
        <w:t>14.试验和检验</w:t>
      </w:r>
      <w:bookmarkEnd w:id="1164"/>
      <w:bookmarkEnd w:id="1165"/>
      <w:bookmarkEnd w:id="1166"/>
      <w:bookmarkEnd w:id="1167"/>
    </w:p>
    <w:p w14:paraId="1AF370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168" w:name="_Toc429311590"/>
      <w:bookmarkStart w:id="1169" w:name="_Toc505944300"/>
      <w:r>
        <w:rPr>
          <w:rFonts w:hint="eastAsia" w:ascii="宋体" w:hAnsi="宋体" w:eastAsia="宋体" w:cs="宋体"/>
          <w:b/>
          <w:bCs/>
          <w:color w:val="auto"/>
          <w:highlight w:val="none"/>
        </w:rPr>
        <w:t>14.1材料、工程设备和工程的试验和检验</w:t>
      </w:r>
      <w:bookmarkEnd w:id="1168"/>
      <w:bookmarkEnd w:id="1169"/>
    </w:p>
    <w:p w14:paraId="7413A3B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highlight w:val="none"/>
        </w:rPr>
      </w:pPr>
      <w:bookmarkStart w:id="1170" w:name="_Toc222029539"/>
      <w:bookmarkStart w:id="1171" w:name="_Toc222033890"/>
      <w:bookmarkStart w:id="1172" w:name="_Toc429311591"/>
      <w:bookmarkStart w:id="1173" w:name="_Toc19900826"/>
      <w:bookmarkStart w:id="1174" w:name="_Toc222032708"/>
      <w:bookmarkStart w:id="1175" w:name="_Toc505944301"/>
      <w:bookmarkStart w:id="1176" w:name="_Toc30183"/>
      <w:bookmarkStart w:id="1177" w:name="_Toc221951213"/>
      <w:bookmarkStart w:id="1178" w:name="_Toc222031041"/>
      <w:bookmarkStart w:id="1179" w:name="_Toc229305396"/>
      <w:r>
        <w:rPr>
          <w:rFonts w:hint="eastAsia" w:ascii="宋体" w:hAnsi="宋体" w:eastAsia="宋体" w:cs="宋体"/>
          <w:color w:val="auto"/>
          <w:szCs w:val="21"/>
          <w:highlight w:val="none"/>
          <w:lang w:val="zh-CN"/>
        </w:rPr>
        <w:t>14.1.6本工程实行见证取样的试块、试件及有关材料：</w:t>
      </w:r>
      <w:r>
        <w:rPr>
          <w:rFonts w:hint="eastAsia" w:ascii="宋体" w:hAnsi="宋体" w:eastAsia="宋体" w:cs="宋体"/>
          <w:color w:val="auto"/>
          <w:szCs w:val="21"/>
          <w:highlight w:val="none"/>
          <w:u w:val="single"/>
          <w:lang w:val="zh-CN"/>
        </w:rPr>
        <w:t xml:space="preserve"> 按</w:t>
      </w:r>
      <w:r>
        <w:rPr>
          <w:rFonts w:hint="eastAsia" w:ascii="宋体" w:hAnsi="宋体" w:eastAsia="宋体" w:cs="宋体"/>
          <w:color w:val="auto"/>
          <w:szCs w:val="21"/>
          <w:highlight w:val="none"/>
          <w:u w:val="single"/>
          <w:lang w:val="en-US" w:eastAsia="zh-CN"/>
        </w:rPr>
        <w:t>国家及行业相关规定、</w:t>
      </w:r>
      <w:r>
        <w:rPr>
          <w:rFonts w:hint="eastAsia" w:ascii="宋体" w:hAnsi="宋体" w:eastAsia="宋体" w:cs="宋体"/>
          <w:color w:val="auto"/>
          <w:szCs w:val="21"/>
          <w:highlight w:val="none"/>
          <w:u w:val="single"/>
          <w:lang w:val="zh-CN"/>
        </w:rPr>
        <w:t>监理规范要求及其实施细则规定</w:t>
      </w:r>
      <w:r>
        <w:rPr>
          <w:rFonts w:hint="eastAsia" w:ascii="宋体" w:hAnsi="宋体" w:eastAsia="宋体" w:cs="宋体"/>
          <w:color w:val="auto"/>
          <w:szCs w:val="21"/>
          <w:highlight w:val="none"/>
          <w:lang w:val="zh-CN"/>
        </w:rPr>
        <w:t>。</w:t>
      </w:r>
    </w:p>
    <w:p w14:paraId="5B17CFF7">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eastAsia="zh-CN"/>
        </w:rPr>
        <w:t>15.变更</w:t>
      </w:r>
      <w:bookmarkEnd w:id="1170"/>
      <w:bookmarkEnd w:id="1171"/>
      <w:bookmarkEnd w:id="1172"/>
      <w:bookmarkEnd w:id="1173"/>
      <w:bookmarkEnd w:id="1174"/>
      <w:bookmarkEnd w:id="1175"/>
      <w:bookmarkEnd w:id="1176"/>
      <w:bookmarkEnd w:id="1177"/>
      <w:bookmarkEnd w:id="1178"/>
      <w:bookmarkEnd w:id="1179"/>
    </w:p>
    <w:p w14:paraId="1B9C6F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180" w:name="_Toc505944305"/>
      <w:bookmarkStart w:id="1181" w:name="_Toc429311595"/>
      <w:bookmarkStart w:id="1182" w:name="_Toc26202"/>
      <w:bookmarkStart w:id="1183" w:name="_Toc229305397"/>
      <w:bookmarkStart w:id="1184" w:name="_Toc19900827"/>
      <w:r>
        <w:rPr>
          <w:rFonts w:hint="eastAsia" w:ascii="宋体" w:hAnsi="宋体" w:eastAsia="宋体" w:cs="宋体"/>
          <w:b/>
          <w:bCs/>
          <w:color w:val="auto"/>
          <w:highlight w:val="none"/>
          <w:lang w:val="zh-CN"/>
        </w:rPr>
        <w:t>15.1变更的范围和内容</w:t>
      </w:r>
    </w:p>
    <w:p w14:paraId="4D79CD6E">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（6）本条修改为：</w:t>
      </w:r>
      <w:r>
        <w:rPr>
          <w:rFonts w:hint="eastAsia" w:ascii="宋体" w:hAnsi="宋体" w:eastAsia="宋体" w:cs="宋体"/>
          <w:color w:val="auto"/>
          <w:szCs w:val="21"/>
          <w:highlight w:val="none"/>
          <w:u w:val="single"/>
          <w:lang w:val="zh-CN"/>
        </w:rPr>
        <w:t>无论工程量变更增加或减少多少，合同单价均不调整。</w:t>
      </w:r>
      <w:r>
        <w:rPr>
          <w:rFonts w:hint="eastAsia" w:ascii="宋体" w:hAnsi="宋体" w:eastAsia="宋体" w:cs="宋体"/>
          <w:color w:val="auto"/>
          <w:highlight w:val="none"/>
          <w:u w:val="single"/>
        </w:rPr>
        <w:t>在合同履行过程中，发包人认为是为完成本项目所需的变更或新增的所有项目，均属于承包人应履行的合同义务。</w:t>
      </w:r>
    </w:p>
    <w:p w14:paraId="1095B4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15.4变更的估价原则</w:t>
      </w:r>
    </w:p>
    <w:p w14:paraId="7C51FADF">
      <w:pPr>
        <w:pageBreakBefore w:val="0"/>
        <w:widowControl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15.4.3本条补充：</w:t>
      </w:r>
      <w:r>
        <w:rPr>
          <w:rFonts w:hint="eastAsia" w:ascii="宋体" w:hAnsi="宋体" w:eastAsia="宋体" w:cs="宋体"/>
          <w:color w:val="auto"/>
          <w:szCs w:val="21"/>
          <w:highlight w:val="none"/>
          <w:u w:val="single"/>
        </w:rPr>
        <w:t xml:space="preserve"> 新增或变更项目单价水平（人工费，材料费、机械费、费率、利润等）须与原投标单价</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最终报价</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rPr>
        <w:t>水平一致</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编制办法及采用的定额应按照投标时的编制办法及采用的定额。</w:t>
      </w:r>
    </w:p>
    <w:p w14:paraId="7941FA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15.5承包人的合理化建议</w:t>
      </w:r>
    </w:p>
    <w:p w14:paraId="3999451D">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15.5.2承包人实现合理化建议的奖励金额为：</w:t>
      </w:r>
      <w:r>
        <w:rPr>
          <w:rFonts w:hint="eastAsia" w:ascii="宋体" w:hAnsi="宋体" w:eastAsia="宋体" w:cs="宋体"/>
          <w:color w:val="auto"/>
          <w:szCs w:val="21"/>
          <w:highlight w:val="none"/>
          <w:u w:val="single"/>
          <w:lang w:val="zh-CN"/>
        </w:rPr>
        <w:t>另行协商约定</w:t>
      </w:r>
      <w:r>
        <w:rPr>
          <w:rFonts w:hint="eastAsia" w:ascii="宋体" w:hAnsi="宋体" w:eastAsia="宋体" w:cs="宋体"/>
          <w:color w:val="auto"/>
          <w:szCs w:val="21"/>
          <w:highlight w:val="none"/>
          <w:lang w:val="zh-CN"/>
        </w:rPr>
        <w:t>。</w:t>
      </w:r>
    </w:p>
    <w:p w14:paraId="742E2B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15.8暂估价</w:t>
      </w:r>
    </w:p>
    <w:p w14:paraId="132C6813">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15.8.1（l）发包人和承包人组织招标的暂估价项目：</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；发包人组织招标的暂估价项目：</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2A28DF8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（2）发包人和承包人以招标方式选择暂估价项目供应商或分包人时，双方的权利义务关系：</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7A632DE5">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eastAsia="zh-CN"/>
        </w:rPr>
        <w:t>16.价格调整</w:t>
      </w:r>
      <w:bookmarkEnd w:id="1180"/>
      <w:bookmarkEnd w:id="1181"/>
      <w:bookmarkEnd w:id="1182"/>
      <w:bookmarkEnd w:id="1183"/>
      <w:bookmarkEnd w:id="1184"/>
    </w:p>
    <w:p w14:paraId="71FB32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185" w:name="_Toc505944306"/>
      <w:bookmarkStart w:id="1186" w:name="_Toc429311596"/>
      <w:r>
        <w:rPr>
          <w:rFonts w:hint="eastAsia" w:ascii="宋体" w:hAnsi="宋体" w:eastAsia="宋体" w:cs="宋体"/>
          <w:b/>
          <w:bCs/>
          <w:color w:val="auto"/>
          <w:highlight w:val="none"/>
        </w:rPr>
        <w:t>16.1 物价波动引起的价格调整</w:t>
      </w:r>
      <w:bookmarkEnd w:id="1185"/>
      <w:bookmarkEnd w:id="1186"/>
    </w:p>
    <w:p w14:paraId="3F37AE75">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u w:val="single"/>
          <w:lang w:val="zh-CN"/>
        </w:rPr>
      </w:pPr>
      <w:bookmarkStart w:id="1187" w:name="_Toc27343"/>
      <w:bookmarkStart w:id="1188" w:name="_Toc429311597"/>
      <w:bookmarkStart w:id="1189" w:name="_Toc19900828"/>
      <w:bookmarkStart w:id="1190" w:name="_Toc505944307"/>
      <w:r>
        <w:rPr>
          <w:rFonts w:hint="eastAsia" w:ascii="宋体" w:hAnsi="宋体" w:eastAsia="宋体" w:cs="宋体"/>
          <w:color w:val="auto"/>
          <w:szCs w:val="21"/>
          <w:highlight w:val="none"/>
          <w:lang w:val="zh-CN"/>
        </w:rPr>
        <w:t>物价波动引起的价格调整方式：</w:t>
      </w:r>
      <w:r>
        <w:rPr>
          <w:rFonts w:hint="eastAsia" w:ascii="宋体" w:hAnsi="宋体" w:eastAsia="宋体" w:cs="宋体"/>
          <w:color w:val="auto"/>
          <w:szCs w:val="21"/>
          <w:highlight w:val="none"/>
          <w:u w:val="single"/>
          <w:lang w:val="zh-CN"/>
        </w:rPr>
        <w:t>本合同工期较短，不进行价格调整（含政策性调整文件），为固定单价合同，</w:t>
      </w:r>
      <w:r>
        <w:rPr>
          <w:rFonts w:hint="eastAsia" w:ascii="宋体" w:hAnsi="宋体" w:eastAsia="宋体" w:cs="宋体"/>
          <w:color w:val="auto"/>
          <w:szCs w:val="21"/>
          <w:highlight w:val="none"/>
          <w:u w:val="single"/>
          <w:lang w:val="en-US" w:eastAsia="zh-CN"/>
        </w:rPr>
        <w:t>结算工程量以实际完成工程量为准</w:t>
      </w:r>
      <w:r>
        <w:rPr>
          <w:rFonts w:hint="eastAsia" w:ascii="宋体" w:hAnsi="宋体" w:eastAsia="宋体" w:cs="宋体"/>
          <w:color w:val="auto"/>
          <w:szCs w:val="21"/>
          <w:highlight w:val="none"/>
          <w:u w:val="single"/>
          <w:lang w:val="zh-CN"/>
        </w:rPr>
        <w:t>。</w:t>
      </w:r>
    </w:p>
    <w:p w14:paraId="5B170C5B">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eastAsia="zh-CN"/>
        </w:rPr>
        <w:t>17.计量与支付</w:t>
      </w:r>
      <w:bookmarkEnd w:id="1187"/>
      <w:bookmarkEnd w:id="1188"/>
      <w:bookmarkEnd w:id="1189"/>
      <w:bookmarkEnd w:id="1190"/>
    </w:p>
    <w:p w14:paraId="7964A2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191" w:name="_Toc429311598"/>
      <w:bookmarkStart w:id="1192" w:name="_Toc221951224"/>
      <w:bookmarkStart w:id="1193" w:name="_Toc505944308"/>
      <w:r>
        <w:rPr>
          <w:rFonts w:hint="eastAsia" w:ascii="宋体" w:hAnsi="宋体" w:eastAsia="宋体" w:cs="宋体"/>
          <w:b/>
          <w:bCs/>
          <w:color w:val="auto"/>
          <w:highlight w:val="none"/>
        </w:rPr>
        <w:t>17.2  预付款</w:t>
      </w:r>
      <w:bookmarkEnd w:id="1191"/>
      <w:bookmarkEnd w:id="1192"/>
      <w:bookmarkEnd w:id="1193"/>
    </w:p>
    <w:p w14:paraId="34C6C6F0">
      <w:pPr>
        <w:spacing w:line="400" w:lineRule="exact"/>
        <w:ind w:right="248" w:firstLine="480"/>
        <w:rPr>
          <w:rFonts w:hint="eastAsia" w:ascii="宋体" w:hAnsi="宋体" w:eastAsia="宋体" w:cs="宋体"/>
          <w:szCs w:val="21"/>
          <w:highlight w:val="none"/>
        </w:rPr>
      </w:pPr>
      <w:bookmarkStart w:id="1194" w:name="_Toc221951226"/>
      <w:bookmarkStart w:id="1195" w:name="_Toc221951260"/>
      <w:r>
        <w:rPr>
          <w:rFonts w:hint="eastAsia" w:ascii="宋体" w:hAnsi="宋体" w:eastAsia="宋体" w:cs="宋体"/>
          <w:szCs w:val="21"/>
          <w:highlight w:val="none"/>
        </w:rPr>
        <w:t>17.2.1预付款</w:t>
      </w:r>
      <w:bookmarkEnd w:id="1194"/>
      <w:r>
        <w:rPr>
          <w:rFonts w:hint="eastAsia" w:ascii="宋体" w:hAnsi="宋体" w:eastAsia="宋体" w:cs="宋体"/>
          <w:szCs w:val="21"/>
          <w:highlight w:val="none"/>
        </w:rPr>
        <w:t>：</w:t>
      </w:r>
    </w:p>
    <w:p w14:paraId="01FD0B2D">
      <w:pPr>
        <w:spacing w:line="400" w:lineRule="exact"/>
        <w:ind w:right="248" w:firstLine="480"/>
        <w:rPr>
          <w:rFonts w:hint="eastAsia" w:ascii="宋体" w:hAnsi="宋体" w:eastAsia="宋体" w:cs="宋体"/>
          <w:color w:val="000000"/>
          <w:szCs w:val="21"/>
          <w:highlight w:val="none"/>
        </w:rPr>
      </w:pPr>
      <w:bookmarkStart w:id="1196" w:name="_Toc221951228"/>
      <w:r>
        <w:rPr>
          <w:rFonts w:hint="eastAsia" w:ascii="宋体" w:hAnsi="宋体" w:eastAsia="宋体" w:cs="宋体"/>
          <w:color w:val="000000"/>
          <w:szCs w:val="21"/>
          <w:highlight w:val="none"/>
        </w:rPr>
        <w:t>工程预付款的总金额为签约合同价的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%，分</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2</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次支付给承包人。</w:t>
      </w:r>
      <w:bookmarkEnd w:id="1196"/>
    </w:p>
    <w:p w14:paraId="48A8BCD5">
      <w:pPr>
        <w:spacing w:line="400" w:lineRule="exact"/>
        <w:ind w:right="248" w:firstLine="480"/>
        <w:rPr>
          <w:rFonts w:hint="eastAsia" w:ascii="宋体" w:hAnsi="宋体" w:eastAsia="宋体" w:cs="宋体"/>
          <w:color w:val="000000"/>
          <w:szCs w:val="21"/>
          <w:highlight w:val="none"/>
        </w:rPr>
      </w:pPr>
      <w:bookmarkStart w:id="1197" w:name="_Toc221951229"/>
      <w:r>
        <w:rPr>
          <w:rFonts w:hint="eastAsia" w:ascii="宋体" w:hAnsi="宋体" w:eastAsia="宋体" w:cs="宋体"/>
          <w:color w:val="000000"/>
          <w:szCs w:val="21"/>
          <w:highlight w:val="none"/>
        </w:rPr>
        <w:t>各次预付款的支付额度和付款时间为：</w:t>
      </w:r>
      <w:bookmarkEnd w:id="1197"/>
    </w:p>
    <w:p w14:paraId="165C15FC">
      <w:pPr>
        <w:spacing w:line="400" w:lineRule="exact"/>
        <w:ind w:right="248" w:firstLine="480"/>
        <w:rPr>
          <w:rFonts w:hint="eastAsia" w:ascii="宋体" w:hAnsi="宋体" w:eastAsia="宋体" w:cs="宋体"/>
          <w:color w:val="000000"/>
          <w:szCs w:val="21"/>
          <w:highlight w:val="none"/>
        </w:rPr>
      </w:pPr>
      <w:bookmarkStart w:id="1198" w:name="_Toc221951230"/>
      <w:r>
        <w:rPr>
          <w:rFonts w:hint="eastAsia" w:ascii="宋体" w:hAnsi="宋体" w:eastAsia="宋体" w:cs="宋体"/>
          <w:color w:val="000000"/>
          <w:szCs w:val="21"/>
          <w:highlight w:val="none"/>
        </w:rPr>
        <w:t>1）第一次预付款金额为工程预付款总金额的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%，付款时间应在合同协议书签订后，由承包人向发包人提交了发包人认可的工程预付款保函，并经监理人出具付款证书报送发包人批准后14天内予以支付。</w:t>
      </w:r>
      <w:bookmarkEnd w:id="1198"/>
    </w:p>
    <w:p w14:paraId="560D7B98">
      <w:pPr>
        <w:spacing w:line="400" w:lineRule="exact"/>
        <w:ind w:right="248" w:firstLine="480"/>
        <w:rPr>
          <w:rFonts w:hint="eastAsia" w:ascii="宋体" w:hAnsi="宋体" w:eastAsia="宋体" w:cs="宋体"/>
          <w:color w:val="000000"/>
          <w:szCs w:val="21"/>
          <w:highlight w:val="none"/>
        </w:rPr>
      </w:pPr>
      <w:bookmarkStart w:id="1199" w:name="_Toc221951231"/>
      <w:r>
        <w:rPr>
          <w:rFonts w:hint="eastAsia" w:ascii="宋体" w:hAnsi="宋体" w:eastAsia="宋体" w:cs="宋体"/>
          <w:color w:val="000000"/>
          <w:szCs w:val="21"/>
          <w:highlight w:val="none"/>
        </w:rPr>
        <w:t>2）第二次预付款金额为工程预付款总金额的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%。付款时间需待承包人主要设备进入工地后，其估算价值已达到本次预付款金额时，由承包人提出书面申请，经监理人核实后出具付款证书报送发包人批准后14天内予以支付。</w:t>
      </w:r>
      <w:bookmarkEnd w:id="1199"/>
    </w:p>
    <w:p w14:paraId="7F5A04B5">
      <w:pPr>
        <w:spacing w:line="400" w:lineRule="exact"/>
        <w:ind w:right="248" w:firstLine="480"/>
        <w:rPr>
          <w:rFonts w:hint="eastAsia" w:ascii="宋体" w:hAnsi="宋体" w:eastAsia="宋体" w:cs="宋体"/>
          <w:color w:val="000000"/>
          <w:szCs w:val="21"/>
          <w:highlight w:val="none"/>
        </w:rPr>
      </w:pPr>
      <w:bookmarkStart w:id="1200" w:name="_Toc221951235"/>
      <w:r>
        <w:rPr>
          <w:rFonts w:hint="eastAsia" w:ascii="宋体" w:hAnsi="宋体" w:eastAsia="宋体" w:cs="宋体"/>
          <w:szCs w:val="21"/>
          <w:highlight w:val="none"/>
        </w:rPr>
        <w:t>17.2.2预付款保函</w:t>
      </w:r>
      <w:bookmarkEnd w:id="1200"/>
      <w:r>
        <w:rPr>
          <w:rFonts w:hint="eastAsia" w:ascii="宋体" w:hAnsi="宋体" w:eastAsia="宋体" w:cs="宋体"/>
          <w:szCs w:val="21"/>
          <w:highlight w:val="none"/>
        </w:rPr>
        <w:t>（担保）</w:t>
      </w:r>
    </w:p>
    <w:p w14:paraId="67348645">
      <w:pPr>
        <w:spacing w:line="400" w:lineRule="exact"/>
        <w:ind w:right="248" w:firstLine="420" w:firstLineChars="200"/>
        <w:rPr>
          <w:rFonts w:hint="eastAsia" w:ascii="宋体" w:hAnsi="宋体" w:eastAsia="宋体" w:cs="宋体"/>
          <w:color w:val="000000"/>
          <w:szCs w:val="21"/>
          <w:highlight w:val="none"/>
        </w:rPr>
      </w:pPr>
      <w:bookmarkStart w:id="1201" w:name="_Toc221951236"/>
      <w:r>
        <w:rPr>
          <w:rFonts w:hint="eastAsia" w:ascii="宋体" w:hAnsi="宋体" w:eastAsia="宋体" w:cs="宋体"/>
          <w:color w:val="000000"/>
          <w:szCs w:val="21"/>
          <w:highlight w:val="none"/>
        </w:rPr>
        <w:t>（2）工程材料预付款的担保约定为：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另行协商约定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w:t>
      </w:r>
      <w:bookmarkEnd w:id="1201"/>
    </w:p>
    <w:p w14:paraId="238474CA">
      <w:pPr>
        <w:spacing w:line="400" w:lineRule="exact"/>
        <w:ind w:right="248" w:firstLine="420" w:firstLineChars="200"/>
        <w:rPr>
          <w:rFonts w:hint="eastAsia" w:ascii="宋体" w:hAnsi="宋体" w:eastAsia="宋体" w:cs="宋体"/>
          <w:color w:val="000000"/>
          <w:szCs w:val="21"/>
          <w:highlight w:val="none"/>
        </w:rPr>
      </w:pPr>
      <w:bookmarkStart w:id="1202" w:name="_Toc221951237"/>
      <w:r>
        <w:rPr>
          <w:rFonts w:hint="eastAsia" w:ascii="宋体" w:hAnsi="宋体" w:eastAsia="宋体" w:cs="宋体"/>
          <w:color w:val="000000"/>
          <w:szCs w:val="21"/>
          <w:highlight w:val="none"/>
        </w:rPr>
        <w:t>17.2.3 预付款的扣回与还清</w:t>
      </w:r>
      <w:bookmarkEnd w:id="1202"/>
    </w:p>
    <w:p w14:paraId="1E13BC7D">
      <w:pPr>
        <w:spacing w:line="400" w:lineRule="exact"/>
        <w:ind w:left="120" w:leftChars="57" w:right="248" w:firstLine="315" w:firstLineChars="150"/>
        <w:rPr>
          <w:rFonts w:hint="eastAsia" w:ascii="宋体" w:hAnsi="宋体" w:eastAsia="宋体" w:cs="宋体"/>
          <w:color w:val="000000"/>
          <w:szCs w:val="21"/>
          <w:highlight w:val="none"/>
        </w:rPr>
      </w:pPr>
      <w:bookmarkStart w:id="1203" w:name="_Toc221951238"/>
      <w:r>
        <w:rPr>
          <w:rFonts w:hint="eastAsia" w:ascii="宋体" w:hAnsi="宋体" w:eastAsia="宋体" w:cs="宋体"/>
          <w:color w:val="000000"/>
          <w:szCs w:val="21"/>
          <w:highlight w:val="none"/>
        </w:rPr>
        <w:t>工程预付款在合同累计完成金额达到合同价格的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%时开始扣款，直至合同累计完成金额达到合同价格的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%时全部扣清。</w:t>
      </w:r>
      <w:bookmarkEnd w:id="1203"/>
    </w:p>
    <w:p w14:paraId="2A455660">
      <w:pPr>
        <w:spacing w:line="400" w:lineRule="exact"/>
        <w:ind w:right="248" w:firstLine="900" w:firstLineChars="450"/>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pict>
          <v:shape id="_x0000_s1026" o:spid="_x0000_s1026" o:spt="75" type="#_x0000_t75" style="position:absolute;left:0pt;margin-left:63pt;margin-top:4.8pt;height:39pt;width:128.9pt;mso-wrap-distance-bottom:0pt;mso-wrap-distance-left:9pt;mso-wrap-distance-right:9pt;mso-wrap-distance-top:0pt;z-index:251659264;mso-width-relative:page;mso-height-relative:page;" o:ole="t" fillcolor="#000011" filled="f" o:preferrelative="t" stroked="f" coordsize="21600,21600">
            <v:path/>
            <v:fill on="f" focussize="0,0"/>
            <v:stroke on="f" joinstyle="miter"/>
            <v:imagedata r:id="rId18" o:title=""/>
            <o:lock v:ext="edit" aspectratio="t"/>
            <w10:wrap type="square" side="right"/>
          </v:shape>
          <o:OLEObject Type="Embed" ProgID="Equation.3" ShapeID="_x0000_s1026" DrawAspect="Content" ObjectID="_1468075726" r:id="rId17">
            <o:LockedField>false</o:LockedField>
          </o:OLEObject>
        </w:pict>
      </w:r>
      <w:bookmarkStart w:id="1204" w:name="_Toc221951240"/>
    </w:p>
    <w:p w14:paraId="508BFBB3">
      <w:pPr>
        <w:spacing w:line="400" w:lineRule="exact"/>
        <w:ind w:right="248"/>
        <w:rPr>
          <w:rFonts w:hint="eastAsia" w:ascii="宋体" w:hAnsi="宋体" w:eastAsia="宋体" w:cs="宋体"/>
          <w:color w:val="000000"/>
          <w:sz w:val="20"/>
          <w:szCs w:val="20"/>
          <w:highlight w:val="none"/>
        </w:rPr>
      </w:pPr>
    </w:p>
    <w:p w14:paraId="7C636521">
      <w:pPr>
        <w:spacing w:line="400" w:lineRule="exact"/>
        <w:ind w:right="248"/>
        <w:rPr>
          <w:rFonts w:hint="eastAsia" w:ascii="宋体" w:hAnsi="宋体" w:eastAsia="宋体" w:cs="宋体"/>
          <w:color w:val="000000"/>
          <w:sz w:val="20"/>
          <w:szCs w:val="20"/>
          <w:highlight w:val="none"/>
        </w:rPr>
      </w:pPr>
    </w:p>
    <w:p w14:paraId="095F45FD">
      <w:pPr>
        <w:spacing w:line="400" w:lineRule="exact"/>
        <w:ind w:right="248" w:firstLine="525" w:firstLineChars="25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式中：R——每次进度付款中累计扣回的金额；</w:t>
      </w:r>
      <w:bookmarkEnd w:id="1204"/>
    </w:p>
    <w:p w14:paraId="2674AB90">
      <w:pPr>
        <w:spacing w:line="400" w:lineRule="exact"/>
        <w:ind w:right="248"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bookmarkStart w:id="1205" w:name="_Toc221951241"/>
      <w:r>
        <w:rPr>
          <w:rFonts w:hint="eastAsia" w:ascii="宋体" w:hAnsi="宋体" w:eastAsia="宋体" w:cs="宋体"/>
          <w:color w:val="000000"/>
          <w:szCs w:val="21"/>
          <w:highlight w:val="none"/>
        </w:rPr>
        <w:t>A——工程预付款总金额；</w:t>
      </w:r>
      <w:bookmarkEnd w:id="1205"/>
    </w:p>
    <w:p w14:paraId="615F5629">
      <w:pPr>
        <w:spacing w:line="400" w:lineRule="exact"/>
        <w:ind w:right="248"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bookmarkStart w:id="1206" w:name="_Toc221951242"/>
      <w:r>
        <w:rPr>
          <w:rFonts w:hint="eastAsia" w:ascii="宋体" w:hAnsi="宋体" w:eastAsia="宋体" w:cs="宋体"/>
          <w:color w:val="000000"/>
          <w:szCs w:val="21"/>
          <w:highlight w:val="none"/>
        </w:rPr>
        <w:t>S——合同价格；</w:t>
      </w:r>
      <w:bookmarkEnd w:id="1206"/>
    </w:p>
    <w:p w14:paraId="1AB160D7">
      <w:pPr>
        <w:spacing w:line="400" w:lineRule="exact"/>
        <w:ind w:right="248"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bookmarkStart w:id="1207" w:name="_Toc221951243"/>
      <w:r>
        <w:rPr>
          <w:rFonts w:hint="eastAsia" w:ascii="宋体" w:hAnsi="宋体" w:eastAsia="宋体" w:cs="宋体"/>
          <w:color w:val="000000"/>
          <w:szCs w:val="21"/>
          <w:highlight w:val="none"/>
        </w:rPr>
        <w:t>C——合同累计完成金额；</w:t>
      </w:r>
      <w:bookmarkEnd w:id="1207"/>
    </w:p>
    <w:p w14:paraId="26CCB614">
      <w:pPr>
        <w:spacing w:line="400" w:lineRule="exact"/>
        <w:ind w:right="248"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bookmarkStart w:id="1208" w:name="_Toc221951244"/>
      <w:r>
        <w:rPr>
          <w:rFonts w:hint="eastAsia" w:ascii="宋体" w:hAnsi="宋体" w:eastAsia="宋体" w:cs="宋体"/>
          <w:color w:val="000000"/>
          <w:szCs w:val="21"/>
          <w:highlight w:val="none"/>
        </w:rPr>
        <w:t>F1——开始扣款时合同累计完成金额达到合同价格的比例；</w:t>
      </w:r>
      <w:bookmarkEnd w:id="1208"/>
    </w:p>
    <w:p w14:paraId="15316A04">
      <w:pPr>
        <w:spacing w:line="400" w:lineRule="exact"/>
        <w:ind w:right="248"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bookmarkStart w:id="1209" w:name="_Toc221951245"/>
      <w:r>
        <w:rPr>
          <w:rFonts w:hint="eastAsia" w:ascii="宋体" w:hAnsi="宋体" w:eastAsia="宋体" w:cs="宋体"/>
          <w:color w:val="000000"/>
          <w:szCs w:val="21"/>
          <w:highlight w:val="none"/>
        </w:rPr>
        <w:t>F2——全部扣清时合同累计完成金额达到合同价格的比例。</w:t>
      </w:r>
      <w:bookmarkEnd w:id="1209"/>
    </w:p>
    <w:p w14:paraId="68503D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bookmarkStart w:id="1210" w:name="_Toc221951246"/>
      <w:r>
        <w:rPr>
          <w:rFonts w:hint="eastAsia" w:ascii="宋体" w:hAnsi="宋体" w:eastAsia="宋体" w:cs="宋体"/>
          <w:color w:val="000000"/>
          <w:szCs w:val="21"/>
          <w:highlight w:val="none"/>
        </w:rPr>
        <w:t>上述合同累计完成金额均指价格调整前未扣质量保证金的金额。</w:t>
      </w:r>
      <w:bookmarkEnd w:id="1210"/>
      <w:r>
        <w:rPr>
          <w:rFonts w:hint="eastAsia" w:ascii="宋体" w:hAnsi="宋体" w:eastAsia="宋体" w:cs="宋体"/>
          <w:color w:val="auto"/>
          <w:highlight w:val="none"/>
          <w:lang w:val="en-US" w:eastAsia="zh-CN"/>
        </w:rPr>
        <w:t xml:space="preserve"> </w:t>
      </w:r>
    </w:p>
    <w:p w14:paraId="0F72A6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bookmarkStart w:id="1211" w:name="_Toc429311599"/>
      <w:bookmarkStart w:id="1212" w:name="_Toc505944309"/>
      <w:r>
        <w:rPr>
          <w:rFonts w:hint="eastAsia" w:ascii="宋体" w:hAnsi="宋体" w:eastAsia="宋体" w:cs="宋体"/>
          <w:b/>
          <w:bCs/>
          <w:color w:val="auto"/>
          <w:highlight w:val="none"/>
        </w:rPr>
        <w:t>17.3 工程进度付款</w:t>
      </w:r>
      <w:bookmarkEnd w:id="1211"/>
      <w:bookmarkEnd w:id="1212"/>
    </w:p>
    <w:p w14:paraId="6AD3CE2C">
      <w:pPr>
        <w:pageBreakBefore w:val="0"/>
        <w:widowControl w:val="0"/>
        <w:kinsoku/>
        <w:wordWrap/>
        <w:overflowPunct/>
        <w:topLinePunct w:val="0"/>
        <w:bidi w:val="0"/>
        <w:adjustRightInd w:val="0"/>
        <w:snapToGrid w:val="0"/>
        <w:spacing w:line="360" w:lineRule="auto"/>
        <w:ind w:firstLine="420" w:firstLineChars="200"/>
        <w:textAlignment w:val="auto"/>
        <w:rPr>
          <w:rStyle w:val="83"/>
          <w:rFonts w:hint="eastAsia" w:ascii="宋体" w:hAnsi="宋体" w:eastAsia="宋体" w:cs="宋体"/>
          <w:color w:val="auto"/>
          <w:highlight w:val="none"/>
        </w:rPr>
      </w:pPr>
      <w:bookmarkStart w:id="1213" w:name="_Toc429311600"/>
      <w:bookmarkStart w:id="1214" w:name="_Toc505944310"/>
      <w:r>
        <w:rPr>
          <w:rStyle w:val="83"/>
          <w:rFonts w:hint="eastAsia" w:ascii="宋体" w:hAnsi="宋体" w:eastAsia="宋体" w:cs="宋体"/>
          <w:color w:val="auto"/>
          <w:highlight w:val="none"/>
        </w:rPr>
        <w:t>17.3.2进度付款申请单</w:t>
      </w:r>
    </w:p>
    <w:p w14:paraId="4649BC53">
      <w:pPr>
        <w:pageBreakBefore w:val="0"/>
        <w:widowControl w:val="0"/>
        <w:kinsoku/>
        <w:wordWrap/>
        <w:overflowPunct/>
        <w:topLinePunct w:val="0"/>
        <w:bidi w:val="0"/>
        <w:adjustRightInd w:val="0"/>
        <w:snapToGrid w:val="0"/>
        <w:spacing w:line="360" w:lineRule="auto"/>
        <w:ind w:firstLine="420" w:firstLineChars="200"/>
        <w:textAlignment w:val="auto"/>
        <w:rPr>
          <w:rStyle w:val="83"/>
          <w:rFonts w:hint="eastAsia" w:ascii="宋体" w:hAnsi="宋体" w:eastAsia="宋体" w:cs="宋体"/>
          <w:color w:val="auto"/>
          <w:highlight w:val="none"/>
        </w:rPr>
      </w:pPr>
      <w:r>
        <w:rPr>
          <w:rStyle w:val="83"/>
          <w:rFonts w:hint="eastAsia" w:ascii="宋体" w:hAnsi="宋体" w:eastAsia="宋体" w:cs="宋体"/>
          <w:color w:val="auto"/>
          <w:highlight w:val="none"/>
        </w:rPr>
        <w:t>进度付款申请单的份数：</w:t>
      </w:r>
      <w:r>
        <w:rPr>
          <w:rStyle w:val="83"/>
          <w:rFonts w:hint="eastAsia" w:ascii="宋体" w:hAnsi="宋体" w:eastAsia="宋体" w:cs="宋体"/>
          <w:color w:val="auto"/>
          <w:highlight w:val="none"/>
          <w:u w:val="single"/>
        </w:rPr>
        <w:t>一式</w:t>
      </w:r>
      <w:r>
        <w:rPr>
          <w:rFonts w:hint="eastAsia" w:ascii="宋体" w:hAnsi="宋体" w:eastAsia="宋体" w:cs="宋体"/>
          <w:color w:val="auto"/>
          <w:szCs w:val="21"/>
          <w:highlight w:val="none"/>
          <w:u w:val="single"/>
          <w:lang w:val="zh-CN"/>
        </w:rPr>
        <w:t>四</w:t>
      </w:r>
      <w:r>
        <w:rPr>
          <w:rStyle w:val="83"/>
          <w:rFonts w:hint="eastAsia" w:ascii="宋体" w:hAnsi="宋体" w:eastAsia="宋体" w:cs="宋体"/>
          <w:color w:val="auto"/>
          <w:highlight w:val="none"/>
          <w:u w:val="single"/>
        </w:rPr>
        <w:t>份</w:t>
      </w:r>
      <w:r>
        <w:rPr>
          <w:rStyle w:val="83"/>
          <w:rFonts w:hint="eastAsia" w:ascii="宋体" w:hAnsi="宋体" w:eastAsia="宋体" w:cs="宋体"/>
          <w:color w:val="auto"/>
          <w:highlight w:val="none"/>
        </w:rPr>
        <w:t>。</w:t>
      </w:r>
    </w:p>
    <w:p w14:paraId="7B49E04E">
      <w:pPr>
        <w:pageBreakBefore w:val="0"/>
        <w:widowControl w:val="0"/>
        <w:kinsoku/>
        <w:wordWrap/>
        <w:overflowPunct/>
        <w:topLinePunct w:val="0"/>
        <w:bidi w:val="0"/>
        <w:adjustRightInd w:val="0"/>
        <w:snapToGrid w:val="0"/>
        <w:spacing w:line="360" w:lineRule="auto"/>
        <w:ind w:firstLine="420" w:firstLineChars="200"/>
        <w:textAlignment w:val="auto"/>
        <w:rPr>
          <w:rStyle w:val="83"/>
          <w:rFonts w:hint="eastAsia" w:ascii="宋体" w:hAnsi="宋体" w:eastAsia="宋体" w:cs="宋体"/>
          <w:color w:val="auto"/>
          <w:highlight w:val="none"/>
          <w:lang w:val="en-US" w:eastAsia="zh-CN"/>
        </w:rPr>
      </w:pPr>
      <w:r>
        <w:rPr>
          <w:rStyle w:val="83"/>
          <w:rFonts w:hint="eastAsia" w:ascii="宋体" w:hAnsi="宋体" w:eastAsia="宋体" w:cs="宋体"/>
          <w:color w:val="auto"/>
          <w:highlight w:val="none"/>
        </w:rPr>
        <w:t>17.3.3进度付款证书和支付时间：</w:t>
      </w:r>
      <w:r>
        <w:rPr>
          <w:rFonts w:hint="eastAsia" w:ascii="宋体" w:hAnsi="宋体" w:eastAsia="宋体" w:cs="宋体"/>
          <w:color w:val="auto"/>
          <w:highlight w:val="none"/>
          <w:u w:val="single"/>
          <w:lang w:val="en-US" w:eastAsia="zh-CN"/>
        </w:rPr>
        <w:t>（</w:t>
      </w:r>
      <w:r>
        <w:rPr>
          <w:rFonts w:hint="eastAsia" w:ascii="宋体" w:hAnsi="宋体" w:cs="宋体"/>
          <w:color w:val="auto"/>
          <w:highlight w:val="none"/>
          <w:u w:val="single"/>
          <w:lang w:val="en-US" w:eastAsia="zh-CN"/>
        </w:rPr>
        <w:t>在签订合同时约定</w:t>
      </w:r>
      <w:r>
        <w:rPr>
          <w:rFonts w:hint="eastAsia" w:ascii="宋体" w:hAnsi="宋体" w:eastAsia="宋体" w:cs="宋体"/>
          <w:color w:val="auto"/>
          <w:highlight w:val="none"/>
          <w:u w:val="single"/>
          <w:lang w:val="en-US" w:eastAsia="zh-CN"/>
        </w:rPr>
        <w:t>）。</w:t>
      </w:r>
    </w:p>
    <w:p w14:paraId="2CB6E6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highlight w:val="none"/>
          <w:u w:val="none"/>
          <w:lang w:val="en-US" w:eastAsia="zh-CN"/>
        </w:rPr>
        <w:t>付款票据：</w:t>
      </w:r>
      <w:r>
        <w:rPr>
          <w:rFonts w:hint="eastAsia" w:ascii="宋体" w:hAnsi="宋体" w:eastAsia="宋体" w:cs="宋体"/>
          <w:color w:val="auto"/>
          <w:highlight w:val="none"/>
          <w:u w:val="single"/>
          <w:lang w:val="en-US" w:eastAsia="zh-CN"/>
        </w:rPr>
        <w:t>执行国家相关规定。</w:t>
      </w:r>
    </w:p>
    <w:p w14:paraId="25CE86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17.4  质量保证金</w:t>
      </w:r>
      <w:bookmarkEnd w:id="1195"/>
      <w:bookmarkEnd w:id="1213"/>
      <w:bookmarkEnd w:id="1214"/>
    </w:p>
    <w:p w14:paraId="25516F83">
      <w:pPr>
        <w:pageBreakBefore w:val="0"/>
        <w:widowControl w:val="0"/>
        <w:kinsoku/>
        <w:wordWrap/>
        <w:overflowPunct/>
        <w:topLinePunct w:val="0"/>
        <w:bidi w:val="0"/>
        <w:adjustRightInd w:val="0"/>
        <w:snapToGrid w:val="0"/>
        <w:spacing w:line="360" w:lineRule="auto"/>
        <w:ind w:right="249" w:firstLine="420" w:firstLineChars="200"/>
        <w:textAlignment w:val="auto"/>
        <w:rPr>
          <w:rFonts w:hint="eastAsia" w:ascii="宋体" w:hAnsi="宋体" w:eastAsia="宋体" w:cs="宋体"/>
          <w:color w:val="auto"/>
          <w:szCs w:val="21"/>
          <w:highlight w:val="none"/>
          <w:lang w:val="en-US" w:eastAsia="zh-CN"/>
        </w:rPr>
      </w:pPr>
      <w:bookmarkStart w:id="1215" w:name="_Toc221951262"/>
      <w:bookmarkStart w:id="1216" w:name="_Toc429311601"/>
      <w:bookmarkStart w:id="1217" w:name="_Toc505944311"/>
      <w:bookmarkStart w:id="1218" w:name="_Toc221951265"/>
      <w:r>
        <w:rPr>
          <w:rFonts w:hint="eastAsia" w:ascii="宋体" w:hAnsi="宋体" w:eastAsia="宋体" w:cs="宋体"/>
          <w:color w:val="auto"/>
          <w:szCs w:val="21"/>
          <w:highlight w:val="none"/>
        </w:rPr>
        <w:t>17.4.1</w:t>
      </w:r>
      <w:bookmarkEnd w:id="1215"/>
      <w:r>
        <w:rPr>
          <w:rFonts w:hint="eastAsia" w:ascii="宋体" w:hAnsi="宋体" w:eastAsia="宋体" w:cs="宋体"/>
          <w:color w:val="auto"/>
          <w:szCs w:val="21"/>
          <w:highlight w:val="none"/>
          <w:u w:val="single"/>
          <w:lang w:val="en-US" w:eastAsia="zh-CN"/>
        </w:rPr>
        <w:t>质量保证金的金额及缴纳形式</w:t>
      </w:r>
      <w:r>
        <w:rPr>
          <w:rFonts w:hint="eastAsia" w:ascii="宋体" w:hAnsi="宋体" w:cs="宋体"/>
          <w:color w:val="auto"/>
          <w:highlight w:val="none"/>
          <w:u w:val="single"/>
          <w:lang w:val="en-US" w:eastAsia="zh-CN"/>
        </w:rPr>
        <w:t>在签订合同时约定。</w:t>
      </w:r>
    </w:p>
    <w:p w14:paraId="3B9D32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17.5  竣工（完工）结算</w:t>
      </w:r>
      <w:bookmarkEnd w:id="1216"/>
      <w:bookmarkEnd w:id="1217"/>
      <w:bookmarkEnd w:id="1218"/>
    </w:p>
    <w:p w14:paraId="53D00B7A">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bookmarkStart w:id="1219" w:name="_Toc221951268"/>
      <w:bookmarkStart w:id="1220" w:name="_Toc505944312"/>
      <w:bookmarkStart w:id="1221" w:name="_Toc429311602"/>
      <w:r>
        <w:rPr>
          <w:rFonts w:hint="eastAsia" w:ascii="宋体" w:hAnsi="宋体" w:eastAsia="宋体" w:cs="宋体"/>
          <w:color w:val="auto"/>
          <w:szCs w:val="21"/>
          <w:highlight w:val="none"/>
          <w:lang w:val="zh-CN"/>
        </w:rPr>
        <w:t>17.5.1 竣工（完工）付款申请单</w:t>
      </w:r>
    </w:p>
    <w:p w14:paraId="70B0A920">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（1）承包人应提交完工付款申请单一式</w:t>
      </w:r>
      <w:r>
        <w:rPr>
          <w:rFonts w:hint="eastAsia" w:ascii="宋体" w:hAnsi="宋体" w:eastAsia="宋体" w:cs="宋体"/>
          <w:color w:val="auto"/>
          <w:szCs w:val="21"/>
          <w:highlight w:val="none"/>
          <w:u w:val="single"/>
          <w:lang w:val="zh-CN"/>
        </w:rPr>
        <w:t xml:space="preserve"> 四 </w:t>
      </w:r>
      <w:r>
        <w:rPr>
          <w:rFonts w:hint="eastAsia" w:ascii="宋体" w:hAnsi="宋体" w:eastAsia="宋体" w:cs="宋体"/>
          <w:color w:val="auto"/>
          <w:szCs w:val="21"/>
          <w:highlight w:val="none"/>
          <w:lang w:val="zh-CN"/>
        </w:rPr>
        <w:t>份。</w:t>
      </w:r>
    </w:p>
    <w:p w14:paraId="1679D63D">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17.5.2  竣工（完工）付款证书及支付时间</w:t>
      </w:r>
    </w:p>
    <w:p w14:paraId="59D0C6DF">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（4）本条补充：最终结算金额以审计结论为准。</w:t>
      </w:r>
    </w:p>
    <w:p w14:paraId="4DC394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17.6  </w:t>
      </w:r>
      <w:r>
        <w:rPr>
          <w:rFonts w:hint="eastAsia" w:ascii="宋体" w:hAnsi="宋体" w:eastAsia="宋体" w:cs="宋体"/>
          <w:b/>
          <w:bCs/>
          <w:color w:val="auto"/>
          <w:highlight w:val="none"/>
          <w:lang w:val="en-US" w:eastAsia="zh-CN"/>
        </w:rPr>
        <w:t>最终</w:t>
      </w:r>
      <w:r>
        <w:rPr>
          <w:rFonts w:hint="eastAsia" w:ascii="宋体" w:hAnsi="宋体" w:eastAsia="宋体" w:cs="宋体"/>
          <w:b/>
          <w:bCs/>
          <w:color w:val="auto"/>
          <w:highlight w:val="none"/>
        </w:rPr>
        <w:t>结清</w:t>
      </w:r>
      <w:bookmarkEnd w:id="1219"/>
      <w:bookmarkEnd w:id="1220"/>
      <w:bookmarkEnd w:id="1221"/>
    </w:p>
    <w:p w14:paraId="7F4307E2">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bookmarkStart w:id="1222" w:name="_Toc27188"/>
      <w:bookmarkStart w:id="1223" w:name="_Toc505944314"/>
      <w:bookmarkStart w:id="1224" w:name="_Toc222032710"/>
      <w:bookmarkStart w:id="1225" w:name="_Toc221951271"/>
      <w:bookmarkStart w:id="1226" w:name="_Toc429311604"/>
      <w:bookmarkStart w:id="1227" w:name="_Toc222029541"/>
      <w:bookmarkStart w:id="1228" w:name="_Toc229305399"/>
      <w:bookmarkStart w:id="1229" w:name="_Toc222033892"/>
      <w:bookmarkStart w:id="1230" w:name="_Toc222031043"/>
      <w:bookmarkStart w:id="1231" w:name="_Toc19900829"/>
      <w:r>
        <w:rPr>
          <w:rFonts w:hint="eastAsia" w:ascii="宋体" w:hAnsi="宋体" w:eastAsia="宋体" w:cs="宋体"/>
          <w:color w:val="auto"/>
          <w:szCs w:val="21"/>
          <w:highlight w:val="none"/>
          <w:lang w:val="zh-CN"/>
        </w:rPr>
        <w:t>17.6.1 最终结清申请单</w:t>
      </w:r>
    </w:p>
    <w:p w14:paraId="6D2D04D2">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（1）承包人应提交最终结清申请单一式</w:t>
      </w:r>
      <w:r>
        <w:rPr>
          <w:rFonts w:hint="eastAsia" w:ascii="宋体" w:hAnsi="宋体" w:eastAsia="宋体" w:cs="宋体"/>
          <w:color w:val="auto"/>
          <w:szCs w:val="21"/>
          <w:highlight w:val="none"/>
          <w:u w:val="single"/>
          <w:lang w:val="zh-CN"/>
        </w:rPr>
        <w:t xml:space="preserve"> 四 </w:t>
      </w:r>
      <w:r>
        <w:rPr>
          <w:rFonts w:hint="eastAsia" w:ascii="宋体" w:hAnsi="宋体" w:eastAsia="宋体" w:cs="宋体"/>
          <w:color w:val="auto"/>
          <w:szCs w:val="21"/>
          <w:highlight w:val="none"/>
          <w:lang w:val="zh-CN"/>
        </w:rPr>
        <w:t>份。</w:t>
      </w:r>
    </w:p>
    <w:p w14:paraId="09BB6D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17.7竣工财务决算</w:t>
      </w:r>
    </w:p>
    <w:p w14:paraId="69CECD2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承包人应为竣工财务决算编制提供的资料：</w:t>
      </w:r>
      <w:r>
        <w:rPr>
          <w:rFonts w:hint="eastAsia" w:ascii="宋体" w:hAnsi="宋体" w:eastAsia="宋体" w:cs="宋体"/>
          <w:color w:val="auto"/>
          <w:szCs w:val="21"/>
          <w:highlight w:val="none"/>
          <w:u w:val="single"/>
          <w:lang w:val="zh-CN"/>
        </w:rPr>
        <w:t>竣工图纸、质量验收资料等应由承包人完成的所有工程资料 。发包人负责编制本工程项目竣工财务决算，承包人应配合发包人完成竣工财务决算编制与审计。</w:t>
      </w:r>
    </w:p>
    <w:bookmarkEnd w:id="1222"/>
    <w:bookmarkEnd w:id="1223"/>
    <w:bookmarkEnd w:id="1224"/>
    <w:bookmarkEnd w:id="1225"/>
    <w:bookmarkEnd w:id="1226"/>
    <w:bookmarkEnd w:id="1227"/>
    <w:bookmarkEnd w:id="1228"/>
    <w:bookmarkEnd w:id="1229"/>
    <w:bookmarkEnd w:id="1230"/>
    <w:bookmarkEnd w:id="1231"/>
    <w:p w14:paraId="77297DF1">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232" w:name="_Toc398105693"/>
      <w:bookmarkStart w:id="1233" w:name="_Toc9511"/>
      <w:bookmarkStart w:id="1234" w:name="_Toc5195"/>
      <w:r>
        <w:rPr>
          <w:rFonts w:hint="eastAsia" w:ascii="宋体" w:hAnsi="宋体" w:eastAsia="宋体" w:cs="宋体"/>
          <w:color w:val="auto"/>
          <w:sz w:val="21"/>
          <w:szCs w:val="21"/>
          <w:highlight w:val="none"/>
          <w:lang w:val="zh-CN" w:eastAsia="zh-CN"/>
        </w:rPr>
        <w:t>18.竣工验收（验收）</w:t>
      </w:r>
      <w:bookmarkEnd w:id="1232"/>
      <w:bookmarkEnd w:id="1233"/>
      <w:bookmarkEnd w:id="1234"/>
    </w:p>
    <w:p w14:paraId="43E31B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18.1验收工作分类</w:t>
      </w:r>
    </w:p>
    <w:p w14:paraId="7CFC90EC">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本工程法人验收包括：</w:t>
      </w:r>
      <w:r>
        <w:rPr>
          <w:rFonts w:hint="eastAsia" w:ascii="宋体" w:hAnsi="宋体" w:eastAsia="宋体" w:cs="宋体"/>
          <w:color w:val="auto"/>
          <w:szCs w:val="21"/>
          <w:highlight w:val="none"/>
          <w:u w:val="single"/>
          <w:lang w:val="zh-CN"/>
        </w:rPr>
        <w:t xml:space="preserve"> 单位工程验收、合同工程完工验收  </w:t>
      </w:r>
      <w:r>
        <w:rPr>
          <w:rFonts w:hint="eastAsia" w:ascii="宋体" w:hAnsi="宋体" w:eastAsia="宋体" w:cs="宋体"/>
          <w:color w:val="auto"/>
          <w:szCs w:val="21"/>
          <w:highlight w:val="none"/>
          <w:lang w:val="zh-CN"/>
        </w:rPr>
        <w:t>；政府验收包括：</w:t>
      </w:r>
      <w:r>
        <w:rPr>
          <w:rFonts w:hint="eastAsia" w:ascii="宋体" w:hAnsi="宋体" w:eastAsia="宋体" w:cs="宋体"/>
          <w:color w:val="auto"/>
          <w:szCs w:val="21"/>
          <w:highlight w:val="none"/>
          <w:u w:val="single"/>
          <w:lang w:val="zh-CN"/>
        </w:rPr>
        <w:t xml:space="preserve">专项验收、阶段验收、竣工验收 </w:t>
      </w:r>
      <w:r>
        <w:rPr>
          <w:rFonts w:hint="eastAsia" w:ascii="宋体" w:hAnsi="宋体" w:eastAsia="宋体" w:cs="宋体"/>
          <w:color w:val="auto"/>
          <w:szCs w:val="21"/>
          <w:highlight w:val="none"/>
          <w:lang w:val="zh-CN"/>
        </w:rPr>
        <w:t>。验收条件为：</w:t>
      </w:r>
      <w:r>
        <w:rPr>
          <w:rFonts w:hint="eastAsia" w:ascii="宋体" w:hAnsi="宋体" w:eastAsia="宋体" w:cs="宋体"/>
          <w:color w:val="auto"/>
          <w:szCs w:val="21"/>
          <w:highlight w:val="none"/>
          <w:u w:val="single"/>
          <w:lang w:val="zh-CN"/>
        </w:rPr>
        <w:t xml:space="preserve"> 达到技术条款和有关的验收规程规范要求 </w:t>
      </w:r>
      <w:r>
        <w:rPr>
          <w:rFonts w:hint="eastAsia" w:ascii="宋体" w:hAnsi="宋体" w:eastAsia="宋体" w:cs="宋体"/>
          <w:color w:val="auto"/>
          <w:szCs w:val="21"/>
          <w:highlight w:val="none"/>
          <w:lang w:val="zh-CN"/>
        </w:rPr>
        <w:t>，验收程序为：</w:t>
      </w:r>
      <w:r>
        <w:rPr>
          <w:rFonts w:hint="eastAsia" w:ascii="宋体" w:hAnsi="宋体" w:eastAsia="宋体" w:cs="宋体"/>
          <w:color w:val="auto"/>
          <w:szCs w:val="21"/>
          <w:highlight w:val="none"/>
          <w:u w:val="single"/>
          <w:lang w:val="zh-CN"/>
        </w:rPr>
        <w:t xml:space="preserve"> 按有关规定 </w:t>
      </w:r>
      <w:r>
        <w:rPr>
          <w:rFonts w:hint="eastAsia" w:ascii="宋体" w:hAnsi="宋体" w:eastAsia="宋体" w:cs="宋体"/>
          <w:color w:val="auto"/>
          <w:szCs w:val="21"/>
          <w:highlight w:val="none"/>
          <w:lang w:val="zh-CN"/>
        </w:rPr>
        <w:t>。</w:t>
      </w:r>
    </w:p>
    <w:p w14:paraId="448786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18.2分部工程验收</w:t>
      </w:r>
    </w:p>
    <w:p w14:paraId="78E6912B">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18.2.2 本工程由发包人主持的分部工程验收为</w:t>
      </w:r>
      <w:r>
        <w:rPr>
          <w:rFonts w:hint="eastAsia" w:ascii="宋体" w:hAnsi="宋体" w:eastAsia="宋体" w:cs="宋体"/>
          <w:color w:val="auto"/>
          <w:szCs w:val="21"/>
          <w:highlight w:val="none"/>
          <w:u w:val="single"/>
          <w:lang w:val="zh-CN"/>
        </w:rPr>
        <w:t xml:space="preserve"> 无 </w:t>
      </w:r>
      <w:r>
        <w:rPr>
          <w:rFonts w:hint="eastAsia" w:ascii="宋体" w:hAnsi="宋体" w:eastAsia="宋体" w:cs="宋体"/>
          <w:color w:val="auto"/>
          <w:szCs w:val="21"/>
          <w:highlight w:val="none"/>
          <w:lang w:val="zh-CN"/>
        </w:rPr>
        <w:t>，其余由监理人主持。</w:t>
      </w:r>
    </w:p>
    <w:p w14:paraId="293B1C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18.3单位工程验收</w:t>
      </w:r>
    </w:p>
    <w:p w14:paraId="22ADB8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18.3.4 提前投入使用的单位工程包括：</w:t>
      </w:r>
      <w:r>
        <w:rPr>
          <w:rFonts w:hint="eastAsia" w:ascii="宋体" w:hAnsi="宋体" w:eastAsia="宋体" w:cs="宋体"/>
          <w:color w:val="auto"/>
          <w:szCs w:val="21"/>
          <w:highlight w:val="none"/>
          <w:u w:val="single"/>
          <w:lang w:val="zh-CN"/>
        </w:rPr>
        <w:t>合同履行过程中，由发包人根据实际情况需要另行确定</w:t>
      </w:r>
      <w:r>
        <w:rPr>
          <w:rFonts w:hint="eastAsia" w:ascii="宋体" w:hAnsi="宋体" w:eastAsia="宋体" w:cs="宋体"/>
          <w:color w:val="auto"/>
          <w:szCs w:val="21"/>
          <w:highlight w:val="none"/>
          <w:lang w:val="zh-CN"/>
        </w:rPr>
        <w:t>。</w:t>
      </w:r>
    </w:p>
    <w:p w14:paraId="676425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highlight w:val="none"/>
          <w:lang w:val="en-US" w:eastAsia="zh-CN"/>
        </w:rPr>
      </w:pPr>
      <w:r>
        <w:rPr>
          <w:rFonts w:hint="eastAsia" w:ascii="宋体" w:hAnsi="宋体" w:eastAsia="宋体" w:cs="宋体"/>
          <w:b/>
          <w:bCs/>
          <w:color w:val="auto"/>
          <w:highlight w:val="none"/>
          <w:lang w:val="zh-CN"/>
        </w:rPr>
        <w:t>18.</w:t>
      </w:r>
      <w:r>
        <w:rPr>
          <w:rFonts w:hint="eastAsia" w:ascii="宋体" w:hAnsi="宋体" w:cs="宋体"/>
          <w:b/>
          <w:bCs/>
          <w:color w:val="auto"/>
          <w:highlight w:val="none"/>
          <w:lang w:val="en-US" w:eastAsia="zh-CN"/>
        </w:rPr>
        <w:t>4</w:t>
      </w:r>
    </w:p>
    <w:p w14:paraId="3C62CA3F">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此款中“合同工程完工验收”均改为“合同工程验收”。</w:t>
      </w:r>
    </w:p>
    <w:p w14:paraId="089D5E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18.5阶段验收</w:t>
      </w:r>
    </w:p>
    <w:p w14:paraId="39B605C1">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18.5.1 本合同工程阶段验收类别包括：</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kern w:val="0"/>
          <w:szCs w:val="21"/>
          <w:highlight w:val="none"/>
          <w:u w:val="single"/>
        </w:rPr>
        <w:t>按</w:t>
      </w:r>
      <w:r>
        <w:rPr>
          <w:rFonts w:hint="eastAsia" w:ascii="宋体" w:hAnsi="宋体" w:eastAsia="宋体" w:cs="宋体"/>
          <w:color w:val="auto"/>
          <w:szCs w:val="21"/>
          <w:highlight w:val="none"/>
          <w:u w:val="single"/>
          <w:lang w:val="en-US" w:eastAsia="zh-CN"/>
        </w:rPr>
        <w:t>技术标准和要求（合同技术条款）</w:t>
      </w:r>
      <w:r>
        <w:rPr>
          <w:rFonts w:hint="eastAsia" w:ascii="宋体" w:hAnsi="宋体" w:eastAsia="宋体" w:cs="宋体"/>
          <w:color w:val="auto"/>
          <w:szCs w:val="21"/>
          <w:highlight w:val="none"/>
          <w:u w:val="single"/>
          <w:lang w:val="zh-CN"/>
        </w:rPr>
        <w:t>1.9.</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lang w:val="zh-CN"/>
        </w:rPr>
        <w:t>规定</w:t>
      </w:r>
      <w:r>
        <w:rPr>
          <w:rFonts w:hint="eastAsia" w:ascii="宋体" w:hAnsi="宋体" w:eastAsia="宋体" w:cs="宋体"/>
          <w:color w:val="auto"/>
          <w:szCs w:val="21"/>
          <w:highlight w:val="none"/>
          <w:u w:val="single"/>
          <w:lang w:val="en-US" w:eastAsia="zh-CN"/>
        </w:rPr>
        <w:t>和</w:t>
      </w:r>
      <w:r>
        <w:rPr>
          <w:rFonts w:hint="eastAsia" w:ascii="宋体" w:hAnsi="宋体" w:eastAsia="宋体" w:cs="宋体"/>
          <w:color w:val="auto"/>
          <w:kern w:val="0"/>
          <w:szCs w:val="21"/>
          <w:highlight w:val="none"/>
          <w:u w:val="single"/>
        </w:rPr>
        <w:t>行业相关验收规程、规范执行</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5269D0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18.6专项验收</w:t>
      </w:r>
    </w:p>
    <w:p w14:paraId="1431F47A">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18.6.2 本合同工程专项验收类别包括：</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kern w:val="0"/>
          <w:szCs w:val="21"/>
          <w:highlight w:val="none"/>
          <w:u w:val="single"/>
        </w:rPr>
        <w:t>按</w:t>
      </w:r>
      <w:r>
        <w:rPr>
          <w:rFonts w:hint="eastAsia" w:ascii="宋体" w:hAnsi="宋体" w:eastAsia="宋体" w:cs="宋体"/>
          <w:color w:val="auto"/>
          <w:szCs w:val="21"/>
          <w:highlight w:val="none"/>
          <w:u w:val="single"/>
          <w:lang w:val="en-US" w:eastAsia="zh-CN"/>
        </w:rPr>
        <w:t>技术标准和要求（合同技术条款）</w:t>
      </w:r>
      <w:r>
        <w:rPr>
          <w:rFonts w:hint="eastAsia" w:ascii="宋体" w:hAnsi="宋体" w:eastAsia="宋体" w:cs="宋体"/>
          <w:color w:val="auto"/>
          <w:szCs w:val="21"/>
          <w:highlight w:val="none"/>
          <w:u w:val="single"/>
          <w:lang w:val="zh-CN"/>
        </w:rPr>
        <w:t>1.9.</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u w:val="single"/>
          <w:lang w:val="zh-CN"/>
        </w:rPr>
        <w:t>规定</w:t>
      </w:r>
      <w:r>
        <w:rPr>
          <w:rFonts w:hint="eastAsia" w:ascii="宋体" w:hAnsi="宋体" w:eastAsia="宋体" w:cs="宋体"/>
          <w:color w:val="auto"/>
          <w:szCs w:val="21"/>
          <w:highlight w:val="none"/>
          <w:u w:val="single"/>
          <w:lang w:val="en-US" w:eastAsia="zh-CN"/>
        </w:rPr>
        <w:t>和</w:t>
      </w:r>
      <w:r>
        <w:rPr>
          <w:rFonts w:hint="eastAsia" w:ascii="宋体" w:hAnsi="宋体" w:eastAsia="宋体" w:cs="宋体"/>
          <w:color w:val="auto"/>
          <w:kern w:val="0"/>
          <w:szCs w:val="21"/>
          <w:highlight w:val="none"/>
          <w:u w:val="single"/>
        </w:rPr>
        <w:t>行业相关验收规程、规范执行</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7A594F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18.7竣工验收</w:t>
      </w:r>
    </w:p>
    <w:p w14:paraId="5CA9A369">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18.7.3 </w:t>
      </w:r>
      <w:r>
        <w:rPr>
          <w:rFonts w:hint="eastAsia" w:ascii="宋体" w:hAnsi="宋体" w:eastAsia="宋体" w:cs="宋体"/>
          <w:color w:val="auto"/>
          <w:highlight w:val="none"/>
          <w:u w:val="single"/>
        </w:rPr>
        <w:t>需要进行技术鉴定的，承包人应提交有关资料并完成配合工作</w:t>
      </w:r>
      <w:r>
        <w:rPr>
          <w:rFonts w:hint="eastAsia" w:ascii="宋体" w:hAnsi="宋体" w:eastAsia="宋体" w:cs="宋体"/>
          <w:color w:val="auto"/>
          <w:highlight w:val="none"/>
        </w:rPr>
        <w:t>。</w:t>
      </w:r>
    </w:p>
    <w:p w14:paraId="2638F8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18.8施工期运行</w:t>
      </w:r>
    </w:p>
    <w:p w14:paraId="2DF7C261">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18.8.1 需要在施工期运行的单位工程或工程设备为：</w:t>
      </w:r>
      <w:r>
        <w:rPr>
          <w:rFonts w:hint="eastAsia" w:ascii="宋体" w:hAnsi="宋体" w:eastAsia="宋体" w:cs="宋体"/>
          <w:color w:val="auto"/>
          <w:szCs w:val="21"/>
          <w:highlight w:val="none"/>
          <w:u w:val="single"/>
          <w:lang w:val="zh-CN"/>
        </w:rPr>
        <w:t>在合同履行过程中，需要在施工期运行的单位工程或部分工程由</w:t>
      </w:r>
      <w:r>
        <w:rPr>
          <w:rFonts w:hint="eastAsia" w:ascii="宋体" w:hAnsi="宋体" w:eastAsia="宋体" w:cs="宋体"/>
          <w:color w:val="auto"/>
          <w:szCs w:val="21"/>
          <w:highlight w:val="none"/>
          <w:u w:val="single"/>
          <w:lang w:val="en-US" w:eastAsia="zh-CN"/>
        </w:rPr>
        <w:t>发包人</w:t>
      </w:r>
      <w:r>
        <w:rPr>
          <w:rFonts w:hint="eastAsia" w:ascii="宋体" w:hAnsi="宋体" w:eastAsia="宋体" w:cs="宋体"/>
          <w:color w:val="auto"/>
          <w:szCs w:val="21"/>
          <w:highlight w:val="none"/>
          <w:u w:val="single"/>
          <w:lang w:val="zh-CN"/>
        </w:rPr>
        <w:t>另行</w:t>
      </w:r>
      <w:r>
        <w:rPr>
          <w:rFonts w:hint="eastAsia" w:ascii="宋体" w:hAnsi="宋体" w:eastAsia="宋体" w:cs="宋体"/>
          <w:color w:val="auto"/>
          <w:szCs w:val="21"/>
          <w:highlight w:val="none"/>
          <w:u w:val="single"/>
          <w:lang w:val="en-US" w:eastAsia="zh-CN"/>
        </w:rPr>
        <w:t>确定</w:t>
      </w:r>
      <w:r>
        <w:rPr>
          <w:rFonts w:hint="eastAsia" w:ascii="宋体" w:hAnsi="宋体" w:eastAsia="宋体" w:cs="宋体"/>
          <w:color w:val="auto"/>
          <w:szCs w:val="21"/>
          <w:highlight w:val="none"/>
          <w:lang w:val="zh-CN"/>
        </w:rPr>
        <w:t>。</w:t>
      </w:r>
    </w:p>
    <w:p w14:paraId="4B768D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18.9试运行</w:t>
      </w:r>
    </w:p>
    <w:p w14:paraId="4235E024">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18.9.1 </w:t>
      </w:r>
      <w:r>
        <w:rPr>
          <w:rFonts w:hint="eastAsia" w:ascii="宋体" w:hAnsi="宋体" w:eastAsia="宋体" w:cs="宋体"/>
          <w:color w:val="auto"/>
          <w:highlight w:val="none"/>
        </w:rPr>
        <w:t>试运行的组织</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发包人 </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费用承担</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承包人 </w:t>
      </w:r>
      <w:r>
        <w:rPr>
          <w:rFonts w:hint="eastAsia" w:ascii="宋体" w:hAnsi="宋体" w:eastAsia="宋体" w:cs="宋体"/>
          <w:color w:val="auto"/>
          <w:highlight w:val="none"/>
          <w:u w:val="none"/>
          <w:lang w:val="en-US" w:eastAsia="zh-CN"/>
        </w:rPr>
        <w:t>。</w:t>
      </w:r>
    </w:p>
    <w:p w14:paraId="66303040">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235" w:name="_Toc398105694"/>
      <w:bookmarkStart w:id="1236" w:name="_Toc15436"/>
      <w:bookmarkStart w:id="1237" w:name="_Toc16821"/>
      <w:r>
        <w:rPr>
          <w:rFonts w:hint="eastAsia" w:ascii="宋体" w:hAnsi="宋体" w:eastAsia="宋体" w:cs="宋体"/>
          <w:color w:val="auto"/>
          <w:sz w:val="21"/>
          <w:szCs w:val="21"/>
          <w:highlight w:val="none"/>
          <w:lang w:val="zh-CN" w:eastAsia="zh-CN"/>
        </w:rPr>
        <w:t>19.缺陷责任与保修责任</w:t>
      </w:r>
      <w:bookmarkEnd w:id="1235"/>
      <w:bookmarkEnd w:id="1236"/>
      <w:bookmarkEnd w:id="1237"/>
    </w:p>
    <w:p w14:paraId="305257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19.1缺陷责任期（工程质量保修期）的起算时间</w:t>
      </w:r>
    </w:p>
    <w:p w14:paraId="2D913D27">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u w:val="single"/>
          <w:lang w:val="zh-CN" w:eastAsia="zh-CN"/>
        </w:rPr>
      </w:pPr>
      <w:bookmarkStart w:id="1238" w:name="_Toc398105695"/>
      <w:r>
        <w:rPr>
          <w:rFonts w:hint="eastAsia" w:ascii="宋体" w:hAnsi="宋体" w:eastAsia="宋体" w:cs="宋体"/>
          <w:color w:val="auto"/>
          <w:szCs w:val="21"/>
          <w:highlight w:val="none"/>
          <w:u w:val="none"/>
          <w:lang w:val="zh-CN" w:eastAsia="zh-CN"/>
        </w:rPr>
        <w:t>本工程缺陷责任期（工程质量保修期）计算如下：</w:t>
      </w:r>
      <w:r>
        <w:rPr>
          <w:rFonts w:hint="eastAsia" w:ascii="宋体" w:hAnsi="宋体" w:eastAsia="宋体" w:cs="宋体"/>
          <w:color w:val="auto"/>
          <w:szCs w:val="21"/>
          <w:highlight w:val="none"/>
          <w:u w:val="single"/>
          <w:lang w:val="zh-CN" w:eastAsia="zh-CN"/>
        </w:rPr>
        <w:t xml:space="preserve"> 缺陷责任期（工程质量保修期</w:t>
      </w:r>
      <w:r>
        <w:rPr>
          <w:rFonts w:hint="eastAsia" w:ascii="宋体" w:hAnsi="宋体" w:cs="宋体"/>
          <w:color w:val="auto"/>
          <w:szCs w:val="21"/>
          <w:highlight w:val="none"/>
          <w:u w:val="single"/>
          <w:lang w:val="zh-CN" w:eastAsia="zh-CN"/>
        </w:rPr>
        <w:t>）</w:t>
      </w:r>
      <w:r>
        <w:rPr>
          <w:rFonts w:hint="eastAsia" w:ascii="宋体" w:hAnsi="宋体" w:eastAsia="宋体" w:cs="宋体"/>
          <w:color w:val="auto"/>
          <w:szCs w:val="21"/>
          <w:highlight w:val="none"/>
          <w:u w:val="single"/>
          <w:lang w:val="zh-CN" w:eastAsia="zh-CN"/>
        </w:rPr>
        <w:t>从本合同工程通过完工验收次日起开始计算1年。在合同工程完工验收前，已经发包人提前验收的单位工程或部分工程，若未投入使用，其缺陷责任期（工程质量保修期</w:t>
      </w:r>
      <w:r>
        <w:rPr>
          <w:rFonts w:hint="eastAsia" w:ascii="宋体" w:hAnsi="宋体" w:cs="宋体"/>
          <w:color w:val="auto"/>
          <w:szCs w:val="21"/>
          <w:highlight w:val="none"/>
          <w:u w:val="single"/>
          <w:lang w:val="zh-CN" w:eastAsia="zh-CN"/>
        </w:rPr>
        <w:t>）</w:t>
      </w:r>
      <w:r>
        <w:rPr>
          <w:rFonts w:hint="eastAsia" w:ascii="宋体" w:hAnsi="宋体" w:eastAsia="宋体" w:cs="宋体"/>
          <w:color w:val="auto"/>
          <w:szCs w:val="21"/>
          <w:highlight w:val="none"/>
          <w:u w:val="single"/>
          <w:lang w:val="zh-CN" w:eastAsia="zh-CN"/>
        </w:rPr>
        <w:t>亦从工程通过合同工程完工验收后开始计算。若已投入使用，其缺陷责任期（工程质量保修期</w:t>
      </w:r>
      <w:r>
        <w:rPr>
          <w:rFonts w:hint="eastAsia" w:ascii="宋体" w:hAnsi="宋体" w:cs="宋体"/>
          <w:color w:val="auto"/>
          <w:szCs w:val="21"/>
          <w:highlight w:val="none"/>
          <w:u w:val="single"/>
          <w:lang w:val="zh-CN" w:eastAsia="zh-CN"/>
        </w:rPr>
        <w:t>）</w:t>
      </w:r>
      <w:r>
        <w:rPr>
          <w:rFonts w:hint="eastAsia" w:ascii="宋体" w:hAnsi="宋体" w:eastAsia="宋体" w:cs="宋体"/>
          <w:color w:val="auto"/>
          <w:szCs w:val="21"/>
          <w:highlight w:val="none"/>
          <w:u w:val="single"/>
          <w:lang w:val="zh-CN" w:eastAsia="zh-CN"/>
        </w:rPr>
        <w:t>从通过单位工程或部分工程投入使用验收后开始计算。本工程缺陷责任期（工程质量保修期</w:t>
      </w:r>
      <w:r>
        <w:rPr>
          <w:rFonts w:hint="eastAsia" w:ascii="宋体" w:hAnsi="宋体" w:cs="宋体"/>
          <w:color w:val="auto"/>
          <w:szCs w:val="21"/>
          <w:highlight w:val="none"/>
          <w:u w:val="single"/>
          <w:lang w:val="zh-CN" w:eastAsia="zh-CN"/>
        </w:rPr>
        <w:t>）</w:t>
      </w:r>
      <w:r>
        <w:rPr>
          <w:rFonts w:hint="eastAsia" w:ascii="宋体" w:hAnsi="宋体" w:eastAsia="宋体" w:cs="宋体"/>
          <w:color w:val="auto"/>
          <w:szCs w:val="21"/>
          <w:highlight w:val="none"/>
          <w:u w:val="single"/>
          <w:lang w:val="zh-CN" w:eastAsia="zh-CN"/>
        </w:rPr>
        <w:t>的期限为1年 。</w:t>
      </w:r>
    </w:p>
    <w:p w14:paraId="75F6C8F2">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239" w:name="_Toc22570"/>
      <w:bookmarkStart w:id="1240" w:name="_Toc2076"/>
      <w:r>
        <w:rPr>
          <w:rFonts w:hint="eastAsia" w:ascii="宋体" w:hAnsi="宋体" w:eastAsia="宋体" w:cs="宋体"/>
          <w:color w:val="auto"/>
          <w:sz w:val="21"/>
          <w:szCs w:val="21"/>
          <w:highlight w:val="none"/>
          <w:lang w:val="zh-CN" w:eastAsia="zh-CN"/>
        </w:rPr>
        <w:t>20.保险</w:t>
      </w:r>
      <w:bookmarkEnd w:id="1238"/>
      <w:bookmarkEnd w:id="1239"/>
      <w:bookmarkEnd w:id="1240"/>
    </w:p>
    <w:p w14:paraId="1A190B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bookmarkStart w:id="1241" w:name="_Toc398105696"/>
      <w:r>
        <w:rPr>
          <w:rFonts w:hint="eastAsia" w:ascii="宋体" w:hAnsi="宋体" w:eastAsia="宋体" w:cs="宋体"/>
          <w:b/>
          <w:bCs/>
          <w:color w:val="auto"/>
          <w:highlight w:val="none"/>
          <w:lang w:val="zh-CN"/>
        </w:rPr>
        <w:t>20.1工程保险</w:t>
      </w:r>
    </w:p>
    <w:p w14:paraId="625D4FE2">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建筑工程一切险和（或）安装工程一切险投保人：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lang w:val="en-US" w:eastAsia="zh-CN"/>
        </w:rPr>
        <w:t>合同签订时商定</w:t>
      </w:r>
      <w:r>
        <w:rPr>
          <w:rFonts w:hint="eastAsia" w:ascii="宋体" w:hAnsi="宋体" w:eastAsia="宋体" w:cs="宋体"/>
          <w:color w:val="auto"/>
          <w:highlight w:val="none"/>
        </w:rPr>
        <w:t>。</w:t>
      </w:r>
    </w:p>
    <w:p w14:paraId="53669E7D">
      <w:pPr>
        <w:pageBreakBefore w:val="0"/>
        <w:widowControl w:val="0"/>
        <w:kinsoku/>
        <w:wordWrap/>
        <w:overflowPunct/>
        <w:topLinePunct w:val="0"/>
        <w:autoSpaceDE w:val="0"/>
        <w:autoSpaceDN w:val="0"/>
        <w:bidi w:val="0"/>
        <w:adjustRightInd w:val="0"/>
        <w:snapToGrid w:val="0"/>
        <w:spacing w:line="360" w:lineRule="auto"/>
        <w:ind w:right="249" w:firstLine="420"/>
        <w:textAlignment w:val="auto"/>
        <w:rPr>
          <w:rFonts w:hint="eastAsia" w:ascii="宋体" w:hAnsi="宋体" w:eastAsia="宋体" w:cs="宋体"/>
          <w:color w:val="auto"/>
          <w:highlight w:val="none"/>
          <w:u w:val="single"/>
          <w:lang w:val="zh-CN"/>
        </w:rPr>
      </w:pPr>
      <w:r>
        <w:rPr>
          <w:rFonts w:hint="eastAsia" w:ascii="宋体" w:hAnsi="宋体" w:eastAsia="宋体" w:cs="宋体"/>
          <w:color w:val="auto"/>
          <w:szCs w:val="21"/>
          <w:highlight w:val="none"/>
          <w:u w:val="single"/>
          <w:lang w:val="zh-CN"/>
        </w:rPr>
        <w:t>合同实施过程中，如果发生保险责任范围内的意外事故，承包人应按发包人（或发包人保险索赔代理人）及保险公司（或保险公司代理人）要求及时收集索赔证据材料，并配合发包人完成保险索赔工作，若因承包人原因导致发包人保险索赔失败的，承包人承担事故损失及善后的一切费用。</w:t>
      </w:r>
    </w:p>
    <w:p w14:paraId="58D6CA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20.4第三者责任险</w:t>
      </w:r>
    </w:p>
    <w:p w14:paraId="1CFD9362">
      <w:pPr>
        <w:pageBreakBefore w:val="0"/>
        <w:widowControl w:val="0"/>
        <w:tabs>
          <w:tab w:val="left" w:pos="1980"/>
        </w:tabs>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20.4.2 第三者责任险保险费率：</w:t>
      </w:r>
      <w:r>
        <w:rPr>
          <w:rFonts w:hint="eastAsia" w:ascii="宋体" w:hAnsi="宋体" w:eastAsia="宋体" w:cs="宋体"/>
          <w:color w:val="auto"/>
          <w:szCs w:val="21"/>
          <w:highlight w:val="none"/>
          <w:u w:val="single"/>
          <w:lang w:val="zh-CN"/>
        </w:rPr>
        <w:t xml:space="preserve"> 承包人责任范围内的第三者责任险保险费率按保险公司有关规定自行购买，投保费用视为风险费用包含在清单项目中，不单独列报 </w:t>
      </w:r>
      <w:r>
        <w:rPr>
          <w:rFonts w:hint="eastAsia" w:ascii="宋体" w:hAnsi="宋体" w:eastAsia="宋体" w:cs="宋体"/>
          <w:color w:val="auto"/>
          <w:szCs w:val="21"/>
          <w:highlight w:val="none"/>
          <w:lang w:val="zh-CN"/>
        </w:rPr>
        <w:t xml:space="preserve">； </w:t>
      </w:r>
    </w:p>
    <w:p w14:paraId="3875D46F">
      <w:pPr>
        <w:pageBreakBefore w:val="0"/>
        <w:widowControl w:val="0"/>
        <w:kinsoku/>
        <w:wordWrap/>
        <w:overflowPunct/>
        <w:topLinePunct w:val="0"/>
        <w:autoSpaceDE w:val="0"/>
        <w:autoSpaceDN w:val="0"/>
        <w:bidi w:val="0"/>
        <w:adjustRightInd w:val="0"/>
        <w:snapToGrid w:val="0"/>
        <w:spacing w:line="360" w:lineRule="auto"/>
        <w:ind w:right="249" w:firstLine="482"/>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第三者责任险保险金额：</w:t>
      </w:r>
      <w:r>
        <w:rPr>
          <w:rFonts w:hint="eastAsia" w:ascii="宋体" w:hAnsi="宋体" w:eastAsia="宋体" w:cs="宋体"/>
          <w:color w:val="auto"/>
          <w:szCs w:val="21"/>
          <w:highlight w:val="none"/>
          <w:u w:val="single"/>
          <w:lang w:val="zh-CN"/>
        </w:rPr>
        <w:t xml:space="preserve"> 按保险公司有关规定自主决定 </w:t>
      </w:r>
      <w:r>
        <w:rPr>
          <w:rFonts w:hint="eastAsia" w:ascii="宋体" w:hAnsi="宋体" w:eastAsia="宋体" w:cs="宋体"/>
          <w:color w:val="auto"/>
          <w:szCs w:val="21"/>
          <w:highlight w:val="none"/>
          <w:lang w:val="zh-CN"/>
        </w:rPr>
        <w:t xml:space="preserve">。 </w:t>
      </w:r>
    </w:p>
    <w:p w14:paraId="55D6BA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20.5其他保险</w:t>
      </w:r>
    </w:p>
    <w:p w14:paraId="13B5A1E4">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需要投保的其他内容：</w:t>
      </w:r>
      <w:r>
        <w:rPr>
          <w:rFonts w:hint="eastAsia" w:ascii="宋体" w:hAnsi="宋体" w:eastAsia="宋体" w:cs="宋体"/>
          <w:color w:val="auto"/>
          <w:szCs w:val="21"/>
          <w:highlight w:val="none"/>
          <w:u w:val="single"/>
          <w:lang w:val="zh-CN"/>
        </w:rPr>
        <w:t xml:space="preserve"> 承包人</w:t>
      </w:r>
      <w:r>
        <w:rPr>
          <w:rFonts w:hint="eastAsia" w:ascii="宋体" w:hAnsi="宋体" w:eastAsia="宋体" w:cs="宋体"/>
          <w:color w:val="auto"/>
          <w:szCs w:val="21"/>
          <w:highlight w:val="none"/>
          <w:u w:val="single"/>
          <w:lang w:val="en-US" w:eastAsia="zh-CN"/>
        </w:rPr>
        <w:t>履行安全生产责任时认为</w:t>
      </w:r>
      <w:r>
        <w:rPr>
          <w:rFonts w:hint="eastAsia" w:ascii="宋体" w:hAnsi="宋体" w:eastAsia="宋体" w:cs="宋体"/>
          <w:color w:val="auto"/>
          <w:szCs w:val="21"/>
          <w:highlight w:val="none"/>
          <w:u w:val="single"/>
          <w:lang w:val="zh-CN"/>
        </w:rPr>
        <w:t>应对其所属</w:t>
      </w:r>
      <w:r>
        <w:rPr>
          <w:rFonts w:hint="eastAsia" w:ascii="宋体" w:hAnsi="宋体" w:eastAsia="宋体" w:cs="宋体"/>
          <w:color w:val="auto"/>
          <w:szCs w:val="21"/>
          <w:highlight w:val="none"/>
          <w:u w:val="single"/>
        </w:rPr>
        <w:t>人员、</w:t>
      </w:r>
      <w:r>
        <w:rPr>
          <w:rFonts w:hint="eastAsia" w:ascii="宋体" w:hAnsi="宋体" w:eastAsia="宋体" w:cs="宋体"/>
          <w:color w:val="auto"/>
          <w:szCs w:val="21"/>
          <w:highlight w:val="none"/>
          <w:u w:val="single"/>
          <w:lang w:val="zh-CN"/>
        </w:rPr>
        <w:t>临时设施、施工设备、进场的材料、工程设备等购买保险，包括但不限于</w:t>
      </w:r>
      <w:bookmarkStart w:id="1242" w:name="_Hlk517027710"/>
      <w:r>
        <w:rPr>
          <w:rFonts w:hint="eastAsia" w:ascii="宋体" w:hAnsi="宋体" w:eastAsia="宋体" w:cs="宋体"/>
          <w:color w:val="auto"/>
          <w:szCs w:val="21"/>
          <w:highlight w:val="none"/>
          <w:u w:val="single"/>
        </w:rPr>
        <w:t>工伤事故险、人身</w:t>
      </w:r>
      <w:r>
        <w:rPr>
          <w:rFonts w:hint="eastAsia" w:ascii="宋体" w:hAnsi="宋体" w:eastAsia="宋体" w:cs="宋体"/>
          <w:color w:val="auto"/>
          <w:szCs w:val="21"/>
          <w:highlight w:val="none"/>
          <w:u w:val="single"/>
          <w:lang w:val="zh-CN"/>
        </w:rPr>
        <w:t>意外伤害险和</w:t>
      </w:r>
      <w:bookmarkEnd w:id="1242"/>
      <w:r>
        <w:rPr>
          <w:rFonts w:hint="eastAsia" w:ascii="宋体" w:hAnsi="宋体" w:eastAsia="宋体" w:cs="宋体"/>
          <w:color w:val="auto"/>
          <w:szCs w:val="21"/>
          <w:highlight w:val="none"/>
          <w:u w:val="single"/>
          <w:lang w:val="zh-CN"/>
        </w:rPr>
        <w:t>安全生产责任险等，相关费用包含在</w:t>
      </w:r>
      <w:r>
        <w:rPr>
          <w:rFonts w:hint="eastAsia" w:ascii="宋体" w:hAnsi="宋体" w:cs="宋体"/>
          <w:color w:val="auto"/>
          <w:szCs w:val="21"/>
          <w:highlight w:val="none"/>
          <w:u w:val="single"/>
          <w:lang w:val="zh-CN"/>
        </w:rPr>
        <w:t>响应报价</w:t>
      </w:r>
      <w:r>
        <w:rPr>
          <w:rFonts w:hint="eastAsia" w:ascii="宋体" w:hAnsi="宋体" w:eastAsia="宋体" w:cs="宋体"/>
          <w:color w:val="auto"/>
          <w:szCs w:val="21"/>
          <w:highlight w:val="none"/>
          <w:u w:val="single"/>
          <w:lang w:val="zh-CN"/>
        </w:rPr>
        <w:t>中，发包人不再另行支付</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w:t>
      </w:r>
    </w:p>
    <w:p w14:paraId="411777CE">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保险金额、保险费率和保险期限：</w:t>
      </w:r>
      <w:r>
        <w:rPr>
          <w:rFonts w:hint="eastAsia" w:ascii="宋体" w:hAnsi="宋体" w:eastAsia="宋体" w:cs="宋体"/>
          <w:color w:val="auto"/>
          <w:szCs w:val="21"/>
          <w:highlight w:val="none"/>
          <w:u w:val="single"/>
          <w:lang w:val="zh-CN"/>
        </w:rPr>
        <w:t xml:space="preserve">  承包人自行决定  </w:t>
      </w:r>
      <w:r>
        <w:rPr>
          <w:rFonts w:hint="eastAsia" w:ascii="宋体" w:hAnsi="宋体" w:eastAsia="宋体" w:cs="宋体"/>
          <w:color w:val="auto"/>
          <w:szCs w:val="21"/>
          <w:highlight w:val="none"/>
          <w:lang w:val="zh-CN"/>
        </w:rPr>
        <w:t>。</w:t>
      </w:r>
    </w:p>
    <w:p w14:paraId="390ABD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20.6对各项保险的一般要求</w:t>
      </w:r>
    </w:p>
    <w:p w14:paraId="0A79DC5A">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20.6.1 保险凭证</w:t>
      </w:r>
    </w:p>
    <w:p w14:paraId="589993D8">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承包人提交保险凭证的期限：</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u w:val="single"/>
          <w:lang w:val="en-US" w:eastAsia="zh-CN"/>
        </w:rPr>
        <w:t>合同签订时商定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19E46442">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保险条件：</w:t>
      </w:r>
      <w:r>
        <w:rPr>
          <w:rFonts w:hint="eastAsia" w:ascii="宋体" w:hAnsi="宋体" w:eastAsia="宋体" w:cs="宋体"/>
          <w:color w:val="auto"/>
          <w:szCs w:val="21"/>
          <w:highlight w:val="none"/>
          <w:u w:val="single"/>
          <w:lang w:val="zh-CN"/>
        </w:rPr>
        <w:t xml:space="preserve"> 另行约定  </w:t>
      </w:r>
      <w:r>
        <w:rPr>
          <w:rFonts w:hint="eastAsia" w:ascii="宋体" w:hAnsi="宋体" w:eastAsia="宋体" w:cs="宋体"/>
          <w:color w:val="auto"/>
          <w:szCs w:val="21"/>
          <w:highlight w:val="none"/>
          <w:lang w:val="zh-CN"/>
        </w:rPr>
        <w:t>。</w:t>
      </w:r>
    </w:p>
    <w:p w14:paraId="7D06CD94">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20.6.4保险金不足的补偿</w:t>
      </w:r>
    </w:p>
    <w:p w14:paraId="4BD0C047">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kern w:val="0"/>
          <w:highlight w:val="none"/>
        </w:rPr>
        <w:t>承包人</w:t>
      </w:r>
      <w:r>
        <w:rPr>
          <w:rFonts w:hint="eastAsia" w:ascii="宋体" w:hAnsi="宋体" w:eastAsia="宋体" w:cs="宋体"/>
          <w:color w:val="auto"/>
          <w:szCs w:val="21"/>
          <w:highlight w:val="none"/>
          <w:lang w:val="zh-CN"/>
        </w:rPr>
        <w:t>负责补偿的范围与金额：</w:t>
      </w:r>
      <w:r>
        <w:rPr>
          <w:rFonts w:hint="eastAsia" w:ascii="宋体" w:hAnsi="宋体" w:eastAsia="宋体" w:cs="宋体"/>
          <w:color w:val="auto"/>
          <w:szCs w:val="21"/>
          <w:highlight w:val="none"/>
          <w:u w:val="single"/>
          <w:lang w:val="zh-CN"/>
        </w:rPr>
        <w:t xml:space="preserve"> 合同规定由承包人投保的范围，相关的补偿金额由承包人自行负责 </w:t>
      </w:r>
      <w:r>
        <w:rPr>
          <w:rFonts w:hint="eastAsia" w:ascii="宋体" w:hAnsi="宋体" w:eastAsia="宋体" w:cs="宋体"/>
          <w:color w:val="auto"/>
          <w:szCs w:val="21"/>
          <w:highlight w:val="none"/>
          <w:lang w:val="zh-CN"/>
        </w:rPr>
        <w:t>；</w:t>
      </w:r>
    </w:p>
    <w:p w14:paraId="1AB74F64">
      <w:pPr>
        <w:pageBreakBefore w:val="0"/>
        <w:widowControl w:val="0"/>
        <w:kinsoku/>
        <w:wordWrap/>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kern w:val="0"/>
          <w:highlight w:val="none"/>
        </w:rPr>
        <w:t>发包人</w:t>
      </w:r>
      <w:r>
        <w:rPr>
          <w:rFonts w:hint="eastAsia" w:ascii="宋体" w:hAnsi="宋体" w:eastAsia="宋体" w:cs="宋体"/>
          <w:color w:val="auto"/>
          <w:szCs w:val="21"/>
          <w:highlight w:val="none"/>
          <w:lang w:val="zh-CN"/>
        </w:rPr>
        <w:t>负责补偿的范围与金额：</w:t>
      </w:r>
      <w:r>
        <w:rPr>
          <w:rFonts w:hint="eastAsia" w:ascii="宋体" w:hAnsi="宋体" w:eastAsia="宋体" w:cs="宋体"/>
          <w:color w:val="auto"/>
          <w:szCs w:val="21"/>
          <w:highlight w:val="none"/>
          <w:u w:val="single"/>
          <w:lang w:val="zh-CN"/>
        </w:rPr>
        <w:t xml:space="preserve"> 合同规定由发包人投保的范围，相关的补偿金额由发包人自行负责 </w:t>
      </w:r>
      <w:r>
        <w:rPr>
          <w:rFonts w:hint="eastAsia" w:ascii="宋体" w:hAnsi="宋体" w:eastAsia="宋体" w:cs="宋体"/>
          <w:color w:val="auto"/>
          <w:szCs w:val="21"/>
          <w:highlight w:val="none"/>
          <w:lang w:val="zh-CN"/>
        </w:rPr>
        <w:t>。</w:t>
      </w:r>
    </w:p>
    <w:p w14:paraId="2B6FD669">
      <w:pPr>
        <w:pStyle w:val="4"/>
        <w:keepNext/>
        <w:keepLines/>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宋体" w:hAnsi="宋体" w:eastAsia="宋体" w:cs="宋体"/>
          <w:color w:val="auto"/>
          <w:sz w:val="21"/>
          <w:szCs w:val="21"/>
          <w:highlight w:val="none"/>
          <w:lang w:val="zh-CN" w:eastAsia="zh-CN"/>
        </w:rPr>
      </w:pPr>
      <w:bookmarkStart w:id="1243" w:name="_Toc1056"/>
      <w:bookmarkStart w:id="1244" w:name="_Toc3295"/>
      <w:r>
        <w:rPr>
          <w:rFonts w:hint="eastAsia" w:ascii="宋体" w:hAnsi="宋体" w:eastAsia="宋体" w:cs="宋体"/>
          <w:color w:val="auto"/>
          <w:sz w:val="21"/>
          <w:szCs w:val="21"/>
          <w:highlight w:val="none"/>
          <w:lang w:val="zh-CN" w:eastAsia="zh-CN"/>
        </w:rPr>
        <w:t>24.争议的解决</w:t>
      </w:r>
      <w:bookmarkEnd w:id="1241"/>
      <w:bookmarkEnd w:id="1243"/>
      <w:bookmarkEnd w:id="1244"/>
    </w:p>
    <w:p w14:paraId="7B8393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24.1争议的解决方式</w:t>
      </w:r>
    </w:p>
    <w:p w14:paraId="7E7C58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kern w:val="0"/>
          <w:szCs w:val="22"/>
          <w:highlight w:val="none"/>
          <w:lang w:val="en-US"/>
        </w:rPr>
        <w:t>合同当事人友好协商解决不成、不愿提请争议评审或不接受争议评审组意见的，</w:t>
      </w:r>
      <w:r>
        <w:rPr>
          <w:rFonts w:hint="eastAsia" w:ascii="宋体" w:hAnsi="宋体" w:eastAsia="宋体" w:cs="宋体"/>
          <w:color w:val="auto"/>
          <w:highlight w:val="none"/>
        </w:rPr>
        <w:t>约定的合同争议解决方式：</w:t>
      </w:r>
      <w:r>
        <w:rPr>
          <w:rFonts w:hint="eastAsia" w:ascii="宋体" w:hAnsi="宋体" w:eastAsia="宋体" w:cs="宋体"/>
          <w:color w:val="auto"/>
          <w:highlight w:val="none"/>
          <w:u w:val="single"/>
        </w:rPr>
        <w:t xml:space="preserve"> 向</w:t>
      </w:r>
      <w:r>
        <w:rPr>
          <w:rFonts w:hint="eastAsia" w:ascii="宋体" w:hAnsi="宋体" w:eastAsia="宋体" w:cs="宋体"/>
          <w:color w:val="auto"/>
          <w:highlight w:val="none"/>
          <w:u w:val="single"/>
          <w:lang w:val="en-US" w:eastAsia="zh-CN"/>
        </w:rPr>
        <w:t>工程</w:t>
      </w:r>
      <w:r>
        <w:rPr>
          <w:rFonts w:hint="eastAsia" w:ascii="宋体" w:hAnsi="宋体" w:eastAsia="宋体" w:cs="宋体"/>
          <w:color w:val="auto"/>
          <w:highlight w:val="none"/>
          <w:u w:val="single"/>
        </w:rPr>
        <w:t xml:space="preserve">所在地有管辖权的人民法院提起诉讼 </w:t>
      </w:r>
      <w:r>
        <w:rPr>
          <w:rFonts w:hint="eastAsia" w:ascii="宋体" w:hAnsi="宋体" w:eastAsia="宋体" w:cs="宋体"/>
          <w:color w:val="auto"/>
          <w:highlight w:val="none"/>
        </w:rPr>
        <w:t>。</w:t>
      </w:r>
    </w:p>
    <w:p w14:paraId="051BF88A">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Times New Roman"/>
          <w:b/>
          <w:color w:val="auto"/>
          <w:kern w:val="0"/>
          <w:sz w:val="28"/>
          <w:highlight w:val="none"/>
        </w:rPr>
      </w:pPr>
      <w:r>
        <w:rPr>
          <w:rFonts w:hint="eastAsia" w:ascii="宋体" w:hAnsi="宋体" w:eastAsia="宋体" w:cs="Times New Roman"/>
          <w:b/>
          <w:color w:val="auto"/>
          <w:kern w:val="0"/>
          <w:sz w:val="28"/>
          <w:highlight w:val="none"/>
        </w:rPr>
        <w:br w:type="page"/>
      </w:r>
    </w:p>
    <w:p w14:paraId="2B337A72">
      <w:pPr>
        <w:pStyle w:val="3"/>
        <w:keepNext w:val="0"/>
        <w:keepLines w:val="0"/>
        <w:spacing w:line="360" w:lineRule="auto"/>
        <w:jc w:val="center"/>
        <w:rPr>
          <w:rFonts w:hint="eastAsia" w:ascii="宋体" w:hAnsi="宋体" w:eastAsia="宋体" w:cs="宋体"/>
          <w:color w:val="auto"/>
          <w:szCs w:val="28"/>
          <w:highlight w:val="none"/>
          <w:lang w:eastAsia="zh-CN"/>
        </w:rPr>
      </w:pPr>
      <w:bookmarkStart w:id="1245" w:name="_Toc23764"/>
      <w:bookmarkStart w:id="1246" w:name="_Toc30304"/>
      <w:bookmarkStart w:id="1247" w:name="_Toc30744"/>
      <w:bookmarkStart w:id="1248" w:name="_Toc6068"/>
      <w:bookmarkStart w:id="1249" w:name="_Toc16790"/>
      <w:r>
        <w:rPr>
          <w:rFonts w:hint="eastAsia" w:ascii="宋体" w:hAnsi="宋体" w:eastAsia="宋体" w:cs="宋体"/>
          <w:color w:val="auto"/>
          <w:szCs w:val="28"/>
          <w:highlight w:val="none"/>
          <w:lang w:eastAsia="zh-CN"/>
        </w:rPr>
        <w:t>第三节 合同附件格式</w:t>
      </w:r>
      <w:bookmarkEnd w:id="1055"/>
      <w:bookmarkEnd w:id="1056"/>
      <w:bookmarkEnd w:id="1057"/>
      <w:bookmarkEnd w:id="1058"/>
      <w:bookmarkEnd w:id="1245"/>
      <w:bookmarkEnd w:id="1246"/>
      <w:bookmarkEnd w:id="1247"/>
      <w:bookmarkEnd w:id="1248"/>
      <w:bookmarkEnd w:id="1249"/>
    </w:p>
    <w:p w14:paraId="01DFCB1B">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bookmarkStart w:id="1250" w:name="_Toc152045768"/>
      <w:bookmarkStart w:id="1251" w:name="_Toc152042547"/>
      <w:bookmarkStart w:id="1252" w:name="_Toc179632786"/>
      <w:bookmarkStart w:id="1253" w:name="_Toc144974827"/>
      <w:r>
        <w:rPr>
          <w:rFonts w:hint="eastAsia" w:ascii="Times New Roman" w:hAnsi="Times New Roman" w:eastAsia="宋体" w:cs="Times New Roman"/>
          <w:b/>
          <w:bCs/>
          <w:color w:val="auto"/>
          <w:highlight w:val="none"/>
        </w:rPr>
        <w:t>附件一：</w:t>
      </w:r>
      <w:bookmarkEnd w:id="1250"/>
      <w:bookmarkEnd w:id="1251"/>
      <w:bookmarkEnd w:id="1252"/>
      <w:bookmarkEnd w:id="1253"/>
    </w:p>
    <w:p w14:paraId="3E48619A">
      <w:pPr>
        <w:spacing w:line="440" w:lineRule="exact"/>
        <w:jc w:val="center"/>
        <w:rPr>
          <w:rFonts w:hint="eastAsia" w:ascii="黑体" w:eastAsia="黑体"/>
          <w:color w:val="auto"/>
          <w:sz w:val="28"/>
          <w:szCs w:val="28"/>
          <w:highlight w:val="none"/>
        </w:rPr>
      </w:pPr>
      <w:r>
        <w:rPr>
          <w:rFonts w:hint="eastAsia" w:ascii="黑体" w:eastAsia="黑体"/>
          <w:color w:val="auto"/>
          <w:sz w:val="28"/>
          <w:szCs w:val="28"/>
          <w:highlight w:val="none"/>
        </w:rPr>
        <w:t>合同协议书</w:t>
      </w:r>
    </w:p>
    <w:p w14:paraId="38539D79">
      <w:pPr>
        <w:spacing w:line="440" w:lineRule="exact"/>
        <w:rPr>
          <w:color w:val="auto"/>
          <w:szCs w:val="21"/>
          <w:highlight w:val="none"/>
        </w:rPr>
      </w:pPr>
    </w:p>
    <w:p w14:paraId="14E362DC">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（发包人名称，以下简称“发包人”）为实施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（项目名称），已接受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（承包人名称，以下简称“承包人”）对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标段施工的投标。发包人和承包人共同达成如下协议。</w:t>
      </w:r>
    </w:p>
    <w:p w14:paraId="2CF34099">
      <w:pPr>
        <w:spacing w:line="440" w:lineRule="exact"/>
        <w:ind w:firstLine="359" w:firstLineChars="171"/>
        <w:rPr>
          <w:rFonts w:hint="eastAsia" w:ascii="宋体" w:hAnsi="宋体" w:eastAsia="宋体" w:cs="宋体"/>
          <w:color w:val="auto"/>
          <w:szCs w:val="21"/>
          <w:highlight w:val="none"/>
        </w:rPr>
      </w:pPr>
      <w:bookmarkStart w:id="1254" w:name="_Toc152042548"/>
      <w:bookmarkStart w:id="1255" w:name="_Toc144974828"/>
      <w:r>
        <w:rPr>
          <w:rFonts w:hint="eastAsia" w:ascii="宋体" w:hAnsi="宋体" w:eastAsia="宋体" w:cs="宋体"/>
          <w:color w:val="auto"/>
          <w:szCs w:val="21"/>
          <w:highlight w:val="none"/>
        </w:rPr>
        <w:t>1. 本协议书与下列文件一起构成合同文件：</w:t>
      </w:r>
      <w:bookmarkEnd w:id="1254"/>
      <w:bookmarkEnd w:id="1255"/>
    </w:p>
    <w:p w14:paraId="3E1BF07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通知书；</w:t>
      </w:r>
    </w:p>
    <w:p w14:paraId="3BBBE8F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（2）投标函及投标函附录；</w:t>
      </w:r>
    </w:p>
    <w:p w14:paraId="4647CD5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w:t>
      </w:r>
    </w:p>
    <w:p w14:paraId="03C2695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0C5878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合同技术条款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06FB33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4E63525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w:t>
      </w:r>
    </w:p>
    <w:p w14:paraId="4C820D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4263331E">
      <w:pPr>
        <w:spacing w:line="440" w:lineRule="exact"/>
        <w:ind w:firstLine="359" w:firstLineChars="171"/>
        <w:rPr>
          <w:rFonts w:hint="eastAsia" w:ascii="宋体" w:hAnsi="宋体" w:eastAsia="宋体" w:cs="宋体"/>
          <w:color w:val="auto"/>
          <w:szCs w:val="21"/>
          <w:highlight w:val="none"/>
        </w:rPr>
      </w:pPr>
      <w:bookmarkStart w:id="1256" w:name="_Toc144974829"/>
      <w:bookmarkStart w:id="1257" w:name="_Toc152042549"/>
      <w:r>
        <w:rPr>
          <w:rFonts w:hint="eastAsia" w:ascii="宋体" w:hAnsi="宋体" w:eastAsia="宋体" w:cs="宋体"/>
          <w:color w:val="auto"/>
          <w:szCs w:val="21"/>
          <w:highlight w:val="none"/>
        </w:rPr>
        <w:t>2. 上述文件互相补充和解释，如有不明确或不一致之处，以合同约定次序在先者为准。</w:t>
      </w:r>
      <w:bookmarkEnd w:id="1256"/>
      <w:bookmarkEnd w:id="1257"/>
    </w:p>
    <w:p w14:paraId="0297CA2D">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3. 签约合同价：人民币（大写）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5257B2B">
      <w:pPr>
        <w:spacing w:line="440" w:lineRule="exact"/>
        <w:ind w:firstLine="359" w:firstLineChars="171"/>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 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1B5D9AE">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工程质量符合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标准。</w:t>
      </w:r>
    </w:p>
    <w:p w14:paraId="1DA8E77B">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承包人承诺按合同约定承担工程的实施、完成及缺陷修复。</w:t>
      </w:r>
    </w:p>
    <w:p w14:paraId="2554D3E4">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7. 发包人承诺按合同约定的条件、时间和方式向承包人支付合同价款。</w:t>
      </w:r>
    </w:p>
    <w:p w14:paraId="39A8B149">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8. 承包人应按照监理人指示开工，工期为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天。</w:t>
      </w:r>
    </w:p>
    <w:p w14:paraId="58C45714">
      <w:pPr>
        <w:spacing w:line="440" w:lineRule="exact"/>
        <w:ind w:firstLine="359"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9. 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份，合同双方各执一份。</w:t>
      </w:r>
    </w:p>
    <w:p w14:paraId="5E0E84F1">
      <w:pPr>
        <w:spacing w:line="440" w:lineRule="exact"/>
        <w:ind w:firstLine="359" w:firstLineChars="171"/>
        <w:rPr>
          <w:rFonts w:hint="eastAsia" w:ascii="宋体" w:hAnsi="宋体" w:eastAsia="宋体" w:cs="宋体"/>
          <w:color w:val="auto"/>
          <w:szCs w:val="21"/>
          <w:highlight w:val="none"/>
        </w:rPr>
      </w:pPr>
      <w:bookmarkStart w:id="1258" w:name="_Toc144974830"/>
      <w:bookmarkStart w:id="1259" w:name="_Toc152042550"/>
      <w:r>
        <w:rPr>
          <w:rFonts w:hint="eastAsia" w:ascii="宋体" w:hAnsi="宋体" w:eastAsia="宋体" w:cs="宋体"/>
          <w:color w:val="auto"/>
          <w:szCs w:val="21"/>
          <w:highlight w:val="none"/>
        </w:rPr>
        <w:t>10. 合同未尽事宜，双方另行签订补充协议。补充协议是合同的组成部分。</w:t>
      </w:r>
      <w:bookmarkEnd w:id="1258"/>
      <w:bookmarkEnd w:id="1259"/>
    </w:p>
    <w:p w14:paraId="1208EDBD">
      <w:pPr>
        <w:spacing w:line="440" w:lineRule="exact"/>
        <w:ind w:firstLine="359" w:firstLineChars="171"/>
        <w:rPr>
          <w:rFonts w:hint="eastAsia" w:ascii="宋体" w:hAnsi="宋体" w:eastAsia="宋体" w:cs="宋体"/>
          <w:color w:val="auto"/>
          <w:szCs w:val="21"/>
          <w:highlight w:val="none"/>
        </w:rPr>
      </w:pPr>
    </w:p>
    <w:p w14:paraId="6B3CE26E">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     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479F54FD">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    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03A5745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日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B8DB79D">
      <w:pPr>
        <w:spacing w:line="440" w:lineRule="exact"/>
        <w:rPr>
          <w:rFonts w:hint="eastAsia"/>
          <w:color w:val="auto"/>
          <w:szCs w:val="21"/>
          <w:highlight w:val="none"/>
        </w:rPr>
      </w:pPr>
    </w:p>
    <w:p w14:paraId="55C9977E">
      <w:pPr>
        <w:rPr>
          <w:rFonts w:hint="eastAsia" w:ascii="Times New Roman" w:hAnsi="Times New Roman" w:eastAsia="宋体" w:cs="Times New Roman"/>
          <w:b/>
          <w:bCs/>
          <w:color w:val="auto"/>
          <w:highlight w:val="none"/>
        </w:rPr>
      </w:pPr>
      <w:bookmarkStart w:id="1260" w:name="_Toc152045769"/>
      <w:bookmarkStart w:id="1261" w:name="_Toc144974831"/>
      <w:bookmarkStart w:id="1262" w:name="_Toc152042551"/>
      <w:bookmarkStart w:id="1263" w:name="_Toc179632787"/>
      <w:r>
        <w:rPr>
          <w:rFonts w:hint="eastAsia" w:ascii="Times New Roman" w:hAnsi="Times New Roman" w:eastAsia="宋体" w:cs="Times New Roman"/>
          <w:b/>
          <w:bCs/>
          <w:color w:val="auto"/>
          <w:highlight w:val="none"/>
        </w:rPr>
        <w:br w:type="page"/>
      </w:r>
    </w:p>
    <w:p w14:paraId="0C1955C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Times New Roman" w:hAnsi="Times New Roman" w:eastAsia="宋体" w:cs="Times New Roman"/>
          <w:b/>
          <w:bCs/>
          <w:color w:val="auto"/>
          <w:highlight w:val="none"/>
        </w:rPr>
        <w:t>附件二：</w:t>
      </w:r>
      <w:bookmarkEnd w:id="1260"/>
      <w:bookmarkEnd w:id="1261"/>
      <w:bookmarkEnd w:id="1262"/>
      <w:bookmarkEnd w:id="1263"/>
    </w:p>
    <w:p w14:paraId="7922B0B9">
      <w:pPr>
        <w:spacing w:line="440" w:lineRule="exact"/>
        <w:jc w:val="center"/>
        <w:rPr>
          <w:rFonts w:eastAsia="黑体"/>
          <w:color w:val="auto"/>
          <w:sz w:val="28"/>
          <w:szCs w:val="28"/>
          <w:highlight w:val="none"/>
        </w:rPr>
      </w:pPr>
      <w:r>
        <w:rPr>
          <w:rFonts w:eastAsia="黑体"/>
          <w:color w:val="auto"/>
          <w:sz w:val="28"/>
          <w:szCs w:val="28"/>
          <w:highlight w:val="none"/>
        </w:rPr>
        <w:t>履约担保</w:t>
      </w:r>
    </w:p>
    <w:p w14:paraId="2C4997E4">
      <w:pPr>
        <w:spacing w:line="440" w:lineRule="exact"/>
        <w:rPr>
          <w:rFonts w:eastAsia="黑体"/>
          <w:color w:val="auto"/>
          <w:sz w:val="20"/>
          <w:szCs w:val="20"/>
          <w:highlight w:val="none"/>
        </w:rPr>
      </w:pPr>
    </w:p>
    <w:p w14:paraId="123F2766">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77189D2C">
      <w:pPr>
        <w:spacing w:line="440" w:lineRule="exact"/>
        <w:rPr>
          <w:rFonts w:hint="eastAsia" w:ascii="宋体" w:hAnsi="宋体" w:eastAsia="宋体" w:cs="宋体"/>
          <w:color w:val="auto"/>
          <w:szCs w:val="21"/>
          <w:highlight w:val="none"/>
        </w:rPr>
      </w:pPr>
    </w:p>
    <w:p w14:paraId="39231C68">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（发包人名称，以下简称“发包人”）接受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w:t>
      </w:r>
      <w:r>
        <w:rPr>
          <w:rFonts w:hint="eastAsia" w:ascii="宋体" w:hAnsi="宋体" w:cs="宋体"/>
          <w:color w:val="auto"/>
          <w:szCs w:val="21"/>
          <w:highlight w:val="none"/>
          <w:lang w:eastAsia="zh-CN"/>
        </w:rPr>
        <w:t>下简</w:t>
      </w:r>
      <w:r>
        <w:rPr>
          <w:rFonts w:hint="eastAsia" w:ascii="宋体" w:hAnsi="宋体" w:eastAsia="宋体" w:cs="宋体"/>
          <w:color w:val="auto"/>
          <w:szCs w:val="21"/>
          <w:highlight w:val="none"/>
        </w:rPr>
        <w:t>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val="en-US" w:eastAsia="zh-CN"/>
        </w:rPr>
        <w:t>递交的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标段施工的投标</w:t>
      </w:r>
      <w:r>
        <w:rPr>
          <w:rFonts w:hint="eastAsia" w:ascii="宋体" w:hAnsi="宋体" w:eastAsia="宋体" w:cs="宋体"/>
          <w:color w:val="auto"/>
          <w:szCs w:val="21"/>
          <w:highlight w:val="none"/>
          <w:lang w:val="en-US" w:eastAsia="zh-CN"/>
        </w:rPr>
        <w:t>文件</w:t>
      </w:r>
      <w:r>
        <w:rPr>
          <w:rFonts w:hint="eastAsia" w:ascii="宋体" w:hAnsi="宋体" w:eastAsia="宋体" w:cs="宋体"/>
          <w:color w:val="auto"/>
          <w:szCs w:val="21"/>
          <w:highlight w:val="none"/>
        </w:rPr>
        <w:t>。我方愿意无条件地、不可撤销地就承包人履行与你方订立的合同，向你方提供担保。</w:t>
      </w:r>
    </w:p>
    <w:p w14:paraId="1213793C">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8E3BBA">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担保有效期自发包人与承包人签订的合同生效之日起至发包人签发工程接收证书之日止。</w:t>
      </w:r>
    </w:p>
    <w:p w14:paraId="53487B12">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5D57CBD6">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发包人和承包人按《通用合同条款》</w:t>
      </w:r>
      <w:r>
        <w:rPr>
          <w:rFonts w:hint="eastAsia" w:ascii="宋体" w:hAnsi="宋体" w:cs="宋体"/>
          <w:color w:val="auto"/>
          <w:szCs w:val="21"/>
          <w:highlight w:val="none"/>
          <w:lang w:eastAsia="zh-CN"/>
        </w:rPr>
        <w:t>第十五条</w:t>
      </w:r>
      <w:r>
        <w:rPr>
          <w:rFonts w:hint="eastAsia" w:ascii="宋体" w:hAnsi="宋体" w:eastAsia="宋体" w:cs="宋体"/>
          <w:color w:val="auto"/>
          <w:szCs w:val="21"/>
          <w:highlight w:val="none"/>
        </w:rPr>
        <w:t>变更合同时，我方承担本担保规定的义务不变。</w:t>
      </w:r>
    </w:p>
    <w:p w14:paraId="751519C8">
      <w:pPr>
        <w:spacing w:line="440" w:lineRule="exact"/>
        <w:rPr>
          <w:rFonts w:hint="eastAsia" w:ascii="宋体" w:hAnsi="宋体" w:eastAsia="宋体" w:cs="宋体"/>
          <w:color w:val="auto"/>
          <w:szCs w:val="21"/>
          <w:highlight w:val="none"/>
        </w:rPr>
      </w:pPr>
    </w:p>
    <w:p w14:paraId="429443D7">
      <w:pPr>
        <w:spacing w:line="600" w:lineRule="exact"/>
        <w:ind w:firstLine="3418" w:firstLineChars="1628"/>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 保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09821B3C">
      <w:pPr>
        <w:spacing w:line="600" w:lineRule="exact"/>
        <w:ind w:firstLine="3418" w:firstLineChars="1628"/>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06067014">
      <w:pPr>
        <w:spacing w:line="600" w:lineRule="exact"/>
        <w:ind w:firstLine="3418" w:firstLineChars="1628"/>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1EDA4FC8">
      <w:pPr>
        <w:spacing w:line="600" w:lineRule="exact"/>
        <w:ind w:firstLine="3418" w:firstLineChars="1628"/>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7450EAF3">
      <w:pPr>
        <w:spacing w:line="600" w:lineRule="exact"/>
        <w:ind w:firstLine="3418" w:firstLineChars="1628"/>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3F6C8489">
      <w:pPr>
        <w:spacing w:line="600" w:lineRule="exact"/>
        <w:ind w:firstLine="3418" w:firstLineChars="1628"/>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5998B972">
      <w:pPr>
        <w:spacing w:line="600" w:lineRule="exact"/>
        <w:ind w:firstLine="4678" w:firstLineChars="2228"/>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78FD14B">
      <w:pPr>
        <w:spacing w:line="600" w:lineRule="exact"/>
        <w:jc w:val="left"/>
        <w:rPr>
          <w:rFonts w:hint="eastAsia"/>
          <w:color w:val="auto"/>
          <w:szCs w:val="21"/>
          <w:highlight w:val="none"/>
          <w:lang w:val="en-US" w:eastAsia="zh-CN"/>
        </w:rPr>
      </w:pPr>
    </w:p>
    <w:p w14:paraId="7C31C9DA">
      <w:pPr>
        <w:spacing w:line="600" w:lineRule="exact"/>
        <w:jc w:val="left"/>
        <w:rPr>
          <w:rFonts w:hint="eastAsia"/>
          <w:color w:val="auto"/>
          <w:szCs w:val="21"/>
          <w:highlight w:val="none"/>
          <w:lang w:val="en-US" w:eastAsia="zh-CN"/>
        </w:rPr>
      </w:pPr>
    </w:p>
    <w:p w14:paraId="3ADD0718">
      <w:pPr>
        <w:spacing w:line="600" w:lineRule="exact"/>
        <w:jc w:val="left"/>
        <w:rPr>
          <w:rFonts w:hint="eastAsia"/>
          <w:color w:val="auto"/>
          <w:szCs w:val="21"/>
          <w:highlight w:val="none"/>
          <w:lang w:val="en-US" w:eastAsia="zh-CN"/>
        </w:rPr>
      </w:pPr>
    </w:p>
    <w:p w14:paraId="228390CD">
      <w:pPr>
        <w:spacing w:line="600" w:lineRule="exact"/>
        <w:jc w:val="left"/>
        <w:rPr>
          <w:rFonts w:hint="eastAsia"/>
          <w:color w:val="auto"/>
          <w:highlight w:val="none"/>
        </w:rPr>
      </w:pPr>
      <w:r>
        <w:rPr>
          <w:rFonts w:hint="eastAsia"/>
          <w:color w:val="auto"/>
          <w:szCs w:val="21"/>
          <w:highlight w:val="none"/>
          <w:lang w:val="en-US" w:eastAsia="zh-CN"/>
        </w:rPr>
        <w:t>注：委托代理人应附授权委托书</w:t>
      </w:r>
      <w:r>
        <w:rPr>
          <w:color w:val="auto"/>
          <w:highlight w:val="none"/>
        </w:rPr>
        <w:br w:type="page"/>
      </w:r>
    </w:p>
    <w:p w14:paraId="7B1322D6">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bookmarkStart w:id="1264" w:name="_Toc152042553"/>
      <w:bookmarkStart w:id="1265" w:name="_Toc179632788"/>
      <w:bookmarkStart w:id="1266" w:name="_Toc152045771"/>
      <w:bookmarkStart w:id="1267" w:name="_Toc144974833"/>
      <w:r>
        <w:rPr>
          <w:rFonts w:hint="eastAsia" w:ascii="Times New Roman" w:hAnsi="Times New Roman" w:eastAsia="宋体" w:cs="Times New Roman"/>
          <w:b/>
          <w:bCs/>
          <w:color w:val="auto"/>
          <w:highlight w:val="none"/>
        </w:rPr>
        <w:t>附件三：</w:t>
      </w:r>
      <w:bookmarkEnd w:id="1264"/>
      <w:bookmarkEnd w:id="1265"/>
      <w:bookmarkEnd w:id="1266"/>
      <w:bookmarkEnd w:id="1267"/>
    </w:p>
    <w:p w14:paraId="2D280C67">
      <w:pPr>
        <w:spacing w:line="440" w:lineRule="exact"/>
        <w:jc w:val="center"/>
        <w:rPr>
          <w:rFonts w:hint="eastAsia" w:eastAsia="黑体"/>
          <w:color w:val="auto"/>
          <w:sz w:val="28"/>
          <w:szCs w:val="28"/>
          <w:highlight w:val="none"/>
          <w:lang w:val="en-US" w:eastAsia="zh-CN"/>
        </w:rPr>
      </w:pPr>
      <w:r>
        <w:rPr>
          <w:rFonts w:eastAsia="黑体"/>
          <w:color w:val="auto"/>
          <w:sz w:val="28"/>
          <w:szCs w:val="28"/>
          <w:highlight w:val="none"/>
        </w:rPr>
        <w:t>预付款</w:t>
      </w:r>
      <w:r>
        <w:rPr>
          <w:rFonts w:hint="eastAsia" w:eastAsia="黑体"/>
          <w:color w:val="auto"/>
          <w:sz w:val="28"/>
          <w:szCs w:val="28"/>
          <w:highlight w:val="none"/>
        </w:rPr>
        <w:t>担保</w:t>
      </w:r>
      <w:r>
        <w:rPr>
          <w:rFonts w:hint="eastAsia" w:eastAsia="黑体"/>
          <w:color w:val="auto"/>
          <w:sz w:val="28"/>
          <w:szCs w:val="28"/>
          <w:highlight w:val="none"/>
          <w:lang w:val="en-US" w:eastAsia="zh-CN"/>
        </w:rPr>
        <w:t>函</w:t>
      </w:r>
    </w:p>
    <w:p w14:paraId="0E67FFB5">
      <w:pPr>
        <w:spacing w:line="440" w:lineRule="exact"/>
        <w:rPr>
          <w:rFonts w:eastAsia="黑体"/>
          <w:color w:val="auto"/>
          <w:sz w:val="20"/>
          <w:szCs w:val="20"/>
          <w:highlight w:val="none"/>
        </w:rPr>
      </w:pPr>
    </w:p>
    <w:p w14:paraId="1B0270AC">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7DD6163F">
      <w:pPr>
        <w:spacing w:line="440" w:lineRule="exact"/>
        <w:rPr>
          <w:rFonts w:hint="eastAsia" w:ascii="宋体" w:hAnsi="宋体" w:eastAsia="宋体" w:cs="宋体"/>
          <w:color w:val="auto"/>
          <w:szCs w:val="21"/>
          <w:highlight w:val="none"/>
        </w:rPr>
      </w:pPr>
    </w:p>
    <w:p w14:paraId="18B0F50D">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w:t>
      </w:r>
      <w:r>
        <w:rPr>
          <w:rFonts w:hint="eastAsia" w:ascii="宋体" w:hAnsi="宋体" w:cs="宋体"/>
          <w:color w:val="auto"/>
          <w:szCs w:val="21"/>
          <w:highlight w:val="none"/>
          <w:lang w:eastAsia="zh-CN"/>
        </w:rPr>
        <w:t>下简</w:t>
      </w:r>
      <w:r>
        <w:rPr>
          <w:rFonts w:hint="eastAsia" w:ascii="宋体" w:hAnsi="宋体" w:eastAsia="宋体" w:cs="宋体"/>
          <w:color w:val="auto"/>
          <w:szCs w:val="21"/>
          <w:highlight w:val="none"/>
        </w:rPr>
        <w:t>称“承包人”）与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标段</w:t>
      </w:r>
      <w:r>
        <w:rPr>
          <w:rFonts w:hint="eastAsia" w:ascii="宋体" w:hAnsi="宋体" w:eastAsia="宋体" w:cs="宋体"/>
          <w:color w:val="auto"/>
          <w:szCs w:val="21"/>
          <w:highlight w:val="none"/>
          <w:lang w:val="en-US" w:eastAsia="zh-CN"/>
        </w:rPr>
        <w:t>合同协议书</w:t>
      </w:r>
      <w:r>
        <w:rPr>
          <w:rFonts w:hint="eastAsia" w:ascii="宋体" w:hAnsi="宋体" w:eastAsia="宋体" w:cs="宋体"/>
          <w:color w:val="auto"/>
          <w:szCs w:val="21"/>
          <w:highlight w:val="none"/>
        </w:rPr>
        <w:t>，承包人按约定的金额向发包人提交一份预付款担保，即有权得到发包人支付相等金额的预付款。我方愿意就你方提供给承包人的预付款提供担保。</w:t>
      </w:r>
    </w:p>
    <w:p w14:paraId="39A21EFF">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86EBE85">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担保有效期自预付款支付给承包人起生效，至发包人签发的进度付款证书说明已完全扣清止。</w:t>
      </w:r>
    </w:p>
    <w:p w14:paraId="64423205">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在本保函有效期内，因承包人违反合同约定的义务而要求收回预付款时，我方在收到你方的书面通知后，在</w:t>
      </w:r>
      <w:r>
        <w:rPr>
          <w:rFonts w:hint="eastAsia" w:ascii="宋体" w:hAnsi="宋体" w:cs="宋体"/>
          <w:color w:val="auto"/>
          <w:szCs w:val="21"/>
          <w:highlight w:val="none"/>
          <w:lang w:eastAsia="zh-CN"/>
        </w:rPr>
        <w:t>7</w:t>
      </w:r>
      <w:r>
        <w:rPr>
          <w:rFonts w:hint="eastAsia" w:ascii="宋体" w:hAnsi="宋体" w:eastAsia="宋体" w:cs="宋体"/>
          <w:color w:val="auto"/>
          <w:szCs w:val="21"/>
          <w:highlight w:val="none"/>
        </w:rPr>
        <w:t>天内无条件支付。但本保函的担保金额，在任何时候不应超过预付款金额减去发包人按合同约定在向承包人签发的进度付款证书中扣除的金额。</w:t>
      </w:r>
    </w:p>
    <w:p w14:paraId="17E011B9">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发包人和承包人按《通用合同条款》</w:t>
      </w:r>
      <w:r>
        <w:rPr>
          <w:rFonts w:hint="eastAsia" w:ascii="宋体" w:hAnsi="宋体" w:cs="宋体"/>
          <w:color w:val="auto"/>
          <w:szCs w:val="21"/>
          <w:highlight w:val="none"/>
          <w:lang w:eastAsia="zh-CN"/>
        </w:rPr>
        <w:t>第十五条</w:t>
      </w:r>
      <w:r>
        <w:rPr>
          <w:rFonts w:hint="eastAsia" w:ascii="宋体" w:hAnsi="宋体" w:eastAsia="宋体" w:cs="宋体"/>
          <w:color w:val="auto"/>
          <w:szCs w:val="21"/>
          <w:highlight w:val="none"/>
        </w:rPr>
        <w:t>变更合同时，我方承担本保函规定的义务不变。</w:t>
      </w:r>
    </w:p>
    <w:p w14:paraId="782D40F3">
      <w:pPr>
        <w:spacing w:line="440" w:lineRule="exact"/>
        <w:rPr>
          <w:rFonts w:hint="eastAsia" w:ascii="宋体" w:hAnsi="宋体" w:eastAsia="宋体" w:cs="宋体"/>
          <w:color w:val="auto"/>
          <w:szCs w:val="21"/>
          <w:highlight w:val="none"/>
        </w:rPr>
      </w:pPr>
    </w:p>
    <w:p w14:paraId="70C2C760">
      <w:pPr>
        <w:spacing w:line="600" w:lineRule="exact"/>
        <w:ind w:firstLine="3599" w:firstLineChars="1714"/>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588FC29B">
      <w:pPr>
        <w:spacing w:line="600" w:lineRule="exact"/>
        <w:ind w:firstLine="3599" w:firstLineChars="1714"/>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612B9C5A">
      <w:pPr>
        <w:spacing w:line="600" w:lineRule="exact"/>
        <w:ind w:firstLine="3599" w:firstLineChars="1714"/>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24CF3EBA">
      <w:pPr>
        <w:spacing w:line="600" w:lineRule="exact"/>
        <w:ind w:firstLine="3599" w:firstLineChars="171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4AE98A8E">
      <w:pPr>
        <w:spacing w:line="600" w:lineRule="exact"/>
        <w:ind w:firstLine="3599" w:firstLineChars="171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1A0FE3CD">
      <w:pPr>
        <w:spacing w:line="600" w:lineRule="exact"/>
        <w:ind w:firstLine="3599" w:firstLineChars="1714"/>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4CD91C4B">
      <w:pPr>
        <w:spacing w:line="600" w:lineRule="exact"/>
        <w:ind w:firstLine="4326" w:firstLineChars="206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D6C41B5">
      <w:pPr>
        <w:adjustRightInd w:val="0"/>
        <w:snapToGrid w:val="0"/>
        <w:spacing w:line="360" w:lineRule="auto"/>
        <w:jc w:val="left"/>
        <w:rPr>
          <w:rFonts w:hint="eastAsia" w:ascii="宋体" w:hAnsi="宋体" w:eastAsia="宋体" w:cs="宋体"/>
          <w:color w:val="auto"/>
          <w:kern w:val="0"/>
          <w:szCs w:val="24"/>
          <w:highlight w:val="none"/>
        </w:rPr>
      </w:pPr>
    </w:p>
    <w:p w14:paraId="40083213">
      <w:pPr>
        <w:adjustRightInd w:val="0"/>
        <w:snapToGrid w:val="0"/>
        <w:jc w:val="left"/>
        <w:rPr>
          <w:rFonts w:hint="eastAsia" w:ascii="宋体" w:hAnsi="宋体" w:eastAsia="宋体" w:cs="宋体"/>
          <w:color w:val="auto"/>
          <w:szCs w:val="21"/>
          <w:highlight w:val="none"/>
          <w:lang w:val="en-US" w:eastAsia="zh-CN"/>
        </w:rPr>
      </w:pPr>
    </w:p>
    <w:p w14:paraId="7D4C9B4E">
      <w:pPr>
        <w:adjustRightInd w:val="0"/>
        <w:snapToGrid w:val="0"/>
        <w:jc w:val="left"/>
        <w:rPr>
          <w:rFonts w:hint="eastAsia" w:ascii="宋体" w:hAnsi="宋体" w:eastAsia="宋体" w:cs="宋体"/>
          <w:color w:val="auto"/>
          <w:szCs w:val="21"/>
          <w:highlight w:val="none"/>
          <w:lang w:val="en-US" w:eastAsia="zh-CN"/>
        </w:rPr>
      </w:pPr>
    </w:p>
    <w:p w14:paraId="2A0EE81F">
      <w:pPr>
        <w:adjustRightInd w:val="0"/>
        <w:snapToGrid w:val="0"/>
        <w:jc w:val="left"/>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注：委托代理人应附授权委托书</w:t>
      </w:r>
    </w:p>
    <w:p w14:paraId="19DF9745">
      <w:pPr>
        <w:rPr>
          <w:rFonts w:hint="eastAsia" w:ascii="黑体" w:hAnsi="黑体" w:eastAsia="黑体" w:cs="黑体"/>
          <w:color w:val="auto"/>
          <w:sz w:val="36"/>
          <w:szCs w:val="36"/>
          <w:highlight w:val="none"/>
        </w:rPr>
      </w:pPr>
    </w:p>
    <w:p w14:paraId="06CC97A8">
      <w:pPr>
        <w:rPr>
          <w:rFonts w:hint="eastAsia" w:ascii="黑体" w:hAnsi="黑体" w:eastAsia="黑体" w:cs="黑体"/>
          <w:color w:val="auto"/>
          <w:kern w:val="2"/>
          <w:sz w:val="36"/>
          <w:szCs w:val="36"/>
          <w:lang w:val="en-US" w:eastAsia="zh-CN" w:bidi="ar-SA"/>
        </w:rPr>
      </w:pPr>
      <w:bookmarkStart w:id="1268" w:name="_Toc16547"/>
      <w:bookmarkStart w:id="1269" w:name="_Toc2403"/>
      <w:r>
        <w:rPr>
          <w:rFonts w:hint="eastAsia" w:ascii="黑体" w:hAnsi="黑体" w:eastAsia="黑体" w:cs="黑体"/>
          <w:color w:val="auto"/>
          <w:kern w:val="2"/>
          <w:sz w:val="36"/>
          <w:szCs w:val="36"/>
          <w:lang w:val="en-US" w:eastAsia="zh-CN" w:bidi="ar-SA"/>
        </w:rPr>
        <w:br w:type="page"/>
      </w:r>
    </w:p>
    <w:bookmarkEnd w:id="1268"/>
    <w:bookmarkEnd w:id="1269"/>
    <w:p w14:paraId="57FC6917">
      <w:pPr>
        <w:pStyle w:val="2"/>
        <w:bidi w:val="0"/>
        <w:jc w:val="center"/>
        <w:rPr>
          <w:rFonts w:hint="eastAsia" w:ascii="黑体" w:hAnsi="黑体" w:eastAsia="黑体" w:cs="黑体"/>
          <w:color w:val="auto"/>
          <w:sz w:val="36"/>
          <w:szCs w:val="36"/>
          <w:highlight w:val="none"/>
        </w:rPr>
      </w:pPr>
      <w:bookmarkStart w:id="1270" w:name="_Toc8984"/>
      <w:bookmarkStart w:id="1271" w:name="_Toc25955"/>
      <w:bookmarkStart w:id="1272" w:name="_Toc9113"/>
      <w:bookmarkStart w:id="1273" w:name="_Toc1305"/>
      <w:bookmarkStart w:id="1274" w:name="_Toc12925"/>
      <w:bookmarkStart w:id="1275" w:name="_Toc5702"/>
      <w:r>
        <w:rPr>
          <w:rFonts w:hint="eastAsia" w:ascii="黑体" w:hAnsi="黑体" w:eastAsia="黑体" w:cs="黑体"/>
          <w:color w:val="auto"/>
          <w:sz w:val="36"/>
          <w:szCs w:val="36"/>
          <w:highlight w:val="none"/>
        </w:rPr>
        <w:t>第</w:t>
      </w:r>
      <w:r>
        <w:rPr>
          <w:rFonts w:hint="eastAsia" w:ascii="黑体" w:hAnsi="黑体" w:eastAsia="黑体" w:cs="黑体"/>
          <w:color w:val="auto"/>
          <w:sz w:val="36"/>
          <w:szCs w:val="36"/>
          <w:highlight w:val="none"/>
          <w:lang w:val="en-US" w:eastAsia="zh-CN"/>
        </w:rPr>
        <w:t>六</w:t>
      </w:r>
      <w:r>
        <w:rPr>
          <w:rFonts w:hint="eastAsia" w:ascii="黑体" w:hAnsi="黑体" w:eastAsia="黑体" w:cs="黑体"/>
          <w:color w:val="auto"/>
          <w:sz w:val="36"/>
          <w:szCs w:val="36"/>
          <w:highlight w:val="none"/>
        </w:rPr>
        <w:t xml:space="preserve">章 </w:t>
      </w:r>
      <w:r>
        <w:rPr>
          <w:rFonts w:hint="eastAsia" w:ascii="黑体" w:hAnsi="黑体" w:eastAsia="黑体" w:cs="黑体"/>
          <w:color w:val="auto"/>
          <w:sz w:val="36"/>
          <w:szCs w:val="36"/>
          <w:highlight w:val="none"/>
          <w:lang w:eastAsia="zh-CN"/>
        </w:rPr>
        <w:t>响应文件</w:t>
      </w:r>
      <w:r>
        <w:rPr>
          <w:rFonts w:hint="eastAsia" w:ascii="黑体" w:hAnsi="黑体" w:eastAsia="黑体" w:cs="黑体"/>
          <w:color w:val="auto"/>
          <w:sz w:val="36"/>
          <w:szCs w:val="36"/>
          <w:highlight w:val="none"/>
        </w:rPr>
        <w:t>格式</w:t>
      </w:r>
      <w:bookmarkEnd w:id="1270"/>
      <w:bookmarkEnd w:id="1271"/>
      <w:bookmarkEnd w:id="1272"/>
      <w:bookmarkEnd w:id="1273"/>
      <w:bookmarkEnd w:id="1274"/>
      <w:bookmarkEnd w:id="1275"/>
    </w:p>
    <w:p w14:paraId="3C8717FA">
      <w:pPr>
        <w:jc w:val="center"/>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lang w:eastAsia="zh-CN"/>
        </w:rPr>
        <w:t>红河县后山二台水库除险加固工程</w:t>
      </w:r>
    </w:p>
    <w:p w14:paraId="2FE2E34A">
      <w:pPr>
        <w:jc w:val="center"/>
        <w:rPr>
          <w:rFonts w:ascii="宋体" w:hAnsi="宋体" w:cs="宋体"/>
          <w:color w:val="auto"/>
          <w:sz w:val="48"/>
          <w:szCs w:val="32"/>
          <w:highlight w:val="none"/>
        </w:rPr>
      </w:pPr>
    </w:p>
    <w:p w14:paraId="243AB652">
      <w:pPr>
        <w:jc w:val="center"/>
        <w:rPr>
          <w:rFonts w:ascii="宋体" w:hAnsi="宋体" w:cs="宋体"/>
          <w:color w:val="auto"/>
          <w:sz w:val="48"/>
          <w:szCs w:val="32"/>
          <w:highlight w:val="none"/>
        </w:rPr>
      </w:pPr>
    </w:p>
    <w:p w14:paraId="00FEA8BB">
      <w:pPr>
        <w:jc w:val="center"/>
        <w:rPr>
          <w:rFonts w:ascii="宋体" w:hAnsi="宋体" w:cs="宋体"/>
          <w:color w:val="auto"/>
          <w:sz w:val="48"/>
          <w:szCs w:val="32"/>
          <w:highlight w:val="none"/>
        </w:rPr>
      </w:pPr>
    </w:p>
    <w:p w14:paraId="7F1E87F1">
      <w:pPr>
        <w:jc w:val="center"/>
        <w:rPr>
          <w:rFonts w:ascii="宋体" w:hAnsi="宋体" w:cs="宋体"/>
          <w:color w:val="auto"/>
          <w:sz w:val="48"/>
          <w:szCs w:val="32"/>
          <w:highlight w:val="none"/>
        </w:rPr>
      </w:pPr>
    </w:p>
    <w:p w14:paraId="221D2FE4">
      <w:pPr>
        <w:pStyle w:val="39"/>
        <w:rPr>
          <w:color w:val="auto"/>
          <w:highlight w:val="none"/>
        </w:rPr>
      </w:pPr>
    </w:p>
    <w:p w14:paraId="3C01307A">
      <w:pPr>
        <w:jc w:val="center"/>
        <w:rPr>
          <w:rFonts w:ascii="宋体" w:hAnsi="宋体" w:cs="宋体"/>
          <w:color w:val="auto"/>
          <w:sz w:val="48"/>
          <w:szCs w:val="32"/>
          <w:highlight w:val="none"/>
        </w:rPr>
      </w:pPr>
    </w:p>
    <w:p w14:paraId="12B0D57F">
      <w:pPr>
        <w:jc w:val="center"/>
        <w:rPr>
          <w:rFonts w:hint="eastAsia" w:ascii="宋体" w:hAnsi="宋体" w:eastAsia="宋体" w:cs="宋体"/>
          <w:b/>
          <w:color w:val="auto"/>
          <w:sz w:val="72"/>
          <w:szCs w:val="72"/>
          <w:highlight w:val="none"/>
          <w:lang w:eastAsia="zh-CN"/>
        </w:rPr>
      </w:pPr>
      <w:r>
        <w:rPr>
          <w:rFonts w:hint="eastAsia" w:ascii="宋体" w:hAnsi="宋体" w:cs="宋体"/>
          <w:b/>
          <w:color w:val="auto"/>
          <w:sz w:val="72"/>
          <w:szCs w:val="72"/>
          <w:highlight w:val="none"/>
          <w:lang w:eastAsia="zh-CN"/>
        </w:rPr>
        <w:t>响应文件</w:t>
      </w:r>
    </w:p>
    <w:p w14:paraId="095B156B">
      <w:pPr>
        <w:rPr>
          <w:rFonts w:ascii="宋体" w:hAnsi="宋体" w:cs="宋体"/>
          <w:color w:val="auto"/>
          <w:sz w:val="28"/>
          <w:szCs w:val="28"/>
          <w:highlight w:val="none"/>
        </w:rPr>
      </w:pPr>
    </w:p>
    <w:p w14:paraId="05411548">
      <w:pPr>
        <w:rPr>
          <w:rFonts w:ascii="宋体" w:hAnsi="宋体" w:cs="宋体"/>
          <w:color w:val="auto"/>
          <w:sz w:val="28"/>
          <w:szCs w:val="28"/>
          <w:highlight w:val="none"/>
        </w:rPr>
      </w:pPr>
    </w:p>
    <w:p w14:paraId="3F815066">
      <w:pPr>
        <w:rPr>
          <w:rFonts w:ascii="宋体" w:hAnsi="宋体" w:cs="宋体"/>
          <w:color w:val="auto"/>
          <w:sz w:val="28"/>
          <w:szCs w:val="28"/>
          <w:highlight w:val="none"/>
        </w:rPr>
      </w:pPr>
    </w:p>
    <w:p w14:paraId="54A0BC93">
      <w:pPr>
        <w:rPr>
          <w:rFonts w:ascii="宋体" w:hAnsi="宋体" w:cs="宋体"/>
          <w:color w:val="auto"/>
          <w:sz w:val="28"/>
          <w:szCs w:val="28"/>
          <w:highlight w:val="none"/>
        </w:rPr>
      </w:pPr>
    </w:p>
    <w:p w14:paraId="0A907A56">
      <w:pPr>
        <w:rPr>
          <w:rFonts w:ascii="宋体" w:hAnsi="宋体" w:cs="宋体"/>
          <w:color w:val="auto"/>
          <w:sz w:val="28"/>
          <w:szCs w:val="28"/>
          <w:highlight w:val="none"/>
        </w:rPr>
      </w:pPr>
    </w:p>
    <w:p w14:paraId="4EA11CCA">
      <w:pPr>
        <w:pStyle w:val="39"/>
        <w:rPr>
          <w:rFonts w:hAnsi="宋体"/>
          <w:color w:val="auto"/>
          <w:sz w:val="28"/>
          <w:szCs w:val="28"/>
          <w:highlight w:val="none"/>
        </w:rPr>
      </w:pPr>
    </w:p>
    <w:p w14:paraId="020B07F1">
      <w:pPr>
        <w:pStyle w:val="40"/>
        <w:rPr>
          <w:rFonts w:ascii="宋体" w:hAnsi="宋体" w:cs="宋体"/>
          <w:color w:val="auto"/>
          <w:sz w:val="28"/>
          <w:szCs w:val="28"/>
          <w:highlight w:val="none"/>
        </w:rPr>
      </w:pPr>
    </w:p>
    <w:p w14:paraId="11B41BE5">
      <w:pPr>
        <w:keepNext w:val="0"/>
        <w:keepLines w:val="0"/>
        <w:pageBreakBefore w:val="0"/>
        <w:widowControl w:val="0"/>
        <w:kinsoku/>
        <w:wordWrap/>
        <w:overflowPunct/>
        <w:topLinePunct w:val="0"/>
        <w:autoSpaceDE/>
        <w:autoSpaceDN/>
        <w:bidi w:val="0"/>
        <w:adjustRightInd/>
        <w:snapToGrid/>
        <w:spacing w:line="700" w:lineRule="exact"/>
        <w:ind w:firstLine="964" w:firstLineChars="400"/>
        <w:textAlignment w:val="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lang w:val="en-US" w:eastAsia="zh-CN"/>
        </w:rPr>
        <w:t>电子签章）</w:t>
      </w:r>
      <w:r>
        <w:rPr>
          <w:rFonts w:hint="eastAsia" w:ascii="宋体" w:hAnsi="宋体" w:cs="宋体"/>
          <w:b/>
          <w:color w:val="auto"/>
          <w:sz w:val="24"/>
          <w:szCs w:val="24"/>
          <w:highlight w:val="none"/>
        </w:rPr>
        <w:t>：</w:t>
      </w:r>
      <w:r>
        <w:rPr>
          <w:rFonts w:hint="eastAsia" w:ascii="宋体" w:hAnsi="宋体" w:cs="宋体"/>
          <w:b/>
          <w:color w:val="auto"/>
          <w:sz w:val="24"/>
          <w:szCs w:val="24"/>
          <w:highlight w:val="none"/>
          <w:u w:val="single"/>
        </w:rPr>
        <w:t xml:space="preserve">                               </w:t>
      </w:r>
    </w:p>
    <w:p w14:paraId="23B122A8">
      <w:pPr>
        <w:keepNext w:val="0"/>
        <w:keepLines w:val="0"/>
        <w:pageBreakBefore w:val="0"/>
        <w:widowControl w:val="0"/>
        <w:kinsoku/>
        <w:wordWrap/>
        <w:overflowPunct/>
        <w:topLinePunct w:val="0"/>
        <w:autoSpaceDE/>
        <w:autoSpaceDN/>
        <w:bidi w:val="0"/>
        <w:adjustRightInd/>
        <w:snapToGrid/>
        <w:spacing w:line="700" w:lineRule="exact"/>
        <w:ind w:firstLine="964" w:firstLineChars="40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法定代表人或其委托代理人</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电子签章）</w:t>
      </w:r>
      <w:r>
        <w:rPr>
          <w:rFonts w:hint="eastAsia" w:ascii="宋体" w:hAnsi="宋体" w:cs="宋体"/>
          <w:b/>
          <w:color w:val="auto"/>
          <w:sz w:val="24"/>
          <w:szCs w:val="24"/>
          <w:highlight w:val="none"/>
        </w:rPr>
        <w:t>：</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 </w:t>
      </w:r>
    </w:p>
    <w:p w14:paraId="776DDC70">
      <w:pPr>
        <w:keepNext w:val="0"/>
        <w:keepLines w:val="0"/>
        <w:pageBreakBefore w:val="0"/>
        <w:widowControl w:val="0"/>
        <w:kinsoku/>
        <w:wordWrap/>
        <w:overflowPunct/>
        <w:topLinePunct w:val="0"/>
        <w:autoSpaceDE/>
        <w:autoSpaceDN/>
        <w:bidi w:val="0"/>
        <w:adjustRightInd/>
        <w:snapToGrid/>
        <w:spacing w:line="700" w:lineRule="exact"/>
        <w:ind w:firstLine="964" w:firstLineChars="40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日  期：</w:t>
      </w:r>
      <w:bookmarkStart w:id="1276" w:name="_Toc533"/>
      <w:bookmarkStart w:id="1277" w:name="_Toc217446082"/>
      <w:bookmarkStart w:id="1278" w:name="_Toc22737"/>
      <w:bookmarkStart w:id="1279" w:name="投标函"/>
      <w:bookmarkStart w:id="1280" w:name="_Hlk528136945"/>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日</w:t>
      </w:r>
    </w:p>
    <w:p w14:paraId="37A7036A">
      <w:pPr>
        <w:jc w:val="center"/>
        <w:outlineLvl w:val="1"/>
        <w:rPr>
          <w:rFonts w:ascii="宋体" w:hAnsi="宋体" w:cs="宋体"/>
          <w:b/>
          <w:color w:val="auto"/>
          <w:sz w:val="28"/>
          <w:szCs w:val="28"/>
          <w:highlight w:val="none"/>
        </w:rPr>
      </w:pPr>
      <w:bookmarkStart w:id="1281" w:name="_Toc16430"/>
      <w:r>
        <w:rPr>
          <w:rFonts w:hint="eastAsia"/>
          <w:color w:val="auto"/>
          <w:spacing w:val="7"/>
          <w:kern w:val="0"/>
          <w:szCs w:val="28"/>
          <w:highlight w:val="none"/>
        </w:rPr>
        <w:br w:type="page"/>
      </w:r>
      <w:bookmarkEnd w:id="1276"/>
      <w:bookmarkEnd w:id="1281"/>
      <w:bookmarkStart w:id="1282" w:name="_Toc4242"/>
      <w:bookmarkStart w:id="1283" w:name="_Toc122026414"/>
      <w:bookmarkStart w:id="1284" w:name="_Toc3773"/>
      <w:bookmarkStart w:id="1285" w:name="_Toc25359"/>
      <w:bookmarkStart w:id="1286" w:name="_Toc14751"/>
      <w:bookmarkStart w:id="1287" w:name="_Toc6012"/>
      <w:bookmarkStart w:id="1288" w:name="_Toc8952"/>
      <w:bookmarkStart w:id="1289" w:name="_Toc30815"/>
      <w:bookmarkStart w:id="1290" w:name="_Toc2791"/>
      <w:r>
        <w:rPr>
          <w:rFonts w:ascii="宋体" w:hAnsi="宋体" w:cs="宋体"/>
          <w:b/>
          <w:color w:val="auto"/>
          <w:sz w:val="28"/>
          <w:szCs w:val="28"/>
          <w:highlight w:val="none"/>
        </w:rPr>
        <w:t>目录</w:t>
      </w:r>
      <w:bookmarkEnd w:id="1282"/>
      <w:bookmarkEnd w:id="1283"/>
      <w:bookmarkEnd w:id="1284"/>
      <w:bookmarkEnd w:id="1285"/>
      <w:bookmarkEnd w:id="1286"/>
      <w:bookmarkEnd w:id="1287"/>
      <w:bookmarkEnd w:id="1288"/>
    </w:p>
    <w:p w14:paraId="6EAD4A6B">
      <w:pPr>
        <w:pStyle w:val="11"/>
        <w:jc w:val="center"/>
        <w:rPr>
          <w:color w:val="auto"/>
          <w:sz w:val="21"/>
          <w:szCs w:val="21"/>
          <w:highlight w:val="none"/>
        </w:rPr>
      </w:pPr>
      <w:r>
        <w:rPr>
          <w:rFonts w:hint="eastAsia"/>
          <w:color w:val="auto"/>
          <w:sz w:val="21"/>
          <w:szCs w:val="21"/>
          <w:highlight w:val="none"/>
        </w:rPr>
        <w:t>格式自拟，注明页码</w:t>
      </w:r>
    </w:p>
    <w:p w14:paraId="77521A30">
      <w:pPr>
        <w:pStyle w:val="11"/>
        <w:rPr>
          <w:color w:val="auto"/>
          <w:highlight w:val="none"/>
        </w:rPr>
      </w:pPr>
      <w:r>
        <w:rPr>
          <w:color w:val="auto"/>
          <w:highlight w:val="none"/>
        </w:rPr>
        <w:br w:type="page"/>
      </w:r>
    </w:p>
    <w:p w14:paraId="0D4F3AE0">
      <w:pPr>
        <w:pStyle w:val="3"/>
        <w:rPr>
          <w:color w:val="auto"/>
          <w:highlight w:val="none"/>
        </w:rPr>
      </w:pPr>
      <w:bookmarkStart w:id="1291" w:name="_Toc122026415"/>
      <w:bookmarkStart w:id="1292" w:name="_Toc8940"/>
      <w:bookmarkStart w:id="1293" w:name="_Toc20681"/>
      <w:bookmarkStart w:id="1294" w:name="_Toc13091"/>
      <w:bookmarkStart w:id="1295" w:name="_Toc4362"/>
      <w:bookmarkStart w:id="1296" w:name="_Toc884"/>
      <w:bookmarkStart w:id="1297" w:name="_Toc31110"/>
      <w:r>
        <w:rPr>
          <w:rFonts w:hint="eastAsia"/>
          <w:color w:val="auto"/>
          <w:highlight w:val="none"/>
        </w:rPr>
        <w:t>一、</w:t>
      </w:r>
      <w:r>
        <w:rPr>
          <w:rFonts w:hint="eastAsia"/>
          <w:color w:val="auto"/>
          <w:highlight w:val="none"/>
          <w:lang w:val="en-US" w:eastAsia="zh-CN"/>
        </w:rPr>
        <w:t>磋商申请</w:t>
      </w:r>
      <w:r>
        <w:rPr>
          <w:rFonts w:hint="eastAsia"/>
          <w:color w:val="auto"/>
          <w:highlight w:val="none"/>
        </w:rPr>
        <w:t>函</w:t>
      </w:r>
      <w:bookmarkEnd w:id="1277"/>
      <w:bookmarkEnd w:id="1278"/>
      <w:bookmarkEnd w:id="1279"/>
      <w:bookmarkEnd w:id="1289"/>
      <w:bookmarkEnd w:id="1290"/>
      <w:bookmarkEnd w:id="1291"/>
      <w:bookmarkEnd w:id="1292"/>
      <w:bookmarkEnd w:id="1293"/>
      <w:bookmarkEnd w:id="1294"/>
      <w:bookmarkEnd w:id="1295"/>
      <w:bookmarkEnd w:id="1296"/>
      <w:bookmarkEnd w:id="1297"/>
    </w:p>
    <w:bookmarkEnd w:id="1280"/>
    <w:p w14:paraId="3C884AAC">
      <w:pPr>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   （采购人）      </w:t>
      </w:r>
    </w:p>
    <w:p w14:paraId="6547EA56">
      <w:pPr>
        <w:spacing w:line="52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我方仔细研究了</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（项目名称）   </w:t>
      </w:r>
      <w:r>
        <w:rPr>
          <w:rFonts w:hint="eastAsia" w:ascii="宋体" w:hAnsi="宋体" w:cs="宋体"/>
          <w:color w:val="auto"/>
          <w:sz w:val="21"/>
          <w:szCs w:val="21"/>
          <w:highlight w:val="none"/>
          <w:lang w:eastAsia="zh-CN"/>
        </w:rPr>
        <w:t>竞争性磋商文件</w:t>
      </w:r>
      <w:r>
        <w:rPr>
          <w:rFonts w:hint="eastAsia" w:ascii="宋体" w:hAnsi="宋体" w:cs="宋体"/>
          <w:color w:val="auto"/>
          <w:sz w:val="21"/>
          <w:szCs w:val="21"/>
          <w:highlight w:val="none"/>
        </w:rPr>
        <w:t>及补充文件（如有），我方将遵照</w:t>
      </w:r>
      <w:r>
        <w:rPr>
          <w:rFonts w:hint="eastAsia" w:ascii="宋体" w:hAnsi="宋体" w:cs="宋体"/>
          <w:color w:val="auto"/>
          <w:sz w:val="21"/>
          <w:szCs w:val="21"/>
          <w:highlight w:val="none"/>
          <w:lang w:val="en-US" w:eastAsia="zh-CN"/>
        </w:rPr>
        <w:t>竞争性磋商文件</w:t>
      </w:r>
      <w:r>
        <w:rPr>
          <w:rFonts w:hint="eastAsia" w:ascii="宋体" w:hAnsi="宋体" w:cs="宋体"/>
          <w:color w:val="auto"/>
          <w:sz w:val="21"/>
          <w:szCs w:val="21"/>
          <w:highlight w:val="none"/>
        </w:rPr>
        <w:t>的要求承担本合同工程的全部工作，并承诺如下</w:t>
      </w:r>
    </w:p>
    <w:p w14:paraId="7B1FC6EB">
      <w:pPr>
        <w:numPr>
          <w:ilvl w:val="0"/>
          <w:numId w:val="0"/>
        </w:numPr>
        <w:spacing w:line="360" w:lineRule="auto"/>
        <w:ind w:left="0" w:leftChars="0" w:firstLine="420" w:firstLineChars="200"/>
        <w:rPr>
          <w:rFonts w:ascii="宋体" w:hAnsi="宋体" w:cs="宋体"/>
          <w:color w:val="auto"/>
          <w:sz w:val="21"/>
          <w:szCs w:val="21"/>
          <w:highlight w:val="none"/>
        </w:rPr>
      </w:pPr>
      <w:r>
        <w:rPr>
          <w:rFonts w:ascii="宋体" w:hAnsi="宋体" w:eastAsia="宋体" w:cs="宋体"/>
          <w:color w:val="auto"/>
          <w:kern w:val="2"/>
          <w:sz w:val="21"/>
          <w:szCs w:val="21"/>
          <w:highlight w:val="none"/>
          <w:lang w:val="en-US" w:eastAsia="zh-CN" w:bidi="ar-SA"/>
        </w:rPr>
        <w:t>1.</w:t>
      </w:r>
      <w:r>
        <w:rPr>
          <w:rFonts w:hint="eastAsia" w:ascii="宋体" w:hAnsi="宋体" w:cs="宋体"/>
          <w:color w:val="auto"/>
          <w:sz w:val="21"/>
          <w:szCs w:val="21"/>
          <w:highlight w:val="none"/>
        </w:rPr>
        <w:t>我公司符合</w:t>
      </w:r>
      <w:r>
        <w:rPr>
          <w:rFonts w:hint="eastAsia" w:ascii="宋体" w:hAnsi="宋体" w:cs="宋体"/>
          <w:color w:val="auto"/>
          <w:sz w:val="21"/>
          <w:szCs w:val="21"/>
          <w:highlight w:val="none"/>
          <w:lang w:val="en-US" w:eastAsia="zh-CN"/>
        </w:rPr>
        <w:t>本项目竞争性磋商文件中</w:t>
      </w:r>
      <w:r>
        <w:rPr>
          <w:rFonts w:hint="eastAsia" w:ascii="宋体" w:hAnsi="宋体" w:cs="宋体"/>
          <w:color w:val="auto"/>
          <w:sz w:val="21"/>
          <w:szCs w:val="21"/>
          <w:highlight w:val="none"/>
        </w:rPr>
        <w:t>申请人的资格要求。</w:t>
      </w:r>
    </w:p>
    <w:p w14:paraId="6C66C704">
      <w:pPr>
        <w:numPr>
          <w:ilvl w:val="0"/>
          <w:numId w:val="0"/>
        </w:numPr>
        <w:spacing w:line="360" w:lineRule="auto"/>
        <w:ind w:left="0" w:leftChars="0" w:firstLine="420" w:firstLineChars="200"/>
        <w:rPr>
          <w:rFonts w:ascii="宋体" w:hAnsi="宋体" w:cs="宋体"/>
          <w:color w:val="auto"/>
          <w:sz w:val="21"/>
          <w:szCs w:val="21"/>
          <w:highlight w:val="none"/>
        </w:rPr>
      </w:pPr>
      <w:r>
        <w:rPr>
          <w:rFonts w:ascii="宋体" w:hAnsi="宋体" w:eastAsia="宋体" w:cs="宋体"/>
          <w:color w:val="auto"/>
          <w:kern w:val="2"/>
          <w:sz w:val="21"/>
          <w:szCs w:val="21"/>
          <w:highlight w:val="none"/>
          <w:lang w:val="en-US" w:eastAsia="zh-CN" w:bidi="ar-SA"/>
        </w:rPr>
        <w:t>2.</w:t>
      </w:r>
      <w:r>
        <w:rPr>
          <w:rFonts w:hint="eastAsia" w:ascii="宋体" w:hAnsi="宋体" w:cs="宋体"/>
          <w:color w:val="auto"/>
          <w:sz w:val="21"/>
          <w:szCs w:val="21"/>
          <w:highlight w:val="none"/>
        </w:rPr>
        <w:t>我方已经详细地阅读了全部</w:t>
      </w:r>
      <w:r>
        <w:rPr>
          <w:rFonts w:hint="eastAsia" w:ascii="宋体" w:hAnsi="宋体" w:cs="宋体"/>
          <w:color w:val="auto"/>
          <w:sz w:val="21"/>
          <w:szCs w:val="21"/>
          <w:highlight w:val="none"/>
          <w:lang w:eastAsia="zh-CN"/>
        </w:rPr>
        <w:t>竞争性磋商文件</w:t>
      </w:r>
      <w:r>
        <w:rPr>
          <w:rFonts w:hint="eastAsia" w:ascii="宋体" w:hAnsi="宋体" w:cs="宋体"/>
          <w:color w:val="auto"/>
          <w:sz w:val="21"/>
          <w:szCs w:val="21"/>
          <w:highlight w:val="none"/>
        </w:rPr>
        <w:t>及其附件，包括澄清及更正文件。我方已完全清晰理解</w:t>
      </w:r>
      <w:r>
        <w:rPr>
          <w:rFonts w:hint="eastAsia" w:ascii="宋体" w:hAnsi="宋体" w:cs="宋体"/>
          <w:color w:val="auto"/>
          <w:sz w:val="21"/>
          <w:szCs w:val="21"/>
          <w:highlight w:val="none"/>
          <w:lang w:eastAsia="zh-CN"/>
        </w:rPr>
        <w:t>竞争性磋商文件</w:t>
      </w:r>
      <w:r>
        <w:rPr>
          <w:rFonts w:hint="eastAsia" w:ascii="宋体" w:hAnsi="宋体" w:cs="宋体"/>
          <w:color w:val="auto"/>
          <w:sz w:val="21"/>
          <w:szCs w:val="21"/>
          <w:highlight w:val="none"/>
        </w:rPr>
        <w:t>的要求。</w:t>
      </w:r>
    </w:p>
    <w:p w14:paraId="32DFAF29">
      <w:pPr>
        <w:numPr>
          <w:ilvl w:val="0"/>
          <w:numId w:val="0"/>
        </w:numPr>
        <w:spacing w:line="360" w:lineRule="auto"/>
        <w:ind w:left="0" w:leftChars="0" w:firstLine="420" w:firstLineChars="200"/>
        <w:rPr>
          <w:rFonts w:ascii="宋体" w:hAnsi="宋体" w:cs="宋体"/>
          <w:color w:val="auto"/>
          <w:sz w:val="21"/>
          <w:szCs w:val="21"/>
          <w:highlight w:val="none"/>
        </w:rPr>
      </w:pPr>
      <w:r>
        <w:rPr>
          <w:rFonts w:hint="eastAsia" w:ascii="宋体" w:hAnsi="宋体" w:cs="宋体"/>
          <w:color w:val="auto"/>
          <w:kern w:val="2"/>
          <w:sz w:val="21"/>
          <w:szCs w:val="21"/>
          <w:highlight w:val="none"/>
          <w:lang w:val="en-US" w:eastAsia="zh-CN" w:bidi="ar-SA"/>
        </w:rPr>
        <w:t>3</w:t>
      </w:r>
      <w:r>
        <w:rPr>
          <w:rFonts w:ascii="宋体" w:hAnsi="宋体" w:eastAsia="宋体" w:cs="宋体"/>
          <w:color w:val="auto"/>
          <w:kern w:val="2"/>
          <w:sz w:val="21"/>
          <w:szCs w:val="21"/>
          <w:highlight w:val="none"/>
          <w:lang w:val="en-US" w:eastAsia="zh-CN" w:bidi="ar-SA"/>
        </w:rPr>
        <w:t>.</w:t>
      </w:r>
      <w:r>
        <w:rPr>
          <w:rFonts w:hint="eastAsia" w:ascii="宋体" w:hAnsi="宋体" w:cs="宋体"/>
          <w:color w:val="auto"/>
          <w:sz w:val="21"/>
          <w:szCs w:val="21"/>
          <w:highlight w:val="none"/>
        </w:rPr>
        <w:t>我方承诺在本次</w:t>
      </w:r>
      <w:r>
        <w:rPr>
          <w:rFonts w:hint="eastAsia" w:ascii="宋体" w:hAnsi="宋体" w:cs="宋体"/>
          <w:color w:val="auto"/>
          <w:sz w:val="21"/>
          <w:szCs w:val="21"/>
          <w:highlight w:val="none"/>
          <w:lang w:eastAsia="zh-CN"/>
        </w:rPr>
        <w:t>响应文件</w:t>
      </w:r>
      <w:r>
        <w:rPr>
          <w:rFonts w:hint="eastAsia" w:ascii="宋体" w:hAnsi="宋体" w:cs="宋体"/>
          <w:color w:val="auto"/>
          <w:sz w:val="21"/>
          <w:szCs w:val="21"/>
          <w:highlight w:val="none"/>
        </w:rPr>
        <w:t>中提供的一切文件，无论是原件还是复印件均为真实和准确的，绝无任何虚假、伪造和夸大</w:t>
      </w:r>
      <w:r>
        <w:rPr>
          <w:rFonts w:hint="eastAsia" w:ascii="宋体" w:hAnsi="宋体" w:cs="宋体"/>
          <w:color w:val="auto"/>
          <w:sz w:val="21"/>
          <w:szCs w:val="21"/>
          <w:highlight w:val="none"/>
          <w:lang w:eastAsia="zh-CN"/>
        </w:rPr>
        <w:t>的成分</w:t>
      </w:r>
      <w:r>
        <w:rPr>
          <w:rFonts w:hint="eastAsia" w:ascii="宋体" w:hAnsi="宋体" w:cs="宋体"/>
          <w:color w:val="auto"/>
          <w:sz w:val="21"/>
          <w:szCs w:val="21"/>
          <w:highlight w:val="none"/>
        </w:rPr>
        <w:t>，否则，愿承担相应的后果和法律责任。</w:t>
      </w:r>
    </w:p>
    <w:p w14:paraId="2E48FE1A">
      <w:pPr>
        <w:numPr>
          <w:ilvl w:val="0"/>
          <w:numId w:val="0"/>
        </w:numPr>
        <w:spacing w:line="360" w:lineRule="auto"/>
        <w:ind w:left="0" w:leftChars="0" w:firstLine="420" w:firstLineChars="200"/>
        <w:rPr>
          <w:rFonts w:ascii="宋体" w:hAnsi="宋体" w:cs="宋体"/>
          <w:color w:val="auto"/>
          <w:sz w:val="21"/>
          <w:szCs w:val="21"/>
          <w:highlight w:val="none"/>
        </w:rPr>
      </w:pPr>
      <w:r>
        <w:rPr>
          <w:rFonts w:hint="eastAsia" w:ascii="宋体" w:hAnsi="宋体" w:cs="宋体"/>
          <w:color w:val="auto"/>
          <w:kern w:val="2"/>
          <w:sz w:val="21"/>
          <w:szCs w:val="21"/>
          <w:highlight w:val="none"/>
          <w:lang w:val="en-US" w:eastAsia="zh-CN" w:bidi="ar-SA"/>
        </w:rPr>
        <w:t>4</w:t>
      </w:r>
      <w:r>
        <w:rPr>
          <w:rFonts w:ascii="宋体" w:hAnsi="宋体" w:eastAsia="宋体" w:cs="宋体"/>
          <w:color w:val="auto"/>
          <w:kern w:val="2"/>
          <w:sz w:val="21"/>
          <w:szCs w:val="21"/>
          <w:highlight w:val="none"/>
          <w:lang w:val="en-US" w:eastAsia="zh-CN" w:bidi="ar-SA"/>
        </w:rPr>
        <w:t>.</w:t>
      </w:r>
      <w:r>
        <w:rPr>
          <w:rFonts w:hint="eastAsia" w:ascii="宋体" w:hAnsi="宋体" w:cs="宋体"/>
          <w:color w:val="auto"/>
          <w:sz w:val="21"/>
          <w:szCs w:val="21"/>
          <w:highlight w:val="none"/>
        </w:rPr>
        <w:t>我方完全服从和尊重</w:t>
      </w:r>
      <w:r>
        <w:rPr>
          <w:rFonts w:hint="eastAsia" w:ascii="宋体" w:hAnsi="宋体" w:cs="宋体"/>
          <w:color w:val="auto"/>
          <w:sz w:val="21"/>
          <w:szCs w:val="21"/>
          <w:highlight w:val="none"/>
          <w:lang w:eastAsia="zh-CN"/>
        </w:rPr>
        <w:t>磋商小组</w:t>
      </w:r>
      <w:r>
        <w:rPr>
          <w:rFonts w:hint="eastAsia" w:ascii="宋体" w:hAnsi="宋体" w:cs="宋体"/>
          <w:color w:val="auto"/>
          <w:sz w:val="21"/>
          <w:szCs w:val="21"/>
          <w:highlight w:val="none"/>
        </w:rPr>
        <w:t>所作的成交结果，同时清</w:t>
      </w:r>
      <w:r>
        <w:rPr>
          <w:rFonts w:hint="eastAsia" w:ascii="宋体" w:hAnsi="宋体" w:cs="宋体"/>
          <w:color w:val="auto"/>
          <w:sz w:val="21"/>
          <w:szCs w:val="21"/>
          <w:highlight w:val="none"/>
          <w:lang w:eastAsia="zh-CN"/>
        </w:rPr>
        <w:t>楚地</w:t>
      </w:r>
      <w:r>
        <w:rPr>
          <w:rFonts w:hint="eastAsia" w:ascii="宋体" w:hAnsi="宋体" w:cs="宋体"/>
          <w:color w:val="auto"/>
          <w:sz w:val="21"/>
          <w:szCs w:val="21"/>
          <w:highlight w:val="none"/>
        </w:rPr>
        <w:t>理解到报价最低并非意味着必定获得中标的资格。</w:t>
      </w:r>
    </w:p>
    <w:p w14:paraId="6A1F9E33">
      <w:pPr>
        <w:numPr>
          <w:ilvl w:val="0"/>
          <w:numId w:val="0"/>
        </w:numPr>
        <w:snapToGrid w:val="0"/>
        <w:spacing w:line="360" w:lineRule="auto"/>
        <w:ind w:left="0" w:leftChars="0" w:firstLine="420" w:firstLineChars="200"/>
        <w:rPr>
          <w:rFonts w:ascii="宋体" w:hAnsi="宋体" w:cs="宋体"/>
          <w:color w:val="auto"/>
          <w:sz w:val="21"/>
          <w:szCs w:val="21"/>
          <w:highlight w:val="none"/>
        </w:rPr>
      </w:pPr>
      <w:r>
        <w:rPr>
          <w:rFonts w:hint="eastAsia" w:ascii="宋体" w:hAnsi="宋体" w:cs="宋体"/>
          <w:color w:val="auto"/>
          <w:kern w:val="2"/>
          <w:sz w:val="21"/>
          <w:szCs w:val="21"/>
          <w:highlight w:val="none"/>
          <w:lang w:val="en-US" w:eastAsia="zh-CN" w:bidi="ar-SA"/>
        </w:rPr>
        <w:t>5</w:t>
      </w:r>
      <w:r>
        <w:rPr>
          <w:rFonts w:ascii="宋体" w:hAnsi="宋体" w:eastAsia="宋体" w:cs="宋体"/>
          <w:color w:val="auto"/>
          <w:kern w:val="2"/>
          <w:sz w:val="21"/>
          <w:szCs w:val="21"/>
          <w:highlight w:val="none"/>
          <w:lang w:val="en-US" w:eastAsia="zh-CN" w:bidi="ar-SA"/>
        </w:rPr>
        <w:t>.</w:t>
      </w:r>
      <w:r>
        <w:rPr>
          <w:rFonts w:hint="eastAsia" w:ascii="宋体" w:hAnsi="宋体" w:cs="宋体"/>
          <w:color w:val="auto"/>
          <w:sz w:val="21"/>
          <w:szCs w:val="21"/>
          <w:highlight w:val="none"/>
        </w:rPr>
        <w:t>我方</w:t>
      </w:r>
      <w:r>
        <w:rPr>
          <w:rFonts w:hint="eastAsia" w:ascii="宋体" w:hAnsi="宋体" w:cs="宋体"/>
          <w:color w:val="auto"/>
          <w:sz w:val="21"/>
          <w:szCs w:val="21"/>
          <w:highlight w:val="none"/>
          <w:lang w:val="en-US" w:eastAsia="zh-CN"/>
        </w:rPr>
        <w:t>承诺响应有效期为：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3E14C827">
      <w:pPr>
        <w:numPr>
          <w:ilvl w:val="0"/>
          <w:numId w:val="0"/>
        </w:numPr>
        <w:spacing w:line="360" w:lineRule="auto"/>
        <w:ind w:left="0" w:leftChars="0" w:firstLine="420" w:firstLineChars="200"/>
        <w:rPr>
          <w:rFonts w:ascii="宋体" w:hAnsi="宋体" w:cs="宋体"/>
          <w:color w:val="auto"/>
          <w:sz w:val="21"/>
          <w:szCs w:val="21"/>
          <w:highlight w:val="none"/>
        </w:rPr>
      </w:pPr>
      <w:r>
        <w:rPr>
          <w:rFonts w:hint="eastAsia" w:ascii="宋体" w:hAnsi="宋体" w:cs="宋体"/>
          <w:color w:val="auto"/>
          <w:kern w:val="2"/>
          <w:sz w:val="21"/>
          <w:szCs w:val="21"/>
          <w:highlight w:val="none"/>
          <w:lang w:val="en-US" w:eastAsia="zh-CN" w:bidi="ar-SA"/>
        </w:rPr>
        <w:t>6</w:t>
      </w:r>
      <w:r>
        <w:rPr>
          <w:rFonts w:ascii="宋体" w:hAnsi="宋体" w:eastAsia="宋体" w:cs="宋体"/>
          <w:color w:val="auto"/>
          <w:kern w:val="2"/>
          <w:sz w:val="21"/>
          <w:szCs w:val="21"/>
          <w:highlight w:val="none"/>
          <w:lang w:val="en-US" w:eastAsia="zh-CN" w:bidi="ar-SA"/>
        </w:rPr>
        <w:t>.</w:t>
      </w:r>
      <w:r>
        <w:rPr>
          <w:rFonts w:hint="eastAsia" w:ascii="宋体" w:hAnsi="宋体" w:cs="宋体"/>
          <w:color w:val="auto"/>
          <w:sz w:val="21"/>
          <w:szCs w:val="21"/>
          <w:highlight w:val="none"/>
        </w:rPr>
        <w:t>完全满足“第三章  采购需求”的实质性条款。</w:t>
      </w:r>
    </w:p>
    <w:p w14:paraId="744A9B71">
      <w:pPr>
        <w:numPr>
          <w:ilvl w:val="0"/>
          <w:numId w:val="0"/>
        </w:numPr>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s="宋体"/>
          <w:color w:val="auto"/>
          <w:kern w:val="2"/>
          <w:sz w:val="21"/>
          <w:szCs w:val="21"/>
          <w:highlight w:val="none"/>
          <w:lang w:val="en-US" w:eastAsia="zh-CN" w:bidi="ar-SA"/>
        </w:rPr>
        <w:t>7</w:t>
      </w:r>
      <w:r>
        <w:rPr>
          <w:rFonts w:ascii="宋体" w:hAnsi="宋体" w:eastAsia="宋体" w:cs="宋体"/>
          <w:color w:val="auto"/>
          <w:kern w:val="2"/>
          <w:sz w:val="21"/>
          <w:szCs w:val="21"/>
          <w:highlight w:val="none"/>
          <w:lang w:val="en-US" w:eastAsia="zh-CN" w:bidi="ar-SA"/>
        </w:rPr>
        <w:t>.</w:t>
      </w:r>
      <w:r>
        <w:rPr>
          <w:rFonts w:hint="eastAsia" w:ascii="宋体" w:hAnsi="宋体" w:cs="宋体"/>
          <w:color w:val="auto"/>
          <w:sz w:val="21"/>
          <w:szCs w:val="21"/>
          <w:highlight w:val="none"/>
        </w:rPr>
        <w:t>一旦我方成交，我们将根据</w:t>
      </w:r>
      <w:r>
        <w:rPr>
          <w:rFonts w:hint="eastAsia" w:ascii="宋体" w:hAnsi="宋体" w:cs="宋体"/>
          <w:color w:val="auto"/>
          <w:sz w:val="21"/>
          <w:szCs w:val="21"/>
          <w:highlight w:val="none"/>
          <w:lang w:eastAsia="zh-CN"/>
        </w:rPr>
        <w:t>竞争性磋商文件</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响应文件</w:t>
      </w:r>
      <w:r>
        <w:rPr>
          <w:rFonts w:hint="eastAsia" w:ascii="宋体" w:hAnsi="宋体" w:cs="宋体"/>
          <w:color w:val="auto"/>
          <w:sz w:val="21"/>
          <w:szCs w:val="21"/>
          <w:highlight w:val="none"/>
        </w:rPr>
        <w:t>及其有效补充文件的规定，严格按照《</w:t>
      </w:r>
      <w:r>
        <w:rPr>
          <w:rFonts w:hint="eastAsia" w:ascii="宋体" w:hAnsi="宋体" w:cs="宋体"/>
          <w:color w:val="auto"/>
          <w:sz w:val="21"/>
          <w:szCs w:val="21"/>
          <w:highlight w:val="none"/>
          <w:lang w:val="en-US" w:eastAsia="zh-CN"/>
        </w:rPr>
        <w:t>中华人民共和国民法典</w:t>
      </w:r>
      <w:r>
        <w:rPr>
          <w:rFonts w:hint="eastAsia" w:ascii="宋体" w:hAnsi="宋体" w:cs="宋体"/>
          <w:color w:val="auto"/>
          <w:sz w:val="21"/>
          <w:szCs w:val="21"/>
          <w:highlight w:val="none"/>
        </w:rPr>
        <w:t>》履行自己的责任和义务。</w:t>
      </w:r>
    </w:p>
    <w:p w14:paraId="0A8471EE">
      <w:pPr>
        <w:numPr>
          <w:ilvl w:val="0"/>
          <w:numId w:val="0"/>
        </w:numPr>
        <w:spacing w:line="360" w:lineRule="auto"/>
        <w:ind w:left="0" w:leftChars="0" w:firstLine="420" w:firstLineChars="200"/>
        <w:rPr>
          <w:rFonts w:hint="eastAsia" w:ascii="宋体" w:hAnsi="宋体" w:cs="宋体"/>
          <w:color w:val="auto"/>
          <w:sz w:val="21"/>
          <w:szCs w:val="21"/>
          <w:highlight w:val="none"/>
        </w:rPr>
      </w:pPr>
      <w:r>
        <w:rPr>
          <w:rFonts w:hint="eastAsia" w:ascii="宋体" w:hAnsi="宋体"/>
          <w:color w:val="auto"/>
          <w:kern w:val="0"/>
          <w:szCs w:val="21"/>
          <w:highlight w:val="none"/>
          <w:lang w:val="en-US" w:eastAsia="zh-CN"/>
        </w:rPr>
        <w:t>8</w:t>
      </w:r>
      <w:r>
        <w:rPr>
          <w:rFonts w:hint="eastAsia" w:ascii="宋体" w:hAnsi="宋体"/>
          <w:color w:val="auto"/>
          <w:kern w:val="0"/>
          <w:szCs w:val="21"/>
          <w:highlight w:val="none"/>
        </w:rPr>
        <w:t>．</w:t>
      </w:r>
      <w:r>
        <w:rPr>
          <w:rFonts w:hint="eastAsia" w:ascii="宋体" w:hAnsi="宋体"/>
          <w:color w:val="auto"/>
          <w:kern w:val="0"/>
          <w:szCs w:val="21"/>
          <w:highlight w:val="none"/>
          <w:u w:val="single"/>
          <w:lang w:val="en-US" w:eastAsia="zh-CN"/>
        </w:rPr>
        <w:t xml:space="preserve">                 </w:t>
      </w:r>
      <w:r>
        <w:rPr>
          <w:rFonts w:hint="eastAsia" w:ascii="宋体" w:hAnsi="宋体"/>
          <w:color w:val="auto"/>
          <w:kern w:val="0"/>
          <w:szCs w:val="21"/>
          <w:highlight w:val="none"/>
        </w:rPr>
        <w:t>（其他补充说明）。</w:t>
      </w:r>
    </w:p>
    <w:p w14:paraId="473C02FF">
      <w:pPr>
        <w:spacing w:line="360" w:lineRule="auto"/>
        <w:ind w:firstLine="420" w:firstLineChars="200"/>
        <w:rPr>
          <w:rFonts w:hint="eastAsia" w:ascii="宋体" w:hAnsi="宋体" w:cs="宋体"/>
          <w:color w:val="auto"/>
          <w:sz w:val="21"/>
          <w:szCs w:val="21"/>
          <w:highlight w:val="none"/>
          <w:lang w:eastAsia="zh-CN"/>
        </w:rPr>
      </w:pPr>
    </w:p>
    <w:p w14:paraId="573910E8">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668BAE22">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法定代表人或授权委托人：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4EEAEB27">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单位地址：</w:t>
      </w:r>
      <w:r>
        <w:rPr>
          <w:rFonts w:hint="eastAsia" w:ascii="宋体" w:hAnsi="宋体" w:cs="宋体"/>
          <w:color w:val="auto"/>
          <w:sz w:val="21"/>
          <w:szCs w:val="21"/>
          <w:highlight w:val="none"/>
          <w:u w:val="single"/>
        </w:rPr>
        <w:t xml:space="preserve">                            </w:t>
      </w:r>
    </w:p>
    <w:p w14:paraId="7CD55663">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邮政编码：</w:t>
      </w:r>
      <w:r>
        <w:rPr>
          <w:rFonts w:hint="eastAsia" w:ascii="宋体" w:hAnsi="宋体" w:cs="宋体"/>
          <w:color w:val="auto"/>
          <w:sz w:val="21"/>
          <w:szCs w:val="21"/>
          <w:highlight w:val="none"/>
          <w:u w:val="single"/>
        </w:rPr>
        <w:t xml:space="preserve">                            </w:t>
      </w:r>
    </w:p>
    <w:p w14:paraId="372B6D6E">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rPr>
          <w:rFonts w:hint="eastAsia" w:ascii="宋体" w:hAnsi="宋体" w:cs="宋体"/>
          <w:color w:val="auto"/>
          <w:sz w:val="21"/>
          <w:szCs w:val="21"/>
          <w:highlight w:val="none"/>
          <w:u w:val="single"/>
        </w:rPr>
        <w:t xml:space="preserve">                           </w:t>
      </w:r>
    </w:p>
    <w:p w14:paraId="1334C513">
      <w:pPr>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p>
    <w:p w14:paraId="69397333">
      <w:pPr>
        <w:rPr>
          <w:color w:val="auto"/>
          <w:sz w:val="21"/>
          <w:szCs w:val="21"/>
          <w:highlight w:val="none"/>
        </w:rPr>
      </w:pPr>
      <w:r>
        <w:rPr>
          <w:rFonts w:hint="eastAsia"/>
          <w:color w:val="auto"/>
          <w:sz w:val="21"/>
          <w:szCs w:val="21"/>
          <w:highlight w:val="none"/>
        </w:rPr>
        <w:br w:type="page"/>
      </w:r>
    </w:p>
    <w:p w14:paraId="5D81A49E">
      <w:pPr>
        <w:pStyle w:val="3"/>
        <w:rPr>
          <w:rFonts w:hint="eastAsia" w:eastAsiaTheme="majorEastAsia"/>
          <w:color w:val="auto"/>
          <w:highlight w:val="none"/>
          <w:lang w:eastAsia="zh-CN"/>
        </w:rPr>
      </w:pPr>
      <w:bookmarkStart w:id="1298" w:name="_Toc5498"/>
      <w:bookmarkStart w:id="1299" w:name="_Toc19736"/>
      <w:bookmarkStart w:id="1300" w:name="_Toc525"/>
      <w:bookmarkStart w:id="1301" w:name="_Toc11244"/>
      <w:bookmarkStart w:id="1302" w:name="_Toc30788"/>
      <w:bookmarkStart w:id="1303" w:name="_Toc10017"/>
      <w:r>
        <w:rPr>
          <w:rFonts w:hint="eastAsia"/>
          <w:color w:val="auto"/>
          <w:highlight w:val="none"/>
        </w:rPr>
        <w:t>二、</w:t>
      </w:r>
      <w:r>
        <w:rPr>
          <w:rFonts w:hint="eastAsia"/>
          <w:color w:val="auto"/>
          <w:highlight w:val="none"/>
          <w:lang w:val="en-US" w:eastAsia="zh-CN"/>
        </w:rPr>
        <w:t>磋商</w:t>
      </w:r>
      <w:r>
        <w:rPr>
          <w:rFonts w:hint="eastAsia"/>
          <w:color w:val="auto"/>
          <w:highlight w:val="none"/>
        </w:rPr>
        <w:t>报价表</w:t>
      </w:r>
      <w:r>
        <w:rPr>
          <w:rFonts w:hint="eastAsia"/>
          <w:color w:val="auto"/>
          <w:highlight w:val="none"/>
          <w:lang w:eastAsia="zh-CN"/>
        </w:rPr>
        <w:t>（</w:t>
      </w:r>
      <w:r>
        <w:rPr>
          <w:rFonts w:hint="eastAsia"/>
          <w:color w:val="auto"/>
          <w:highlight w:val="none"/>
          <w:lang w:val="en-US" w:eastAsia="zh-CN"/>
        </w:rPr>
        <w:t>一次报价</w:t>
      </w:r>
      <w:r>
        <w:rPr>
          <w:rFonts w:hint="eastAsia"/>
          <w:color w:val="auto"/>
          <w:highlight w:val="none"/>
          <w:lang w:eastAsia="zh-CN"/>
        </w:rPr>
        <w:t>）</w:t>
      </w:r>
      <w:bookmarkEnd w:id="1298"/>
      <w:bookmarkEnd w:id="1299"/>
      <w:bookmarkEnd w:id="1300"/>
      <w:bookmarkEnd w:id="1301"/>
      <w:bookmarkEnd w:id="1302"/>
      <w:bookmarkEnd w:id="1303"/>
    </w:p>
    <w:p w14:paraId="2D3DD38A">
      <w:pPr>
        <w:pStyle w:val="6"/>
        <w:ind w:firstLine="0" w:firstLineChars="0"/>
        <w:rPr>
          <w:rFonts w:hint="eastAsia" w:eastAsiaTheme="majorEastAsia"/>
          <w:color w:val="auto"/>
          <w:highlight w:val="none"/>
          <w:lang w:eastAsia="zh-CN"/>
        </w:rPr>
      </w:pPr>
      <w:r>
        <w:rPr>
          <w:rFonts w:hint="eastAsia"/>
          <w:color w:val="auto"/>
          <w:highlight w:val="none"/>
        </w:rPr>
        <w:t>（一）报价一览表</w:t>
      </w:r>
    </w:p>
    <w:p w14:paraId="34B5710B">
      <w:pPr>
        <w:pStyle w:val="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bl>
      <w:tblPr>
        <w:tblStyle w:val="32"/>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728"/>
      </w:tblGrid>
      <w:tr w14:paraId="28E0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jc w:val="center"/>
        </w:trPr>
        <w:tc>
          <w:tcPr>
            <w:tcW w:w="817" w:type="dxa"/>
            <w:vAlign w:val="center"/>
          </w:tcPr>
          <w:p w14:paraId="53641D93">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77" w:type="dxa"/>
            <w:vAlign w:val="center"/>
          </w:tcPr>
          <w:p w14:paraId="66056BA4">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条款内容</w:t>
            </w:r>
          </w:p>
        </w:tc>
        <w:tc>
          <w:tcPr>
            <w:tcW w:w="5728" w:type="dxa"/>
            <w:vAlign w:val="center"/>
          </w:tcPr>
          <w:p w14:paraId="1368B0CF">
            <w:pPr>
              <w:pStyle w:val="9"/>
              <w:keepNext w:val="0"/>
              <w:keepLines w:val="0"/>
              <w:suppressLineNumbers w:val="0"/>
              <w:spacing w:before="0" w:beforeAutospacing="0" w:after="0" w:afterAutospacing="0"/>
              <w:ind w:left="0" w:right="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响应内容</w:t>
            </w:r>
          </w:p>
        </w:tc>
      </w:tr>
      <w:tr w14:paraId="2B247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817" w:type="dxa"/>
            <w:vAlign w:val="center"/>
          </w:tcPr>
          <w:p w14:paraId="1B8AB872">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77" w:type="dxa"/>
            <w:vAlign w:val="center"/>
          </w:tcPr>
          <w:p w14:paraId="18A59677">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响应</w:t>
            </w:r>
            <w:r>
              <w:rPr>
                <w:rFonts w:hint="eastAsia" w:ascii="宋体" w:hAnsi="宋体" w:eastAsia="宋体" w:cs="宋体"/>
                <w:color w:val="auto"/>
                <w:sz w:val="21"/>
                <w:szCs w:val="21"/>
                <w:highlight w:val="none"/>
              </w:rPr>
              <w:t>报价</w:t>
            </w:r>
          </w:p>
        </w:tc>
        <w:tc>
          <w:tcPr>
            <w:tcW w:w="5728" w:type="dxa"/>
            <w:vAlign w:val="center"/>
          </w:tcPr>
          <w:p w14:paraId="3C772432">
            <w:pPr>
              <w:pStyle w:val="9"/>
              <w:keepNext w:val="0"/>
              <w:keepLines w:val="0"/>
              <w:suppressLineNumbers w:val="0"/>
              <w:spacing w:before="0" w:beforeAutospacing="0" w:after="0" w:afterAutospacing="0" w:line="360" w:lineRule="auto"/>
              <w:ind w:left="0" w:right="0" w:firstLine="0" w:firstLineChars="0"/>
              <w:jc w:val="lef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小写：</w:t>
            </w:r>
          </w:p>
          <w:p w14:paraId="267D4961">
            <w:pPr>
              <w:pStyle w:val="9"/>
              <w:keepNext w:val="0"/>
              <w:keepLines w:val="0"/>
              <w:suppressLineNumbers w:val="0"/>
              <w:spacing w:before="0" w:beforeAutospacing="0" w:after="0" w:afterAutospacing="0"/>
              <w:ind w:left="0" w:right="0"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大写：</w:t>
            </w:r>
          </w:p>
        </w:tc>
      </w:tr>
      <w:tr w14:paraId="7B07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4558FB93">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77" w:type="dxa"/>
            <w:vAlign w:val="center"/>
          </w:tcPr>
          <w:p w14:paraId="4198FFC2">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合同履行期限</w:t>
            </w:r>
          </w:p>
        </w:tc>
        <w:tc>
          <w:tcPr>
            <w:tcW w:w="5728" w:type="dxa"/>
            <w:vAlign w:val="center"/>
          </w:tcPr>
          <w:p w14:paraId="3CFCA149">
            <w:pPr>
              <w:keepNext w:val="0"/>
              <w:keepLines w:val="0"/>
              <w:suppressLineNumbers w:val="0"/>
              <w:spacing w:before="0" w:beforeAutospacing="0" w:after="0" w:afterAutospacing="0" w:line="460" w:lineRule="exact"/>
              <w:ind w:left="0" w:right="0"/>
              <w:rPr>
                <w:rFonts w:hint="eastAsia" w:ascii="宋体" w:hAnsi="宋体" w:eastAsia="宋体" w:cs="宋体"/>
                <w:color w:val="auto"/>
                <w:sz w:val="21"/>
                <w:szCs w:val="21"/>
                <w:highlight w:val="none"/>
              </w:rPr>
            </w:pPr>
          </w:p>
        </w:tc>
      </w:tr>
      <w:tr w14:paraId="0C03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7" w:hRule="atLeast"/>
          <w:jc w:val="center"/>
        </w:trPr>
        <w:tc>
          <w:tcPr>
            <w:tcW w:w="817" w:type="dxa"/>
            <w:vAlign w:val="center"/>
          </w:tcPr>
          <w:p w14:paraId="5E7422E8">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77" w:type="dxa"/>
            <w:vAlign w:val="center"/>
          </w:tcPr>
          <w:p w14:paraId="21EFB375">
            <w:pPr>
              <w:pStyle w:val="9"/>
              <w:keepNext w:val="0"/>
              <w:keepLines w:val="0"/>
              <w:suppressLineNumbers w:val="0"/>
              <w:spacing w:before="0" w:beforeAutospacing="0" w:after="0" w:afterAutospacing="0"/>
              <w:ind w:left="0" w:right="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质量承诺</w:t>
            </w:r>
          </w:p>
        </w:tc>
        <w:tc>
          <w:tcPr>
            <w:tcW w:w="5728" w:type="dxa"/>
            <w:vAlign w:val="center"/>
          </w:tcPr>
          <w:p w14:paraId="6A47EA77">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rPr>
            </w:pPr>
          </w:p>
        </w:tc>
      </w:tr>
      <w:tr w14:paraId="1BCB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6837E9EB">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2977" w:type="dxa"/>
            <w:vAlign w:val="center"/>
          </w:tcPr>
          <w:p w14:paraId="30E21932">
            <w:pPr>
              <w:pStyle w:val="9"/>
              <w:keepNext w:val="0"/>
              <w:keepLines w:val="0"/>
              <w:suppressLineNumbers w:val="0"/>
              <w:spacing w:before="0" w:beforeAutospacing="0" w:after="0" w:afterAutospacing="0"/>
              <w:ind w:left="0" w:right="0" w:firstLine="0" w:firstLineChars="0"/>
              <w:jc w:val="center"/>
              <w:rPr>
                <w:rFonts w:hint="eastAsia" w:ascii="宋体" w:hAnsi="宋体" w:cs="宋体"/>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项目地点</w:t>
            </w:r>
          </w:p>
        </w:tc>
        <w:tc>
          <w:tcPr>
            <w:tcW w:w="5728" w:type="dxa"/>
            <w:vAlign w:val="center"/>
          </w:tcPr>
          <w:p w14:paraId="05C059B8">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rPr>
            </w:pPr>
          </w:p>
        </w:tc>
      </w:tr>
      <w:tr w14:paraId="36C6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6DFD4897">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2977" w:type="dxa"/>
            <w:vAlign w:val="center"/>
          </w:tcPr>
          <w:p w14:paraId="0FF50925">
            <w:pPr>
              <w:pStyle w:val="9"/>
              <w:keepNext w:val="0"/>
              <w:keepLines w:val="0"/>
              <w:suppressLineNumbers w:val="0"/>
              <w:spacing w:before="0" w:beforeAutospacing="0" w:after="0" w:afterAutospacing="0"/>
              <w:ind w:left="0" w:right="0" w:firstLine="0" w:firstLineChars="0"/>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项目经理</w:t>
            </w:r>
          </w:p>
        </w:tc>
        <w:tc>
          <w:tcPr>
            <w:tcW w:w="5728" w:type="dxa"/>
            <w:vAlign w:val="center"/>
          </w:tcPr>
          <w:p w14:paraId="2645E238">
            <w:pPr>
              <w:keepNext w:val="0"/>
              <w:keepLines w:val="0"/>
              <w:suppressLineNumbers w:val="0"/>
              <w:spacing w:before="0" w:beforeAutospacing="0" w:after="0" w:afterAutospacing="0" w:line="460" w:lineRule="exact"/>
              <w:ind w:left="0" w:right="0"/>
              <w:jc w:val="lef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姓名：</w:t>
            </w:r>
          </w:p>
          <w:p w14:paraId="737435BE">
            <w:pPr>
              <w:keepNext w:val="0"/>
              <w:keepLines w:val="0"/>
              <w:suppressLineNumbers w:val="0"/>
              <w:spacing w:before="0" w:beforeAutospacing="0" w:after="0" w:afterAutospacing="0" w:line="460" w:lineRule="exact"/>
              <w:ind w:left="0" w:right="0"/>
              <w:jc w:val="lef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证书名称：</w:t>
            </w:r>
          </w:p>
          <w:p w14:paraId="5E217578">
            <w:pPr>
              <w:keepNext w:val="0"/>
              <w:keepLines w:val="0"/>
              <w:suppressLineNumbers w:val="0"/>
              <w:spacing w:before="0" w:beforeAutospacing="0" w:after="0" w:afterAutospacing="0" w:line="460" w:lineRule="exact"/>
              <w:ind w:left="0" w:right="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证书编号</w:t>
            </w:r>
          </w:p>
        </w:tc>
      </w:tr>
      <w:tr w14:paraId="1F57F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65504BBB">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2977" w:type="dxa"/>
            <w:vAlign w:val="center"/>
          </w:tcPr>
          <w:p w14:paraId="1FCE88D8">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5728" w:type="dxa"/>
            <w:vAlign w:val="center"/>
          </w:tcPr>
          <w:p w14:paraId="68E1FC11">
            <w:pPr>
              <w:pStyle w:val="9"/>
              <w:keepNext w:val="0"/>
              <w:keepLines w:val="0"/>
              <w:suppressLineNumbers w:val="0"/>
              <w:spacing w:before="0" w:beforeAutospacing="0" w:after="0" w:afterAutospacing="0"/>
              <w:ind w:left="0" w:right="0" w:firstLine="0" w:firstLineChars="0"/>
              <w:rPr>
                <w:rFonts w:hint="eastAsia" w:ascii="宋体" w:hAnsi="宋体" w:eastAsia="宋体" w:cs="宋体"/>
                <w:color w:val="auto"/>
                <w:sz w:val="21"/>
                <w:szCs w:val="21"/>
                <w:highlight w:val="none"/>
              </w:rPr>
            </w:pPr>
          </w:p>
        </w:tc>
      </w:tr>
      <w:tr w14:paraId="362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1" w:hRule="atLeast"/>
          <w:jc w:val="center"/>
        </w:trPr>
        <w:tc>
          <w:tcPr>
            <w:tcW w:w="9522" w:type="dxa"/>
            <w:gridSpan w:val="3"/>
            <w:vAlign w:val="center"/>
          </w:tcPr>
          <w:p w14:paraId="216E5EFB">
            <w:pPr>
              <w:keepNext w:val="0"/>
              <w:keepLines w:val="0"/>
              <w:suppressLineNumbers w:val="0"/>
              <w:spacing w:before="0" w:beforeAutospacing="0" w:after="0" w:afterAutospacing="0" w:line="480" w:lineRule="auto"/>
              <w:ind w:left="0" w:right="0" w:firstLine="2" w:firstLineChars="1"/>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14CDB20C">
            <w:pPr>
              <w:keepNext w:val="0"/>
              <w:keepLines w:val="0"/>
              <w:suppressLineNumbers w:val="0"/>
              <w:spacing w:before="0" w:beforeAutospacing="0" w:after="0" w:afterAutospacing="0" w:line="480" w:lineRule="auto"/>
              <w:ind w:left="0" w:right="0" w:firstLine="2" w:firstLineChars="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65A2BEDF">
            <w:pPr>
              <w:pStyle w:val="9"/>
              <w:keepNext w:val="0"/>
              <w:keepLines w:val="0"/>
              <w:suppressLineNumbers w:val="0"/>
              <w:spacing w:before="0" w:beforeAutospacing="0" w:after="0" w:afterAutospacing="0" w:line="480" w:lineRule="auto"/>
              <w:ind w:left="0" w:right="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tc>
      </w:tr>
    </w:tbl>
    <w:p w14:paraId="3FAE6013">
      <w:pPr>
        <w:pStyle w:val="18"/>
        <w:spacing w:line="360" w:lineRule="auto"/>
        <w:rPr>
          <w:rFonts w:hint="eastAsia" w:ascii="宋体" w:hAnsi="宋体" w:eastAsia="宋体" w:cs="宋体"/>
          <w:color w:val="auto"/>
          <w:sz w:val="21"/>
          <w:szCs w:val="21"/>
          <w:highlight w:val="none"/>
        </w:rPr>
      </w:pPr>
    </w:p>
    <w:p w14:paraId="33F7DB15">
      <w:pPr>
        <w:pStyle w:val="1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注：1、报价的计算应包括</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成交后为完成合同规定的全部任务需支付的一切费用和拟获得的利润，并考虑应承担的风险。</w:t>
      </w:r>
    </w:p>
    <w:p w14:paraId="7BBC63D9">
      <w:pPr>
        <w:pStyle w:val="18"/>
        <w:spacing w:line="360" w:lineRule="auto"/>
        <w:ind w:firstLine="840" w:firstLineChars="400"/>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2.</w:t>
      </w:r>
      <w:r>
        <w:rPr>
          <w:rFonts w:hint="eastAsia" w:hAnsi="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报价应为人民币含税全包价。</w:t>
      </w:r>
    </w:p>
    <w:p w14:paraId="0F1D9982">
      <w:pPr>
        <w:pStyle w:val="18"/>
        <w:spacing w:line="360" w:lineRule="auto"/>
        <w:ind w:firstLine="840" w:firstLineChars="400"/>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3.</w:t>
      </w:r>
      <w:r>
        <w:rPr>
          <w:rFonts w:hint="eastAsia"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报价超过采购项目</w:t>
      </w:r>
      <w:r>
        <w:rPr>
          <w:rFonts w:hint="eastAsia" w:hAnsi="宋体" w:cs="宋体"/>
          <w:color w:val="auto"/>
          <w:sz w:val="21"/>
          <w:szCs w:val="21"/>
          <w:highlight w:val="none"/>
          <w:lang w:eastAsia="zh-CN"/>
        </w:rPr>
        <w:t>最高限价</w:t>
      </w:r>
      <w:r>
        <w:rPr>
          <w:rFonts w:hint="eastAsia" w:ascii="宋体" w:hAnsi="宋体" w:eastAsia="宋体" w:cs="宋体"/>
          <w:color w:val="auto"/>
          <w:sz w:val="21"/>
          <w:szCs w:val="21"/>
          <w:highlight w:val="none"/>
        </w:rPr>
        <w:t>的按废标处理。</w:t>
      </w:r>
    </w:p>
    <w:p w14:paraId="3D7F0D40">
      <w:pPr>
        <w:rPr>
          <w:rFonts w:hint="eastAsia"/>
          <w:color w:val="auto"/>
          <w:highlight w:val="none"/>
        </w:rPr>
      </w:pPr>
      <w:r>
        <w:rPr>
          <w:rFonts w:hint="eastAsia"/>
          <w:color w:val="auto"/>
          <w:highlight w:val="none"/>
        </w:rPr>
        <w:br w:type="page"/>
      </w:r>
    </w:p>
    <w:p w14:paraId="15A7E2B6">
      <w:pPr>
        <w:pStyle w:val="6"/>
        <w:ind w:firstLine="0" w:firstLineChars="0"/>
        <w:rPr>
          <w:rFonts w:hint="default"/>
          <w:color w:val="auto"/>
          <w:highlight w:val="none"/>
          <w:lang w:val="en-US" w:eastAsia="zh-CN"/>
        </w:rPr>
      </w:pPr>
      <w:r>
        <w:rPr>
          <w:rFonts w:hint="eastAsia"/>
          <w:color w:val="auto"/>
          <w:highlight w:val="none"/>
        </w:rPr>
        <w:t>（二）</w:t>
      </w:r>
      <w:bookmarkStart w:id="1304" w:name="_Toc122026416"/>
      <w:r>
        <w:rPr>
          <w:rFonts w:hint="eastAsia"/>
          <w:color w:val="auto"/>
          <w:highlight w:val="none"/>
          <w:lang w:val="en-US" w:eastAsia="zh-CN"/>
        </w:rPr>
        <w:t>已标价工程量清单</w:t>
      </w:r>
    </w:p>
    <w:p w14:paraId="2C534BD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eastAsia="zh-CN"/>
        </w:rPr>
        <w:t>响应报价</w:t>
      </w:r>
      <w:r>
        <w:rPr>
          <w:rFonts w:hint="eastAsia" w:ascii="宋体" w:hAnsi="宋体" w:eastAsia="宋体" w:cs="宋体"/>
          <w:color w:val="auto"/>
          <w:highlight w:val="none"/>
        </w:rPr>
        <w:t>编制说明</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格式自拟</w:t>
      </w:r>
      <w:r>
        <w:rPr>
          <w:rFonts w:hint="eastAsia" w:ascii="宋体" w:hAnsi="宋体" w:cs="宋体"/>
          <w:color w:val="auto"/>
          <w:highlight w:val="none"/>
          <w:lang w:eastAsia="zh-CN"/>
        </w:rPr>
        <w:t>）</w:t>
      </w:r>
    </w:p>
    <w:p w14:paraId="4650DCE3">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eastAsia="zh-CN"/>
        </w:rPr>
        <w:t>响应报价</w:t>
      </w:r>
      <w:r>
        <w:rPr>
          <w:rFonts w:hint="eastAsia" w:ascii="宋体" w:hAnsi="宋体" w:eastAsia="宋体" w:cs="宋体"/>
          <w:color w:val="auto"/>
          <w:highlight w:val="none"/>
        </w:rPr>
        <w:t>表格式按第</w:t>
      </w:r>
      <w:r>
        <w:rPr>
          <w:rFonts w:hint="eastAsia" w:ascii="宋体" w:hAnsi="宋体" w:cs="宋体"/>
          <w:color w:val="auto"/>
          <w:highlight w:val="none"/>
          <w:lang w:val="en-US" w:eastAsia="zh-CN"/>
        </w:rPr>
        <w:t>三</w:t>
      </w:r>
      <w:r>
        <w:rPr>
          <w:rFonts w:hint="eastAsia" w:ascii="宋体" w:hAnsi="宋体" w:eastAsia="宋体" w:cs="宋体"/>
          <w:color w:val="auto"/>
          <w:highlight w:val="none"/>
        </w:rPr>
        <w:t>章“</w:t>
      </w:r>
      <w:r>
        <w:rPr>
          <w:rFonts w:hint="eastAsia" w:ascii="宋体" w:hAnsi="宋体" w:cs="宋体"/>
          <w:color w:val="auto"/>
          <w:highlight w:val="none"/>
          <w:lang w:val="en-US" w:eastAsia="zh-CN"/>
        </w:rPr>
        <w:t>采购需求</w:t>
      </w:r>
      <w:r>
        <w:rPr>
          <w:rFonts w:hint="eastAsia" w:ascii="宋体" w:hAnsi="宋体" w:eastAsia="宋体" w:cs="宋体"/>
          <w:color w:val="auto"/>
          <w:highlight w:val="none"/>
        </w:rPr>
        <w:t>”中提供的工程量清单格式填写。</w:t>
      </w:r>
    </w:p>
    <w:p w14:paraId="363AF63B">
      <w:pPr>
        <w:rPr>
          <w:rFonts w:hint="eastAsia"/>
          <w:color w:val="auto"/>
          <w:highlight w:val="none"/>
        </w:rPr>
      </w:pPr>
      <w:r>
        <w:rPr>
          <w:rFonts w:hint="eastAsia"/>
          <w:color w:val="auto"/>
          <w:highlight w:val="none"/>
        </w:rPr>
        <w:br w:type="page"/>
      </w:r>
    </w:p>
    <w:p w14:paraId="7A5899C5">
      <w:pPr>
        <w:pStyle w:val="3"/>
        <w:pageBreakBefore w:val="0"/>
        <w:widowControl w:val="0"/>
        <w:kinsoku/>
        <w:wordWrap/>
        <w:overflowPunct/>
        <w:topLinePunct w:val="0"/>
        <w:autoSpaceDE/>
        <w:autoSpaceDN/>
        <w:bidi w:val="0"/>
        <w:spacing w:line="360" w:lineRule="auto"/>
        <w:textAlignment w:val="auto"/>
        <w:rPr>
          <w:color w:val="auto"/>
          <w:highlight w:val="none"/>
        </w:rPr>
      </w:pPr>
      <w:bookmarkStart w:id="1305" w:name="_Toc19038"/>
      <w:bookmarkStart w:id="1306" w:name="_Toc282"/>
      <w:bookmarkStart w:id="1307" w:name="_Toc8707"/>
      <w:bookmarkStart w:id="1308" w:name="_Toc28586"/>
      <w:bookmarkStart w:id="1309" w:name="_Toc8939"/>
      <w:bookmarkStart w:id="1310" w:name="_Toc9540"/>
      <w:r>
        <w:rPr>
          <w:rFonts w:hint="eastAsia"/>
          <w:color w:val="auto"/>
          <w:highlight w:val="none"/>
        </w:rPr>
        <w:t>三、法定代表人身份证明和法定代表人授权委托书</w:t>
      </w:r>
      <w:bookmarkEnd w:id="1304"/>
      <w:bookmarkEnd w:id="1305"/>
      <w:bookmarkEnd w:id="1306"/>
      <w:bookmarkEnd w:id="1307"/>
      <w:bookmarkEnd w:id="1308"/>
      <w:bookmarkEnd w:id="1309"/>
      <w:bookmarkEnd w:id="1310"/>
    </w:p>
    <w:p w14:paraId="3A6FBCF2">
      <w:pPr>
        <w:pageBreakBefore w:val="0"/>
        <w:widowControl w:val="0"/>
        <w:kinsoku/>
        <w:wordWrap/>
        <w:overflowPunct/>
        <w:topLinePunct w:val="0"/>
        <w:autoSpaceDE/>
        <w:autoSpaceDN/>
        <w:bidi w:val="0"/>
        <w:adjustRightInd w:val="0"/>
        <w:snapToGrid w:val="0"/>
        <w:spacing w:line="360" w:lineRule="auto"/>
        <w:jc w:val="center"/>
        <w:textAlignment w:val="auto"/>
        <w:outlineLvl w:val="3"/>
        <w:rPr>
          <w:rFonts w:hint="eastAsia" w:ascii="黑体" w:eastAsia="黑体"/>
          <w:color w:val="auto"/>
          <w:kern w:val="0"/>
          <w:sz w:val="28"/>
          <w:highlight w:val="none"/>
        </w:rPr>
      </w:pPr>
      <w:r>
        <w:rPr>
          <w:rFonts w:hint="eastAsia" w:ascii="黑体" w:eastAsia="黑体"/>
          <w:color w:val="auto"/>
          <w:kern w:val="0"/>
          <w:sz w:val="28"/>
          <w:highlight w:val="none"/>
        </w:rPr>
        <w:t>（一）法定代表</w:t>
      </w:r>
      <w:r>
        <w:rPr>
          <w:rFonts w:hint="eastAsia" w:ascii="黑体" w:eastAsia="黑体"/>
          <w:color w:val="auto"/>
          <w:kern w:val="0"/>
          <w:sz w:val="28"/>
          <w:highlight w:val="none"/>
          <w:lang w:val="en-US" w:eastAsia="zh-CN"/>
        </w:rPr>
        <w:t>人</w:t>
      </w:r>
      <w:r>
        <w:rPr>
          <w:rFonts w:hint="eastAsia" w:ascii="黑体" w:eastAsia="黑体"/>
          <w:color w:val="auto"/>
          <w:kern w:val="0"/>
          <w:sz w:val="28"/>
          <w:highlight w:val="none"/>
        </w:rPr>
        <w:t>身份证明</w:t>
      </w:r>
    </w:p>
    <w:p w14:paraId="70496E7E">
      <w:pPr>
        <w:adjustRightInd w:val="0"/>
        <w:snapToGrid w:val="0"/>
        <w:spacing w:line="360" w:lineRule="auto"/>
        <w:ind w:firstLine="420" w:firstLineChars="200"/>
        <w:jc w:val="left"/>
        <w:rPr>
          <w:rFonts w:ascii="宋体" w:hAnsi="宋体"/>
          <w:color w:val="auto"/>
          <w:kern w:val="0"/>
          <w:szCs w:val="21"/>
          <w:highlight w:val="none"/>
        </w:rPr>
      </w:pPr>
    </w:p>
    <w:p w14:paraId="22D056BE">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lang w:eastAsia="zh-CN"/>
        </w:rPr>
        <w:t>供应商</w:t>
      </w:r>
      <w:r>
        <w:rPr>
          <w:rFonts w:hint="eastAsia" w:ascii="宋体" w:hAnsi="宋体"/>
          <w:color w:val="auto"/>
          <w:kern w:val="0"/>
          <w:szCs w:val="21"/>
          <w:highlight w:val="none"/>
          <w:u w:val="none"/>
          <w:lang w:val="en-US" w:eastAsia="zh-CN"/>
        </w:rPr>
        <w:t>名称</w:t>
      </w:r>
      <w:r>
        <w:rPr>
          <w:rFonts w:hint="eastAsia" w:ascii="宋体" w:hAnsi="宋体"/>
          <w:color w:val="auto"/>
          <w:kern w:val="0"/>
          <w:szCs w:val="21"/>
          <w:highlight w:val="none"/>
          <w:u w:val="none"/>
        </w:rPr>
        <w:t>：</w:t>
      </w:r>
      <w:r>
        <w:rPr>
          <w:rFonts w:ascii="宋体" w:hAnsi="宋体"/>
          <w:color w:val="auto"/>
          <w:kern w:val="0"/>
          <w:szCs w:val="21"/>
          <w:highlight w:val="none"/>
          <w:u w:val="none"/>
        </w:rPr>
        <w:t>_______________________________________________________</w:t>
      </w:r>
    </w:p>
    <w:p w14:paraId="20E5ED33">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单位性质：</w:t>
      </w:r>
      <w:r>
        <w:rPr>
          <w:rFonts w:ascii="宋体" w:hAnsi="宋体"/>
          <w:color w:val="auto"/>
          <w:kern w:val="0"/>
          <w:szCs w:val="21"/>
          <w:highlight w:val="none"/>
          <w:u w:val="none"/>
        </w:rPr>
        <w:t>_________________________________________________________</w:t>
      </w:r>
    </w:p>
    <w:p w14:paraId="49BB777E">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地    址：</w:t>
      </w:r>
      <w:r>
        <w:rPr>
          <w:rFonts w:ascii="宋体" w:hAnsi="宋体"/>
          <w:color w:val="auto"/>
          <w:kern w:val="0"/>
          <w:szCs w:val="21"/>
          <w:highlight w:val="none"/>
          <w:u w:val="none"/>
        </w:rPr>
        <w:t>_________________________________________________________</w:t>
      </w:r>
    </w:p>
    <w:p w14:paraId="65C5A202">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成立时间：</w:t>
      </w:r>
      <w:r>
        <w:rPr>
          <w:rFonts w:ascii="宋体" w:hAnsi="宋体"/>
          <w:color w:val="auto"/>
          <w:kern w:val="0"/>
          <w:szCs w:val="21"/>
          <w:highlight w:val="none"/>
          <w:u w:val="none"/>
        </w:rPr>
        <w:t>_______________</w:t>
      </w:r>
      <w:r>
        <w:rPr>
          <w:rFonts w:hint="eastAsia" w:ascii="宋体" w:hAnsi="宋体"/>
          <w:color w:val="auto"/>
          <w:kern w:val="0"/>
          <w:szCs w:val="21"/>
          <w:highlight w:val="none"/>
          <w:u w:val="none"/>
        </w:rPr>
        <w:t>年</w:t>
      </w:r>
      <w:r>
        <w:rPr>
          <w:rFonts w:ascii="宋体" w:hAnsi="宋体"/>
          <w:color w:val="auto"/>
          <w:kern w:val="0"/>
          <w:szCs w:val="21"/>
          <w:highlight w:val="none"/>
          <w:u w:val="none"/>
        </w:rPr>
        <w:t>_______________</w:t>
      </w:r>
      <w:r>
        <w:rPr>
          <w:rFonts w:hint="eastAsia" w:ascii="宋体" w:hAnsi="宋体"/>
          <w:color w:val="auto"/>
          <w:kern w:val="0"/>
          <w:szCs w:val="21"/>
          <w:highlight w:val="none"/>
          <w:u w:val="none"/>
        </w:rPr>
        <w:t>月</w:t>
      </w:r>
      <w:r>
        <w:rPr>
          <w:rFonts w:ascii="宋体" w:hAnsi="宋体"/>
          <w:color w:val="auto"/>
          <w:kern w:val="0"/>
          <w:szCs w:val="21"/>
          <w:highlight w:val="none"/>
          <w:u w:val="none"/>
        </w:rPr>
        <w:t>_______________</w:t>
      </w:r>
      <w:r>
        <w:rPr>
          <w:rFonts w:hint="eastAsia" w:ascii="宋体" w:hAnsi="宋体"/>
          <w:color w:val="auto"/>
          <w:kern w:val="0"/>
          <w:szCs w:val="21"/>
          <w:highlight w:val="none"/>
          <w:u w:val="none"/>
        </w:rPr>
        <w:t>日</w:t>
      </w:r>
    </w:p>
    <w:p w14:paraId="3FB04AB8">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经营期限：</w:t>
      </w:r>
      <w:r>
        <w:rPr>
          <w:rFonts w:ascii="宋体" w:hAnsi="宋体"/>
          <w:color w:val="auto"/>
          <w:kern w:val="0"/>
          <w:szCs w:val="21"/>
          <w:highlight w:val="none"/>
          <w:u w:val="none"/>
        </w:rPr>
        <w:t>_________________________________________________________</w:t>
      </w:r>
    </w:p>
    <w:p w14:paraId="628BB10E">
      <w:pPr>
        <w:adjustRightInd w:val="0"/>
        <w:snapToGrid w:val="0"/>
        <w:spacing w:line="360" w:lineRule="auto"/>
        <w:ind w:firstLine="420" w:firstLineChars="200"/>
        <w:jc w:val="left"/>
        <w:rPr>
          <w:rFonts w:hint="eastAsia" w:ascii="宋体" w:hAnsi="宋体" w:eastAsia="宋体"/>
          <w:color w:val="auto"/>
          <w:kern w:val="0"/>
          <w:szCs w:val="21"/>
          <w:highlight w:val="none"/>
          <w:u w:val="none"/>
          <w:lang w:eastAsia="zh-CN"/>
        </w:rPr>
      </w:pPr>
      <w:r>
        <w:rPr>
          <w:rFonts w:hint="eastAsia" w:ascii="宋体" w:hAnsi="宋体"/>
          <w:color w:val="auto"/>
          <w:kern w:val="0"/>
          <w:szCs w:val="21"/>
          <w:highlight w:val="none"/>
          <w:u w:val="none"/>
        </w:rPr>
        <w:t>姓    名：</w:t>
      </w:r>
      <w:r>
        <w:rPr>
          <w:rFonts w:ascii="宋体" w:hAnsi="宋体"/>
          <w:color w:val="auto"/>
          <w:kern w:val="0"/>
          <w:szCs w:val="21"/>
          <w:highlight w:val="none"/>
          <w:u w:val="none"/>
        </w:rPr>
        <w:t>__________</w:t>
      </w:r>
      <w:r>
        <w:rPr>
          <w:rFonts w:hint="eastAsia" w:ascii="宋体" w:hAnsi="宋体"/>
          <w:color w:val="auto"/>
          <w:kern w:val="0"/>
          <w:szCs w:val="21"/>
          <w:highlight w:val="none"/>
          <w:u w:val="none"/>
          <w:lang w:val="en-US" w:eastAsia="zh-CN"/>
        </w:rPr>
        <w:t xml:space="preserve">   </w:t>
      </w:r>
      <w:r>
        <w:rPr>
          <w:rFonts w:hint="eastAsia" w:ascii="宋体" w:hAnsi="宋体"/>
          <w:color w:val="auto"/>
          <w:kern w:val="0"/>
          <w:szCs w:val="21"/>
          <w:highlight w:val="none"/>
          <w:u w:val="none"/>
        </w:rPr>
        <w:t>性别：</w:t>
      </w:r>
      <w:r>
        <w:rPr>
          <w:rFonts w:ascii="宋体" w:hAnsi="宋体"/>
          <w:color w:val="auto"/>
          <w:kern w:val="0"/>
          <w:szCs w:val="21"/>
          <w:highlight w:val="none"/>
          <w:u w:val="none"/>
        </w:rPr>
        <w:t>________</w:t>
      </w:r>
      <w:r>
        <w:rPr>
          <w:rFonts w:hint="eastAsia" w:ascii="宋体" w:hAnsi="宋体"/>
          <w:color w:val="auto"/>
          <w:kern w:val="0"/>
          <w:szCs w:val="21"/>
          <w:highlight w:val="none"/>
          <w:u w:val="none"/>
          <w:lang w:val="en-US" w:eastAsia="zh-CN"/>
        </w:rPr>
        <w:t xml:space="preserve">   年龄：</w:t>
      </w:r>
      <w:r>
        <w:rPr>
          <w:rFonts w:ascii="宋体" w:hAnsi="宋体"/>
          <w:color w:val="auto"/>
          <w:kern w:val="0"/>
          <w:szCs w:val="21"/>
          <w:highlight w:val="none"/>
          <w:u w:val="none"/>
        </w:rPr>
        <w:t>_____________________</w:t>
      </w:r>
    </w:p>
    <w:p w14:paraId="6182C0AE">
      <w:pPr>
        <w:adjustRightInd w:val="0"/>
        <w:snapToGrid w:val="0"/>
        <w:spacing w:line="360" w:lineRule="auto"/>
        <w:ind w:firstLine="420" w:firstLineChars="200"/>
        <w:jc w:val="left"/>
        <w:rPr>
          <w:rFonts w:hint="default" w:ascii="宋体" w:hAnsi="宋体" w:eastAsia="宋体"/>
          <w:color w:val="auto"/>
          <w:kern w:val="0"/>
          <w:szCs w:val="21"/>
          <w:highlight w:val="none"/>
          <w:u w:val="none"/>
          <w:lang w:val="en-US" w:eastAsia="zh-CN"/>
        </w:rPr>
      </w:pPr>
      <w:r>
        <w:rPr>
          <w:rFonts w:hint="eastAsia" w:ascii="宋体" w:hAnsi="宋体"/>
          <w:color w:val="auto"/>
          <w:kern w:val="0"/>
          <w:szCs w:val="21"/>
          <w:highlight w:val="none"/>
          <w:u w:val="none"/>
          <w:lang w:val="en-US" w:eastAsia="zh-CN"/>
        </w:rPr>
        <w:t>身份证号</w:t>
      </w:r>
      <w:r>
        <w:rPr>
          <w:rFonts w:hint="eastAsia" w:ascii="宋体" w:hAnsi="宋体"/>
          <w:color w:val="auto"/>
          <w:kern w:val="0"/>
          <w:szCs w:val="21"/>
          <w:highlight w:val="none"/>
          <w:u w:val="none"/>
        </w:rPr>
        <w:t>：</w:t>
      </w:r>
      <w:r>
        <w:rPr>
          <w:rFonts w:ascii="宋体" w:hAnsi="宋体"/>
          <w:color w:val="auto"/>
          <w:kern w:val="0"/>
          <w:szCs w:val="21"/>
          <w:highlight w:val="none"/>
          <w:u w:val="none"/>
        </w:rPr>
        <w:t>___________________________</w:t>
      </w:r>
      <w:r>
        <w:rPr>
          <w:rFonts w:hint="eastAsia" w:ascii="宋体" w:hAnsi="宋体"/>
          <w:color w:val="auto"/>
          <w:kern w:val="0"/>
          <w:szCs w:val="21"/>
          <w:highlight w:val="none"/>
          <w:u w:val="none"/>
          <w:lang w:val="en-US" w:eastAsia="zh-CN"/>
        </w:rPr>
        <w:t xml:space="preserve"> </w:t>
      </w:r>
      <w:r>
        <w:rPr>
          <w:rFonts w:hint="eastAsia" w:ascii="宋体" w:hAnsi="宋体"/>
          <w:color w:val="auto"/>
          <w:kern w:val="0"/>
          <w:szCs w:val="21"/>
          <w:highlight w:val="none"/>
          <w:u w:val="none"/>
        </w:rPr>
        <w:t xml:space="preserve">  职务：</w:t>
      </w:r>
      <w:r>
        <w:rPr>
          <w:rFonts w:ascii="宋体" w:hAnsi="宋体"/>
          <w:color w:val="auto"/>
          <w:kern w:val="0"/>
          <w:szCs w:val="21"/>
          <w:highlight w:val="none"/>
          <w:u w:val="none"/>
        </w:rPr>
        <w:t>_____________________</w:t>
      </w:r>
    </w:p>
    <w:p w14:paraId="3608E314">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系</w:t>
      </w:r>
      <w:r>
        <w:rPr>
          <w:rFonts w:ascii="宋体" w:hAnsi="宋体"/>
          <w:color w:val="auto"/>
          <w:kern w:val="0"/>
          <w:szCs w:val="21"/>
          <w:highlight w:val="none"/>
          <w:u w:val="none"/>
        </w:rPr>
        <w:t>_______________________________________</w:t>
      </w:r>
      <w:r>
        <w:rPr>
          <w:rFonts w:hint="eastAsia" w:ascii="宋体" w:hAnsi="宋体"/>
          <w:color w:val="auto"/>
          <w:kern w:val="0"/>
          <w:szCs w:val="21"/>
          <w:highlight w:val="none"/>
          <w:u w:val="none"/>
        </w:rPr>
        <w:t>（</w:t>
      </w:r>
      <w:r>
        <w:rPr>
          <w:rFonts w:hint="eastAsia" w:ascii="宋体" w:hAnsi="宋体"/>
          <w:color w:val="auto"/>
          <w:kern w:val="0"/>
          <w:szCs w:val="21"/>
          <w:highlight w:val="none"/>
          <w:u w:val="none"/>
          <w:lang w:eastAsia="zh-CN"/>
        </w:rPr>
        <w:t>供应商</w:t>
      </w:r>
      <w:r>
        <w:rPr>
          <w:rFonts w:hint="eastAsia" w:ascii="宋体" w:hAnsi="宋体"/>
          <w:color w:val="auto"/>
          <w:kern w:val="0"/>
          <w:szCs w:val="21"/>
          <w:highlight w:val="none"/>
          <w:u w:val="none"/>
        </w:rPr>
        <w:t>名称）的法定代表人。</w:t>
      </w:r>
    </w:p>
    <w:p w14:paraId="74F7DB67">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特此证明。</w:t>
      </w:r>
    </w:p>
    <w:p w14:paraId="3F9D3F58">
      <w:pPr>
        <w:adjustRightInd w:val="0"/>
        <w:snapToGrid w:val="0"/>
        <w:spacing w:line="360" w:lineRule="auto"/>
        <w:ind w:firstLine="420" w:firstLineChars="200"/>
        <w:jc w:val="left"/>
        <w:rPr>
          <w:rFonts w:ascii="宋体" w:hAnsi="宋体"/>
          <w:color w:val="auto"/>
          <w:kern w:val="0"/>
          <w:szCs w:val="21"/>
          <w:highlight w:val="none"/>
          <w:u w:val="none"/>
        </w:rPr>
      </w:pPr>
    </w:p>
    <w:p w14:paraId="7FF97D13">
      <w:pPr>
        <w:adjustRightInd w:val="0"/>
        <w:snapToGrid w:val="0"/>
        <w:spacing w:line="360" w:lineRule="auto"/>
        <w:ind w:firstLine="420" w:firstLineChars="200"/>
        <w:jc w:val="left"/>
        <w:rPr>
          <w:rFonts w:ascii="宋体" w:hAnsi="宋体"/>
          <w:color w:val="auto"/>
          <w:kern w:val="0"/>
          <w:szCs w:val="21"/>
          <w:highlight w:val="none"/>
          <w:u w:val="none"/>
        </w:rPr>
      </w:pPr>
    </w:p>
    <w:p w14:paraId="5561817F">
      <w:pPr>
        <w:adjustRightInd w:val="0"/>
        <w:snapToGrid w:val="0"/>
        <w:spacing w:line="360" w:lineRule="auto"/>
        <w:ind w:firstLine="4200" w:firstLineChars="2000"/>
        <w:jc w:val="left"/>
        <w:rPr>
          <w:rFonts w:ascii="宋体" w:hAnsi="宋体"/>
          <w:color w:val="auto"/>
          <w:kern w:val="0"/>
          <w:szCs w:val="21"/>
          <w:highlight w:val="none"/>
          <w:u w:val="none"/>
        </w:rPr>
      </w:pPr>
      <w:r>
        <w:rPr>
          <w:rFonts w:hint="eastAsia" w:ascii="宋体" w:hAnsi="宋体"/>
          <w:color w:val="auto"/>
          <w:kern w:val="0"/>
          <w:szCs w:val="21"/>
          <w:highlight w:val="none"/>
          <w:u w:val="none"/>
          <w:lang w:eastAsia="zh-CN"/>
        </w:rPr>
        <w:t>供应商</w:t>
      </w:r>
      <w:r>
        <w:rPr>
          <w:rFonts w:hint="eastAsia" w:ascii="宋体" w:hAnsi="宋体"/>
          <w:color w:val="auto"/>
          <w:kern w:val="0"/>
          <w:szCs w:val="21"/>
          <w:highlight w:val="none"/>
          <w:u w:val="none"/>
        </w:rPr>
        <w:t>：___________________________（电子签章）</w:t>
      </w:r>
    </w:p>
    <w:p w14:paraId="0AA51415">
      <w:pPr>
        <w:adjustRightInd w:val="0"/>
        <w:snapToGrid w:val="0"/>
        <w:spacing w:line="360" w:lineRule="auto"/>
        <w:ind w:firstLine="5250" w:firstLineChars="2500"/>
        <w:jc w:val="left"/>
        <w:rPr>
          <w:rFonts w:ascii="宋体" w:hAnsi="宋体"/>
          <w:color w:val="auto"/>
          <w:kern w:val="0"/>
          <w:szCs w:val="21"/>
          <w:highlight w:val="none"/>
          <w:u w:val="none"/>
        </w:rPr>
      </w:pPr>
      <w:r>
        <w:rPr>
          <w:rFonts w:ascii="宋体" w:hAnsi="宋体"/>
          <w:color w:val="auto"/>
          <w:kern w:val="0"/>
          <w:szCs w:val="21"/>
          <w:highlight w:val="none"/>
          <w:u w:val="none"/>
        </w:rPr>
        <w:t>_________</w:t>
      </w:r>
      <w:r>
        <w:rPr>
          <w:rFonts w:hint="eastAsia" w:ascii="宋体" w:hAnsi="宋体"/>
          <w:color w:val="auto"/>
          <w:kern w:val="0"/>
          <w:szCs w:val="21"/>
          <w:highlight w:val="none"/>
          <w:u w:val="none"/>
        </w:rPr>
        <w:t>年</w:t>
      </w:r>
      <w:r>
        <w:rPr>
          <w:rFonts w:ascii="宋体" w:hAnsi="宋体"/>
          <w:color w:val="auto"/>
          <w:kern w:val="0"/>
          <w:szCs w:val="21"/>
          <w:highlight w:val="none"/>
          <w:u w:val="none"/>
        </w:rPr>
        <w:t>______</w:t>
      </w:r>
      <w:r>
        <w:rPr>
          <w:rFonts w:hint="eastAsia" w:ascii="宋体" w:hAnsi="宋体"/>
          <w:color w:val="auto"/>
          <w:kern w:val="0"/>
          <w:szCs w:val="21"/>
          <w:highlight w:val="none"/>
          <w:u w:val="none"/>
        </w:rPr>
        <w:t>月</w:t>
      </w:r>
      <w:r>
        <w:rPr>
          <w:rFonts w:ascii="宋体" w:hAnsi="宋体"/>
          <w:color w:val="auto"/>
          <w:kern w:val="0"/>
          <w:szCs w:val="21"/>
          <w:highlight w:val="none"/>
          <w:u w:val="none"/>
        </w:rPr>
        <w:t>______</w:t>
      </w:r>
      <w:r>
        <w:rPr>
          <w:rFonts w:hint="eastAsia" w:ascii="宋体" w:hAnsi="宋体"/>
          <w:color w:val="auto"/>
          <w:kern w:val="0"/>
          <w:szCs w:val="21"/>
          <w:highlight w:val="none"/>
          <w:u w:val="none"/>
        </w:rPr>
        <w:t>日</w:t>
      </w:r>
    </w:p>
    <w:p w14:paraId="39C7C90E">
      <w:pPr>
        <w:adjustRightInd w:val="0"/>
        <w:snapToGrid w:val="0"/>
        <w:spacing w:line="360" w:lineRule="auto"/>
        <w:jc w:val="left"/>
        <w:rPr>
          <w:rFonts w:ascii="宋体" w:hAnsi="宋体"/>
          <w:color w:val="auto"/>
          <w:kern w:val="0"/>
          <w:szCs w:val="21"/>
          <w:highlight w:val="none"/>
        </w:rPr>
      </w:pPr>
      <w:r>
        <w:rPr>
          <w:rFonts w:hint="eastAsia" w:ascii="宋体" w:hAnsi="宋体"/>
          <w:color w:val="auto"/>
          <w:kern w:val="0"/>
          <w:szCs w:val="21"/>
          <w:highlight w:val="none"/>
        </w:rPr>
        <w:t>注：附法定代表人身份证扫描件。</w:t>
      </w:r>
    </w:p>
    <w:p w14:paraId="0D2C51F7">
      <w:pPr>
        <w:adjustRightInd w:val="0"/>
        <w:snapToGrid w:val="0"/>
        <w:jc w:val="left"/>
        <w:rPr>
          <w:color w:val="auto"/>
          <w:highlight w:val="none"/>
        </w:rPr>
      </w:pPr>
      <w:r>
        <w:rPr>
          <w:color w:val="auto"/>
          <w:highlight w:val="none"/>
        </w:rPr>
        <w:br w:type="page"/>
      </w:r>
    </w:p>
    <w:p w14:paraId="40053658">
      <w:pPr>
        <w:adjustRightInd w:val="0"/>
        <w:snapToGrid w:val="0"/>
        <w:spacing w:line="360" w:lineRule="auto"/>
        <w:jc w:val="center"/>
        <w:outlineLvl w:val="3"/>
        <w:rPr>
          <w:rFonts w:hint="eastAsia" w:ascii="黑体" w:eastAsia="黑体"/>
          <w:color w:val="auto"/>
          <w:kern w:val="0"/>
          <w:sz w:val="28"/>
          <w:highlight w:val="none"/>
        </w:rPr>
      </w:pPr>
      <w:r>
        <w:rPr>
          <w:rFonts w:hint="eastAsia" w:ascii="黑体" w:eastAsia="黑体"/>
          <w:color w:val="auto"/>
          <w:kern w:val="0"/>
          <w:sz w:val="28"/>
          <w:highlight w:val="none"/>
        </w:rPr>
        <w:t>（二）授权委托书</w:t>
      </w:r>
    </w:p>
    <w:p w14:paraId="3D9C77AD">
      <w:pPr>
        <w:adjustRightInd w:val="0"/>
        <w:snapToGrid w:val="0"/>
        <w:spacing w:line="360" w:lineRule="auto"/>
        <w:ind w:firstLine="420" w:firstLineChars="200"/>
        <w:jc w:val="left"/>
        <w:rPr>
          <w:rFonts w:ascii="宋体" w:hAnsi="宋体"/>
          <w:color w:val="auto"/>
          <w:kern w:val="0"/>
          <w:szCs w:val="21"/>
          <w:highlight w:val="none"/>
        </w:rPr>
      </w:pPr>
    </w:p>
    <w:p w14:paraId="0F2F7C2D">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本人</w:t>
      </w:r>
      <w:r>
        <w:rPr>
          <w:rFonts w:ascii="宋体" w:hAnsi="宋体"/>
          <w:color w:val="auto"/>
          <w:kern w:val="0"/>
          <w:szCs w:val="21"/>
          <w:highlight w:val="none"/>
          <w:u w:val="none"/>
        </w:rPr>
        <w:t>_________</w:t>
      </w:r>
      <w:r>
        <w:rPr>
          <w:rFonts w:hint="eastAsia" w:ascii="宋体" w:hAnsi="宋体"/>
          <w:color w:val="auto"/>
          <w:kern w:val="0"/>
          <w:szCs w:val="21"/>
          <w:highlight w:val="none"/>
          <w:u w:val="none"/>
        </w:rPr>
        <w:t>（姓名）系</w:t>
      </w:r>
      <w:r>
        <w:rPr>
          <w:rFonts w:ascii="宋体" w:hAnsi="宋体"/>
          <w:color w:val="auto"/>
          <w:kern w:val="0"/>
          <w:szCs w:val="21"/>
          <w:highlight w:val="none"/>
          <w:u w:val="none"/>
        </w:rPr>
        <w:t>______________________________</w:t>
      </w:r>
      <w:r>
        <w:rPr>
          <w:rFonts w:hint="eastAsia" w:ascii="宋体" w:hAnsi="宋体"/>
          <w:color w:val="auto"/>
          <w:kern w:val="0"/>
          <w:szCs w:val="21"/>
          <w:highlight w:val="none"/>
          <w:u w:val="none"/>
        </w:rPr>
        <w:t>（</w:t>
      </w:r>
      <w:r>
        <w:rPr>
          <w:rFonts w:hint="eastAsia" w:ascii="宋体" w:hAnsi="宋体"/>
          <w:color w:val="auto"/>
          <w:kern w:val="0"/>
          <w:szCs w:val="21"/>
          <w:highlight w:val="none"/>
          <w:u w:val="none"/>
          <w:lang w:eastAsia="zh-CN"/>
        </w:rPr>
        <w:t>供应商</w:t>
      </w:r>
      <w:r>
        <w:rPr>
          <w:rFonts w:hint="eastAsia" w:ascii="宋体" w:hAnsi="宋体"/>
          <w:color w:val="auto"/>
          <w:kern w:val="0"/>
          <w:szCs w:val="21"/>
          <w:highlight w:val="none"/>
          <w:u w:val="none"/>
        </w:rPr>
        <w:t>名称）的法定代表人，现委托</w:t>
      </w:r>
      <w:r>
        <w:rPr>
          <w:rFonts w:ascii="宋体" w:hAnsi="宋体"/>
          <w:color w:val="auto"/>
          <w:kern w:val="0"/>
          <w:szCs w:val="21"/>
          <w:highlight w:val="none"/>
          <w:u w:val="none"/>
        </w:rPr>
        <w:t>_________</w:t>
      </w:r>
      <w:r>
        <w:rPr>
          <w:rFonts w:hint="eastAsia" w:ascii="宋体" w:hAnsi="宋体"/>
          <w:color w:val="auto"/>
          <w:kern w:val="0"/>
          <w:szCs w:val="21"/>
          <w:highlight w:val="none"/>
          <w:u w:val="none"/>
        </w:rPr>
        <w:t>（姓名）为我方代理人。代理人根据授权，以我方名义签署、澄清、说明、补正、递交、撤回、修改</w:t>
      </w:r>
      <w:r>
        <w:rPr>
          <w:rFonts w:ascii="宋体" w:hAnsi="宋体"/>
          <w:color w:val="auto"/>
          <w:kern w:val="0"/>
          <w:szCs w:val="21"/>
          <w:highlight w:val="none"/>
          <w:u w:val="none"/>
        </w:rPr>
        <w:t>_____________________</w:t>
      </w:r>
      <w:r>
        <w:rPr>
          <w:rFonts w:hint="eastAsia" w:ascii="宋体" w:hAnsi="宋体"/>
          <w:color w:val="auto"/>
          <w:kern w:val="0"/>
          <w:szCs w:val="21"/>
          <w:highlight w:val="none"/>
          <w:u w:val="none"/>
        </w:rPr>
        <w:t>（项目名称）</w:t>
      </w:r>
      <w:r>
        <w:rPr>
          <w:rFonts w:hint="eastAsia" w:ascii="宋体" w:hAnsi="宋体"/>
          <w:color w:val="auto"/>
          <w:kern w:val="0"/>
          <w:szCs w:val="21"/>
          <w:highlight w:val="none"/>
          <w:u w:val="none"/>
          <w:lang w:val="en-US" w:eastAsia="zh-CN"/>
        </w:rPr>
        <w:t>响应</w:t>
      </w:r>
      <w:r>
        <w:rPr>
          <w:rFonts w:hint="eastAsia" w:ascii="宋体" w:hAnsi="宋体"/>
          <w:color w:val="auto"/>
          <w:kern w:val="0"/>
          <w:szCs w:val="21"/>
          <w:highlight w:val="none"/>
          <w:u w:val="none"/>
        </w:rPr>
        <w:t>文件、签订合同和处理有关事宜，其法律后果由我方承担。</w:t>
      </w:r>
    </w:p>
    <w:p w14:paraId="694AFCFE">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委托期限：</w:t>
      </w:r>
      <w:r>
        <w:rPr>
          <w:rFonts w:ascii="宋体" w:hAnsi="宋体"/>
          <w:color w:val="auto"/>
          <w:kern w:val="0"/>
          <w:szCs w:val="21"/>
          <w:highlight w:val="none"/>
          <w:u w:val="none"/>
        </w:rPr>
        <w:t>____________________________________________________________</w:t>
      </w:r>
      <w:r>
        <w:rPr>
          <w:rFonts w:hint="eastAsia" w:ascii="宋体" w:hAnsi="宋体"/>
          <w:color w:val="auto"/>
          <w:kern w:val="0"/>
          <w:szCs w:val="21"/>
          <w:highlight w:val="none"/>
          <w:u w:val="none"/>
        </w:rPr>
        <w:t>。</w:t>
      </w:r>
    </w:p>
    <w:p w14:paraId="09F681C1">
      <w:pPr>
        <w:adjustRightInd w:val="0"/>
        <w:snapToGrid w:val="0"/>
        <w:spacing w:line="360" w:lineRule="auto"/>
        <w:ind w:firstLine="420" w:firstLineChars="200"/>
        <w:jc w:val="left"/>
        <w:rPr>
          <w:rFonts w:ascii="宋体" w:hAnsi="宋体"/>
          <w:color w:val="auto"/>
          <w:kern w:val="0"/>
          <w:szCs w:val="21"/>
          <w:highlight w:val="none"/>
          <w:u w:val="none"/>
        </w:rPr>
      </w:pPr>
      <w:r>
        <w:rPr>
          <w:rFonts w:hint="eastAsia" w:ascii="宋体" w:hAnsi="宋体"/>
          <w:color w:val="auto"/>
          <w:kern w:val="0"/>
          <w:szCs w:val="21"/>
          <w:highlight w:val="none"/>
          <w:u w:val="none"/>
        </w:rPr>
        <w:t>代理人无转委托权。</w:t>
      </w:r>
    </w:p>
    <w:p w14:paraId="0926ECD4">
      <w:pPr>
        <w:adjustRightInd w:val="0"/>
        <w:snapToGrid w:val="0"/>
        <w:spacing w:line="360" w:lineRule="auto"/>
        <w:ind w:firstLine="420" w:firstLineChars="200"/>
        <w:jc w:val="left"/>
        <w:rPr>
          <w:rFonts w:hint="eastAsia" w:ascii="宋体" w:hAnsi="宋体" w:eastAsia="宋体"/>
          <w:color w:val="auto"/>
          <w:kern w:val="0"/>
          <w:szCs w:val="21"/>
          <w:highlight w:val="none"/>
          <w:u w:val="none"/>
          <w:lang w:eastAsia="zh-CN"/>
        </w:rPr>
      </w:pPr>
      <w:r>
        <w:rPr>
          <w:rFonts w:hint="eastAsia" w:ascii="宋体" w:hAnsi="宋体"/>
          <w:color w:val="auto"/>
          <w:kern w:val="0"/>
          <w:szCs w:val="21"/>
          <w:highlight w:val="none"/>
          <w:u w:val="none"/>
        </w:rPr>
        <w:t>附：</w:t>
      </w:r>
      <w:r>
        <w:rPr>
          <w:rFonts w:hint="eastAsia" w:ascii="宋体" w:hAnsi="宋体"/>
          <w:color w:val="auto"/>
          <w:kern w:val="0"/>
          <w:szCs w:val="21"/>
          <w:highlight w:val="none"/>
          <w:u w:val="none"/>
          <w:lang w:val="en-US" w:eastAsia="zh-CN"/>
        </w:rPr>
        <w:t>委托代理人</w:t>
      </w:r>
      <w:r>
        <w:rPr>
          <w:rFonts w:hint="eastAsia" w:ascii="宋体" w:hAnsi="宋体"/>
          <w:color w:val="auto"/>
          <w:kern w:val="0"/>
          <w:szCs w:val="21"/>
          <w:highlight w:val="none"/>
        </w:rPr>
        <w:t>身份证扫描件</w:t>
      </w:r>
      <w:r>
        <w:rPr>
          <w:rFonts w:hint="eastAsia" w:ascii="宋体" w:hAnsi="宋体"/>
          <w:color w:val="auto"/>
          <w:kern w:val="0"/>
          <w:szCs w:val="21"/>
          <w:highlight w:val="none"/>
          <w:lang w:eastAsia="zh-CN"/>
        </w:rPr>
        <w:t>。</w:t>
      </w:r>
    </w:p>
    <w:p w14:paraId="55AC33A7">
      <w:pPr>
        <w:adjustRightInd w:val="0"/>
        <w:snapToGrid w:val="0"/>
        <w:spacing w:line="360" w:lineRule="auto"/>
        <w:ind w:firstLine="420" w:firstLineChars="200"/>
        <w:jc w:val="left"/>
        <w:rPr>
          <w:rFonts w:ascii="宋体" w:hAnsi="宋体"/>
          <w:color w:val="auto"/>
          <w:kern w:val="0"/>
          <w:szCs w:val="21"/>
          <w:highlight w:val="none"/>
          <w:u w:val="none"/>
        </w:rPr>
      </w:pPr>
    </w:p>
    <w:p w14:paraId="30A1A59A">
      <w:pPr>
        <w:adjustRightInd w:val="0"/>
        <w:snapToGrid w:val="0"/>
        <w:spacing w:line="360" w:lineRule="auto"/>
        <w:ind w:firstLine="4200" w:firstLineChars="2000"/>
        <w:jc w:val="left"/>
        <w:rPr>
          <w:rFonts w:ascii="宋体" w:hAnsi="宋体"/>
          <w:color w:val="auto"/>
          <w:kern w:val="0"/>
          <w:szCs w:val="21"/>
          <w:highlight w:val="none"/>
          <w:u w:val="none"/>
        </w:rPr>
      </w:pPr>
      <w:r>
        <w:rPr>
          <w:rFonts w:hint="eastAsia" w:ascii="宋体" w:hAnsi="宋体"/>
          <w:color w:val="auto"/>
          <w:kern w:val="0"/>
          <w:szCs w:val="21"/>
          <w:highlight w:val="none"/>
          <w:u w:val="none"/>
          <w:lang w:val="en-US" w:eastAsia="zh-CN"/>
        </w:rPr>
        <w:t>供  应  商</w:t>
      </w:r>
      <w:r>
        <w:rPr>
          <w:rFonts w:hint="eastAsia" w:ascii="宋体" w:hAnsi="宋体"/>
          <w:color w:val="auto"/>
          <w:kern w:val="0"/>
          <w:szCs w:val="21"/>
          <w:highlight w:val="none"/>
          <w:u w:val="none"/>
        </w:rPr>
        <w:t>：</w:t>
      </w:r>
      <w:r>
        <w:rPr>
          <w:rFonts w:ascii="宋体" w:hAnsi="宋体"/>
          <w:color w:val="auto"/>
          <w:kern w:val="0"/>
          <w:szCs w:val="21"/>
          <w:highlight w:val="none"/>
          <w:u w:val="none"/>
        </w:rPr>
        <w:t>___________________</w:t>
      </w:r>
      <w:r>
        <w:rPr>
          <w:rFonts w:hint="eastAsia" w:ascii="宋体" w:hAnsi="宋体"/>
          <w:color w:val="auto"/>
          <w:kern w:val="0"/>
          <w:szCs w:val="21"/>
          <w:highlight w:val="none"/>
          <w:u w:val="none"/>
        </w:rPr>
        <w:t>（电子签章）</w:t>
      </w:r>
    </w:p>
    <w:p w14:paraId="3032E24E">
      <w:pPr>
        <w:adjustRightInd w:val="0"/>
        <w:snapToGrid w:val="0"/>
        <w:spacing w:line="360" w:lineRule="auto"/>
        <w:ind w:firstLine="4200" w:firstLineChars="2000"/>
        <w:jc w:val="left"/>
        <w:rPr>
          <w:rFonts w:ascii="宋体" w:hAnsi="宋体"/>
          <w:color w:val="auto"/>
          <w:kern w:val="0"/>
          <w:szCs w:val="21"/>
          <w:highlight w:val="none"/>
          <w:u w:val="none"/>
        </w:rPr>
      </w:pPr>
      <w:r>
        <w:rPr>
          <w:rFonts w:hint="eastAsia" w:ascii="宋体" w:hAnsi="宋体"/>
          <w:color w:val="auto"/>
          <w:kern w:val="0"/>
          <w:szCs w:val="21"/>
          <w:highlight w:val="none"/>
          <w:u w:val="none"/>
        </w:rPr>
        <w:t>法定代表人：</w:t>
      </w:r>
      <w:r>
        <w:rPr>
          <w:rFonts w:ascii="宋体" w:hAnsi="宋体"/>
          <w:color w:val="auto"/>
          <w:kern w:val="0"/>
          <w:szCs w:val="21"/>
          <w:highlight w:val="none"/>
          <w:u w:val="none"/>
        </w:rPr>
        <w:t>__________________</w:t>
      </w:r>
      <w:r>
        <w:rPr>
          <w:rFonts w:hint="eastAsia" w:ascii="宋体" w:hAnsi="宋体"/>
          <w:color w:val="auto"/>
          <w:kern w:val="0"/>
          <w:szCs w:val="21"/>
          <w:highlight w:val="none"/>
          <w:u w:val="none"/>
        </w:rPr>
        <w:t>_（电子签章）</w:t>
      </w:r>
    </w:p>
    <w:p w14:paraId="6D190966">
      <w:pPr>
        <w:adjustRightInd w:val="0"/>
        <w:snapToGrid w:val="0"/>
        <w:spacing w:line="360" w:lineRule="auto"/>
        <w:ind w:firstLine="4200" w:firstLineChars="2000"/>
        <w:jc w:val="left"/>
        <w:rPr>
          <w:rFonts w:ascii="宋体" w:hAnsi="宋体"/>
          <w:color w:val="auto"/>
          <w:kern w:val="0"/>
          <w:szCs w:val="21"/>
          <w:highlight w:val="none"/>
          <w:u w:val="none"/>
        </w:rPr>
      </w:pPr>
      <w:r>
        <w:rPr>
          <w:rFonts w:hint="eastAsia" w:ascii="宋体" w:hAnsi="宋体"/>
          <w:color w:val="auto"/>
          <w:kern w:val="0"/>
          <w:szCs w:val="21"/>
          <w:highlight w:val="none"/>
          <w:u w:val="none"/>
        </w:rPr>
        <w:t>身份证号码：</w:t>
      </w:r>
      <w:r>
        <w:rPr>
          <w:rFonts w:ascii="宋体" w:hAnsi="宋体"/>
          <w:color w:val="auto"/>
          <w:kern w:val="0"/>
          <w:szCs w:val="21"/>
          <w:highlight w:val="none"/>
          <w:u w:val="none"/>
        </w:rPr>
        <w:t>___________________</w:t>
      </w:r>
    </w:p>
    <w:p w14:paraId="26126782">
      <w:pPr>
        <w:adjustRightInd w:val="0"/>
        <w:snapToGrid w:val="0"/>
        <w:spacing w:line="360" w:lineRule="auto"/>
        <w:ind w:firstLine="4200" w:firstLineChars="2000"/>
        <w:jc w:val="left"/>
        <w:rPr>
          <w:rFonts w:hint="eastAsia" w:ascii="宋体" w:hAnsi="宋体" w:eastAsia="宋体"/>
          <w:color w:val="auto"/>
          <w:kern w:val="0"/>
          <w:szCs w:val="21"/>
          <w:highlight w:val="none"/>
          <w:u w:val="none"/>
          <w:lang w:eastAsia="zh-CN"/>
        </w:rPr>
      </w:pPr>
      <w:r>
        <w:rPr>
          <w:rFonts w:hint="eastAsia" w:ascii="宋体" w:hAnsi="宋体"/>
          <w:color w:val="auto"/>
          <w:kern w:val="0"/>
          <w:szCs w:val="21"/>
          <w:highlight w:val="none"/>
          <w:u w:val="none"/>
        </w:rPr>
        <w:t>委托代理人：</w:t>
      </w:r>
      <w:r>
        <w:rPr>
          <w:rFonts w:ascii="宋体" w:hAnsi="宋体"/>
          <w:color w:val="auto"/>
          <w:kern w:val="0"/>
          <w:szCs w:val="21"/>
          <w:highlight w:val="none"/>
          <w:u w:val="none"/>
        </w:rPr>
        <w:t>___________________</w:t>
      </w:r>
      <w:r>
        <w:rPr>
          <w:rFonts w:hint="eastAsia" w:ascii="宋体" w:hAnsi="宋体"/>
          <w:color w:val="auto"/>
          <w:kern w:val="0"/>
          <w:szCs w:val="21"/>
          <w:highlight w:val="none"/>
          <w:u w:val="none"/>
          <w:lang w:eastAsia="zh-CN"/>
        </w:rPr>
        <w:t>（</w:t>
      </w:r>
      <w:r>
        <w:rPr>
          <w:rFonts w:hint="eastAsia" w:ascii="宋体" w:hAnsi="宋体"/>
          <w:color w:val="auto"/>
          <w:kern w:val="0"/>
          <w:szCs w:val="21"/>
          <w:highlight w:val="none"/>
          <w:u w:val="none"/>
          <w:lang w:val="en-US" w:eastAsia="zh-CN"/>
        </w:rPr>
        <w:t>签字</w:t>
      </w:r>
      <w:r>
        <w:rPr>
          <w:rFonts w:hint="eastAsia" w:ascii="宋体" w:hAnsi="宋体"/>
          <w:color w:val="auto"/>
          <w:kern w:val="0"/>
          <w:szCs w:val="21"/>
          <w:highlight w:val="none"/>
          <w:u w:val="none"/>
          <w:lang w:eastAsia="zh-CN"/>
        </w:rPr>
        <w:t>）</w:t>
      </w:r>
    </w:p>
    <w:p w14:paraId="2FBC488B">
      <w:pPr>
        <w:adjustRightInd w:val="0"/>
        <w:snapToGrid w:val="0"/>
        <w:spacing w:line="360" w:lineRule="auto"/>
        <w:ind w:firstLine="4200" w:firstLineChars="2000"/>
        <w:jc w:val="left"/>
        <w:rPr>
          <w:rFonts w:ascii="宋体" w:hAnsi="宋体"/>
          <w:color w:val="auto"/>
          <w:kern w:val="0"/>
          <w:szCs w:val="21"/>
          <w:highlight w:val="none"/>
          <w:u w:val="none"/>
        </w:rPr>
      </w:pPr>
      <w:r>
        <w:rPr>
          <w:rFonts w:hint="eastAsia" w:ascii="宋体" w:hAnsi="宋体"/>
          <w:color w:val="auto"/>
          <w:kern w:val="0"/>
          <w:szCs w:val="21"/>
          <w:highlight w:val="none"/>
          <w:u w:val="none"/>
        </w:rPr>
        <w:t>身份证号码：</w:t>
      </w:r>
      <w:r>
        <w:rPr>
          <w:rFonts w:ascii="宋体" w:hAnsi="宋体"/>
          <w:color w:val="auto"/>
          <w:kern w:val="0"/>
          <w:szCs w:val="21"/>
          <w:highlight w:val="none"/>
          <w:u w:val="none"/>
        </w:rPr>
        <w:t>___________________</w:t>
      </w:r>
    </w:p>
    <w:p w14:paraId="2909C612">
      <w:pPr>
        <w:adjustRightInd w:val="0"/>
        <w:snapToGrid w:val="0"/>
        <w:spacing w:line="360" w:lineRule="auto"/>
        <w:ind w:firstLine="5250" w:firstLineChars="2500"/>
        <w:jc w:val="left"/>
        <w:rPr>
          <w:rFonts w:ascii="宋体" w:hAnsi="宋体"/>
          <w:color w:val="auto"/>
          <w:kern w:val="0"/>
          <w:szCs w:val="21"/>
          <w:highlight w:val="none"/>
          <w:u w:val="none"/>
        </w:rPr>
      </w:pPr>
      <w:r>
        <w:rPr>
          <w:rFonts w:ascii="宋体" w:hAnsi="宋体"/>
          <w:color w:val="auto"/>
          <w:kern w:val="0"/>
          <w:szCs w:val="21"/>
          <w:highlight w:val="none"/>
          <w:u w:val="none"/>
        </w:rPr>
        <w:t>_________</w:t>
      </w:r>
      <w:r>
        <w:rPr>
          <w:rFonts w:hint="eastAsia" w:ascii="宋体" w:hAnsi="宋体"/>
          <w:color w:val="auto"/>
          <w:kern w:val="0"/>
          <w:szCs w:val="21"/>
          <w:highlight w:val="none"/>
          <w:u w:val="none"/>
        </w:rPr>
        <w:t>年</w:t>
      </w:r>
      <w:r>
        <w:rPr>
          <w:rFonts w:ascii="宋体" w:hAnsi="宋体"/>
          <w:color w:val="auto"/>
          <w:kern w:val="0"/>
          <w:szCs w:val="21"/>
          <w:highlight w:val="none"/>
          <w:u w:val="none"/>
        </w:rPr>
        <w:t>______</w:t>
      </w:r>
      <w:r>
        <w:rPr>
          <w:rFonts w:hint="eastAsia" w:ascii="宋体" w:hAnsi="宋体"/>
          <w:color w:val="auto"/>
          <w:kern w:val="0"/>
          <w:szCs w:val="21"/>
          <w:highlight w:val="none"/>
          <w:u w:val="none"/>
        </w:rPr>
        <w:t>月</w:t>
      </w:r>
      <w:r>
        <w:rPr>
          <w:rFonts w:ascii="宋体" w:hAnsi="宋体"/>
          <w:color w:val="auto"/>
          <w:kern w:val="0"/>
          <w:szCs w:val="21"/>
          <w:highlight w:val="none"/>
          <w:u w:val="none"/>
        </w:rPr>
        <w:t>______</w:t>
      </w:r>
      <w:r>
        <w:rPr>
          <w:rFonts w:hint="eastAsia" w:ascii="宋体" w:hAnsi="宋体"/>
          <w:color w:val="auto"/>
          <w:kern w:val="0"/>
          <w:szCs w:val="21"/>
          <w:highlight w:val="none"/>
          <w:u w:val="none"/>
        </w:rPr>
        <w:t>日</w:t>
      </w:r>
    </w:p>
    <w:p w14:paraId="55E80695">
      <w:pPr>
        <w:pStyle w:val="11"/>
        <w:rPr>
          <w:color w:val="auto"/>
          <w:highlight w:val="none"/>
        </w:rPr>
      </w:pPr>
    </w:p>
    <w:p w14:paraId="47FA2E7A">
      <w:pPr>
        <w:spacing w:line="360" w:lineRule="auto"/>
        <w:ind w:firstLine="480" w:firstLineChars="200"/>
        <w:rPr>
          <w:rFonts w:ascii="宋体" w:hAnsi="宋体" w:cs="宋体"/>
          <w:color w:val="auto"/>
          <w:sz w:val="24"/>
          <w:szCs w:val="24"/>
          <w:highlight w:val="none"/>
        </w:rPr>
      </w:pPr>
    </w:p>
    <w:p w14:paraId="4997B634">
      <w:pPr>
        <w:rPr>
          <w:color w:val="auto"/>
          <w:highlight w:val="none"/>
        </w:rPr>
      </w:pPr>
      <w:r>
        <w:rPr>
          <w:rFonts w:hint="eastAsia"/>
          <w:color w:val="auto"/>
          <w:highlight w:val="none"/>
        </w:rPr>
        <w:br w:type="page"/>
      </w:r>
      <w:bookmarkStart w:id="1311" w:name="_Toc32039"/>
    </w:p>
    <w:p w14:paraId="5A58EFE6">
      <w:pPr>
        <w:pStyle w:val="3"/>
        <w:rPr>
          <w:rFonts w:ascii="宋体"/>
          <w:b/>
          <w:color w:val="auto"/>
          <w:sz w:val="24"/>
          <w:szCs w:val="24"/>
          <w:highlight w:val="none"/>
        </w:rPr>
      </w:pPr>
      <w:bookmarkStart w:id="1312" w:name="_Toc122026418"/>
      <w:bookmarkStart w:id="1313" w:name="_Toc12028"/>
      <w:bookmarkStart w:id="1314" w:name="_Toc9287"/>
      <w:bookmarkStart w:id="1315" w:name="_Toc28741"/>
      <w:bookmarkStart w:id="1316" w:name="_Toc27358"/>
      <w:bookmarkStart w:id="1317" w:name="_Toc6020"/>
      <w:bookmarkStart w:id="1318" w:name="_Toc11906"/>
      <w:r>
        <w:rPr>
          <w:rFonts w:hint="eastAsia"/>
          <w:color w:val="auto"/>
          <w:highlight w:val="none"/>
          <w:lang w:val="en-US" w:eastAsia="zh-CN"/>
        </w:rPr>
        <w:t>四</w:t>
      </w:r>
      <w:r>
        <w:rPr>
          <w:rFonts w:hint="eastAsia"/>
          <w:color w:val="auto"/>
          <w:highlight w:val="none"/>
        </w:rPr>
        <w:t>、</w:t>
      </w:r>
      <w:bookmarkEnd w:id="1312"/>
      <w:r>
        <w:rPr>
          <w:rFonts w:hint="eastAsia"/>
          <w:color w:val="auto"/>
          <w:highlight w:val="none"/>
        </w:rPr>
        <w:t>中小企业声明函</w:t>
      </w:r>
      <w:bookmarkEnd w:id="1313"/>
      <w:bookmarkEnd w:id="1314"/>
      <w:bookmarkEnd w:id="1315"/>
      <w:bookmarkEnd w:id="1316"/>
      <w:bookmarkEnd w:id="1317"/>
      <w:bookmarkEnd w:id="1318"/>
    </w:p>
    <w:p w14:paraId="2A5F7468">
      <w:pPr>
        <w:spacing w:line="588" w:lineRule="exact"/>
        <w:jc w:val="center"/>
        <w:rPr>
          <w:color w:val="auto"/>
          <w:highlight w:val="none"/>
        </w:rPr>
      </w:pPr>
      <w:r>
        <w:rPr>
          <w:rFonts w:hint="eastAsia" w:ascii="宋体"/>
          <w:b/>
          <w:color w:val="auto"/>
          <w:sz w:val="24"/>
          <w:szCs w:val="24"/>
          <w:highlight w:val="none"/>
        </w:rPr>
        <w:t>中小企业声明函（工程）</w:t>
      </w:r>
    </w:p>
    <w:p w14:paraId="2F1658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本公司（联合体）郑重声明，根据《政府采购促进中小企业发展管理办法》（财库﹝2020﹞46号）的规定，本公司（联合体）参加</w:t>
      </w:r>
      <w:r>
        <w:rPr>
          <w:rFonts w:hint="eastAsia" w:ascii="宋体" w:hAnsi="宋体" w:eastAsia="宋体" w:cs="宋体"/>
          <w:iCs/>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iCs/>
          <w:color w:val="auto"/>
          <w:sz w:val="21"/>
          <w:szCs w:val="21"/>
          <w:highlight w:val="none"/>
          <w:u w:val="single"/>
        </w:rPr>
        <w:t>（项目名称）</w:t>
      </w:r>
      <w:r>
        <w:rPr>
          <w:rFonts w:hint="eastAsia" w:ascii="宋体" w:hAnsi="宋体" w:eastAsia="宋体" w:cs="宋体"/>
          <w:color w:val="auto"/>
          <w:sz w:val="21"/>
          <w:szCs w:val="21"/>
          <w:highlight w:val="none"/>
        </w:rPr>
        <w:t>采购活动，工程的施工单位全部为符合政策要求的中小企业。相关企业（含联合体中的中小企业、签订分包意向协议的中小企业）的具体情况如下：</w:t>
      </w:r>
    </w:p>
    <w:p w14:paraId="1F1277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u w:val="single"/>
          <w:lang w:val="en-US" w:eastAsia="zh-CN" w:bidi="ar-SA"/>
        </w:rPr>
        <w:t>（</w:t>
      </w:r>
      <w:r>
        <w:rPr>
          <w:rFonts w:hint="eastAsia" w:ascii="宋体" w:hAnsi="宋体" w:eastAsia="宋体" w:cs="宋体"/>
          <w:iCs/>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iCs/>
          <w:color w:val="auto"/>
          <w:sz w:val="21"/>
          <w:szCs w:val="21"/>
          <w:highlight w:val="none"/>
          <w:u w:val="single"/>
        </w:rPr>
        <w:t>（</w:t>
      </w:r>
      <w:r>
        <w:rPr>
          <w:rFonts w:hint="eastAsia" w:ascii="宋体" w:hAnsi="宋体" w:cs="宋体"/>
          <w:iCs/>
          <w:color w:val="auto"/>
          <w:sz w:val="21"/>
          <w:szCs w:val="21"/>
          <w:highlight w:val="none"/>
          <w:u w:val="single"/>
          <w:lang w:val="en-US" w:eastAsia="zh-CN"/>
        </w:rPr>
        <w:t>采购</w:t>
      </w:r>
      <w:r>
        <w:rPr>
          <w:rFonts w:hint="eastAsia" w:ascii="宋体" w:hAnsi="宋体" w:eastAsia="宋体" w:cs="宋体"/>
          <w:iCs/>
          <w:color w:val="auto"/>
          <w:sz w:val="21"/>
          <w:szCs w:val="21"/>
          <w:highlight w:val="none"/>
          <w:u w:val="single"/>
          <w:lang w:eastAsia="zh-CN"/>
        </w:rPr>
        <w:t>文件</w:t>
      </w:r>
      <w:r>
        <w:rPr>
          <w:rFonts w:hint="eastAsia" w:ascii="宋体" w:hAnsi="宋体" w:eastAsia="宋体" w:cs="宋体"/>
          <w:iCs/>
          <w:color w:val="auto"/>
          <w:sz w:val="21"/>
          <w:szCs w:val="21"/>
          <w:highlight w:val="none"/>
          <w:u w:val="single"/>
        </w:rPr>
        <w:t>中明确的所属行业）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承建（承接）企业为</w:t>
      </w:r>
      <w:r>
        <w:rPr>
          <w:rFonts w:hint="eastAsia" w:ascii="宋体" w:hAnsi="宋体" w:eastAsia="宋体" w:cs="宋体"/>
          <w:iCs/>
          <w:color w:val="auto"/>
          <w:sz w:val="21"/>
          <w:szCs w:val="21"/>
          <w:highlight w:val="none"/>
          <w:u w:val="single"/>
        </w:rPr>
        <w:t>（企业名称）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rPr>
        <w:t>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iCs/>
          <w:color w:val="auto"/>
          <w:sz w:val="21"/>
          <w:szCs w:val="21"/>
          <w:highlight w:val="none"/>
          <w:u w:val="single"/>
        </w:rPr>
        <w:t>（中型企业、小型企业、微型企业）</w:t>
      </w:r>
      <w:r>
        <w:rPr>
          <w:rFonts w:hint="eastAsia" w:ascii="宋体" w:hAnsi="宋体" w:eastAsia="宋体" w:cs="宋体"/>
          <w:color w:val="auto"/>
          <w:sz w:val="21"/>
          <w:szCs w:val="21"/>
          <w:highlight w:val="none"/>
          <w:u w:val="single"/>
        </w:rPr>
        <w:t>；</w:t>
      </w:r>
    </w:p>
    <w:p w14:paraId="661610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iCs/>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iCs/>
          <w:color w:val="auto"/>
          <w:sz w:val="21"/>
          <w:szCs w:val="21"/>
          <w:highlight w:val="none"/>
          <w:u w:val="single"/>
        </w:rPr>
        <w:t>（</w:t>
      </w:r>
      <w:r>
        <w:rPr>
          <w:rFonts w:hint="eastAsia" w:ascii="宋体" w:hAnsi="宋体" w:cs="宋体"/>
          <w:iCs/>
          <w:color w:val="auto"/>
          <w:sz w:val="21"/>
          <w:szCs w:val="21"/>
          <w:highlight w:val="none"/>
          <w:u w:val="single"/>
          <w:lang w:val="en-US" w:eastAsia="zh-CN"/>
        </w:rPr>
        <w:t>采购</w:t>
      </w:r>
      <w:r>
        <w:rPr>
          <w:rFonts w:hint="eastAsia" w:ascii="宋体" w:hAnsi="宋体" w:eastAsia="宋体" w:cs="宋体"/>
          <w:iCs/>
          <w:color w:val="auto"/>
          <w:sz w:val="21"/>
          <w:szCs w:val="21"/>
          <w:highlight w:val="none"/>
          <w:u w:val="single"/>
          <w:lang w:eastAsia="zh-CN"/>
        </w:rPr>
        <w:t>文件</w:t>
      </w:r>
      <w:r>
        <w:rPr>
          <w:rFonts w:hint="eastAsia" w:ascii="宋体" w:hAnsi="宋体" w:eastAsia="宋体" w:cs="宋体"/>
          <w:iCs/>
          <w:color w:val="auto"/>
          <w:sz w:val="21"/>
          <w:szCs w:val="21"/>
          <w:highlight w:val="none"/>
          <w:u w:val="single"/>
        </w:rPr>
        <w:t>中明确的所属行业）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承建（承接）企业为</w:t>
      </w:r>
      <w:r>
        <w:rPr>
          <w:rFonts w:hint="eastAsia" w:ascii="宋体" w:hAnsi="宋体" w:eastAsia="宋体" w:cs="宋体"/>
          <w:iCs/>
          <w:color w:val="auto"/>
          <w:sz w:val="21"/>
          <w:szCs w:val="21"/>
          <w:highlight w:val="none"/>
          <w:u w:val="single"/>
        </w:rPr>
        <w:t>（企业名称）</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iCs/>
          <w:color w:val="auto"/>
          <w:sz w:val="21"/>
          <w:szCs w:val="21"/>
          <w:highlight w:val="none"/>
          <w:u w:val="single"/>
        </w:rPr>
        <w:t>（中型企业、小型企业、微型企业）</w:t>
      </w:r>
      <w:r>
        <w:rPr>
          <w:rFonts w:hint="eastAsia" w:ascii="宋体" w:hAnsi="宋体" w:eastAsia="宋体" w:cs="宋体"/>
          <w:color w:val="auto"/>
          <w:sz w:val="21"/>
          <w:szCs w:val="21"/>
          <w:highlight w:val="none"/>
          <w:u w:val="single"/>
        </w:rPr>
        <w:t>；</w:t>
      </w:r>
    </w:p>
    <w:p w14:paraId="5BD226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w:t>
      </w:r>
    </w:p>
    <w:p w14:paraId="529EE7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359684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本企业对上述声明内容的真实性负责。如有虚假，将依法承担相应责任。</w:t>
      </w:r>
    </w:p>
    <w:p w14:paraId="38FB0F95">
      <w:pPr>
        <w:bidi w:val="0"/>
        <w:spacing w:line="360" w:lineRule="auto"/>
        <w:jc w:val="center"/>
        <w:rPr>
          <w:rFonts w:hint="eastAsia"/>
          <w:color w:val="auto"/>
          <w:highlight w:val="none"/>
        </w:rPr>
      </w:pPr>
      <w:r>
        <w:rPr>
          <w:rFonts w:hint="eastAsia"/>
          <w:color w:val="auto"/>
          <w:highlight w:val="none"/>
          <w:lang w:val="en-US" w:eastAsia="zh-CN"/>
        </w:rPr>
        <w:t>企业</w:t>
      </w:r>
      <w:r>
        <w:rPr>
          <w:rFonts w:hint="eastAsia"/>
          <w:color w:val="auto"/>
          <w:highlight w:val="none"/>
        </w:rPr>
        <w:t>名称（</w:t>
      </w:r>
      <w:r>
        <w:rPr>
          <w:rFonts w:hint="eastAsia"/>
          <w:color w:val="auto"/>
          <w:highlight w:val="none"/>
          <w:lang w:val="en-US" w:eastAsia="zh-CN"/>
        </w:rPr>
        <w:t>电子签章</w:t>
      </w:r>
      <w:r>
        <w:rPr>
          <w:rFonts w:hint="eastAsia"/>
          <w:color w:val="auto"/>
          <w:highlight w:val="none"/>
        </w:rPr>
        <w:t>）：</w:t>
      </w:r>
    </w:p>
    <w:p w14:paraId="5DFCAB49">
      <w:pPr>
        <w:bidi w:val="0"/>
        <w:spacing w:line="360" w:lineRule="auto"/>
        <w:jc w:val="center"/>
        <w:rPr>
          <w:rFonts w:hint="eastAsia"/>
          <w:color w:val="auto"/>
          <w:highlight w:val="none"/>
        </w:rPr>
      </w:pPr>
      <w:r>
        <w:rPr>
          <w:rFonts w:hint="eastAsia"/>
          <w:color w:val="auto"/>
          <w:highlight w:val="none"/>
        </w:rPr>
        <w:t>日期：</w:t>
      </w:r>
    </w:p>
    <w:p w14:paraId="52A87BAC">
      <w:pPr>
        <w:bidi w:val="0"/>
        <w:rPr>
          <w:rFonts w:hint="eastAsia"/>
          <w:color w:val="auto"/>
          <w:highlight w:val="none"/>
        </w:rPr>
      </w:pPr>
    </w:p>
    <w:p w14:paraId="1F56797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注：从业人员、营业收入、资产总额填报上一年度数据，无上一年度数据的新成立企业可不填报。不是中小企业的</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可不提供。</w:t>
      </w:r>
    </w:p>
    <w:p w14:paraId="212F5DB5">
      <w:pPr>
        <w:spacing w:line="588" w:lineRule="exact"/>
        <w:jc w:val="center"/>
        <w:rPr>
          <w:rFonts w:ascii="仿宋_GB2312" w:eastAsia="仿宋_GB2312"/>
          <w:b/>
          <w:color w:val="auto"/>
          <w:spacing w:val="6"/>
          <w:sz w:val="30"/>
          <w:szCs w:val="30"/>
          <w:highlight w:val="none"/>
        </w:rPr>
      </w:pPr>
      <w:r>
        <w:rPr>
          <w:rFonts w:hint="eastAsia" w:ascii="宋体"/>
          <w:b/>
          <w:color w:val="auto"/>
          <w:sz w:val="28"/>
          <w:szCs w:val="28"/>
          <w:highlight w:val="none"/>
        </w:rPr>
        <w:br w:type="page"/>
      </w:r>
      <w:r>
        <w:rPr>
          <w:rFonts w:hint="eastAsia" w:ascii="宋体"/>
          <w:b/>
          <w:color w:val="auto"/>
          <w:sz w:val="24"/>
          <w:szCs w:val="24"/>
          <w:highlight w:val="none"/>
        </w:rPr>
        <w:t>残疾人福利性单位声明函（若有）</w:t>
      </w:r>
    </w:p>
    <w:p w14:paraId="3A9DC0A9">
      <w:pPr>
        <w:spacing w:line="360" w:lineRule="auto"/>
        <w:ind w:firstLine="444"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color w:val="auto"/>
          <w:sz w:val="21"/>
          <w:szCs w:val="21"/>
          <w:highlight w:val="none"/>
        </w:rPr>
        <w:t>〔2017〕141</w:t>
      </w:r>
      <w:r>
        <w:rPr>
          <w:rFonts w:hint="eastAsia" w:ascii="宋体" w:hAnsi="宋体"/>
          <w:color w:val="auto"/>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E3D518">
      <w:pPr>
        <w:spacing w:line="360" w:lineRule="auto"/>
        <w:ind w:firstLine="444"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本单位对上述声明的真实性负责。如有虚假，将依法承担相应责任。</w:t>
      </w:r>
    </w:p>
    <w:p w14:paraId="1DB90D67">
      <w:pPr>
        <w:spacing w:line="360" w:lineRule="auto"/>
        <w:ind w:firstLine="444" w:firstLineChars="200"/>
        <w:rPr>
          <w:rFonts w:ascii="宋体" w:hAnsi="宋体"/>
          <w:color w:val="auto"/>
          <w:spacing w:val="6"/>
          <w:sz w:val="21"/>
          <w:szCs w:val="21"/>
          <w:highlight w:val="none"/>
        </w:rPr>
      </w:pPr>
    </w:p>
    <w:p w14:paraId="4E954E72">
      <w:pPr>
        <w:spacing w:line="360" w:lineRule="auto"/>
        <w:ind w:firstLine="444" w:firstLineChars="200"/>
        <w:rPr>
          <w:rFonts w:ascii="宋体" w:hAnsi="宋体"/>
          <w:color w:val="auto"/>
          <w:spacing w:val="6"/>
          <w:sz w:val="21"/>
          <w:szCs w:val="21"/>
          <w:highlight w:val="none"/>
        </w:rPr>
      </w:pPr>
    </w:p>
    <w:p w14:paraId="269789CB">
      <w:pPr>
        <w:tabs>
          <w:tab w:val="left" w:pos="4860"/>
        </w:tabs>
        <w:spacing w:line="360" w:lineRule="auto"/>
        <w:ind w:firstLine="444" w:firstLineChars="200"/>
        <w:jc w:val="left"/>
        <w:rPr>
          <w:rFonts w:ascii="宋体" w:hAnsi="宋体"/>
          <w:color w:val="auto"/>
          <w:spacing w:val="6"/>
          <w:sz w:val="21"/>
          <w:szCs w:val="21"/>
          <w:highlight w:val="none"/>
        </w:rPr>
      </w:pPr>
      <w:r>
        <w:rPr>
          <w:rFonts w:hint="eastAsia" w:ascii="宋体" w:hAnsi="宋体"/>
          <w:color w:val="auto"/>
          <w:spacing w:val="6"/>
          <w:sz w:val="21"/>
          <w:szCs w:val="21"/>
          <w:highlight w:val="none"/>
          <w:lang w:val="en-US" w:eastAsia="zh-CN"/>
        </w:rPr>
        <w:t>单位</w:t>
      </w:r>
      <w:r>
        <w:rPr>
          <w:rFonts w:hint="eastAsia" w:ascii="宋体" w:hAnsi="宋体"/>
          <w:color w:val="auto"/>
          <w:spacing w:val="6"/>
          <w:sz w:val="21"/>
          <w:szCs w:val="21"/>
          <w:highlight w:val="none"/>
        </w:rPr>
        <w:t>名称</w:t>
      </w:r>
      <w:r>
        <w:rPr>
          <w:rFonts w:hint="eastAsia" w:ascii="宋体" w:hAnsi="宋体"/>
          <w:color w:val="auto"/>
          <w:spacing w:val="6"/>
          <w:sz w:val="21"/>
          <w:szCs w:val="21"/>
          <w:highlight w:val="none"/>
          <w:lang w:eastAsia="zh-CN"/>
        </w:rPr>
        <w:t>（</w:t>
      </w:r>
      <w:r>
        <w:rPr>
          <w:rFonts w:hint="eastAsia" w:ascii="宋体" w:hAnsi="宋体"/>
          <w:color w:val="auto"/>
          <w:spacing w:val="6"/>
          <w:sz w:val="21"/>
          <w:szCs w:val="21"/>
          <w:highlight w:val="none"/>
          <w:lang w:val="en-US" w:eastAsia="zh-CN"/>
        </w:rPr>
        <w:t>电子签章）</w:t>
      </w:r>
      <w:r>
        <w:rPr>
          <w:rFonts w:hint="eastAsia" w:ascii="宋体" w:hAnsi="宋体"/>
          <w:color w:val="auto"/>
          <w:spacing w:val="6"/>
          <w:sz w:val="21"/>
          <w:szCs w:val="21"/>
          <w:highlight w:val="none"/>
        </w:rPr>
        <w:t>：</w:t>
      </w:r>
      <w:r>
        <w:rPr>
          <w:rFonts w:hint="eastAsia" w:ascii="宋体" w:hAnsi="宋体"/>
          <w:color w:val="auto"/>
          <w:spacing w:val="6"/>
          <w:sz w:val="21"/>
          <w:szCs w:val="21"/>
          <w:highlight w:val="none"/>
          <w:u w:val="single"/>
        </w:rPr>
        <w:t xml:space="preserve">          </w:t>
      </w:r>
    </w:p>
    <w:p w14:paraId="1B30968E">
      <w:pPr>
        <w:spacing w:line="360" w:lineRule="auto"/>
        <w:ind w:firstLine="200"/>
        <w:jc w:val="left"/>
        <w:rPr>
          <w:rFonts w:ascii="仿宋_GB2312"/>
          <w:color w:val="auto"/>
          <w:spacing w:val="6"/>
          <w:sz w:val="21"/>
          <w:szCs w:val="21"/>
          <w:highlight w:val="none"/>
        </w:rPr>
      </w:pPr>
      <w:r>
        <w:rPr>
          <w:rFonts w:hint="eastAsia" w:ascii="宋体" w:hAnsi="宋体"/>
          <w:color w:val="auto"/>
          <w:spacing w:val="6"/>
          <w:sz w:val="21"/>
          <w:szCs w:val="21"/>
          <w:highlight w:val="none"/>
        </w:rPr>
        <w:t xml:space="preserve">  日  期：</w:t>
      </w:r>
      <w:r>
        <w:rPr>
          <w:rFonts w:hint="eastAsia" w:ascii="宋体" w:hAnsi="宋体"/>
          <w:color w:val="auto"/>
          <w:spacing w:val="6"/>
          <w:sz w:val="21"/>
          <w:szCs w:val="21"/>
          <w:highlight w:val="none"/>
          <w:u w:val="single"/>
        </w:rPr>
        <w:t xml:space="preserve">             </w:t>
      </w:r>
    </w:p>
    <w:p w14:paraId="545DB96C">
      <w:pPr>
        <w:spacing w:line="360" w:lineRule="auto"/>
        <w:ind w:left="283" w:leftChars="135" w:firstLine="333" w:firstLineChars="150"/>
        <w:jc w:val="right"/>
        <w:rPr>
          <w:rFonts w:ascii="宋体" w:hAnsi="宋体"/>
          <w:color w:val="auto"/>
          <w:spacing w:val="6"/>
          <w:sz w:val="21"/>
          <w:szCs w:val="21"/>
          <w:highlight w:val="none"/>
        </w:rPr>
      </w:pPr>
    </w:p>
    <w:p w14:paraId="7BAA59FF">
      <w:pPr>
        <w:spacing w:line="360" w:lineRule="auto"/>
        <w:ind w:left="283" w:leftChars="135" w:firstLine="333" w:firstLineChars="150"/>
        <w:jc w:val="left"/>
        <w:rPr>
          <w:rFonts w:ascii="宋体" w:hAnsi="宋体"/>
          <w:color w:val="auto"/>
          <w:spacing w:val="6"/>
          <w:sz w:val="21"/>
          <w:szCs w:val="21"/>
          <w:highlight w:val="none"/>
        </w:rPr>
      </w:pPr>
    </w:p>
    <w:p w14:paraId="0DF7E72B">
      <w:pPr>
        <w:pStyle w:val="11"/>
        <w:rPr>
          <w:color w:val="auto"/>
          <w:sz w:val="21"/>
          <w:szCs w:val="21"/>
          <w:highlight w:val="none"/>
        </w:rPr>
      </w:pPr>
    </w:p>
    <w:p w14:paraId="1776F5E3">
      <w:pPr>
        <w:rPr>
          <w:color w:val="auto"/>
          <w:sz w:val="21"/>
          <w:szCs w:val="21"/>
          <w:highlight w:val="none"/>
        </w:rPr>
      </w:pPr>
    </w:p>
    <w:p w14:paraId="09F37100">
      <w:pPr>
        <w:pStyle w:val="11"/>
        <w:rPr>
          <w:color w:val="auto"/>
          <w:sz w:val="21"/>
          <w:szCs w:val="21"/>
          <w:highlight w:val="none"/>
        </w:rPr>
      </w:pPr>
    </w:p>
    <w:p w14:paraId="5488302F">
      <w:pPr>
        <w:rPr>
          <w:color w:val="auto"/>
          <w:sz w:val="21"/>
          <w:szCs w:val="21"/>
          <w:highlight w:val="none"/>
        </w:rPr>
      </w:pPr>
    </w:p>
    <w:p w14:paraId="09E7AD2F">
      <w:pPr>
        <w:pStyle w:val="11"/>
        <w:rPr>
          <w:color w:val="auto"/>
          <w:sz w:val="21"/>
          <w:szCs w:val="21"/>
          <w:highlight w:val="none"/>
        </w:rPr>
      </w:pPr>
      <w:r>
        <w:rPr>
          <w:rFonts w:hint="eastAsia"/>
          <w:color w:val="auto"/>
          <w:sz w:val="21"/>
          <w:szCs w:val="21"/>
          <w:highlight w:val="none"/>
        </w:rPr>
        <w:t>注：不是残疾人福利性单位的</w:t>
      </w:r>
      <w:r>
        <w:rPr>
          <w:rFonts w:hint="eastAsia"/>
          <w:color w:val="auto"/>
          <w:sz w:val="21"/>
          <w:szCs w:val="21"/>
          <w:highlight w:val="none"/>
          <w:lang w:eastAsia="zh-CN"/>
        </w:rPr>
        <w:t>供应商</w:t>
      </w:r>
      <w:r>
        <w:rPr>
          <w:rFonts w:hint="eastAsia"/>
          <w:color w:val="auto"/>
          <w:sz w:val="21"/>
          <w:szCs w:val="21"/>
          <w:highlight w:val="none"/>
        </w:rPr>
        <w:t>可不提供。</w:t>
      </w:r>
    </w:p>
    <w:p w14:paraId="7731C1C5">
      <w:pPr>
        <w:spacing w:line="588" w:lineRule="exact"/>
        <w:jc w:val="center"/>
        <w:rPr>
          <w:rFonts w:ascii="宋体" w:hAnsi="宋体"/>
          <w:color w:val="auto"/>
          <w:spacing w:val="6"/>
          <w:sz w:val="24"/>
          <w:highlight w:val="none"/>
        </w:rPr>
      </w:pPr>
      <w:r>
        <w:rPr>
          <w:rFonts w:hint="eastAsia" w:ascii="宋体"/>
          <w:b/>
          <w:color w:val="auto"/>
          <w:sz w:val="28"/>
          <w:szCs w:val="28"/>
          <w:highlight w:val="none"/>
        </w:rPr>
        <w:br w:type="page"/>
      </w:r>
      <w:r>
        <w:rPr>
          <w:rFonts w:hint="eastAsia" w:ascii="宋体"/>
          <w:b/>
          <w:color w:val="auto"/>
          <w:sz w:val="24"/>
          <w:szCs w:val="24"/>
          <w:highlight w:val="none"/>
        </w:rPr>
        <w:t>监狱企业证明文件（若有）</w:t>
      </w:r>
    </w:p>
    <w:p w14:paraId="1A1B0527">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54327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监狱企业参加政府采购活动时，应当提供由省级以上监狱管理局、戒毒管理局（含新疆生产建设兵团）出具的属于监狱企业的证明文件。</w:t>
      </w:r>
    </w:p>
    <w:p w14:paraId="6857E834">
      <w:pPr>
        <w:pStyle w:val="11"/>
        <w:rPr>
          <w:color w:val="auto"/>
          <w:sz w:val="21"/>
          <w:szCs w:val="21"/>
          <w:highlight w:val="none"/>
        </w:rPr>
      </w:pPr>
    </w:p>
    <w:p w14:paraId="58270C49">
      <w:pPr>
        <w:rPr>
          <w:color w:val="auto"/>
          <w:sz w:val="21"/>
          <w:szCs w:val="21"/>
          <w:highlight w:val="none"/>
        </w:rPr>
      </w:pPr>
    </w:p>
    <w:p w14:paraId="5187518F">
      <w:pPr>
        <w:pStyle w:val="11"/>
        <w:rPr>
          <w:color w:val="auto"/>
          <w:sz w:val="21"/>
          <w:szCs w:val="21"/>
          <w:highlight w:val="none"/>
        </w:rPr>
      </w:pPr>
    </w:p>
    <w:p w14:paraId="711A6845">
      <w:pPr>
        <w:rPr>
          <w:color w:val="auto"/>
          <w:sz w:val="21"/>
          <w:szCs w:val="21"/>
          <w:highlight w:val="none"/>
        </w:rPr>
      </w:pPr>
    </w:p>
    <w:p w14:paraId="1A91B5DF">
      <w:pPr>
        <w:pStyle w:val="11"/>
        <w:rPr>
          <w:color w:val="auto"/>
          <w:sz w:val="21"/>
          <w:szCs w:val="21"/>
          <w:highlight w:val="none"/>
        </w:rPr>
      </w:pPr>
    </w:p>
    <w:p w14:paraId="30C348F8">
      <w:pPr>
        <w:rPr>
          <w:color w:val="auto"/>
          <w:sz w:val="21"/>
          <w:szCs w:val="21"/>
          <w:highlight w:val="none"/>
        </w:rPr>
      </w:pPr>
      <w:r>
        <w:rPr>
          <w:rFonts w:hint="eastAsia"/>
          <w:color w:val="auto"/>
          <w:sz w:val="21"/>
          <w:szCs w:val="21"/>
          <w:highlight w:val="none"/>
        </w:rPr>
        <w:t>注：不是监狱企业的</w:t>
      </w:r>
      <w:r>
        <w:rPr>
          <w:rFonts w:hint="eastAsia"/>
          <w:color w:val="auto"/>
          <w:sz w:val="21"/>
          <w:szCs w:val="21"/>
          <w:highlight w:val="none"/>
          <w:lang w:eastAsia="zh-CN"/>
        </w:rPr>
        <w:t>供应商</w:t>
      </w:r>
      <w:r>
        <w:rPr>
          <w:rFonts w:hint="eastAsia"/>
          <w:color w:val="auto"/>
          <w:sz w:val="21"/>
          <w:szCs w:val="21"/>
          <w:highlight w:val="none"/>
        </w:rPr>
        <w:t>可不提供。</w:t>
      </w:r>
    </w:p>
    <w:p w14:paraId="1BD5F2DE">
      <w:pPr>
        <w:pStyle w:val="11"/>
        <w:rPr>
          <w:color w:val="auto"/>
          <w:highlight w:val="none"/>
        </w:rPr>
      </w:pPr>
      <w:r>
        <w:rPr>
          <w:color w:val="auto"/>
          <w:highlight w:val="none"/>
        </w:rPr>
        <w:br w:type="page"/>
      </w:r>
    </w:p>
    <w:bookmarkEnd w:id="1311"/>
    <w:p w14:paraId="32EB896D">
      <w:pPr>
        <w:pStyle w:val="3"/>
        <w:rPr>
          <w:rFonts w:hint="default" w:eastAsiaTheme="majorEastAsia"/>
          <w:color w:val="auto"/>
          <w:highlight w:val="none"/>
          <w:lang w:val="en-US" w:eastAsia="zh-CN"/>
        </w:rPr>
      </w:pPr>
      <w:bookmarkStart w:id="1319" w:name="_Toc27791"/>
      <w:bookmarkStart w:id="1320" w:name="_Toc18595"/>
      <w:bookmarkStart w:id="1321" w:name="_Toc20499"/>
      <w:bookmarkStart w:id="1322" w:name="_Toc26911"/>
      <w:bookmarkStart w:id="1323" w:name="_Toc1062"/>
      <w:bookmarkStart w:id="1324" w:name="_Toc23916"/>
      <w:bookmarkStart w:id="1325" w:name="_Toc122026419"/>
      <w:bookmarkStart w:id="1326" w:name="_Toc303001537"/>
      <w:bookmarkStart w:id="1327" w:name="_Toc23401"/>
      <w:r>
        <w:rPr>
          <w:rFonts w:hint="eastAsia"/>
          <w:color w:val="auto"/>
          <w:highlight w:val="none"/>
          <w:lang w:val="en-US" w:eastAsia="zh-CN"/>
        </w:rPr>
        <w:t>五</w:t>
      </w:r>
      <w:r>
        <w:rPr>
          <w:rFonts w:hint="eastAsia"/>
          <w:color w:val="auto"/>
          <w:highlight w:val="none"/>
        </w:rPr>
        <w:t>、</w:t>
      </w:r>
      <w:r>
        <w:rPr>
          <w:rFonts w:hint="eastAsia"/>
          <w:color w:val="auto"/>
          <w:highlight w:val="none"/>
          <w:lang w:val="en-US" w:eastAsia="zh-CN"/>
        </w:rPr>
        <w:t>资格审查资料</w:t>
      </w:r>
      <w:bookmarkEnd w:id="1319"/>
      <w:bookmarkEnd w:id="1320"/>
      <w:bookmarkEnd w:id="1321"/>
      <w:bookmarkEnd w:id="1322"/>
      <w:bookmarkEnd w:id="1323"/>
      <w:bookmarkEnd w:id="1324"/>
    </w:p>
    <w:p w14:paraId="633AA9FD">
      <w:pPr>
        <w:pStyle w:val="6"/>
        <w:ind w:firstLine="482"/>
        <w:rPr>
          <w:rFonts w:hint="eastAsia"/>
          <w:color w:val="auto"/>
          <w:highlight w:val="none"/>
        </w:rPr>
      </w:pPr>
      <w:r>
        <w:rPr>
          <w:rFonts w:hint="eastAsia"/>
          <w:color w:val="auto"/>
          <w:highlight w:val="none"/>
          <w:lang w:eastAsia="zh-CN"/>
        </w:rPr>
        <w:t>（</w:t>
      </w:r>
      <w:r>
        <w:rPr>
          <w:rFonts w:hint="eastAsia"/>
          <w:color w:val="auto"/>
          <w:highlight w:val="none"/>
          <w:lang w:val="en-US" w:eastAsia="zh-CN"/>
        </w:rPr>
        <w:t>一</w:t>
      </w:r>
      <w:r>
        <w:rPr>
          <w:rFonts w:hint="eastAsia"/>
          <w:color w:val="auto"/>
          <w:highlight w:val="none"/>
          <w:lang w:eastAsia="zh-CN"/>
        </w:rPr>
        <w:t>）供应商</w:t>
      </w:r>
      <w:r>
        <w:rPr>
          <w:rFonts w:hint="eastAsia"/>
          <w:color w:val="auto"/>
          <w:highlight w:val="none"/>
        </w:rPr>
        <w:t>基本情况表</w:t>
      </w:r>
      <w:bookmarkEnd w:id="1325"/>
      <w:bookmarkEnd w:id="1326"/>
      <w:bookmarkEnd w:id="1327"/>
    </w:p>
    <w:tbl>
      <w:tblPr>
        <w:tblStyle w:val="32"/>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8"/>
        <w:gridCol w:w="1217"/>
        <w:gridCol w:w="1997"/>
        <w:gridCol w:w="1306"/>
        <w:gridCol w:w="2430"/>
      </w:tblGrid>
      <w:tr w14:paraId="3FE2A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2775A360">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名称</w:t>
            </w:r>
          </w:p>
        </w:tc>
        <w:tc>
          <w:tcPr>
            <w:tcW w:w="6950" w:type="dxa"/>
            <w:gridSpan w:val="4"/>
            <w:vAlign w:val="center"/>
          </w:tcPr>
          <w:p w14:paraId="2D8B7D42">
            <w:pPr>
              <w:autoSpaceDE w:val="0"/>
              <w:autoSpaceDN w:val="0"/>
              <w:adjustRightInd w:val="0"/>
              <w:spacing w:line="360" w:lineRule="auto"/>
              <w:jc w:val="center"/>
              <w:rPr>
                <w:rFonts w:ascii="宋体" w:hAnsi="宋体" w:cs="宋体"/>
                <w:color w:val="auto"/>
                <w:sz w:val="21"/>
                <w:szCs w:val="21"/>
                <w:highlight w:val="none"/>
              </w:rPr>
            </w:pPr>
          </w:p>
        </w:tc>
      </w:tr>
      <w:tr w14:paraId="1BE6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1F57AAA5">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注册地址</w:t>
            </w:r>
          </w:p>
        </w:tc>
        <w:tc>
          <w:tcPr>
            <w:tcW w:w="3214" w:type="dxa"/>
            <w:gridSpan w:val="2"/>
            <w:vAlign w:val="center"/>
          </w:tcPr>
          <w:p w14:paraId="6501139A">
            <w:pPr>
              <w:autoSpaceDE w:val="0"/>
              <w:autoSpaceDN w:val="0"/>
              <w:adjustRightInd w:val="0"/>
              <w:spacing w:line="360" w:lineRule="auto"/>
              <w:jc w:val="center"/>
              <w:rPr>
                <w:rFonts w:ascii="宋体" w:hAnsi="宋体" w:cs="宋体"/>
                <w:color w:val="auto"/>
                <w:sz w:val="21"/>
                <w:szCs w:val="21"/>
                <w:highlight w:val="none"/>
              </w:rPr>
            </w:pPr>
          </w:p>
        </w:tc>
        <w:tc>
          <w:tcPr>
            <w:tcW w:w="1306" w:type="dxa"/>
            <w:vAlign w:val="center"/>
          </w:tcPr>
          <w:p w14:paraId="15677F83">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邮政编码</w:t>
            </w:r>
          </w:p>
        </w:tc>
        <w:tc>
          <w:tcPr>
            <w:tcW w:w="2430" w:type="dxa"/>
            <w:vAlign w:val="center"/>
          </w:tcPr>
          <w:p w14:paraId="30F770CE">
            <w:pPr>
              <w:autoSpaceDE w:val="0"/>
              <w:autoSpaceDN w:val="0"/>
              <w:adjustRightInd w:val="0"/>
              <w:spacing w:line="360" w:lineRule="auto"/>
              <w:jc w:val="center"/>
              <w:rPr>
                <w:rFonts w:ascii="宋体" w:hAnsi="宋体" w:cs="宋体"/>
                <w:color w:val="auto"/>
                <w:sz w:val="21"/>
                <w:szCs w:val="21"/>
                <w:highlight w:val="none"/>
              </w:rPr>
            </w:pPr>
          </w:p>
        </w:tc>
      </w:tr>
      <w:tr w14:paraId="39D7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Merge w:val="restart"/>
            <w:vAlign w:val="center"/>
          </w:tcPr>
          <w:p w14:paraId="79F73366">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联系方式</w:t>
            </w:r>
          </w:p>
        </w:tc>
        <w:tc>
          <w:tcPr>
            <w:tcW w:w="1217" w:type="dxa"/>
            <w:vAlign w:val="center"/>
          </w:tcPr>
          <w:p w14:paraId="2FBA7959">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联系人</w:t>
            </w:r>
          </w:p>
        </w:tc>
        <w:tc>
          <w:tcPr>
            <w:tcW w:w="1997" w:type="dxa"/>
            <w:vAlign w:val="center"/>
          </w:tcPr>
          <w:p w14:paraId="0C6FA73D">
            <w:pPr>
              <w:autoSpaceDE w:val="0"/>
              <w:autoSpaceDN w:val="0"/>
              <w:adjustRightInd w:val="0"/>
              <w:spacing w:line="360" w:lineRule="auto"/>
              <w:jc w:val="center"/>
              <w:rPr>
                <w:rFonts w:ascii="宋体" w:hAnsi="宋体" w:cs="宋体"/>
                <w:color w:val="auto"/>
                <w:sz w:val="21"/>
                <w:szCs w:val="21"/>
                <w:highlight w:val="none"/>
              </w:rPr>
            </w:pPr>
          </w:p>
        </w:tc>
        <w:tc>
          <w:tcPr>
            <w:tcW w:w="1306" w:type="dxa"/>
            <w:vAlign w:val="center"/>
          </w:tcPr>
          <w:p w14:paraId="5509ED58">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电话</w:t>
            </w:r>
          </w:p>
        </w:tc>
        <w:tc>
          <w:tcPr>
            <w:tcW w:w="2430" w:type="dxa"/>
            <w:vAlign w:val="center"/>
          </w:tcPr>
          <w:p w14:paraId="619FAFA7">
            <w:pPr>
              <w:autoSpaceDE w:val="0"/>
              <w:autoSpaceDN w:val="0"/>
              <w:adjustRightInd w:val="0"/>
              <w:spacing w:line="360" w:lineRule="auto"/>
              <w:jc w:val="center"/>
              <w:rPr>
                <w:rFonts w:ascii="宋体" w:hAnsi="宋体" w:cs="宋体"/>
                <w:color w:val="auto"/>
                <w:sz w:val="21"/>
                <w:szCs w:val="21"/>
                <w:highlight w:val="none"/>
              </w:rPr>
            </w:pPr>
          </w:p>
        </w:tc>
      </w:tr>
      <w:tr w14:paraId="17229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Merge w:val="continue"/>
            <w:vAlign w:val="center"/>
          </w:tcPr>
          <w:p w14:paraId="240AB5AD">
            <w:pPr>
              <w:autoSpaceDE w:val="0"/>
              <w:autoSpaceDN w:val="0"/>
              <w:adjustRightInd w:val="0"/>
              <w:spacing w:line="360" w:lineRule="auto"/>
              <w:jc w:val="center"/>
              <w:rPr>
                <w:rFonts w:ascii="宋体" w:hAnsi="宋体" w:cs="宋体"/>
                <w:color w:val="auto"/>
                <w:sz w:val="21"/>
                <w:szCs w:val="21"/>
                <w:highlight w:val="none"/>
              </w:rPr>
            </w:pPr>
          </w:p>
        </w:tc>
        <w:tc>
          <w:tcPr>
            <w:tcW w:w="1217" w:type="dxa"/>
            <w:vAlign w:val="center"/>
          </w:tcPr>
          <w:p w14:paraId="09F7B8E7">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传真</w:t>
            </w:r>
          </w:p>
        </w:tc>
        <w:tc>
          <w:tcPr>
            <w:tcW w:w="1997" w:type="dxa"/>
            <w:vAlign w:val="center"/>
          </w:tcPr>
          <w:p w14:paraId="07DA42DA">
            <w:pPr>
              <w:autoSpaceDE w:val="0"/>
              <w:autoSpaceDN w:val="0"/>
              <w:adjustRightInd w:val="0"/>
              <w:spacing w:line="360" w:lineRule="auto"/>
              <w:jc w:val="center"/>
              <w:rPr>
                <w:rFonts w:ascii="宋体" w:hAnsi="宋体" w:cs="宋体"/>
                <w:color w:val="auto"/>
                <w:sz w:val="21"/>
                <w:szCs w:val="21"/>
                <w:highlight w:val="none"/>
              </w:rPr>
            </w:pPr>
          </w:p>
        </w:tc>
        <w:tc>
          <w:tcPr>
            <w:tcW w:w="1306" w:type="dxa"/>
            <w:vAlign w:val="center"/>
          </w:tcPr>
          <w:p w14:paraId="42E9101F">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邮箱</w:t>
            </w:r>
          </w:p>
        </w:tc>
        <w:tc>
          <w:tcPr>
            <w:tcW w:w="2430" w:type="dxa"/>
            <w:vAlign w:val="center"/>
          </w:tcPr>
          <w:p w14:paraId="1C5F95FC">
            <w:pPr>
              <w:autoSpaceDE w:val="0"/>
              <w:autoSpaceDN w:val="0"/>
              <w:adjustRightInd w:val="0"/>
              <w:spacing w:line="360" w:lineRule="auto"/>
              <w:jc w:val="center"/>
              <w:rPr>
                <w:rFonts w:ascii="宋体" w:hAnsi="宋体" w:cs="宋体"/>
                <w:color w:val="auto"/>
                <w:sz w:val="21"/>
                <w:szCs w:val="21"/>
                <w:highlight w:val="none"/>
              </w:rPr>
            </w:pPr>
          </w:p>
        </w:tc>
      </w:tr>
      <w:tr w14:paraId="47A0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298" w:type="dxa"/>
            <w:vAlign w:val="center"/>
          </w:tcPr>
          <w:p w14:paraId="78043191">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法定代表人</w:t>
            </w:r>
          </w:p>
        </w:tc>
        <w:tc>
          <w:tcPr>
            <w:tcW w:w="1217" w:type="dxa"/>
            <w:vAlign w:val="center"/>
          </w:tcPr>
          <w:p w14:paraId="7FCF28F0">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姓名</w:t>
            </w:r>
          </w:p>
        </w:tc>
        <w:tc>
          <w:tcPr>
            <w:tcW w:w="1997" w:type="dxa"/>
            <w:vAlign w:val="center"/>
          </w:tcPr>
          <w:p w14:paraId="6F4EA9A2">
            <w:pPr>
              <w:autoSpaceDE w:val="0"/>
              <w:autoSpaceDN w:val="0"/>
              <w:adjustRightInd w:val="0"/>
              <w:spacing w:line="360" w:lineRule="auto"/>
              <w:jc w:val="center"/>
              <w:rPr>
                <w:rFonts w:ascii="宋体" w:hAnsi="宋体" w:cs="宋体"/>
                <w:color w:val="auto"/>
                <w:sz w:val="21"/>
                <w:szCs w:val="21"/>
                <w:highlight w:val="none"/>
              </w:rPr>
            </w:pPr>
          </w:p>
        </w:tc>
        <w:tc>
          <w:tcPr>
            <w:tcW w:w="1306" w:type="dxa"/>
            <w:vAlign w:val="center"/>
          </w:tcPr>
          <w:p w14:paraId="03313E4F">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电话</w:t>
            </w:r>
          </w:p>
        </w:tc>
        <w:tc>
          <w:tcPr>
            <w:tcW w:w="2430" w:type="dxa"/>
            <w:vAlign w:val="center"/>
          </w:tcPr>
          <w:p w14:paraId="72D792D9">
            <w:pPr>
              <w:autoSpaceDE w:val="0"/>
              <w:autoSpaceDN w:val="0"/>
              <w:adjustRightInd w:val="0"/>
              <w:spacing w:line="360" w:lineRule="auto"/>
              <w:jc w:val="center"/>
              <w:rPr>
                <w:rFonts w:ascii="宋体" w:hAnsi="宋体" w:cs="宋体"/>
                <w:color w:val="auto"/>
                <w:sz w:val="21"/>
                <w:szCs w:val="21"/>
                <w:highlight w:val="none"/>
              </w:rPr>
            </w:pPr>
          </w:p>
        </w:tc>
      </w:tr>
      <w:tr w14:paraId="397A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4837FC68">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经营期限</w:t>
            </w:r>
          </w:p>
        </w:tc>
        <w:tc>
          <w:tcPr>
            <w:tcW w:w="6950" w:type="dxa"/>
            <w:gridSpan w:val="4"/>
            <w:vAlign w:val="center"/>
          </w:tcPr>
          <w:p w14:paraId="17590501">
            <w:pPr>
              <w:autoSpaceDE w:val="0"/>
              <w:autoSpaceDN w:val="0"/>
              <w:adjustRightInd w:val="0"/>
              <w:spacing w:line="360" w:lineRule="auto"/>
              <w:rPr>
                <w:rFonts w:ascii="宋体" w:hAnsi="宋体" w:cs="宋体"/>
                <w:color w:val="auto"/>
                <w:sz w:val="21"/>
                <w:szCs w:val="21"/>
                <w:highlight w:val="none"/>
              </w:rPr>
            </w:pPr>
          </w:p>
        </w:tc>
      </w:tr>
      <w:tr w14:paraId="21B1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7B335FEC">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统一社会信用代码</w:t>
            </w:r>
          </w:p>
        </w:tc>
        <w:tc>
          <w:tcPr>
            <w:tcW w:w="6950" w:type="dxa"/>
            <w:gridSpan w:val="4"/>
            <w:vAlign w:val="center"/>
          </w:tcPr>
          <w:p w14:paraId="00BE19F0">
            <w:pPr>
              <w:autoSpaceDE w:val="0"/>
              <w:autoSpaceDN w:val="0"/>
              <w:adjustRightInd w:val="0"/>
              <w:spacing w:line="360" w:lineRule="auto"/>
              <w:jc w:val="center"/>
              <w:rPr>
                <w:rFonts w:ascii="宋体" w:hAnsi="宋体" w:cs="宋体"/>
                <w:color w:val="auto"/>
                <w:sz w:val="21"/>
                <w:szCs w:val="21"/>
                <w:highlight w:val="none"/>
              </w:rPr>
            </w:pPr>
          </w:p>
        </w:tc>
      </w:tr>
      <w:tr w14:paraId="0D54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00E995CC">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注册资金</w:t>
            </w:r>
          </w:p>
        </w:tc>
        <w:tc>
          <w:tcPr>
            <w:tcW w:w="6950" w:type="dxa"/>
            <w:gridSpan w:val="4"/>
            <w:vAlign w:val="center"/>
          </w:tcPr>
          <w:p w14:paraId="6E8C7AD7">
            <w:pPr>
              <w:autoSpaceDE w:val="0"/>
              <w:autoSpaceDN w:val="0"/>
              <w:adjustRightInd w:val="0"/>
              <w:spacing w:line="360" w:lineRule="auto"/>
              <w:jc w:val="center"/>
              <w:rPr>
                <w:rFonts w:ascii="宋体" w:hAnsi="宋体" w:cs="宋体"/>
                <w:color w:val="auto"/>
                <w:sz w:val="21"/>
                <w:szCs w:val="21"/>
                <w:highlight w:val="none"/>
              </w:rPr>
            </w:pPr>
          </w:p>
        </w:tc>
      </w:tr>
      <w:tr w14:paraId="65DDB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6488D976">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开户银行</w:t>
            </w:r>
          </w:p>
        </w:tc>
        <w:tc>
          <w:tcPr>
            <w:tcW w:w="6950" w:type="dxa"/>
            <w:gridSpan w:val="4"/>
            <w:vAlign w:val="center"/>
          </w:tcPr>
          <w:p w14:paraId="75EAB34F">
            <w:pPr>
              <w:autoSpaceDE w:val="0"/>
              <w:autoSpaceDN w:val="0"/>
              <w:adjustRightInd w:val="0"/>
              <w:spacing w:line="360" w:lineRule="auto"/>
              <w:jc w:val="center"/>
              <w:rPr>
                <w:rFonts w:ascii="宋体" w:hAnsi="宋体" w:cs="宋体"/>
                <w:color w:val="auto"/>
                <w:sz w:val="21"/>
                <w:szCs w:val="21"/>
                <w:highlight w:val="none"/>
              </w:rPr>
            </w:pPr>
          </w:p>
        </w:tc>
      </w:tr>
      <w:tr w14:paraId="2D3B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2298" w:type="dxa"/>
            <w:vAlign w:val="center"/>
          </w:tcPr>
          <w:p w14:paraId="15A8ADC3">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账号</w:t>
            </w:r>
          </w:p>
        </w:tc>
        <w:tc>
          <w:tcPr>
            <w:tcW w:w="6950" w:type="dxa"/>
            <w:gridSpan w:val="4"/>
            <w:vAlign w:val="center"/>
          </w:tcPr>
          <w:p w14:paraId="7218CE7A">
            <w:pPr>
              <w:autoSpaceDE w:val="0"/>
              <w:autoSpaceDN w:val="0"/>
              <w:adjustRightInd w:val="0"/>
              <w:spacing w:line="360" w:lineRule="auto"/>
              <w:jc w:val="center"/>
              <w:rPr>
                <w:rFonts w:ascii="宋体" w:hAnsi="宋体" w:cs="宋体"/>
                <w:color w:val="auto"/>
                <w:sz w:val="21"/>
                <w:szCs w:val="21"/>
                <w:highlight w:val="none"/>
              </w:rPr>
            </w:pPr>
          </w:p>
        </w:tc>
      </w:tr>
      <w:tr w14:paraId="58EC9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2298" w:type="dxa"/>
            <w:vAlign w:val="center"/>
          </w:tcPr>
          <w:p w14:paraId="32C10E59">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经营范围</w:t>
            </w:r>
          </w:p>
        </w:tc>
        <w:tc>
          <w:tcPr>
            <w:tcW w:w="6950" w:type="dxa"/>
            <w:gridSpan w:val="4"/>
            <w:vAlign w:val="center"/>
          </w:tcPr>
          <w:p w14:paraId="5B7C74BA">
            <w:pPr>
              <w:autoSpaceDE w:val="0"/>
              <w:autoSpaceDN w:val="0"/>
              <w:adjustRightInd w:val="0"/>
              <w:spacing w:line="360" w:lineRule="auto"/>
              <w:jc w:val="center"/>
              <w:rPr>
                <w:rFonts w:ascii="宋体" w:hAnsi="宋体" w:cs="宋体"/>
                <w:color w:val="auto"/>
                <w:sz w:val="21"/>
                <w:szCs w:val="21"/>
                <w:highlight w:val="none"/>
              </w:rPr>
            </w:pPr>
          </w:p>
        </w:tc>
      </w:tr>
      <w:tr w14:paraId="5EB4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2298" w:type="dxa"/>
            <w:vAlign w:val="center"/>
          </w:tcPr>
          <w:p w14:paraId="7C1355CA">
            <w:pPr>
              <w:autoSpaceDE w:val="0"/>
              <w:autoSpaceDN w:val="0"/>
              <w:adjustRightInd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备注</w:t>
            </w:r>
          </w:p>
        </w:tc>
        <w:tc>
          <w:tcPr>
            <w:tcW w:w="6950" w:type="dxa"/>
            <w:gridSpan w:val="4"/>
            <w:vAlign w:val="center"/>
          </w:tcPr>
          <w:p w14:paraId="5F475D9A">
            <w:pPr>
              <w:autoSpaceDE w:val="0"/>
              <w:autoSpaceDN w:val="0"/>
              <w:adjustRightInd w:val="0"/>
              <w:spacing w:line="360" w:lineRule="auto"/>
              <w:jc w:val="center"/>
              <w:rPr>
                <w:rFonts w:ascii="宋体" w:hAnsi="宋体" w:cs="宋体"/>
                <w:color w:val="auto"/>
                <w:sz w:val="21"/>
                <w:szCs w:val="21"/>
                <w:highlight w:val="none"/>
              </w:rPr>
            </w:pPr>
          </w:p>
        </w:tc>
      </w:tr>
    </w:tbl>
    <w:p w14:paraId="526D246E">
      <w:pPr>
        <w:ind w:firstLine="386"/>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注：应附营业执照、资质证书、安全生产许可证等相关证件</w:t>
      </w:r>
    </w:p>
    <w:p w14:paraId="231BF314">
      <w:pPr>
        <w:rPr>
          <w:rFonts w:ascii="宋体" w:hAnsi="宋体" w:cs="宋体"/>
          <w:color w:val="auto"/>
          <w:sz w:val="21"/>
          <w:szCs w:val="21"/>
          <w:highlight w:val="none"/>
        </w:rPr>
      </w:pPr>
    </w:p>
    <w:p w14:paraId="0175991C">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3B97EAC6">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法定代表人或授权委托人：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39164A21">
      <w:pPr>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p>
    <w:p w14:paraId="3BACC443">
      <w:pPr>
        <w:bidi w:val="0"/>
        <w:rPr>
          <w:color w:val="auto"/>
          <w:highlight w:val="none"/>
        </w:rPr>
      </w:pPr>
      <w:r>
        <w:rPr>
          <w:rFonts w:hint="eastAsia"/>
          <w:color w:val="auto"/>
          <w:highlight w:val="none"/>
        </w:rPr>
        <w:br w:type="page"/>
      </w:r>
      <w:bookmarkStart w:id="1328" w:name="_Toc31452"/>
      <w:bookmarkStart w:id="1329" w:name="_Toc318106530"/>
      <w:bookmarkStart w:id="1330" w:name="_Toc213141106"/>
      <w:bookmarkStart w:id="1331" w:name="_Toc8273"/>
      <w:bookmarkStart w:id="1332" w:name="_Toc232509449"/>
    </w:p>
    <w:p w14:paraId="6D51373F">
      <w:pPr>
        <w:pStyle w:val="6"/>
        <w:ind w:firstLine="562"/>
        <w:rPr>
          <w:color w:val="auto"/>
          <w:sz w:val="28"/>
          <w:highlight w:val="none"/>
        </w:rPr>
      </w:pPr>
      <w:r>
        <w:rPr>
          <w:rFonts w:hint="eastAsia"/>
          <w:color w:val="auto"/>
          <w:sz w:val="28"/>
          <w:highlight w:val="none"/>
        </w:rPr>
        <w:t>（二）具有良好的商业信誉和健全的财务会计制度</w:t>
      </w:r>
    </w:p>
    <w:p w14:paraId="1C3BF99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格式自拟，但至少应包含以下内容：</w:t>
      </w:r>
    </w:p>
    <w:p w14:paraId="12738D18">
      <w:pPr>
        <w:keepNext w:val="0"/>
        <w:keepLines w:val="0"/>
        <w:pageBreakBefore w:val="0"/>
        <w:widowControl w:val="0"/>
        <w:kinsoku/>
        <w:wordWrap w:val="0"/>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lang w:eastAsia="zh-CN"/>
        </w:rPr>
        <w:t>提供2023年至2025年经会计师事务所或审计机构审计的财务会计报表或审计报告（事业单位可提供2023年至2025年自行编制并加盖单位公章的财务报表或部门决算报告）；成立不足三年的，提供本单位成立至今经会计师事务所或审计机构审计的财务会计报表或审计报告（事业单位可提供成立至今自行编制并加盖单位公章的财务报表或部门决算报告）；成立不足一年的，提供本单位的财务报表（事业单位可提供成立至今自行编制并加盖单位公章的财务报表或部门决算报告）；或提供自响应文件提交截止时间前三个月内基本开户银行出具的资信证明；或提供财政部门认可的政府采购专业担保机构出具的投标担保函（需同时提供专业担保机构经财政部门认可的证明文件）</w:t>
      </w:r>
      <w:r>
        <w:rPr>
          <w:rFonts w:hint="eastAsia" w:ascii="宋体" w:hAnsi="宋体" w:eastAsia="宋体" w:cs="宋体"/>
          <w:color w:val="auto"/>
          <w:szCs w:val="21"/>
          <w:highlight w:val="none"/>
        </w:rPr>
        <w:t>。</w:t>
      </w:r>
    </w:p>
    <w:p w14:paraId="485364AC">
      <w:pPr>
        <w:keepNext w:val="0"/>
        <w:keepLines w:val="0"/>
        <w:pageBreakBefore w:val="0"/>
        <w:widowControl w:val="0"/>
        <w:kinsoku/>
        <w:wordWrap w:val="0"/>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注：</w:t>
      </w:r>
      <w:r>
        <w:rPr>
          <w:rFonts w:hint="eastAsia" w:ascii="宋体" w:hAnsi="宋体" w:cs="宋体"/>
          <w:color w:val="auto"/>
          <w:szCs w:val="21"/>
          <w:highlight w:val="none"/>
          <w:lang w:val="en-US" w:eastAsia="zh-CN"/>
        </w:rPr>
        <w:t>根据《关于加强审计报告查验工作的通知》（财会〔2023〕15号）和《云南省财政厅 云南省人民政府国有资产监督管理委员会 国家金融监督管理总局云南监管局关于进一步加强审计报告报备和查验工作的通知》（云财会〔2026〕23号）的要求，供应商提供的审计报告应有财政部注册会计师行业统一监管平台的赋码</w:t>
      </w:r>
      <w:r>
        <w:rPr>
          <w:rFonts w:hint="eastAsia" w:ascii="宋体" w:hAnsi="宋体" w:eastAsia="宋体" w:cs="宋体"/>
          <w:color w:val="auto"/>
          <w:szCs w:val="21"/>
          <w:highlight w:val="none"/>
          <w:lang w:val="en-US" w:eastAsia="zh-CN"/>
        </w:rPr>
        <w:t>。</w:t>
      </w:r>
    </w:p>
    <w:p w14:paraId="70EB34C4">
      <w:pPr>
        <w:rPr>
          <w:color w:val="auto"/>
          <w:highlight w:val="none"/>
        </w:rPr>
      </w:pPr>
    </w:p>
    <w:p w14:paraId="06A8139E">
      <w:pPr>
        <w:widowControl/>
        <w:jc w:val="left"/>
        <w:rPr>
          <w:rFonts w:asciiTheme="majorHAnsi" w:hAnsiTheme="majorHAnsi" w:eastAsiaTheme="majorEastAsia" w:cstheme="majorBidi"/>
          <w:b/>
          <w:bCs/>
          <w:color w:val="auto"/>
          <w:sz w:val="28"/>
          <w:szCs w:val="28"/>
          <w:highlight w:val="none"/>
        </w:rPr>
      </w:pPr>
      <w:r>
        <w:rPr>
          <w:color w:val="auto"/>
          <w:sz w:val="28"/>
          <w:highlight w:val="none"/>
        </w:rPr>
        <w:br w:type="page"/>
      </w:r>
    </w:p>
    <w:p w14:paraId="06453E34">
      <w:pPr>
        <w:pStyle w:val="6"/>
        <w:ind w:firstLine="562"/>
        <w:rPr>
          <w:color w:val="auto"/>
          <w:sz w:val="28"/>
          <w:highlight w:val="none"/>
        </w:rPr>
      </w:pPr>
      <w:r>
        <w:rPr>
          <w:rFonts w:hint="eastAsia"/>
          <w:color w:val="auto"/>
          <w:sz w:val="28"/>
          <w:highlight w:val="none"/>
        </w:rPr>
        <w:t>（三）具有履行合同所必需的设备和专业技术能力</w:t>
      </w:r>
    </w:p>
    <w:p w14:paraId="1EE4562D">
      <w:pPr>
        <w:spacing w:line="360" w:lineRule="auto"/>
        <w:ind w:firstLine="420" w:firstLineChars="200"/>
        <w:jc w:val="center"/>
        <w:rPr>
          <w:rFonts w:hint="eastAsia" w:eastAsia="宋体" w:asciiTheme="minorEastAsia" w:hAnsiTheme="minorEastAsia"/>
          <w:color w:val="auto"/>
          <w:sz w:val="21"/>
          <w:szCs w:val="21"/>
          <w:highlight w:val="none"/>
          <w:lang w:eastAsia="zh-CN"/>
        </w:rPr>
      </w:pPr>
      <w:r>
        <w:rPr>
          <w:rFonts w:hint="eastAsia" w:ascii="宋体" w:hAnsi="宋体" w:cs="宋体"/>
          <w:color w:val="auto"/>
          <w:szCs w:val="21"/>
          <w:highlight w:val="none"/>
          <w:lang w:eastAsia="zh-CN"/>
        </w:rPr>
        <w:t>提供具有履行合同所必需的设备和专业技术能力的证明资料或提供具有履行合同所必需的设备和专业技术能力的承诺书。</w:t>
      </w:r>
    </w:p>
    <w:p w14:paraId="2CFBD613">
      <w:pPr>
        <w:rPr>
          <w:color w:val="auto"/>
          <w:sz w:val="28"/>
          <w:highlight w:val="none"/>
        </w:rPr>
      </w:pPr>
      <w:r>
        <w:rPr>
          <w:rFonts w:hint="eastAsia"/>
          <w:color w:val="auto"/>
          <w:sz w:val="28"/>
          <w:highlight w:val="none"/>
        </w:rPr>
        <w:br w:type="page"/>
      </w:r>
    </w:p>
    <w:p w14:paraId="1C00C1A3">
      <w:pPr>
        <w:pStyle w:val="6"/>
        <w:ind w:firstLine="562"/>
        <w:rPr>
          <w:color w:val="auto"/>
          <w:sz w:val="28"/>
          <w:highlight w:val="none"/>
        </w:rPr>
      </w:pPr>
      <w:r>
        <w:rPr>
          <w:rFonts w:hint="eastAsia"/>
          <w:color w:val="auto"/>
          <w:sz w:val="28"/>
          <w:highlight w:val="none"/>
        </w:rPr>
        <w:t>（四）具有依法缴纳税收和社会保障资金的良好记录</w:t>
      </w:r>
    </w:p>
    <w:p w14:paraId="5D645B50">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格式自拟，但至少应包含以下内容：</w:t>
      </w:r>
    </w:p>
    <w:p w14:paraId="46531714">
      <w:pPr>
        <w:pageBreakBefore w:val="0"/>
        <w:tabs>
          <w:tab w:val="left" w:pos="720"/>
          <w:tab w:val="left" w:pos="8295"/>
        </w:tabs>
        <w:kinsoku/>
        <w:overflowPunct/>
        <w:bidi w:val="0"/>
        <w:spacing w:line="360" w:lineRule="auto"/>
        <w:ind w:left="0" w:leftChars="0"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提供缴税所属时间为递交响应文件截止日前</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个月内任意</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月的税务局税收通用缴款书复印件或银行电子缴税（费）凭证复印件或税务局出具纳税情况的相关证明复印件，成立未满3个月的提供成立以来的纳税证明材料，依法免税的应提供依法免税的相关证明文件；新成立不足对应期限，暂未产生税款缴纳记录的提交</w:t>
      </w:r>
      <w:r>
        <w:rPr>
          <w:rFonts w:hint="eastAsia" w:ascii="宋体" w:hAnsi="宋体" w:cs="宋体"/>
          <w:color w:val="auto"/>
          <w:szCs w:val="21"/>
          <w:highlight w:val="none"/>
          <w:lang w:val="en-US" w:eastAsia="zh-CN"/>
        </w:rPr>
        <w:t>承诺书</w:t>
      </w:r>
      <w:r>
        <w:rPr>
          <w:rFonts w:hint="eastAsia" w:ascii="宋体" w:hAnsi="宋体" w:cs="宋体"/>
          <w:color w:val="auto"/>
          <w:szCs w:val="21"/>
          <w:highlight w:val="none"/>
        </w:rPr>
        <w:t>和相关说明</w:t>
      </w:r>
      <w:r>
        <w:rPr>
          <w:rFonts w:hint="eastAsia" w:ascii="宋体" w:hAnsi="宋体" w:cs="宋体"/>
          <w:color w:val="auto"/>
          <w:szCs w:val="21"/>
          <w:highlight w:val="none"/>
          <w:lang w:eastAsia="zh-CN"/>
        </w:rPr>
        <w:t>；</w:t>
      </w:r>
    </w:p>
    <w:p w14:paraId="31399A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olor w:val="auto"/>
          <w:sz w:val="21"/>
          <w:szCs w:val="21"/>
          <w:highlight w:val="none"/>
          <w:lang w:eastAsia="zh-CN"/>
        </w:rPr>
      </w:pPr>
      <w:r>
        <w:rPr>
          <w:rFonts w:hint="eastAsia" w:ascii="宋体" w:hAnsi="宋体" w:cs="宋体"/>
          <w:color w:val="auto"/>
          <w:szCs w:val="21"/>
          <w:highlight w:val="none"/>
        </w:rPr>
        <w:t>提供缴费所属时间为递交响应文件截止日前12 个月内任意3个月的社会保险费缴款书复印件或银行电子缴税（费）凭证复印件或社保管理部门出具的有效的缴款证明复印件</w:t>
      </w:r>
      <w:r>
        <w:rPr>
          <w:rFonts w:hint="eastAsia" w:ascii="宋体" w:hAnsi="宋体" w:cs="宋体"/>
          <w:color w:val="auto"/>
          <w:szCs w:val="21"/>
          <w:highlight w:val="none"/>
          <w:lang w:eastAsia="zh-CN"/>
        </w:rPr>
        <w:t>，</w:t>
      </w:r>
      <w:r>
        <w:rPr>
          <w:rFonts w:hint="eastAsia" w:ascii="宋体" w:hAnsi="宋体" w:cs="宋体"/>
          <w:color w:val="auto"/>
          <w:szCs w:val="21"/>
          <w:highlight w:val="none"/>
        </w:rPr>
        <w:t>依法免缴的应提供依法免缴的相关证明文件。新成立不足对应期限，暂无从业人员依法无需缴纳社会保障资金的提交</w:t>
      </w:r>
      <w:r>
        <w:rPr>
          <w:rFonts w:hint="eastAsia" w:ascii="宋体" w:hAnsi="宋体" w:cs="宋体"/>
          <w:color w:val="auto"/>
          <w:szCs w:val="21"/>
          <w:highlight w:val="none"/>
          <w:lang w:val="en-US" w:eastAsia="zh-CN"/>
        </w:rPr>
        <w:t>承诺书</w:t>
      </w:r>
      <w:r>
        <w:rPr>
          <w:rFonts w:hint="eastAsia" w:ascii="宋体" w:hAnsi="宋体" w:cs="宋体"/>
          <w:color w:val="auto"/>
          <w:szCs w:val="21"/>
          <w:highlight w:val="none"/>
        </w:rPr>
        <w:t>和相关说明</w:t>
      </w:r>
      <w:r>
        <w:rPr>
          <w:rFonts w:hint="eastAsia" w:asciiTheme="minorEastAsia" w:hAnsiTheme="minorEastAsia" w:eastAsiaTheme="minorEastAsia"/>
          <w:color w:val="auto"/>
          <w:sz w:val="21"/>
          <w:szCs w:val="21"/>
          <w:highlight w:val="none"/>
          <w:lang w:eastAsia="zh-CN"/>
        </w:rPr>
        <w:t>。</w:t>
      </w:r>
    </w:p>
    <w:p w14:paraId="7DBE43FD">
      <w:pPr>
        <w:widowControl/>
        <w:jc w:val="left"/>
        <w:rPr>
          <w:rFonts w:asciiTheme="majorHAnsi" w:hAnsiTheme="majorHAnsi" w:eastAsiaTheme="majorEastAsia" w:cstheme="majorBidi"/>
          <w:b/>
          <w:bCs/>
          <w:color w:val="auto"/>
          <w:sz w:val="28"/>
          <w:szCs w:val="28"/>
          <w:highlight w:val="none"/>
        </w:rPr>
      </w:pPr>
      <w:r>
        <w:rPr>
          <w:rFonts w:asciiTheme="minorEastAsia" w:hAnsiTheme="minorEastAsia" w:eastAsiaTheme="minorEastAsia"/>
          <w:color w:val="auto"/>
          <w:sz w:val="24"/>
          <w:szCs w:val="24"/>
          <w:highlight w:val="none"/>
        </w:rPr>
        <w:br w:type="page"/>
      </w:r>
    </w:p>
    <w:p w14:paraId="4E0FDCFD">
      <w:pPr>
        <w:pStyle w:val="6"/>
        <w:ind w:left="0" w:leftChars="0" w:firstLine="0" w:firstLineChars="0"/>
        <w:jc w:val="center"/>
        <w:rPr>
          <w:color w:val="auto"/>
          <w:sz w:val="28"/>
          <w:highlight w:val="none"/>
        </w:rPr>
      </w:pPr>
      <w:r>
        <w:rPr>
          <w:rFonts w:hint="eastAsia"/>
          <w:color w:val="auto"/>
          <w:sz w:val="28"/>
          <w:highlight w:val="none"/>
        </w:rPr>
        <w:t>（五）参加政府采购活动前三年内，在经营活动中没有重大违法记录</w:t>
      </w:r>
    </w:p>
    <w:p w14:paraId="3C76CA8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eastAsiaTheme="minorEastAsia"/>
          <w:color w:val="auto"/>
          <w:sz w:val="21"/>
          <w:szCs w:val="21"/>
          <w:highlight w:val="none"/>
          <w:lang w:eastAsia="zh-CN"/>
        </w:rPr>
      </w:pPr>
      <w:r>
        <w:rPr>
          <w:rFonts w:hint="eastAsia" w:hAnsi="宋体"/>
        </w:rPr>
        <w:t>参加政府采购活动前三年内，在经营活动中没有重大违法记录，出具加盖公章的在经营活动中没有重大违法记录声明；新成立的公司按实际成立年份提供书面声明</w:t>
      </w:r>
      <w:r>
        <w:rPr>
          <w:rFonts w:hint="eastAsia" w:hAnsi="宋体"/>
          <w:lang w:eastAsia="zh-CN"/>
        </w:rPr>
        <w:t>（</w:t>
      </w:r>
      <w:r>
        <w:rPr>
          <w:rFonts w:hint="eastAsia" w:hAnsi="宋体"/>
        </w:rPr>
        <w:t>重大违法记录，是指投标</w:t>
      </w:r>
      <w:r>
        <w:rPr>
          <w:rFonts w:hint="eastAsia" w:hAnsi="宋体"/>
          <w:lang w:eastAsia="zh-CN"/>
        </w:rPr>
        <w:t>供应商</w:t>
      </w:r>
      <w:r>
        <w:rPr>
          <w:rFonts w:hint="eastAsia" w:hAnsi="宋体"/>
        </w:rPr>
        <w:t>因违法经营受到刑事处罚或者责令停产停业、吊销许可证或者执照、较大数额罚款等行政处罚</w:t>
      </w:r>
      <w:r>
        <w:rPr>
          <w:rFonts w:hint="eastAsia" w:hAnsi="宋体"/>
          <w:lang w:eastAsia="zh-CN"/>
        </w:rPr>
        <w:t>）</w:t>
      </w:r>
      <w:r>
        <w:rPr>
          <w:rFonts w:hint="eastAsia" w:hAnsi="宋体"/>
        </w:rPr>
        <w:t>。供应商在参加政府采购活动前</w:t>
      </w:r>
      <w:r>
        <w:rPr>
          <w:rFonts w:hint="eastAsia" w:hAnsi="宋体"/>
          <w:lang w:val="en-US" w:eastAsia="zh-CN"/>
        </w:rPr>
        <w:t>三</w:t>
      </w:r>
      <w:r>
        <w:rPr>
          <w:rFonts w:hint="eastAsia" w:hAnsi="宋体"/>
        </w:rPr>
        <w:t>年内因违法经营被禁止在一定期限内参加政府采购活动，期限届满的，可以参加</w:t>
      </w:r>
      <w:r>
        <w:rPr>
          <w:rFonts w:hint="eastAsia" w:hAnsi="宋体"/>
          <w:lang w:val="en-US" w:eastAsia="zh-CN"/>
        </w:rPr>
        <w:t>本项目</w:t>
      </w:r>
      <w:r>
        <w:rPr>
          <w:rFonts w:hint="eastAsia" w:hAnsi="宋体"/>
        </w:rPr>
        <w:t>采购活动</w:t>
      </w:r>
      <w:r>
        <w:rPr>
          <w:rFonts w:hint="eastAsia" w:hAnsi="宋体"/>
          <w:lang w:eastAsia="zh-CN"/>
        </w:rPr>
        <w:t>，</w:t>
      </w:r>
      <w:r>
        <w:rPr>
          <w:rFonts w:hint="eastAsia" w:hAnsi="宋体"/>
          <w:lang w:val="en-US" w:eastAsia="zh-CN"/>
        </w:rPr>
        <w:t>须提供</w:t>
      </w:r>
      <w:r>
        <w:rPr>
          <w:rFonts w:hint="eastAsia" w:hAnsi="宋体"/>
        </w:rPr>
        <w:t>加盖公章的</w:t>
      </w:r>
      <w:r>
        <w:rPr>
          <w:rFonts w:hint="eastAsia" w:hAnsi="宋体"/>
          <w:lang w:val="en-US" w:eastAsia="zh-CN"/>
        </w:rPr>
        <w:t>情况说明和相关证明材料</w:t>
      </w:r>
      <w:r>
        <w:rPr>
          <w:rFonts w:hint="eastAsia" w:asciiTheme="minorEastAsia" w:hAnsiTheme="minorEastAsia" w:eastAsiaTheme="minorEastAsia"/>
          <w:color w:val="auto"/>
          <w:sz w:val="21"/>
          <w:szCs w:val="21"/>
          <w:highlight w:val="none"/>
          <w:lang w:eastAsia="zh-CN"/>
        </w:rPr>
        <w:t>。</w:t>
      </w:r>
    </w:p>
    <w:p w14:paraId="01C5BCA7">
      <w:pPr>
        <w:widowControl/>
        <w:jc w:val="left"/>
        <w:rPr>
          <w:rFonts w:asciiTheme="majorHAnsi" w:hAnsiTheme="majorHAnsi" w:eastAsiaTheme="majorEastAsia" w:cstheme="majorBidi"/>
          <w:b/>
          <w:bCs/>
          <w:color w:val="auto"/>
          <w:sz w:val="28"/>
          <w:szCs w:val="28"/>
          <w:highlight w:val="none"/>
        </w:rPr>
      </w:pPr>
      <w:r>
        <w:rPr>
          <w:color w:val="auto"/>
          <w:sz w:val="28"/>
          <w:highlight w:val="none"/>
        </w:rPr>
        <w:br w:type="page"/>
      </w:r>
    </w:p>
    <w:p w14:paraId="33A2026D">
      <w:pPr>
        <w:pStyle w:val="6"/>
        <w:ind w:firstLine="562"/>
        <w:rPr>
          <w:rFonts w:hint="default" w:eastAsiaTheme="majorEastAsia"/>
          <w:color w:val="auto"/>
          <w:sz w:val="28"/>
          <w:highlight w:val="none"/>
          <w:lang w:val="en-US" w:eastAsia="zh-CN"/>
        </w:rPr>
      </w:pPr>
      <w:r>
        <w:rPr>
          <w:rFonts w:hint="eastAsia"/>
          <w:color w:val="auto"/>
          <w:sz w:val="28"/>
          <w:highlight w:val="none"/>
        </w:rPr>
        <w:t>（六）</w:t>
      </w:r>
      <w:r>
        <w:rPr>
          <w:rFonts w:hint="eastAsia"/>
          <w:color w:val="auto"/>
          <w:sz w:val="28"/>
          <w:highlight w:val="none"/>
          <w:lang w:val="en-US" w:eastAsia="zh-CN"/>
        </w:rPr>
        <w:t>法律、行政法规规定的其他条件</w:t>
      </w:r>
    </w:p>
    <w:p w14:paraId="7234D0E3">
      <w:pPr>
        <w:spacing w:line="360" w:lineRule="auto"/>
        <w:ind w:firstLine="420" w:firstLineChars="200"/>
        <w:jc w:val="lef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格式自拟，但至少应包含以下内容：</w:t>
      </w:r>
    </w:p>
    <w:p w14:paraId="47DFF63C">
      <w:pPr>
        <w:wordWrap w:val="0"/>
        <w:spacing w:line="360" w:lineRule="auto"/>
        <w:ind w:firstLine="420" w:firstLineChars="200"/>
        <w:jc w:val="left"/>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w:t>
      </w:r>
      <w:r>
        <w:rPr>
          <w:rFonts w:hint="eastAsia" w:cs="宋体" w:asciiTheme="minorEastAsia" w:hAnsiTheme="minorEastAsia" w:eastAsiaTheme="minorEastAsia"/>
          <w:color w:val="auto"/>
          <w:sz w:val="21"/>
          <w:szCs w:val="21"/>
          <w:highlight w:val="none"/>
          <w:lang w:val="en-US" w:eastAsia="zh-CN"/>
        </w:rPr>
        <w:t>1</w:t>
      </w:r>
      <w:r>
        <w:rPr>
          <w:rFonts w:hint="eastAsia" w:cs="宋体" w:asciiTheme="minorEastAsia" w:hAnsiTheme="minorEastAsia" w:eastAsiaTheme="minorEastAsia"/>
          <w:color w:val="auto"/>
          <w:sz w:val="21"/>
          <w:szCs w:val="21"/>
          <w:highlight w:val="none"/>
          <w:lang w:eastAsia="zh-CN"/>
        </w:rPr>
        <w:t>）</w:t>
      </w:r>
      <w:r>
        <w:rPr>
          <w:rFonts w:hint="eastAsia" w:cs="宋体" w:asciiTheme="minorEastAsia" w:hAnsiTheme="minorEastAsia" w:eastAsiaTheme="minorEastAsia"/>
          <w:color w:val="auto"/>
          <w:sz w:val="21"/>
          <w:szCs w:val="21"/>
          <w:highlight w:val="none"/>
          <w:lang w:val="en-US" w:eastAsia="zh-CN"/>
        </w:rPr>
        <w:t>供应商满足</w:t>
      </w:r>
      <w:r>
        <w:rPr>
          <w:rFonts w:hint="eastAsia" w:cs="宋体" w:asciiTheme="minorEastAsia" w:hAnsiTheme="minorEastAsia" w:eastAsiaTheme="minorEastAsia"/>
          <w:color w:val="auto"/>
          <w:sz w:val="21"/>
          <w:szCs w:val="21"/>
          <w:highlight w:val="none"/>
        </w:rPr>
        <w:t>法律、行政法规规定的其他条件：</w:t>
      </w:r>
      <w:r>
        <w:rPr>
          <w:rFonts w:hint="eastAsia" w:hAnsi="宋体"/>
          <w:lang w:val="en-US" w:eastAsia="zh-CN"/>
        </w:rPr>
        <w:t>提供加盖公章的承诺书或相关证明材料</w:t>
      </w:r>
      <w:r>
        <w:rPr>
          <w:rFonts w:hint="eastAsia" w:cs="宋体" w:asciiTheme="minorEastAsia" w:hAnsiTheme="minorEastAsia" w:eastAsiaTheme="minorEastAsia"/>
          <w:color w:val="auto"/>
          <w:sz w:val="21"/>
          <w:szCs w:val="21"/>
          <w:highlight w:val="none"/>
          <w:lang w:eastAsia="zh-CN"/>
        </w:rPr>
        <w:t>，</w:t>
      </w:r>
      <w:r>
        <w:rPr>
          <w:rFonts w:hint="eastAsia" w:cs="宋体" w:asciiTheme="minorEastAsia" w:hAnsiTheme="minorEastAsia" w:eastAsiaTheme="minorEastAsia"/>
          <w:color w:val="auto"/>
          <w:sz w:val="21"/>
          <w:szCs w:val="21"/>
          <w:highlight w:val="none"/>
          <w:lang w:val="en-US" w:eastAsia="zh-CN"/>
        </w:rPr>
        <w:t>格式自拟</w:t>
      </w:r>
      <w:r>
        <w:rPr>
          <w:rFonts w:hint="eastAsia" w:cs="宋体" w:asciiTheme="minorEastAsia" w:hAnsiTheme="minorEastAsia" w:eastAsiaTheme="minorEastAsia"/>
          <w:color w:val="auto"/>
          <w:sz w:val="21"/>
          <w:szCs w:val="21"/>
          <w:highlight w:val="none"/>
        </w:rPr>
        <w:t>。</w:t>
      </w:r>
    </w:p>
    <w:p w14:paraId="3E120931">
      <w:pPr>
        <w:wordWrap w:val="0"/>
        <w:spacing w:line="360" w:lineRule="auto"/>
        <w:ind w:firstLine="420" w:firstLineChars="200"/>
        <w:jc w:val="left"/>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w:t>
      </w:r>
      <w:r>
        <w:rPr>
          <w:rFonts w:hint="eastAsia" w:cs="宋体" w:asciiTheme="minorEastAsia" w:hAnsiTheme="minorEastAsia" w:eastAsiaTheme="minorEastAsia"/>
          <w:color w:val="auto"/>
          <w:sz w:val="21"/>
          <w:szCs w:val="21"/>
          <w:highlight w:val="none"/>
          <w:lang w:val="en-US" w:eastAsia="zh-CN"/>
        </w:rPr>
        <w:t>2）供应商在“信用中国”网站（https://www.creditchina.gov.cn/）未被列入失信被执行人、重大税收违法失信主体名单，在中国政府采购网（http://www.ccgp.gov.cn/）没有政府采购严重违法失信行为记录（被禁止在一定期限内参加政府采购活动但在递交响应文件截止时间届满的除外）。供应商以上渠道信誉状况信息以采购人或者采购代理机构在递交响应文件截止之日查询数据为准，对列入失信被执行人、重大税收违法失信主体名单、政府采购严重违法失信行为记录名单的供应商，其响应文件按无效响应处理。</w:t>
      </w:r>
      <w:r>
        <w:rPr>
          <w:rFonts w:hint="eastAsia" w:ascii="宋体" w:hAnsi="宋体" w:eastAsia="宋体" w:cs="宋体"/>
          <w:color w:val="auto"/>
          <w:szCs w:val="21"/>
          <w:highlight w:val="none"/>
          <w:lang w:eastAsia="zh-CN"/>
        </w:rPr>
        <w:t>府采购严重违法失信行为记录名单的供应商，视为不满足本项目资格要求</w:t>
      </w:r>
      <w:r>
        <w:rPr>
          <w:rFonts w:hint="eastAsia" w:ascii="宋体" w:hAnsi="宋体" w:cs="宋体"/>
          <w:color w:val="auto"/>
          <w:szCs w:val="21"/>
          <w:highlight w:val="none"/>
          <w:lang w:eastAsia="zh-CN"/>
        </w:rPr>
        <w:t>。</w:t>
      </w:r>
      <w:r>
        <w:rPr>
          <w:rFonts w:hint="eastAsia" w:cs="宋体" w:asciiTheme="minorEastAsia" w:hAnsiTheme="minorEastAsia" w:eastAsiaTheme="minorEastAsia"/>
          <w:b w:val="0"/>
          <w:bCs w:val="0"/>
          <w:color w:val="auto"/>
          <w:sz w:val="21"/>
          <w:szCs w:val="21"/>
          <w:highlight w:val="none"/>
          <w:lang w:val="en-US" w:eastAsia="zh-CN"/>
        </w:rPr>
        <w:t>供应商</w:t>
      </w:r>
      <w:r>
        <w:rPr>
          <w:rFonts w:hint="eastAsia" w:cs="宋体" w:asciiTheme="minorEastAsia" w:hAnsiTheme="minorEastAsia" w:eastAsiaTheme="minorEastAsia"/>
          <w:b w:val="0"/>
          <w:bCs w:val="0"/>
          <w:color w:val="auto"/>
          <w:sz w:val="21"/>
          <w:szCs w:val="21"/>
          <w:highlight w:val="none"/>
        </w:rPr>
        <w:t>提供承诺书</w:t>
      </w:r>
      <w:r>
        <w:rPr>
          <w:rFonts w:hint="eastAsia" w:cs="宋体" w:asciiTheme="minorEastAsia" w:hAnsiTheme="minorEastAsia" w:eastAsiaTheme="minorEastAsia"/>
          <w:b w:val="0"/>
          <w:bCs w:val="0"/>
          <w:color w:val="auto"/>
          <w:sz w:val="21"/>
          <w:szCs w:val="21"/>
          <w:highlight w:val="none"/>
          <w:lang w:eastAsia="zh-CN"/>
        </w:rPr>
        <w:t>（</w:t>
      </w:r>
      <w:r>
        <w:rPr>
          <w:rFonts w:hint="eastAsia" w:cs="宋体" w:asciiTheme="minorEastAsia" w:hAnsiTheme="minorEastAsia" w:eastAsiaTheme="minorEastAsia"/>
          <w:b w:val="0"/>
          <w:bCs w:val="0"/>
          <w:color w:val="auto"/>
          <w:sz w:val="21"/>
          <w:szCs w:val="21"/>
          <w:highlight w:val="none"/>
          <w:lang w:val="en-US" w:eastAsia="zh-CN"/>
        </w:rPr>
        <w:t>格式自拟</w:t>
      </w:r>
      <w:r>
        <w:rPr>
          <w:rFonts w:hint="eastAsia" w:cs="宋体" w:asciiTheme="minorEastAsia" w:hAnsiTheme="minorEastAsia" w:eastAsiaTheme="minorEastAsia"/>
          <w:b w:val="0"/>
          <w:bCs w:val="0"/>
          <w:color w:val="auto"/>
          <w:sz w:val="21"/>
          <w:szCs w:val="21"/>
          <w:highlight w:val="none"/>
          <w:lang w:eastAsia="zh-CN"/>
        </w:rPr>
        <w:t>）</w:t>
      </w:r>
      <w:r>
        <w:rPr>
          <w:rFonts w:hint="eastAsia" w:cs="宋体" w:asciiTheme="minorEastAsia" w:hAnsiTheme="minorEastAsia" w:eastAsiaTheme="minorEastAsia"/>
          <w:color w:val="auto"/>
          <w:sz w:val="21"/>
          <w:szCs w:val="21"/>
          <w:highlight w:val="none"/>
        </w:rPr>
        <w:t>。</w:t>
      </w:r>
    </w:p>
    <w:p w14:paraId="3F1184F6">
      <w:pPr>
        <w:wordWrap w:val="0"/>
        <w:spacing w:line="360" w:lineRule="auto"/>
        <w:ind w:firstLine="420" w:firstLineChars="200"/>
        <w:jc w:val="left"/>
        <w:rPr>
          <w:color w:val="auto"/>
          <w:sz w:val="21"/>
          <w:szCs w:val="21"/>
          <w:highlight w:val="none"/>
        </w:rPr>
      </w:pP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val="en-US" w:eastAsia="zh-CN"/>
        </w:rPr>
        <w:t>3</w:t>
      </w:r>
      <w:r>
        <w:rPr>
          <w:rFonts w:hint="eastAsia" w:cs="宋体" w:asciiTheme="minorEastAsia" w:hAnsiTheme="minorEastAsia" w:eastAsiaTheme="minorEastAsia"/>
          <w:color w:val="auto"/>
          <w:sz w:val="21"/>
          <w:szCs w:val="21"/>
          <w:highlight w:val="none"/>
        </w:rPr>
        <w:t>）单位负责人为同一人或者存在直接控股、管理关系的不同申请人，不得参加同一合同项下的政府采购活动</w:t>
      </w:r>
      <w:r>
        <w:rPr>
          <w:rFonts w:hint="eastAsia" w:cs="宋体" w:asciiTheme="minorEastAsia" w:hAnsiTheme="minorEastAsia" w:eastAsiaTheme="minorEastAsia"/>
          <w:color w:val="auto"/>
          <w:sz w:val="21"/>
          <w:szCs w:val="21"/>
          <w:highlight w:val="none"/>
          <w:lang w:eastAsia="zh-CN"/>
        </w:rPr>
        <w:t>；</w:t>
      </w:r>
      <w:r>
        <w:rPr>
          <w:rFonts w:hint="eastAsia" w:cs="宋体" w:asciiTheme="minorEastAsia" w:hAnsiTheme="minorEastAsia" w:eastAsiaTheme="minorEastAsia"/>
          <w:color w:val="auto"/>
          <w:sz w:val="21"/>
          <w:szCs w:val="21"/>
          <w:highlight w:val="none"/>
        </w:rPr>
        <w:t>为采购项目提供整体设计、规范编制或者项目管理、监理、检测等服务的供应商，不得再参加该采购项目的其他采购活动</w:t>
      </w:r>
      <w:r>
        <w:rPr>
          <w:rFonts w:hint="eastAsia" w:cs="宋体" w:asciiTheme="minorEastAsia" w:hAnsiTheme="minorEastAsia" w:eastAsiaTheme="minorEastAsia"/>
          <w:color w:val="auto"/>
          <w:sz w:val="21"/>
          <w:szCs w:val="21"/>
          <w:highlight w:val="none"/>
          <w:lang w:eastAsia="zh-CN"/>
        </w:rPr>
        <w:t>（</w:t>
      </w:r>
      <w:r>
        <w:rPr>
          <w:rFonts w:hint="eastAsia" w:cs="宋体" w:asciiTheme="minorEastAsia" w:hAnsiTheme="minorEastAsia" w:eastAsiaTheme="minorEastAsia"/>
          <w:color w:val="auto"/>
          <w:sz w:val="21"/>
          <w:szCs w:val="21"/>
          <w:highlight w:val="none"/>
          <w:lang w:val="en-US" w:eastAsia="zh-CN"/>
        </w:rPr>
        <w:t>提供承诺书，格式自拟</w:t>
      </w:r>
      <w:r>
        <w:rPr>
          <w:rFonts w:hint="eastAsia" w:cs="宋体" w:asciiTheme="minorEastAsia" w:hAnsiTheme="minorEastAsia" w:eastAsiaTheme="minorEastAsia"/>
          <w:color w:val="auto"/>
          <w:sz w:val="21"/>
          <w:szCs w:val="21"/>
          <w:highlight w:val="none"/>
          <w:lang w:eastAsia="zh-CN"/>
        </w:rPr>
        <w:t>）。</w:t>
      </w:r>
    </w:p>
    <w:p w14:paraId="3766A15B">
      <w:pPr>
        <w:wordWrap w:val="0"/>
        <w:spacing w:line="360" w:lineRule="auto"/>
        <w:ind w:firstLine="420" w:firstLineChars="200"/>
        <w:jc w:val="left"/>
        <w:rPr>
          <w:color w:val="auto"/>
          <w:sz w:val="21"/>
          <w:szCs w:val="21"/>
          <w:highlight w:val="none"/>
        </w:rPr>
      </w:pPr>
      <w:r>
        <w:rPr>
          <w:rFonts w:hint="eastAsia"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lang w:val="en-US" w:eastAsia="zh-CN"/>
        </w:rPr>
        <w:t>4</w:t>
      </w:r>
      <w:r>
        <w:rPr>
          <w:rFonts w:hint="eastAsia" w:asciiTheme="minorEastAsia" w:hAnsiTheme="minorEastAsia" w:eastAsiaTheme="minorEastAsia"/>
          <w:color w:val="auto"/>
          <w:sz w:val="21"/>
          <w:szCs w:val="21"/>
          <w:highlight w:val="none"/>
        </w:rPr>
        <w:t>）</w:t>
      </w:r>
      <w:r>
        <w:rPr>
          <w:rFonts w:hint="eastAsia" w:asciiTheme="minorEastAsia" w:hAnsiTheme="minorEastAsia" w:eastAsiaTheme="minorEastAsia"/>
          <w:color w:val="auto"/>
          <w:sz w:val="21"/>
          <w:szCs w:val="21"/>
          <w:highlight w:val="none"/>
          <w:lang w:eastAsia="zh-CN"/>
        </w:rPr>
        <w:t>供应商</w:t>
      </w:r>
      <w:r>
        <w:rPr>
          <w:rFonts w:hint="eastAsia" w:asciiTheme="minorEastAsia" w:hAnsiTheme="minorEastAsia" w:eastAsiaTheme="minorEastAsia"/>
          <w:color w:val="auto"/>
          <w:sz w:val="21"/>
          <w:szCs w:val="21"/>
          <w:highlight w:val="none"/>
        </w:rPr>
        <w:t>在编制</w:t>
      </w:r>
      <w:r>
        <w:rPr>
          <w:rFonts w:hint="eastAsia" w:asciiTheme="minorEastAsia" w:hAnsiTheme="minorEastAsia" w:eastAsiaTheme="minorEastAsia"/>
          <w:color w:val="auto"/>
          <w:sz w:val="21"/>
          <w:szCs w:val="21"/>
          <w:highlight w:val="none"/>
          <w:lang w:eastAsia="zh-CN"/>
        </w:rPr>
        <w:t>响应文件</w:t>
      </w:r>
      <w:r>
        <w:rPr>
          <w:rFonts w:hint="eastAsia" w:asciiTheme="minorEastAsia" w:hAnsiTheme="minorEastAsia" w:eastAsiaTheme="minorEastAsia"/>
          <w:color w:val="auto"/>
          <w:sz w:val="21"/>
          <w:szCs w:val="21"/>
          <w:highlight w:val="none"/>
        </w:rPr>
        <w:t>时，除以上内容外，</w:t>
      </w:r>
      <w:r>
        <w:rPr>
          <w:rFonts w:hint="eastAsia" w:asciiTheme="minorEastAsia" w:hAnsiTheme="minorEastAsia" w:eastAsiaTheme="minorEastAsia"/>
          <w:color w:val="auto"/>
          <w:sz w:val="21"/>
          <w:szCs w:val="21"/>
          <w:highlight w:val="none"/>
          <w:lang w:eastAsia="zh-CN"/>
        </w:rPr>
        <w:t>供应商</w:t>
      </w:r>
      <w:r>
        <w:rPr>
          <w:rFonts w:hint="eastAsia" w:asciiTheme="minorEastAsia" w:hAnsiTheme="minorEastAsia" w:eastAsiaTheme="minorEastAsia"/>
          <w:color w:val="auto"/>
          <w:sz w:val="21"/>
          <w:szCs w:val="21"/>
          <w:highlight w:val="none"/>
        </w:rPr>
        <w:t>还可以根据</w:t>
      </w:r>
      <w:r>
        <w:rPr>
          <w:rFonts w:hint="eastAsia" w:asciiTheme="minorEastAsia" w:hAnsiTheme="minorEastAsia" w:eastAsiaTheme="minorEastAsia"/>
          <w:color w:val="auto"/>
          <w:sz w:val="21"/>
          <w:szCs w:val="21"/>
          <w:highlight w:val="none"/>
          <w:lang w:eastAsia="zh-CN"/>
        </w:rPr>
        <w:t>竞争性磋商文件</w:t>
      </w:r>
      <w:r>
        <w:rPr>
          <w:rFonts w:hint="eastAsia" w:asciiTheme="minorEastAsia" w:hAnsiTheme="minorEastAsia" w:eastAsiaTheme="minorEastAsia"/>
          <w:color w:val="auto"/>
          <w:sz w:val="21"/>
          <w:szCs w:val="21"/>
          <w:highlight w:val="none"/>
        </w:rPr>
        <w:t>要求提供其他材料。但不得与以上内容及本</w:t>
      </w:r>
      <w:r>
        <w:rPr>
          <w:rFonts w:hint="eastAsia" w:asciiTheme="minorEastAsia" w:hAnsiTheme="minorEastAsia" w:eastAsiaTheme="minorEastAsia"/>
          <w:color w:val="auto"/>
          <w:sz w:val="21"/>
          <w:szCs w:val="21"/>
          <w:highlight w:val="none"/>
          <w:lang w:eastAsia="zh-CN"/>
        </w:rPr>
        <w:t>响应文件</w:t>
      </w:r>
      <w:r>
        <w:rPr>
          <w:rFonts w:hint="eastAsia" w:asciiTheme="minorEastAsia" w:hAnsiTheme="minorEastAsia" w:eastAsiaTheme="minorEastAsia"/>
          <w:color w:val="auto"/>
          <w:sz w:val="21"/>
          <w:szCs w:val="21"/>
          <w:highlight w:val="none"/>
        </w:rPr>
        <w:t>格式列出的内容相抵触。</w:t>
      </w:r>
    </w:p>
    <w:p w14:paraId="4333B079">
      <w:pPr>
        <w:spacing w:line="400" w:lineRule="exact"/>
        <w:ind w:firstLine="437"/>
        <w:jc w:val="left"/>
        <w:rPr>
          <w:rFonts w:asciiTheme="minorEastAsia" w:hAnsiTheme="minorEastAsia" w:eastAsiaTheme="minorEastAsia"/>
          <w:color w:val="auto"/>
          <w:sz w:val="21"/>
          <w:szCs w:val="21"/>
          <w:highlight w:val="none"/>
        </w:rPr>
      </w:pPr>
    </w:p>
    <w:p w14:paraId="3246D622">
      <w:pPr>
        <w:rPr>
          <w:color w:val="auto"/>
          <w:highlight w:val="none"/>
        </w:rPr>
      </w:pPr>
    </w:p>
    <w:bookmarkEnd w:id="1328"/>
    <w:bookmarkEnd w:id="1329"/>
    <w:bookmarkEnd w:id="1330"/>
    <w:bookmarkEnd w:id="1331"/>
    <w:bookmarkEnd w:id="1332"/>
    <w:p w14:paraId="7165053E">
      <w:pPr>
        <w:rPr>
          <w:color w:val="auto"/>
          <w:highlight w:val="none"/>
        </w:rPr>
      </w:pPr>
      <w:bookmarkStart w:id="1333" w:name="_Toc11418"/>
      <w:bookmarkStart w:id="1334" w:name="_Toc24709"/>
      <w:r>
        <w:rPr>
          <w:rFonts w:hint="eastAsia"/>
          <w:color w:val="auto"/>
          <w:highlight w:val="none"/>
        </w:rPr>
        <w:br w:type="page"/>
      </w:r>
      <w:bookmarkEnd w:id="1333"/>
      <w:bookmarkEnd w:id="1334"/>
    </w:p>
    <w:p w14:paraId="73E5E2FD">
      <w:pPr>
        <w:pStyle w:val="3"/>
        <w:rPr>
          <w:rFonts w:hint="eastAsia"/>
          <w:color w:val="auto"/>
          <w:highlight w:val="none"/>
          <w:lang w:val="en-US" w:eastAsia="zh-CN"/>
        </w:rPr>
        <w:sectPr>
          <w:footerReference r:id="rId12" w:type="first"/>
          <w:footerReference r:id="rId11" w:type="default"/>
          <w:pgSz w:w="11906" w:h="16838"/>
          <w:pgMar w:top="1247" w:right="1253" w:bottom="1247" w:left="1293" w:header="720" w:footer="833" w:gutter="0"/>
          <w:pgBorders>
            <w:top w:val="none" w:sz="0" w:space="0"/>
            <w:left w:val="none" w:sz="0" w:space="0"/>
            <w:bottom w:val="none" w:sz="0" w:space="0"/>
            <w:right w:val="none" w:sz="0" w:space="0"/>
          </w:pgBorders>
          <w:pgNumType w:fmt="decimal" w:start="1"/>
          <w:cols w:space="0" w:num="1"/>
          <w:titlePg/>
          <w:rtlGutter w:val="0"/>
          <w:docGrid w:type="lines" w:linePitch="312" w:charSpace="0"/>
        </w:sectPr>
      </w:pPr>
      <w:bookmarkStart w:id="1335" w:name="_Toc122026422"/>
    </w:p>
    <w:p w14:paraId="3E8DFEE8">
      <w:pPr>
        <w:pStyle w:val="3"/>
        <w:rPr>
          <w:rFonts w:hint="eastAsia"/>
          <w:color w:val="auto"/>
          <w:highlight w:val="none"/>
          <w:lang w:val="en-US" w:eastAsia="zh-CN"/>
        </w:rPr>
      </w:pPr>
      <w:bookmarkStart w:id="1336" w:name="_Toc27548"/>
      <w:bookmarkStart w:id="1337" w:name="_Toc21134"/>
      <w:bookmarkStart w:id="1338" w:name="_Toc72"/>
      <w:bookmarkStart w:id="1339" w:name="_Toc22016"/>
      <w:bookmarkStart w:id="1340" w:name="_Toc19882"/>
      <w:bookmarkStart w:id="1341" w:name="_Toc31639"/>
      <w:bookmarkStart w:id="1342" w:name="_Toc21474"/>
      <w:r>
        <w:rPr>
          <w:rFonts w:hint="eastAsia"/>
          <w:color w:val="auto"/>
          <w:highlight w:val="none"/>
          <w:lang w:val="en-US" w:eastAsia="zh-CN"/>
        </w:rPr>
        <w:t>六、项目管理机构</w:t>
      </w:r>
      <w:bookmarkEnd w:id="1336"/>
      <w:bookmarkEnd w:id="1337"/>
      <w:bookmarkEnd w:id="1338"/>
      <w:bookmarkEnd w:id="1339"/>
      <w:bookmarkEnd w:id="1340"/>
      <w:bookmarkEnd w:id="1341"/>
      <w:bookmarkEnd w:id="1342"/>
    </w:p>
    <w:p w14:paraId="58CC72AA">
      <w:pPr>
        <w:pStyle w:val="6"/>
        <w:ind w:firstLine="482"/>
        <w:rPr>
          <w:rFonts w:hint="eastAsia"/>
          <w:color w:val="auto"/>
          <w:highlight w:val="none"/>
          <w:lang w:eastAsia="zh-CN"/>
        </w:rPr>
      </w:pPr>
      <w:r>
        <w:rPr>
          <w:rFonts w:hint="eastAsia"/>
          <w:color w:val="auto"/>
          <w:highlight w:val="none"/>
          <w:lang w:eastAsia="zh-CN"/>
        </w:rPr>
        <w:t>（一）拟</w:t>
      </w:r>
      <w:r>
        <w:rPr>
          <w:rFonts w:hint="eastAsia"/>
          <w:color w:val="auto"/>
          <w:highlight w:val="none"/>
          <w:lang w:val="en-US" w:eastAsia="zh-CN"/>
        </w:rPr>
        <w:t>投入</w:t>
      </w:r>
      <w:r>
        <w:rPr>
          <w:rFonts w:hint="eastAsia"/>
          <w:color w:val="auto"/>
          <w:highlight w:val="none"/>
          <w:lang w:eastAsia="zh-CN"/>
        </w:rPr>
        <w:t>本项目人员汇总表</w:t>
      </w:r>
    </w:p>
    <w:tbl>
      <w:tblPr>
        <w:tblStyle w:val="32"/>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702"/>
        <w:gridCol w:w="1403"/>
      </w:tblGrid>
      <w:tr w14:paraId="42DD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0D054C84">
            <w:pPr>
              <w:autoSpaceDE w:val="0"/>
              <w:autoSpaceDN w:val="0"/>
              <w:adjustRightInd w:val="0"/>
              <w:jc w:val="center"/>
              <w:rPr>
                <w:rFonts w:hint="eastAsia" w:ascii="宋体" w:hAnsi="宋体"/>
                <w:szCs w:val="21"/>
              </w:rPr>
            </w:pPr>
            <w:r>
              <w:rPr>
                <w:rFonts w:hint="eastAsia" w:ascii="宋体" w:hAnsi="宋体"/>
                <w:szCs w:val="21"/>
              </w:rPr>
              <w:t>岗位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578DB0C">
            <w:pPr>
              <w:autoSpaceDE w:val="0"/>
              <w:autoSpaceDN w:val="0"/>
              <w:adjustRightInd w:val="0"/>
              <w:jc w:val="center"/>
              <w:rPr>
                <w:rFonts w:hint="eastAsia" w:ascii="宋体" w:hAnsi="宋体"/>
                <w:szCs w:val="21"/>
              </w:rPr>
            </w:pPr>
            <w:r>
              <w:rPr>
                <w:rFonts w:hint="eastAsia" w:ascii="宋体" w:hAnsi="宋体"/>
                <w:szCs w:val="21"/>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800BE8">
            <w:pPr>
              <w:autoSpaceDE w:val="0"/>
              <w:autoSpaceDN w:val="0"/>
              <w:adjustRightInd w:val="0"/>
              <w:jc w:val="center"/>
              <w:rPr>
                <w:rFonts w:hint="eastAsia" w:ascii="宋体" w:hAnsi="宋体"/>
                <w:szCs w:val="21"/>
              </w:rPr>
            </w:pPr>
            <w:r>
              <w:rPr>
                <w:rFonts w:hint="eastAsia" w:ascii="宋体" w:hAnsi="宋体"/>
                <w:szCs w:val="21"/>
              </w:rPr>
              <w:t>性别</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7823F16">
            <w:pPr>
              <w:autoSpaceDE w:val="0"/>
              <w:autoSpaceDN w:val="0"/>
              <w:adjustRightInd w:val="0"/>
              <w:jc w:val="center"/>
              <w:rPr>
                <w:rFonts w:hint="eastAsia" w:ascii="宋体" w:hAnsi="宋体"/>
                <w:szCs w:val="21"/>
              </w:rPr>
            </w:pPr>
            <w:r>
              <w:rPr>
                <w:rFonts w:hint="eastAsia" w:ascii="宋体" w:hAnsi="宋体"/>
                <w:szCs w:val="21"/>
              </w:rPr>
              <w:t>出生年月</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05A6D832">
            <w:pPr>
              <w:autoSpaceDE w:val="0"/>
              <w:autoSpaceDN w:val="0"/>
              <w:adjustRightInd w:val="0"/>
              <w:jc w:val="center"/>
              <w:rPr>
                <w:rFonts w:hint="eastAsia" w:ascii="宋体" w:hAnsi="宋体"/>
                <w:szCs w:val="21"/>
              </w:rPr>
            </w:pPr>
            <w:r>
              <w:rPr>
                <w:rFonts w:hint="eastAsia" w:ascii="宋体" w:hAnsi="宋体"/>
                <w:szCs w:val="21"/>
              </w:rPr>
              <w:t>工作年限</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3911888">
            <w:pPr>
              <w:autoSpaceDE w:val="0"/>
              <w:autoSpaceDN w:val="0"/>
              <w:adjustRightInd w:val="0"/>
              <w:jc w:val="center"/>
              <w:rPr>
                <w:rFonts w:hint="eastAsia" w:ascii="宋体" w:hAnsi="宋体"/>
                <w:szCs w:val="21"/>
              </w:rPr>
            </w:pPr>
            <w:r>
              <w:rPr>
                <w:rFonts w:hint="eastAsia" w:ascii="宋体" w:hAnsi="宋体"/>
                <w:szCs w:val="21"/>
              </w:rPr>
              <w:t>职称</w:t>
            </w:r>
          </w:p>
        </w:tc>
        <w:tc>
          <w:tcPr>
            <w:tcW w:w="803" w:type="dxa"/>
            <w:tcBorders>
              <w:top w:val="single" w:color="auto" w:sz="4" w:space="0"/>
              <w:left w:val="single" w:color="auto" w:sz="4" w:space="0"/>
              <w:bottom w:val="single" w:color="auto" w:sz="4" w:space="0"/>
              <w:right w:val="single" w:color="auto" w:sz="4" w:space="0"/>
            </w:tcBorders>
            <w:noWrap w:val="0"/>
            <w:vAlign w:val="center"/>
          </w:tcPr>
          <w:p w14:paraId="796EF2E9">
            <w:pPr>
              <w:autoSpaceDE w:val="0"/>
              <w:autoSpaceDN w:val="0"/>
              <w:adjustRightInd w:val="0"/>
              <w:jc w:val="center"/>
              <w:rPr>
                <w:rFonts w:hint="eastAsia" w:ascii="宋体" w:hAnsi="宋体"/>
                <w:szCs w:val="21"/>
              </w:rPr>
            </w:pPr>
            <w:r>
              <w:rPr>
                <w:rFonts w:hint="eastAsia" w:ascii="宋体" w:hAnsi="宋体"/>
                <w:szCs w:val="21"/>
              </w:rPr>
              <w:t>学历</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8891D77">
            <w:pPr>
              <w:autoSpaceDE w:val="0"/>
              <w:autoSpaceDN w:val="0"/>
              <w:adjustRightInd w:val="0"/>
              <w:jc w:val="center"/>
              <w:rPr>
                <w:rFonts w:hint="eastAsia" w:ascii="宋体" w:hAnsi="宋体"/>
                <w:szCs w:val="21"/>
              </w:rPr>
            </w:pPr>
            <w:r>
              <w:rPr>
                <w:rFonts w:hint="eastAsia" w:ascii="宋体" w:hAnsi="宋体"/>
                <w:szCs w:val="21"/>
              </w:rPr>
              <w:t>岗位证书（资格证书）及编号</w:t>
            </w:r>
          </w:p>
        </w:tc>
        <w:tc>
          <w:tcPr>
            <w:tcW w:w="1403" w:type="dxa"/>
            <w:tcBorders>
              <w:top w:val="single" w:color="auto" w:sz="4" w:space="0"/>
              <w:left w:val="single" w:color="auto" w:sz="4" w:space="0"/>
              <w:bottom w:val="single" w:color="auto" w:sz="4" w:space="0"/>
              <w:right w:val="single" w:color="auto" w:sz="4" w:space="0"/>
            </w:tcBorders>
            <w:noWrap w:val="0"/>
            <w:vAlign w:val="center"/>
          </w:tcPr>
          <w:p w14:paraId="6E73FC29">
            <w:pPr>
              <w:autoSpaceDE w:val="0"/>
              <w:autoSpaceDN w:val="0"/>
              <w:adjustRightInd w:val="0"/>
              <w:jc w:val="center"/>
              <w:rPr>
                <w:rFonts w:hint="eastAsia" w:ascii="宋体" w:hAnsi="宋体" w:eastAsia="宋体"/>
                <w:szCs w:val="21"/>
                <w:lang w:eastAsia="zh-CN"/>
              </w:rPr>
            </w:pPr>
            <w:r>
              <w:rPr>
                <w:rFonts w:hint="eastAsia" w:ascii="宋体" w:hAnsi="宋体"/>
                <w:szCs w:val="21"/>
                <w:lang w:val="en-US" w:eastAsia="zh-CN"/>
              </w:rPr>
              <w:t>备注</w:t>
            </w:r>
          </w:p>
        </w:tc>
      </w:tr>
      <w:tr w14:paraId="247C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734C680E">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B61BB3">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429510">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2B61630">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752B20AE">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E66F91">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1623E6D6">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17D09DC">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13FAC189">
            <w:pPr>
              <w:autoSpaceDE w:val="0"/>
              <w:autoSpaceDN w:val="0"/>
              <w:adjustRightInd w:val="0"/>
              <w:jc w:val="center"/>
              <w:rPr>
                <w:rFonts w:hint="eastAsia" w:ascii="宋体" w:hAnsi="宋体"/>
                <w:szCs w:val="21"/>
              </w:rPr>
            </w:pPr>
          </w:p>
        </w:tc>
      </w:tr>
      <w:tr w14:paraId="7C584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6216C81C">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7326CE">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1042E2">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4872C11">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539B8047">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263271">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10C318FB">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569A721">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55DA441B">
            <w:pPr>
              <w:autoSpaceDE w:val="0"/>
              <w:autoSpaceDN w:val="0"/>
              <w:adjustRightInd w:val="0"/>
              <w:jc w:val="center"/>
              <w:rPr>
                <w:rFonts w:hint="eastAsia" w:ascii="宋体" w:hAnsi="宋体"/>
                <w:szCs w:val="21"/>
              </w:rPr>
            </w:pPr>
          </w:p>
        </w:tc>
      </w:tr>
      <w:tr w14:paraId="155D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2D3C3D9B">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F82D47">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FC8205">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5BBF558">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04EBD2F2">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B3810E">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467615C1">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5A41F70">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370D02A6">
            <w:pPr>
              <w:autoSpaceDE w:val="0"/>
              <w:autoSpaceDN w:val="0"/>
              <w:adjustRightInd w:val="0"/>
              <w:jc w:val="center"/>
              <w:rPr>
                <w:rFonts w:hint="eastAsia" w:ascii="宋体" w:hAnsi="宋体"/>
                <w:szCs w:val="21"/>
              </w:rPr>
            </w:pPr>
          </w:p>
        </w:tc>
      </w:tr>
      <w:tr w14:paraId="385A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312351B6">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3A8CF1">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F5FBFE">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BAEF062">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7B7B122C">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401AD0">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260655A6">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3A8C53D0">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1C14217C">
            <w:pPr>
              <w:rPr>
                <w:rFonts w:hint="eastAsia" w:ascii="宋体" w:hAnsi="宋体"/>
                <w:szCs w:val="21"/>
              </w:rPr>
            </w:pPr>
          </w:p>
        </w:tc>
      </w:tr>
      <w:tr w14:paraId="19DA3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429B725F">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5BDC992">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B0C76C">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64B184E">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0B80483">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B75C483">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6ACB47A6">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DCB8416">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5F3A71E7">
            <w:pPr>
              <w:autoSpaceDE w:val="0"/>
              <w:autoSpaceDN w:val="0"/>
              <w:adjustRightInd w:val="0"/>
              <w:rPr>
                <w:rFonts w:hint="eastAsia" w:ascii="宋体" w:hAnsi="宋体"/>
                <w:szCs w:val="21"/>
              </w:rPr>
            </w:pPr>
          </w:p>
        </w:tc>
      </w:tr>
      <w:tr w14:paraId="06F5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4C162FBB">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E4AFED">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C01CB2">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6141F56">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0DD9BD2A">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DB5691">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4272DCF4">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3C11001">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1A46662F">
            <w:pPr>
              <w:autoSpaceDE w:val="0"/>
              <w:autoSpaceDN w:val="0"/>
              <w:adjustRightInd w:val="0"/>
              <w:rPr>
                <w:rFonts w:hint="eastAsia" w:ascii="宋体" w:hAnsi="宋体"/>
                <w:szCs w:val="21"/>
              </w:rPr>
            </w:pPr>
          </w:p>
        </w:tc>
      </w:tr>
      <w:tr w14:paraId="5F9E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06E9C04A">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76E6E6">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106891">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8D6F388">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A90F819">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D2FF05C">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5E7DB78E">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BCEFA56">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614ED38F">
            <w:pPr>
              <w:autoSpaceDE w:val="0"/>
              <w:autoSpaceDN w:val="0"/>
              <w:adjustRightInd w:val="0"/>
              <w:jc w:val="center"/>
              <w:rPr>
                <w:rFonts w:hint="eastAsia" w:ascii="宋体" w:hAnsi="宋体"/>
                <w:szCs w:val="21"/>
              </w:rPr>
            </w:pPr>
          </w:p>
        </w:tc>
      </w:tr>
      <w:tr w14:paraId="0587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3C48D156">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BAB1B2">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30E021">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D08DDF6">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A9B7980">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C046AA">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0439FC18">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7CD5ABA">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6EA24507">
            <w:pPr>
              <w:autoSpaceDE w:val="0"/>
              <w:autoSpaceDN w:val="0"/>
              <w:adjustRightInd w:val="0"/>
              <w:jc w:val="center"/>
              <w:rPr>
                <w:rFonts w:hint="eastAsia" w:ascii="宋体" w:hAnsi="宋体"/>
                <w:szCs w:val="21"/>
              </w:rPr>
            </w:pPr>
          </w:p>
        </w:tc>
      </w:tr>
      <w:tr w14:paraId="3CF0F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7BA10112">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57D5C26">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BFAC989">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C9FA0DC">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798A1DB5">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1CEA9D">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2FD54A9D">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F0DB23">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64BD3F78">
            <w:pPr>
              <w:autoSpaceDE w:val="0"/>
              <w:autoSpaceDN w:val="0"/>
              <w:adjustRightInd w:val="0"/>
              <w:jc w:val="center"/>
              <w:rPr>
                <w:rFonts w:hint="eastAsia" w:ascii="宋体" w:hAnsi="宋体"/>
                <w:szCs w:val="21"/>
              </w:rPr>
            </w:pPr>
          </w:p>
        </w:tc>
      </w:tr>
      <w:tr w14:paraId="5D0F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02A05AF3">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CAC66B">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3FC253">
            <w:pPr>
              <w:autoSpaceDE w:val="0"/>
              <w:autoSpaceDN w:val="0"/>
              <w:adjustRightInd w:val="0"/>
              <w:jc w:val="center"/>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E1BBB58">
            <w:pPr>
              <w:autoSpaceDE w:val="0"/>
              <w:autoSpaceDN w:val="0"/>
              <w:adjustRightInd w:val="0"/>
              <w:jc w:val="center"/>
              <w:rPr>
                <w:rFonts w:hint="eastAsia" w:ascii="宋体" w:hAnsi="宋体"/>
                <w:szCs w:val="21"/>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03503115">
            <w:pPr>
              <w:autoSpaceDE w:val="0"/>
              <w:autoSpaceDN w:val="0"/>
              <w:adjustRightInd w:val="0"/>
              <w:jc w:val="center"/>
              <w:rPr>
                <w:rFonts w:hint="eastAsia" w:ascii="宋体" w:hAnsi="宋体"/>
                <w:szCs w:val="21"/>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FB56AE">
            <w:pPr>
              <w:autoSpaceDE w:val="0"/>
              <w:autoSpaceDN w:val="0"/>
              <w:adjustRightInd w:val="0"/>
              <w:jc w:val="center"/>
              <w:rPr>
                <w:rFonts w:hint="eastAsia" w:ascii="宋体" w:hAnsi="宋体"/>
                <w:szCs w:val="21"/>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540720AF">
            <w:pPr>
              <w:autoSpaceDE w:val="0"/>
              <w:autoSpaceDN w:val="0"/>
              <w:adjustRightInd w:val="0"/>
              <w:jc w:val="center"/>
              <w:rPr>
                <w:rFonts w:hint="eastAsia" w:ascii="宋体" w:hAnsi="宋体"/>
                <w:szCs w:val="21"/>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8F2F73B">
            <w:pPr>
              <w:autoSpaceDE w:val="0"/>
              <w:autoSpaceDN w:val="0"/>
              <w:adjustRightInd w:val="0"/>
              <w:jc w:val="center"/>
              <w:rPr>
                <w:rFonts w:hint="eastAsia" w:ascii="宋体" w:hAnsi="宋体"/>
                <w:szCs w:val="21"/>
              </w:rPr>
            </w:pPr>
          </w:p>
        </w:tc>
        <w:tc>
          <w:tcPr>
            <w:tcW w:w="1403" w:type="dxa"/>
            <w:tcBorders>
              <w:top w:val="single" w:color="auto" w:sz="4" w:space="0"/>
              <w:left w:val="single" w:color="auto" w:sz="4" w:space="0"/>
              <w:bottom w:val="single" w:color="auto" w:sz="4" w:space="0"/>
              <w:right w:val="single" w:color="auto" w:sz="4" w:space="0"/>
            </w:tcBorders>
            <w:noWrap w:val="0"/>
            <w:vAlign w:val="center"/>
          </w:tcPr>
          <w:p w14:paraId="4FC6640B">
            <w:pPr>
              <w:autoSpaceDE w:val="0"/>
              <w:autoSpaceDN w:val="0"/>
              <w:adjustRightInd w:val="0"/>
              <w:jc w:val="center"/>
              <w:rPr>
                <w:rFonts w:hint="eastAsia" w:ascii="宋体" w:hAnsi="宋体"/>
                <w:szCs w:val="21"/>
              </w:rPr>
            </w:pPr>
          </w:p>
        </w:tc>
      </w:tr>
    </w:tbl>
    <w:p w14:paraId="4CCF2479">
      <w:pPr>
        <w:adjustRightInd w:val="0"/>
        <w:snapToGrid w:val="0"/>
        <w:jc w:val="left"/>
        <w:rPr>
          <w:color w:val="auto"/>
          <w:highlight w:val="none"/>
        </w:rPr>
      </w:pPr>
      <w:r>
        <w:rPr>
          <w:rFonts w:hint="eastAsia" w:cs="Times New Roman" w:asciiTheme="minorEastAsia" w:hAnsiTheme="minorEastAsia" w:eastAsiaTheme="minorEastAsia"/>
          <w:color w:val="auto"/>
          <w:sz w:val="21"/>
          <w:szCs w:val="21"/>
          <w:highlight w:val="none"/>
          <w:lang w:eastAsia="zh-CN"/>
        </w:rPr>
        <w:t>注：表格内容由</w:t>
      </w:r>
      <w:r>
        <w:rPr>
          <w:rFonts w:hint="eastAsia" w:cs="Times New Roman" w:asciiTheme="minorEastAsia" w:hAnsiTheme="minorEastAsia" w:eastAsiaTheme="minorEastAsia"/>
          <w:color w:val="auto"/>
          <w:sz w:val="21"/>
          <w:szCs w:val="21"/>
          <w:highlight w:val="none"/>
          <w:lang w:val="en-US" w:eastAsia="zh-CN"/>
        </w:rPr>
        <w:t>供应商</w:t>
      </w:r>
      <w:r>
        <w:rPr>
          <w:rFonts w:hint="eastAsia" w:cs="Times New Roman" w:asciiTheme="minorEastAsia" w:hAnsiTheme="minorEastAsia" w:eastAsiaTheme="minorEastAsia"/>
          <w:color w:val="auto"/>
          <w:sz w:val="21"/>
          <w:szCs w:val="21"/>
          <w:highlight w:val="none"/>
          <w:lang w:eastAsia="zh-CN"/>
        </w:rPr>
        <w:t>填写拟派往本项目的全部人员的相关信息。</w:t>
      </w:r>
      <w:r>
        <w:rPr>
          <w:color w:val="auto"/>
          <w:highlight w:val="none"/>
        </w:rPr>
        <w:br w:type="page"/>
      </w:r>
    </w:p>
    <w:p w14:paraId="643D2222">
      <w:pPr>
        <w:pStyle w:val="6"/>
        <w:ind w:firstLine="482"/>
        <w:rPr>
          <w:rFonts w:hint="eastAsia"/>
          <w:color w:val="auto"/>
          <w:highlight w:val="none"/>
          <w:lang w:eastAsia="zh-CN"/>
        </w:rPr>
      </w:pPr>
      <w:r>
        <w:rPr>
          <w:rFonts w:hint="eastAsia"/>
          <w:color w:val="auto"/>
          <w:highlight w:val="none"/>
          <w:lang w:eastAsia="zh-CN"/>
        </w:rPr>
        <w:t>（二）主要人员简历表</w:t>
      </w:r>
    </w:p>
    <w:p w14:paraId="1236055C">
      <w:pPr>
        <w:adjustRightInd w:val="0"/>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附1：项目经理简历表</w:t>
      </w:r>
    </w:p>
    <w:tbl>
      <w:tblPr>
        <w:tblStyle w:val="3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129"/>
        <w:gridCol w:w="1239"/>
        <w:gridCol w:w="1393"/>
        <w:gridCol w:w="2012"/>
        <w:gridCol w:w="2322"/>
      </w:tblGrid>
      <w:tr w14:paraId="6F7C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F1DACE3">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姓  名</w:t>
            </w:r>
          </w:p>
        </w:tc>
        <w:tc>
          <w:tcPr>
            <w:tcW w:w="1129" w:type="dxa"/>
            <w:shd w:val="clear" w:color="auto" w:fill="auto"/>
            <w:vAlign w:val="center"/>
          </w:tcPr>
          <w:p w14:paraId="1F9293AE">
            <w:pPr>
              <w:adjustRightInd w:val="0"/>
              <w:snapToGrid w:val="0"/>
              <w:spacing w:line="240" w:lineRule="auto"/>
              <w:jc w:val="center"/>
              <w:rPr>
                <w:rFonts w:ascii="宋体" w:hAnsi="宋体" w:cs="宋体"/>
                <w:color w:val="auto"/>
                <w:kern w:val="0"/>
                <w:szCs w:val="21"/>
                <w:highlight w:val="none"/>
              </w:rPr>
            </w:pPr>
          </w:p>
        </w:tc>
        <w:tc>
          <w:tcPr>
            <w:tcW w:w="1239" w:type="dxa"/>
            <w:shd w:val="clear" w:color="auto" w:fill="auto"/>
            <w:vAlign w:val="center"/>
          </w:tcPr>
          <w:p w14:paraId="44C05DDB">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年  龄</w:t>
            </w:r>
          </w:p>
        </w:tc>
        <w:tc>
          <w:tcPr>
            <w:tcW w:w="1393" w:type="dxa"/>
            <w:shd w:val="clear" w:color="auto" w:fill="auto"/>
            <w:vAlign w:val="center"/>
          </w:tcPr>
          <w:p w14:paraId="256AEA47">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04978F69">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学历</w:t>
            </w:r>
          </w:p>
        </w:tc>
        <w:tc>
          <w:tcPr>
            <w:tcW w:w="2322" w:type="dxa"/>
            <w:shd w:val="clear" w:color="auto" w:fill="auto"/>
            <w:vAlign w:val="center"/>
          </w:tcPr>
          <w:p w14:paraId="247EE6C1">
            <w:pPr>
              <w:adjustRightInd w:val="0"/>
              <w:snapToGrid w:val="0"/>
              <w:spacing w:line="240" w:lineRule="auto"/>
              <w:jc w:val="center"/>
              <w:rPr>
                <w:rFonts w:ascii="宋体" w:hAnsi="宋体" w:cs="宋体"/>
                <w:color w:val="auto"/>
                <w:kern w:val="0"/>
                <w:szCs w:val="21"/>
                <w:highlight w:val="none"/>
              </w:rPr>
            </w:pPr>
          </w:p>
        </w:tc>
      </w:tr>
      <w:tr w14:paraId="6C39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5A9311E4">
            <w:pPr>
              <w:adjustRightInd w:val="0"/>
              <w:snapToGrid w:val="0"/>
              <w:spacing w:line="240"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职业资格</w:t>
            </w:r>
          </w:p>
        </w:tc>
        <w:tc>
          <w:tcPr>
            <w:tcW w:w="3761" w:type="dxa"/>
            <w:gridSpan w:val="3"/>
            <w:shd w:val="clear" w:color="auto" w:fill="auto"/>
            <w:vAlign w:val="center"/>
          </w:tcPr>
          <w:p w14:paraId="4F9FBBC5">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1DFFE651">
            <w:pPr>
              <w:adjustRightInd w:val="0"/>
              <w:snapToGrid w:val="0"/>
              <w:spacing w:line="24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安全生产考核合格证书</w:t>
            </w:r>
          </w:p>
        </w:tc>
        <w:tc>
          <w:tcPr>
            <w:tcW w:w="2322" w:type="dxa"/>
            <w:shd w:val="clear" w:color="auto" w:fill="auto"/>
            <w:vAlign w:val="center"/>
          </w:tcPr>
          <w:p w14:paraId="04C75A78">
            <w:pPr>
              <w:adjustRightInd w:val="0"/>
              <w:snapToGrid w:val="0"/>
              <w:spacing w:line="240" w:lineRule="auto"/>
              <w:jc w:val="center"/>
              <w:rPr>
                <w:rFonts w:ascii="宋体" w:hAnsi="宋体" w:cs="宋体"/>
                <w:color w:val="auto"/>
                <w:kern w:val="0"/>
                <w:szCs w:val="21"/>
                <w:highlight w:val="none"/>
              </w:rPr>
            </w:pPr>
          </w:p>
        </w:tc>
      </w:tr>
      <w:tr w14:paraId="0159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681125A0">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职  称</w:t>
            </w:r>
          </w:p>
        </w:tc>
        <w:tc>
          <w:tcPr>
            <w:tcW w:w="1129" w:type="dxa"/>
            <w:shd w:val="clear" w:color="auto" w:fill="auto"/>
            <w:vAlign w:val="center"/>
          </w:tcPr>
          <w:p w14:paraId="49DC927F">
            <w:pPr>
              <w:adjustRightInd w:val="0"/>
              <w:snapToGrid w:val="0"/>
              <w:spacing w:line="240" w:lineRule="auto"/>
              <w:jc w:val="center"/>
              <w:rPr>
                <w:rFonts w:ascii="宋体" w:hAnsi="宋体" w:cs="宋体"/>
                <w:color w:val="auto"/>
                <w:kern w:val="0"/>
                <w:szCs w:val="21"/>
                <w:highlight w:val="none"/>
              </w:rPr>
            </w:pPr>
          </w:p>
        </w:tc>
        <w:tc>
          <w:tcPr>
            <w:tcW w:w="1239" w:type="dxa"/>
            <w:shd w:val="clear" w:color="auto" w:fill="auto"/>
            <w:vAlign w:val="center"/>
          </w:tcPr>
          <w:p w14:paraId="7F8FDAD8">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职  务</w:t>
            </w:r>
          </w:p>
        </w:tc>
        <w:tc>
          <w:tcPr>
            <w:tcW w:w="1393" w:type="dxa"/>
            <w:shd w:val="clear" w:color="auto" w:fill="auto"/>
            <w:vAlign w:val="center"/>
          </w:tcPr>
          <w:p w14:paraId="0A569D21">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2D99F058">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拟在本</w:t>
            </w:r>
            <w:r>
              <w:rPr>
                <w:rFonts w:hint="eastAsia" w:ascii="宋体" w:hAnsi="宋体" w:cs="宋体"/>
                <w:color w:val="auto"/>
                <w:kern w:val="0"/>
                <w:szCs w:val="21"/>
                <w:highlight w:val="none"/>
                <w:lang w:val="en-US" w:eastAsia="zh-CN"/>
              </w:rPr>
              <w:t>合同</w:t>
            </w:r>
            <w:r>
              <w:rPr>
                <w:rFonts w:hint="eastAsia" w:ascii="宋体" w:hAnsi="宋体" w:cs="宋体"/>
                <w:color w:val="auto"/>
                <w:kern w:val="0"/>
                <w:szCs w:val="21"/>
                <w:highlight w:val="none"/>
              </w:rPr>
              <w:t>任职</w:t>
            </w:r>
          </w:p>
        </w:tc>
        <w:tc>
          <w:tcPr>
            <w:tcW w:w="2322" w:type="dxa"/>
            <w:shd w:val="clear" w:color="auto" w:fill="auto"/>
            <w:vAlign w:val="center"/>
          </w:tcPr>
          <w:p w14:paraId="2304E028">
            <w:pPr>
              <w:adjustRightInd w:val="0"/>
              <w:snapToGrid w:val="0"/>
              <w:spacing w:line="240" w:lineRule="auto"/>
              <w:jc w:val="center"/>
              <w:rPr>
                <w:rFonts w:ascii="宋体" w:hAnsi="宋体" w:cs="宋体"/>
                <w:color w:val="auto"/>
                <w:kern w:val="0"/>
                <w:szCs w:val="21"/>
                <w:highlight w:val="none"/>
              </w:rPr>
            </w:pPr>
          </w:p>
        </w:tc>
      </w:tr>
      <w:tr w14:paraId="4973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40E262F">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毕业学校</w:t>
            </w:r>
          </w:p>
        </w:tc>
        <w:tc>
          <w:tcPr>
            <w:tcW w:w="8095" w:type="dxa"/>
            <w:gridSpan w:val="5"/>
            <w:shd w:val="clear" w:color="auto" w:fill="auto"/>
            <w:vAlign w:val="center"/>
          </w:tcPr>
          <w:p w14:paraId="51AE41A4">
            <w:pPr>
              <w:adjustRightInd w:val="0"/>
              <w:snapToGrid w:val="0"/>
              <w:spacing w:line="240" w:lineRule="auto"/>
              <w:ind w:firstLine="840" w:firstLineChars="400"/>
              <w:jc w:val="left"/>
              <w:rPr>
                <w:rFonts w:ascii="宋体" w:hAnsi="宋体" w:cs="宋体"/>
                <w:color w:val="auto"/>
                <w:kern w:val="0"/>
                <w:szCs w:val="21"/>
                <w:highlight w:val="none"/>
              </w:rPr>
            </w:pPr>
            <w:r>
              <w:rPr>
                <w:rFonts w:hint="eastAsia" w:ascii="宋体" w:hAnsi="宋体" w:cs="宋体"/>
                <w:color w:val="auto"/>
                <w:kern w:val="0"/>
                <w:szCs w:val="21"/>
                <w:highlight w:val="none"/>
              </w:rPr>
              <w:t>年毕业于                  学校            专业</w:t>
            </w:r>
          </w:p>
        </w:tc>
      </w:tr>
      <w:tr w14:paraId="012A4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88" w:type="dxa"/>
            <w:gridSpan w:val="6"/>
            <w:shd w:val="clear" w:color="auto" w:fill="auto"/>
            <w:vAlign w:val="center"/>
          </w:tcPr>
          <w:p w14:paraId="278D3A5F">
            <w:pPr>
              <w:adjustRightInd w:val="0"/>
              <w:snapToGrid w:val="0"/>
              <w:spacing w:line="24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主要</w:t>
            </w:r>
            <w:r>
              <w:rPr>
                <w:rFonts w:hint="eastAsia" w:ascii="宋体" w:hAnsi="宋体" w:cs="宋体"/>
                <w:color w:val="auto"/>
                <w:kern w:val="0"/>
                <w:szCs w:val="21"/>
                <w:highlight w:val="none"/>
                <w:lang w:val="en-US" w:eastAsia="zh-CN"/>
              </w:rPr>
              <w:t>施工管理经历</w:t>
            </w:r>
          </w:p>
        </w:tc>
      </w:tr>
      <w:tr w14:paraId="3EB01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1FCE1999">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时  间</w:t>
            </w:r>
          </w:p>
        </w:tc>
        <w:tc>
          <w:tcPr>
            <w:tcW w:w="3761" w:type="dxa"/>
            <w:gridSpan w:val="3"/>
            <w:shd w:val="clear" w:color="auto" w:fill="auto"/>
            <w:vAlign w:val="center"/>
          </w:tcPr>
          <w:p w14:paraId="3D172DC9">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参加过的类似项目</w:t>
            </w:r>
          </w:p>
        </w:tc>
        <w:tc>
          <w:tcPr>
            <w:tcW w:w="2012" w:type="dxa"/>
            <w:shd w:val="clear" w:color="auto" w:fill="auto"/>
            <w:vAlign w:val="center"/>
          </w:tcPr>
          <w:p w14:paraId="7A1BDA81">
            <w:pPr>
              <w:adjustRightInd w:val="0"/>
              <w:snapToGrid w:val="0"/>
              <w:spacing w:line="24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担任职务</w:t>
            </w:r>
          </w:p>
        </w:tc>
        <w:tc>
          <w:tcPr>
            <w:tcW w:w="2322" w:type="dxa"/>
            <w:shd w:val="clear" w:color="auto" w:fill="auto"/>
            <w:vAlign w:val="center"/>
          </w:tcPr>
          <w:p w14:paraId="1A27AD68">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发包人及联系电话</w:t>
            </w:r>
          </w:p>
        </w:tc>
      </w:tr>
      <w:tr w14:paraId="2544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2DF408C">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46B4EF53">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6D1E219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42B0DC83">
            <w:pPr>
              <w:adjustRightInd w:val="0"/>
              <w:snapToGrid w:val="0"/>
              <w:spacing w:line="360" w:lineRule="auto"/>
              <w:jc w:val="center"/>
              <w:rPr>
                <w:rFonts w:ascii="宋体" w:hAnsi="宋体" w:cs="宋体"/>
                <w:color w:val="auto"/>
                <w:kern w:val="0"/>
                <w:szCs w:val="21"/>
                <w:highlight w:val="none"/>
              </w:rPr>
            </w:pPr>
          </w:p>
        </w:tc>
      </w:tr>
      <w:tr w14:paraId="77B1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0503B5BB">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EACD011">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29320927">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BCC0DF0">
            <w:pPr>
              <w:adjustRightInd w:val="0"/>
              <w:snapToGrid w:val="0"/>
              <w:spacing w:line="360" w:lineRule="auto"/>
              <w:jc w:val="center"/>
              <w:rPr>
                <w:rFonts w:ascii="宋体" w:hAnsi="宋体" w:cs="宋体"/>
                <w:color w:val="auto"/>
                <w:kern w:val="0"/>
                <w:szCs w:val="21"/>
                <w:highlight w:val="none"/>
              </w:rPr>
            </w:pPr>
          </w:p>
        </w:tc>
      </w:tr>
      <w:tr w14:paraId="5D40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D4E204F">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3193FDB2">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269797B8">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2E2A7B10">
            <w:pPr>
              <w:adjustRightInd w:val="0"/>
              <w:snapToGrid w:val="0"/>
              <w:spacing w:line="360" w:lineRule="auto"/>
              <w:jc w:val="center"/>
              <w:rPr>
                <w:rFonts w:ascii="宋体" w:hAnsi="宋体" w:cs="宋体"/>
                <w:color w:val="auto"/>
                <w:kern w:val="0"/>
                <w:szCs w:val="21"/>
                <w:highlight w:val="none"/>
              </w:rPr>
            </w:pPr>
          </w:p>
        </w:tc>
      </w:tr>
      <w:tr w14:paraId="6D6A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92945B7">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E8112A4">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6BFF89B8">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3D29814D">
            <w:pPr>
              <w:adjustRightInd w:val="0"/>
              <w:snapToGrid w:val="0"/>
              <w:spacing w:line="360" w:lineRule="auto"/>
              <w:jc w:val="center"/>
              <w:rPr>
                <w:rFonts w:ascii="宋体" w:hAnsi="宋体" w:cs="宋体"/>
                <w:color w:val="auto"/>
                <w:kern w:val="0"/>
                <w:szCs w:val="21"/>
                <w:highlight w:val="none"/>
              </w:rPr>
            </w:pPr>
          </w:p>
        </w:tc>
      </w:tr>
      <w:tr w14:paraId="31A0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F8BBA82">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3E45F3C8">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3489CA76">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6BB52433">
            <w:pPr>
              <w:adjustRightInd w:val="0"/>
              <w:snapToGrid w:val="0"/>
              <w:spacing w:line="360" w:lineRule="auto"/>
              <w:jc w:val="center"/>
              <w:rPr>
                <w:rFonts w:ascii="宋体" w:hAnsi="宋体" w:cs="宋体"/>
                <w:color w:val="auto"/>
                <w:kern w:val="0"/>
                <w:szCs w:val="21"/>
                <w:highlight w:val="none"/>
              </w:rPr>
            </w:pPr>
          </w:p>
        </w:tc>
      </w:tr>
      <w:tr w14:paraId="04471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2A3087DD">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1142F21">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1BA6D262">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C8C81EC">
            <w:pPr>
              <w:adjustRightInd w:val="0"/>
              <w:snapToGrid w:val="0"/>
              <w:spacing w:line="360" w:lineRule="auto"/>
              <w:jc w:val="center"/>
              <w:rPr>
                <w:rFonts w:ascii="宋体" w:hAnsi="宋体" w:cs="宋体"/>
                <w:color w:val="auto"/>
                <w:kern w:val="0"/>
                <w:szCs w:val="21"/>
                <w:highlight w:val="none"/>
              </w:rPr>
            </w:pPr>
          </w:p>
        </w:tc>
      </w:tr>
      <w:tr w14:paraId="29FD2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CD69FA5">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4130AE0B">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6A99BBC9">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2FD3EAB2">
            <w:pPr>
              <w:adjustRightInd w:val="0"/>
              <w:snapToGrid w:val="0"/>
              <w:spacing w:line="360" w:lineRule="auto"/>
              <w:jc w:val="center"/>
              <w:rPr>
                <w:rFonts w:ascii="宋体" w:hAnsi="宋体" w:cs="宋体"/>
                <w:color w:val="auto"/>
                <w:kern w:val="0"/>
                <w:szCs w:val="21"/>
                <w:highlight w:val="none"/>
              </w:rPr>
            </w:pPr>
          </w:p>
        </w:tc>
      </w:tr>
      <w:tr w14:paraId="2F5A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D0F8BDC">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072A2010">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4A729B3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1C9A8EC8">
            <w:pPr>
              <w:adjustRightInd w:val="0"/>
              <w:snapToGrid w:val="0"/>
              <w:spacing w:line="360" w:lineRule="auto"/>
              <w:jc w:val="center"/>
              <w:rPr>
                <w:rFonts w:ascii="宋体" w:hAnsi="宋体" w:cs="宋体"/>
                <w:color w:val="auto"/>
                <w:kern w:val="0"/>
                <w:szCs w:val="21"/>
                <w:highlight w:val="none"/>
              </w:rPr>
            </w:pPr>
          </w:p>
        </w:tc>
      </w:tr>
      <w:tr w14:paraId="124B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8D46376">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ABC8FE5">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75D8A93A">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4C02779E">
            <w:pPr>
              <w:adjustRightInd w:val="0"/>
              <w:snapToGrid w:val="0"/>
              <w:spacing w:line="360" w:lineRule="auto"/>
              <w:jc w:val="center"/>
              <w:rPr>
                <w:rFonts w:ascii="宋体" w:hAnsi="宋体" w:cs="宋体"/>
                <w:color w:val="auto"/>
                <w:kern w:val="0"/>
                <w:szCs w:val="21"/>
                <w:highlight w:val="none"/>
              </w:rPr>
            </w:pPr>
          </w:p>
        </w:tc>
      </w:tr>
      <w:tr w14:paraId="2EB3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2EBAD4FB">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8C71A3C">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5881AA17">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45D67399">
            <w:pPr>
              <w:adjustRightInd w:val="0"/>
              <w:snapToGrid w:val="0"/>
              <w:spacing w:line="360" w:lineRule="auto"/>
              <w:jc w:val="center"/>
              <w:rPr>
                <w:rFonts w:ascii="宋体" w:hAnsi="宋体" w:cs="宋体"/>
                <w:color w:val="auto"/>
                <w:kern w:val="0"/>
                <w:szCs w:val="21"/>
                <w:highlight w:val="none"/>
              </w:rPr>
            </w:pPr>
          </w:p>
        </w:tc>
      </w:tr>
    </w:tbl>
    <w:p w14:paraId="6A850193">
      <w:pPr>
        <w:adjustRightInd w:val="0"/>
        <w:snapToGrid w:val="0"/>
        <w:spacing w:line="360" w:lineRule="auto"/>
        <w:ind w:firstLine="420" w:firstLineChars="200"/>
        <w:jc w:val="left"/>
        <w:rPr>
          <w:rFonts w:hint="eastAsia" w:ascii="宋体" w:hAnsi="宋体"/>
          <w:color w:val="auto"/>
          <w:kern w:val="0"/>
          <w:szCs w:val="21"/>
          <w:highlight w:val="none"/>
          <w:lang w:val="en-US" w:eastAsia="zh-CN"/>
        </w:rPr>
      </w:pPr>
      <w:r>
        <w:rPr>
          <w:rFonts w:hint="eastAsia" w:ascii="宋体" w:hAnsi="宋体"/>
          <w:color w:val="auto"/>
          <w:kern w:val="0"/>
          <w:szCs w:val="21"/>
          <w:highlight w:val="none"/>
          <w:lang w:val="en-US" w:eastAsia="zh-CN"/>
        </w:rPr>
        <w:t>注：</w:t>
      </w:r>
    </w:p>
    <w:p w14:paraId="3C06AEF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1.附建造师执业资格证书、注册证书、安全生产考核合格证书、身份证、职称证（如有）、学历证、社保证明</w:t>
      </w:r>
      <w:r>
        <w:rPr>
          <w:rFonts w:hint="eastAsia" w:ascii="宋体" w:hAnsi="宋体" w:cs="Times New Roman"/>
          <w:color w:val="auto"/>
          <w:kern w:val="0"/>
          <w:szCs w:val="21"/>
          <w:highlight w:val="none"/>
          <w:lang w:val="en-US" w:eastAsia="zh-CN"/>
        </w:rPr>
        <w:t>等材料</w:t>
      </w:r>
      <w:r>
        <w:rPr>
          <w:rFonts w:hint="eastAsia" w:ascii="宋体" w:hAnsi="宋体" w:eastAsia="宋体" w:cs="Times New Roman"/>
          <w:color w:val="auto"/>
          <w:kern w:val="0"/>
          <w:szCs w:val="21"/>
          <w:highlight w:val="none"/>
          <w:lang w:val="en-US" w:eastAsia="zh-CN"/>
        </w:rPr>
        <w:t>。</w:t>
      </w:r>
    </w:p>
    <w:p w14:paraId="60BA79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2.附未担任其他在建建设工程项目项目经理的承诺书。</w:t>
      </w:r>
    </w:p>
    <w:p w14:paraId="4383608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3.相关业绩证明材料附中标（成交）通知书或合同协议书等的原件扫描件。</w:t>
      </w:r>
    </w:p>
    <w:p w14:paraId="2ECC0C62">
      <w:pPr>
        <w:adjustRightInd w:val="0"/>
        <w:snapToGrid w:val="0"/>
        <w:jc w:val="left"/>
        <w:rPr>
          <w:color w:val="auto"/>
          <w:highlight w:val="none"/>
        </w:rPr>
      </w:pPr>
      <w:r>
        <w:rPr>
          <w:color w:val="auto"/>
          <w:highlight w:val="none"/>
        </w:rPr>
        <w:br w:type="page"/>
      </w:r>
    </w:p>
    <w:p w14:paraId="73086947">
      <w:pPr>
        <w:adjustRightInd w:val="0"/>
        <w:snapToGrid w:val="0"/>
        <w:spacing w:line="360" w:lineRule="auto"/>
        <w:jc w:val="left"/>
        <w:rPr>
          <w:rFonts w:hint="eastAsia" w:ascii="黑体" w:hAnsi="宋体" w:eastAsia="黑体"/>
          <w:color w:val="auto"/>
          <w:kern w:val="0"/>
          <w:sz w:val="24"/>
          <w:highlight w:val="none"/>
        </w:rPr>
        <w:sectPr>
          <w:pgSz w:w="11906" w:h="16838"/>
          <w:pgMar w:top="1247" w:right="1253" w:bottom="1247" w:left="1293" w:header="720" w:footer="833" w:gutter="0"/>
          <w:pgBorders>
            <w:top w:val="none" w:sz="0" w:space="0"/>
            <w:left w:val="none" w:sz="0" w:space="0"/>
            <w:bottom w:val="none" w:sz="0" w:space="0"/>
            <w:right w:val="none" w:sz="0" w:space="0"/>
          </w:pgBorders>
          <w:pgNumType w:fmt="decimal"/>
          <w:cols w:space="0" w:num="1"/>
          <w:titlePg/>
          <w:rtlGutter w:val="0"/>
          <w:docGrid w:type="lines" w:linePitch="312" w:charSpace="0"/>
        </w:sectPr>
      </w:pPr>
    </w:p>
    <w:p w14:paraId="6FEAB05D">
      <w:pPr>
        <w:adjustRightInd w:val="0"/>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技术负责人</w:t>
      </w:r>
      <w:r>
        <w:rPr>
          <w:rFonts w:hint="eastAsia" w:ascii="宋体" w:hAnsi="宋体" w:eastAsia="宋体" w:cs="宋体"/>
          <w:color w:val="auto"/>
          <w:kern w:val="0"/>
          <w:sz w:val="24"/>
          <w:highlight w:val="none"/>
        </w:rPr>
        <w:t>简历表</w:t>
      </w:r>
    </w:p>
    <w:tbl>
      <w:tblPr>
        <w:tblStyle w:val="3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129"/>
        <w:gridCol w:w="1239"/>
        <w:gridCol w:w="1393"/>
        <w:gridCol w:w="2012"/>
        <w:gridCol w:w="2322"/>
      </w:tblGrid>
      <w:tr w14:paraId="39E2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F9BCEBA">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姓  名</w:t>
            </w:r>
          </w:p>
        </w:tc>
        <w:tc>
          <w:tcPr>
            <w:tcW w:w="1129" w:type="dxa"/>
            <w:shd w:val="clear" w:color="auto" w:fill="auto"/>
            <w:vAlign w:val="center"/>
          </w:tcPr>
          <w:p w14:paraId="43762D57">
            <w:pPr>
              <w:adjustRightInd w:val="0"/>
              <w:snapToGrid w:val="0"/>
              <w:spacing w:line="240" w:lineRule="auto"/>
              <w:jc w:val="center"/>
              <w:rPr>
                <w:rFonts w:ascii="宋体" w:hAnsi="宋体" w:cs="宋体"/>
                <w:color w:val="auto"/>
                <w:kern w:val="0"/>
                <w:szCs w:val="21"/>
                <w:highlight w:val="none"/>
              </w:rPr>
            </w:pPr>
          </w:p>
        </w:tc>
        <w:tc>
          <w:tcPr>
            <w:tcW w:w="1239" w:type="dxa"/>
            <w:shd w:val="clear" w:color="auto" w:fill="auto"/>
            <w:vAlign w:val="center"/>
          </w:tcPr>
          <w:p w14:paraId="6173C5AF">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年  龄</w:t>
            </w:r>
          </w:p>
        </w:tc>
        <w:tc>
          <w:tcPr>
            <w:tcW w:w="1393" w:type="dxa"/>
            <w:shd w:val="clear" w:color="auto" w:fill="auto"/>
            <w:vAlign w:val="center"/>
          </w:tcPr>
          <w:p w14:paraId="706AFBE5">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1C573667">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学历</w:t>
            </w:r>
          </w:p>
        </w:tc>
        <w:tc>
          <w:tcPr>
            <w:tcW w:w="2322" w:type="dxa"/>
            <w:shd w:val="clear" w:color="auto" w:fill="auto"/>
            <w:vAlign w:val="center"/>
          </w:tcPr>
          <w:p w14:paraId="1D29FA5B">
            <w:pPr>
              <w:adjustRightInd w:val="0"/>
              <w:snapToGrid w:val="0"/>
              <w:spacing w:line="240" w:lineRule="auto"/>
              <w:jc w:val="center"/>
              <w:rPr>
                <w:rFonts w:ascii="宋体" w:hAnsi="宋体" w:cs="宋体"/>
                <w:color w:val="auto"/>
                <w:kern w:val="0"/>
                <w:szCs w:val="21"/>
                <w:highlight w:val="none"/>
              </w:rPr>
            </w:pPr>
          </w:p>
        </w:tc>
      </w:tr>
      <w:tr w14:paraId="1297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0271A0F0">
            <w:pPr>
              <w:adjustRightInd w:val="0"/>
              <w:snapToGrid w:val="0"/>
              <w:spacing w:line="240"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职业资格</w:t>
            </w:r>
          </w:p>
        </w:tc>
        <w:tc>
          <w:tcPr>
            <w:tcW w:w="3761" w:type="dxa"/>
            <w:gridSpan w:val="3"/>
            <w:shd w:val="clear" w:color="auto" w:fill="auto"/>
            <w:vAlign w:val="center"/>
          </w:tcPr>
          <w:p w14:paraId="69EE96A2">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516AC2C4">
            <w:pPr>
              <w:adjustRightInd w:val="0"/>
              <w:snapToGrid w:val="0"/>
              <w:spacing w:line="24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安全生产考核合格证书</w:t>
            </w:r>
          </w:p>
        </w:tc>
        <w:tc>
          <w:tcPr>
            <w:tcW w:w="2322" w:type="dxa"/>
            <w:shd w:val="clear" w:color="auto" w:fill="auto"/>
            <w:vAlign w:val="center"/>
          </w:tcPr>
          <w:p w14:paraId="286E1ECC">
            <w:pPr>
              <w:adjustRightInd w:val="0"/>
              <w:snapToGrid w:val="0"/>
              <w:spacing w:line="240" w:lineRule="auto"/>
              <w:jc w:val="center"/>
              <w:rPr>
                <w:rFonts w:ascii="宋体" w:hAnsi="宋体" w:cs="宋体"/>
                <w:color w:val="auto"/>
                <w:kern w:val="0"/>
                <w:szCs w:val="21"/>
                <w:highlight w:val="none"/>
              </w:rPr>
            </w:pPr>
          </w:p>
        </w:tc>
      </w:tr>
      <w:tr w14:paraId="76F17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816CA60">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职  称</w:t>
            </w:r>
          </w:p>
        </w:tc>
        <w:tc>
          <w:tcPr>
            <w:tcW w:w="1129" w:type="dxa"/>
            <w:shd w:val="clear" w:color="auto" w:fill="auto"/>
            <w:vAlign w:val="center"/>
          </w:tcPr>
          <w:p w14:paraId="3FAC30B5">
            <w:pPr>
              <w:adjustRightInd w:val="0"/>
              <w:snapToGrid w:val="0"/>
              <w:spacing w:line="240" w:lineRule="auto"/>
              <w:jc w:val="center"/>
              <w:rPr>
                <w:rFonts w:ascii="宋体" w:hAnsi="宋体" w:cs="宋体"/>
                <w:color w:val="auto"/>
                <w:kern w:val="0"/>
                <w:szCs w:val="21"/>
                <w:highlight w:val="none"/>
              </w:rPr>
            </w:pPr>
          </w:p>
        </w:tc>
        <w:tc>
          <w:tcPr>
            <w:tcW w:w="1239" w:type="dxa"/>
            <w:shd w:val="clear" w:color="auto" w:fill="auto"/>
            <w:vAlign w:val="center"/>
          </w:tcPr>
          <w:p w14:paraId="4AEE1626">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职  务</w:t>
            </w:r>
          </w:p>
        </w:tc>
        <w:tc>
          <w:tcPr>
            <w:tcW w:w="1393" w:type="dxa"/>
            <w:shd w:val="clear" w:color="auto" w:fill="auto"/>
            <w:vAlign w:val="center"/>
          </w:tcPr>
          <w:p w14:paraId="73DC71E8">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01EBFC96">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拟在本</w:t>
            </w:r>
            <w:r>
              <w:rPr>
                <w:rFonts w:hint="eastAsia" w:ascii="宋体" w:hAnsi="宋体" w:cs="宋体"/>
                <w:color w:val="auto"/>
                <w:kern w:val="0"/>
                <w:szCs w:val="21"/>
                <w:highlight w:val="none"/>
                <w:lang w:val="en-US" w:eastAsia="zh-CN"/>
              </w:rPr>
              <w:t>合同</w:t>
            </w:r>
            <w:r>
              <w:rPr>
                <w:rFonts w:hint="eastAsia" w:ascii="宋体" w:hAnsi="宋体" w:cs="宋体"/>
                <w:color w:val="auto"/>
                <w:kern w:val="0"/>
                <w:szCs w:val="21"/>
                <w:highlight w:val="none"/>
              </w:rPr>
              <w:t>任职</w:t>
            </w:r>
          </w:p>
        </w:tc>
        <w:tc>
          <w:tcPr>
            <w:tcW w:w="2322" w:type="dxa"/>
            <w:shd w:val="clear" w:color="auto" w:fill="auto"/>
            <w:vAlign w:val="center"/>
          </w:tcPr>
          <w:p w14:paraId="72603087">
            <w:pPr>
              <w:adjustRightInd w:val="0"/>
              <w:snapToGrid w:val="0"/>
              <w:spacing w:line="240" w:lineRule="auto"/>
              <w:jc w:val="center"/>
              <w:rPr>
                <w:rFonts w:ascii="宋体" w:hAnsi="宋体" w:cs="宋体"/>
                <w:color w:val="auto"/>
                <w:kern w:val="0"/>
                <w:szCs w:val="21"/>
                <w:highlight w:val="none"/>
              </w:rPr>
            </w:pPr>
          </w:p>
        </w:tc>
      </w:tr>
      <w:tr w14:paraId="6F2CB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05707FA4">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毕业学校</w:t>
            </w:r>
          </w:p>
        </w:tc>
        <w:tc>
          <w:tcPr>
            <w:tcW w:w="8095" w:type="dxa"/>
            <w:gridSpan w:val="5"/>
            <w:shd w:val="clear" w:color="auto" w:fill="auto"/>
            <w:vAlign w:val="center"/>
          </w:tcPr>
          <w:p w14:paraId="4F5459E8">
            <w:pPr>
              <w:adjustRightInd w:val="0"/>
              <w:snapToGrid w:val="0"/>
              <w:spacing w:line="240" w:lineRule="auto"/>
              <w:ind w:firstLine="840" w:firstLineChars="400"/>
              <w:jc w:val="left"/>
              <w:rPr>
                <w:rFonts w:ascii="宋体" w:hAnsi="宋体" w:cs="宋体"/>
                <w:color w:val="auto"/>
                <w:kern w:val="0"/>
                <w:szCs w:val="21"/>
                <w:highlight w:val="none"/>
              </w:rPr>
            </w:pPr>
            <w:r>
              <w:rPr>
                <w:rFonts w:hint="eastAsia" w:ascii="宋体" w:hAnsi="宋体" w:cs="宋体"/>
                <w:color w:val="auto"/>
                <w:kern w:val="0"/>
                <w:szCs w:val="21"/>
                <w:highlight w:val="none"/>
              </w:rPr>
              <w:t>年毕业于                  学校            专业</w:t>
            </w:r>
          </w:p>
        </w:tc>
      </w:tr>
      <w:tr w14:paraId="41033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88" w:type="dxa"/>
            <w:gridSpan w:val="6"/>
            <w:shd w:val="clear" w:color="auto" w:fill="auto"/>
            <w:vAlign w:val="center"/>
          </w:tcPr>
          <w:p w14:paraId="40EA712D">
            <w:pPr>
              <w:adjustRightInd w:val="0"/>
              <w:snapToGrid w:val="0"/>
              <w:spacing w:line="24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主要</w:t>
            </w:r>
            <w:r>
              <w:rPr>
                <w:rFonts w:hint="eastAsia" w:ascii="宋体" w:hAnsi="宋体" w:cs="宋体"/>
                <w:color w:val="auto"/>
                <w:kern w:val="0"/>
                <w:szCs w:val="21"/>
                <w:highlight w:val="none"/>
                <w:lang w:val="en-US" w:eastAsia="zh-CN"/>
              </w:rPr>
              <w:t>施工管理经历</w:t>
            </w:r>
          </w:p>
        </w:tc>
      </w:tr>
      <w:tr w14:paraId="532D1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554698D8">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时  间</w:t>
            </w:r>
          </w:p>
        </w:tc>
        <w:tc>
          <w:tcPr>
            <w:tcW w:w="3761" w:type="dxa"/>
            <w:gridSpan w:val="3"/>
            <w:shd w:val="clear" w:color="auto" w:fill="auto"/>
            <w:vAlign w:val="center"/>
          </w:tcPr>
          <w:p w14:paraId="45713AF5">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参加过的类似项目</w:t>
            </w:r>
          </w:p>
        </w:tc>
        <w:tc>
          <w:tcPr>
            <w:tcW w:w="2012" w:type="dxa"/>
            <w:shd w:val="clear" w:color="auto" w:fill="auto"/>
            <w:vAlign w:val="center"/>
          </w:tcPr>
          <w:p w14:paraId="4C9D295F">
            <w:pPr>
              <w:adjustRightInd w:val="0"/>
              <w:snapToGrid w:val="0"/>
              <w:spacing w:line="24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担任职务</w:t>
            </w:r>
          </w:p>
        </w:tc>
        <w:tc>
          <w:tcPr>
            <w:tcW w:w="2322" w:type="dxa"/>
            <w:shd w:val="clear" w:color="auto" w:fill="auto"/>
            <w:vAlign w:val="center"/>
          </w:tcPr>
          <w:p w14:paraId="0BEEBD6E">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发包人及联系电话</w:t>
            </w:r>
          </w:p>
        </w:tc>
      </w:tr>
      <w:tr w14:paraId="7F35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64B9DFE">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0116CCCC">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261FDD7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132EB19E">
            <w:pPr>
              <w:adjustRightInd w:val="0"/>
              <w:snapToGrid w:val="0"/>
              <w:spacing w:line="360" w:lineRule="auto"/>
              <w:jc w:val="center"/>
              <w:rPr>
                <w:rFonts w:ascii="宋体" w:hAnsi="宋体" w:cs="宋体"/>
                <w:color w:val="auto"/>
                <w:kern w:val="0"/>
                <w:szCs w:val="21"/>
                <w:highlight w:val="none"/>
              </w:rPr>
            </w:pPr>
          </w:p>
        </w:tc>
      </w:tr>
      <w:tr w14:paraId="3E20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BCC7873">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9EDB81E">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760796B2">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21438253">
            <w:pPr>
              <w:adjustRightInd w:val="0"/>
              <w:snapToGrid w:val="0"/>
              <w:spacing w:line="360" w:lineRule="auto"/>
              <w:jc w:val="center"/>
              <w:rPr>
                <w:rFonts w:ascii="宋体" w:hAnsi="宋体" w:cs="宋体"/>
                <w:color w:val="auto"/>
                <w:kern w:val="0"/>
                <w:szCs w:val="21"/>
                <w:highlight w:val="none"/>
              </w:rPr>
            </w:pPr>
          </w:p>
        </w:tc>
      </w:tr>
      <w:tr w14:paraId="1F89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CA5AF65">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3F82812">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7931B8C7">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416B74A2">
            <w:pPr>
              <w:adjustRightInd w:val="0"/>
              <w:snapToGrid w:val="0"/>
              <w:spacing w:line="360" w:lineRule="auto"/>
              <w:jc w:val="center"/>
              <w:rPr>
                <w:rFonts w:ascii="宋体" w:hAnsi="宋体" w:cs="宋体"/>
                <w:color w:val="auto"/>
                <w:kern w:val="0"/>
                <w:szCs w:val="21"/>
                <w:highlight w:val="none"/>
              </w:rPr>
            </w:pPr>
          </w:p>
        </w:tc>
      </w:tr>
      <w:tr w14:paraId="2C2E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11BEAF3">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4768D2B">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097B9711">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37494CD6">
            <w:pPr>
              <w:adjustRightInd w:val="0"/>
              <w:snapToGrid w:val="0"/>
              <w:spacing w:line="360" w:lineRule="auto"/>
              <w:jc w:val="center"/>
              <w:rPr>
                <w:rFonts w:ascii="宋体" w:hAnsi="宋体" w:cs="宋体"/>
                <w:color w:val="auto"/>
                <w:kern w:val="0"/>
                <w:szCs w:val="21"/>
                <w:highlight w:val="none"/>
              </w:rPr>
            </w:pPr>
          </w:p>
        </w:tc>
      </w:tr>
      <w:tr w14:paraId="3035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66B8635E">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3489BB2F">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20CA5D39">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F75DFD1">
            <w:pPr>
              <w:adjustRightInd w:val="0"/>
              <w:snapToGrid w:val="0"/>
              <w:spacing w:line="360" w:lineRule="auto"/>
              <w:jc w:val="center"/>
              <w:rPr>
                <w:rFonts w:ascii="宋体" w:hAnsi="宋体" w:cs="宋体"/>
                <w:color w:val="auto"/>
                <w:kern w:val="0"/>
                <w:szCs w:val="21"/>
                <w:highlight w:val="none"/>
              </w:rPr>
            </w:pPr>
          </w:p>
        </w:tc>
      </w:tr>
      <w:tr w14:paraId="0993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E5476B4">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27F6E2AA">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037F213B">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466C2517">
            <w:pPr>
              <w:adjustRightInd w:val="0"/>
              <w:snapToGrid w:val="0"/>
              <w:spacing w:line="360" w:lineRule="auto"/>
              <w:jc w:val="center"/>
              <w:rPr>
                <w:rFonts w:ascii="宋体" w:hAnsi="宋体" w:cs="宋体"/>
                <w:color w:val="auto"/>
                <w:kern w:val="0"/>
                <w:szCs w:val="21"/>
                <w:highlight w:val="none"/>
              </w:rPr>
            </w:pPr>
          </w:p>
        </w:tc>
      </w:tr>
      <w:tr w14:paraId="6098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18517A4">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3E8BED62">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5AE63F5A">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5CFFAFB9">
            <w:pPr>
              <w:adjustRightInd w:val="0"/>
              <w:snapToGrid w:val="0"/>
              <w:spacing w:line="360" w:lineRule="auto"/>
              <w:jc w:val="center"/>
              <w:rPr>
                <w:rFonts w:ascii="宋体" w:hAnsi="宋体" w:cs="宋体"/>
                <w:color w:val="auto"/>
                <w:kern w:val="0"/>
                <w:szCs w:val="21"/>
                <w:highlight w:val="none"/>
              </w:rPr>
            </w:pPr>
          </w:p>
        </w:tc>
      </w:tr>
      <w:tr w14:paraId="01E8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17C28C66">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4CB66DF">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279C2799">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39547626">
            <w:pPr>
              <w:adjustRightInd w:val="0"/>
              <w:snapToGrid w:val="0"/>
              <w:spacing w:line="360" w:lineRule="auto"/>
              <w:jc w:val="center"/>
              <w:rPr>
                <w:rFonts w:ascii="宋体" w:hAnsi="宋体" w:cs="宋体"/>
                <w:color w:val="auto"/>
                <w:kern w:val="0"/>
                <w:szCs w:val="21"/>
                <w:highlight w:val="none"/>
              </w:rPr>
            </w:pPr>
          </w:p>
        </w:tc>
      </w:tr>
      <w:tr w14:paraId="1155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13C7D11">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6DF7CB2A">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6588BB8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B400DCF">
            <w:pPr>
              <w:adjustRightInd w:val="0"/>
              <w:snapToGrid w:val="0"/>
              <w:spacing w:line="360" w:lineRule="auto"/>
              <w:jc w:val="center"/>
              <w:rPr>
                <w:rFonts w:ascii="宋体" w:hAnsi="宋体" w:cs="宋体"/>
                <w:color w:val="auto"/>
                <w:kern w:val="0"/>
                <w:szCs w:val="21"/>
                <w:highlight w:val="none"/>
              </w:rPr>
            </w:pPr>
          </w:p>
        </w:tc>
      </w:tr>
      <w:tr w14:paraId="51F7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6B5241B5">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29332610">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6FA932BA">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5B8D992">
            <w:pPr>
              <w:adjustRightInd w:val="0"/>
              <w:snapToGrid w:val="0"/>
              <w:spacing w:line="360" w:lineRule="auto"/>
              <w:jc w:val="center"/>
              <w:rPr>
                <w:rFonts w:ascii="宋体" w:hAnsi="宋体" w:cs="宋体"/>
                <w:color w:val="auto"/>
                <w:kern w:val="0"/>
                <w:szCs w:val="21"/>
                <w:highlight w:val="none"/>
              </w:rPr>
            </w:pPr>
          </w:p>
        </w:tc>
      </w:tr>
    </w:tbl>
    <w:p w14:paraId="5422A7AF">
      <w:pPr>
        <w:adjustRightInd w:val="0"/>
        <w:snapToGrid w:val="0"/>
        <w:spacing w:line="360" w:lineRule="auto"/>
        <w:ind w:firstLine="420" w:firstLineChars="200"/>
        <w:jc w:val="left"/>
        <w:rPr>
          <w:rFonts w:hint="eastAsia" w:ascii="宋体" w:hAnsi="宋体"/>
          <w:color w:val="auto"/>
          <w:kern w:val="0"/>
          <w:szCs w:val="21"/>
          <w:highlight w:val="none"/>
          <w:lang w:val="en-US" w:eastAsia="zh-CN"/>
        </w:rPr>
      </w:pPr>
    </w:p>
    <w:p w14:paraId="763AE3D6">
      <w:pPr>
        <w:adjustRightInd w:val="0"/>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附执业资格证书</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如有</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、注册证书</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如有</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、身份证、职称证、学历证、</w:t>
      </w:r>
      <w:r>
        <w:rPr>
          <w:rFonts w:hint="eastAsia" w:ascii="宋体" w:hAnsi="宋体"/>
          <w:color w:val="auto"/>
          <w:kern w:val="0"/>
          <w:szCs w:val="21"/>
          <w:highlight w:val="none"/>
          <w:lang w:val="en-US" w:eastAsia="zh-CN"/>
        </w:rPr>
        <w:t>社保证明等材料</w:t>
      </w:r>
      <w:r>
        <w:rPr>
          <w:rFonts w:hint="eastAsia" w:ascii="宋体" w:hAnsi="宋体" w:cs="宋体"/>
          <w:color w:val="auto"/>
          <w:sz w:val="21"/>
          <w:szCs w:val="21"/>
          <w:highlight w:val="none"/>
          <w:u w:val="none"/>
          <w:lang w:val="en-US" w:eastAsia="zh-CN"/>
        </w:rPr>
        <w:t>。</w:t>
      </w:r>
    </w:p>
    <w:p w14:paraId="3B2B66C1">
      <w:pPr>
        <w:adjustRightInd w:val="0"/>
        <w:snapToGrid w:val="0"/>
        <w:spacing w:line="360" w:lineRule="auto"/>
        <w:jc w:val="left"/>
        <w:rPr>
          <w:rFonts w:hint="eastAsia" w:ascii="黑体" w:hAnsi="宋体" w:eastAsia="黑体"/>
          <w:color w:val="auto"/>
          <w:kern w:val="0"/>
          <w:sz w:val="24"/>
          <w:highlight w:val="none"/>
        </w:rPr>
        <w:sectPr>
          <w:pgSz w:w="11906" w:h="16838"/>
          <w:pgMar w:top="1247" w:right="1253" w:bottom="1247" w:left="1293" w:header="720" w:footer="833" w:gutter="0"/>
          <w:pgBorders>
            <w:top w:val="none" w:sz="0" w:space="0"/>
            <w:left w:val="none" w:sz="0" w:space="0"/>
            <w:bottom w:val="none" w:sz="0" w:space="0"/>
            <w:right w:val="none" w:sz="0" w:space="0"/>
          </w:pgBorders>
          <w:pgNumType w:fmt="decimal"/>
          <w:cols w:space="0" w:num="1"/>
          <w:titlePg/>
          <w:rtlGutter w:val="0"/>
          <w:docGrid w:type="lines" w:linePitch="312" w:charSpace="0"/>
        </w:sectPr>
      </w:pPr>
    </w:p>
    <w:p w14:paraId="1A235DCD">
      <w:pPr>
        <w:adjustRightInd w:val="0"/>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施工现场</w:t>
      </w:r>
      <w:r>
        <w:rPr>
          <w:rFonts w:hint="eastAsia" w:ascii="宋体" w:hAnsi="宋体" w:eastAsia="宋体" w:cs="宋体"/>
          <w:color w:val="auto"/>
          <w:kern w:val="0"/>
          <w:sz w:val="24"/>
          <w:highlight w:val="none"/>
        </w:rPr>
        <w:t>管理人员简历表</w:t>
      </w:r>
    </w:p>
    <w:tbl>
      <w:tblPr>
        <w:tblStyle w:val="3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129"/>
        <w:gridCol w:w="1239"/>
        <w:gridCol w:w="1393"/>
        <w:gridCol w:w="2012"/>
        <w:gridCol w:w="2322"/>
      </w:tblGrid>
      <w:tr w14:paraId="7AF8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1B1885F8">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姓  名</w:t>
            </w:r>
          </w:p>
        </w:tc>
        <w:tc>
          <w:tcPr>
            <w:tcW w:w="1129" w:type="dxa"/>
            <w:shd w:val="clear" w:color="auto" w:fill="auto"/>
            <w:vAlign w:val="center"/>
          </w:tcPr>
          <w:p w14:paraId="025FDE9B">
            <w:pPr>
              <w:adjustRightInd w:val="0"/>
              <w:snapToGrid w:val="0"/>
              <w:spacing w:line="240" w:lineRule="auto"/>
              <w:jc w:val="center"/>
              <w:rPr>
                <w:rFonts w:ascii="宋体" w:hAnsi="宋体" w:cs="宋体"/>
                <w:color w:val="auto"/>
                <w:kern w:val="0"/>
                <w:szCs w:val="21"/>
                <w:highlight w:val="none"/>
              </w:rPr>
            </w:pPr>
          </w:p>
        </w:tc>
        <w:tc>
          <w:tcPr>
            <w:tcW w:w="1239" w:type="dxa"/>
            <w:shd w:val="clear" w:color="auto" w:fill="auto"/>
            <w:vAlign w:val="center"/>
          </w:tcPr>
          <w:p w14:paraId="4F549C50">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年  龄</w:t>
            </w:r>
          </w:p>
        </w:tc>
        <w:tc>
          <w:tcPr>
            <w:tcW w:w="1393" w:type="dxa"/>
            <w:shd w:val="clear" w:color="auto" w:fill="auto"/>
            <w:vAlign w:val="center"/>
          </w:tcPr>
          <w:p w14:paraId="273A632D">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0A9B1102">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学历</w:t>
            </w:r>
          </w:p>
        </w:tc>
        <w:tc>
          <w:tcPr>
            <w:tcW w:w="2322" w:type="dxa"/>
            <w:shd w:val="clear" w:color="auto" w:fill="auto"/>
            <w:vAlign w:val="center"/>
          </w:tcPr>
          <w:p w14:paraId="3A058909">
            <w:pPr>
              <w:adjustRightInd w:val="0"/>
              <w:snapToGrid w:val="0"/>
              <w:spacing w:line="240" w:lineRule="auto"/>
              <w:jc w:val="center"/>
              <w:rPr>
                <w:rFonts w:ascii="宋体" w:hAnsi="宋体" w:cs="宋体"/>
                <w:color w:val="auto"/>
                <w:kern w:val="0"/>
                <w:szCs w:val="21"/>
                <w:highlight w:val="none"/>
              </w:rPr>
            </w:pPr>
          </w:p>
        </w:tc>
      </w:tr>
      <w:tr w14:paraId="21EFB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37EBB8A6">
            <w:pPr>
              <w:adjustRightInd w:val="0"/>
              <w:snapToGrid w:val="0"/>
              <w:spacing w:line="240"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职业资格</w:t>
            </w:r>
          </w:p>
        </w:tc>
        <w:tc>
          <w:tcPr>
            <w:tcW w:w="3761" w:type="dxa"/>
            <w:gridSpan w:val="3"/>
            <w:shd w:val="clear" w:color="auto" w:fill="auto"/>
            <w:vAlign w:val="center"/>
          </w:tcPr>
          <w:p w14:paraId="4046489E">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355D5824">
            <w:pPr>
              <w:adjustRightInd w:val="0"/>
              <w:snapToGrid w:val="0"/>
              <w:spacing w:line="24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安全生产考核合格证书</w:t>
            </w:r>
          </w:p>
        </w:tc>
        <w:tc>
          <w:tcPr>
            <w:tcW w:w="2322" w:type="dxa"/>
            <w:shd w:val="clear" w:color="auto" w:fill="auto"/>
            <w:vAlign w:val="center"/>
          </w:tcPr>
          <w:p w14:paraId="04F64E7A">
            <w:pPr>
              <w:adjustRightInd w:val="0"/>
              <w:snapToGrid w:val="0"/>
              <w:spacing w:line="240" w:lineRule="auto"/>
              <w:jc w:val="center"/>
              <w:rPr>
                <w:rFonts w:ascii="宋体" w:hAnsi="宋体" w:cs="宋体"/>
                <w:color w:val="auto"/>
                <w:kern w:val="0"/>
                <w:szCs w:val="21"/>
                <w:highlight w:val="none"/>
              </w:rPr>
            </w:pPr>
          </w:p>
        </w:tc>
      </w:tr>
      <w:tr w14:paraId="026A7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07FC8709">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职  称</w:t>
            </w:r>
          </w:p>
        </w:tc>
        <w:tc>
          <w:tcPr>
            <w:tcW w:w="1129" w:type="dxa"/>
            <w:shd w:val="clear" w:color="auto" w:fill="auto"/>
            <w:vAlign w:val="center"/>
          </w:tcPr>
          <w:p w14:paraId="32786EAA">
            <w:pPr>
              <w:adjustRightInd w:val="0"/>
              <w:snapToGrid w:val="0"/>
              <w:spacing w:line="240" w:lineRule="auto"/>
              <w:jc w:val="center"/>
              <w:rPr>
                <w:rFonts w:ascii="宋体" w:hAnsi="宋体" w:cs="宋体"/>
                <w:color w:val="auto"/>
                <w:kern w:val="0"/>
                <w:szCs w:val="21"/>
                <w:highlight w:val="none"/>
              </w:rPr>
            </w:pPr>
          </w:p>
        </w:tc>
        <w:tc>
          <w:tcPr>
            <w:tcW w:w="1239" w:type="dxa"/>
            <w:shd w:val="clear" w:color="auto" w:fill="auto"/>
            <w:vAlign w:val="center"/>
          </w:tcPr>
          <w:p w14:paraId="79A5CAEC">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职  务</w:t>
            </w:r>
          </w:p>
        </w:tc>
        <w:tc>
          <w:tcPr>
            <w:tcW w:w="1393" w:type="dxa"/>
            <w:shd w:val="clear" w:color="auto" w:fill="auto"/>
            <w:vAlign w:val="center"/>
          </w:tcPr>
          <w:p w14:paraId="79C25020">
            <w:pPr>
              <w:adjustRightInd w:val="0"/>
              <w:snapToGrid w:val="0"/>
              <w:spacing w:line="240" w:lineRule="auto"/>
              <w:jc w:val="center"/>
              <w:rPr>
                <w:rFonts w:ascii="宋体" w:hAnsi="宋体" w:cs="宋体"/>
                <w:color w:val="auto"/>
                <w:kern w:val="0"/>
                <w:szCs w:val="21"/>
                <w:highlight w:val="none"/>
              </w:rPr>
            </w:pPr>
          </w:p>
        </w:tc>
        <w:tc>
          <w:tcPr>
            <w:tcW w:w="2012" w:type="dxa"/>
            <w:shd w:val="clear" w:color="auto" w:fill="auto"/>
            <w:vAlign w:val="center"/>
          </w:tcPr>
          <w:p w14:paraId="6DC677CC">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拟在本</w:t>
            </w:r>
            <w:r>
              <w:rPr>
                <w:rFonts w:hint="eastAsia" w:ascii="宋体" w:hAnsi="宋体" w:cs="宋体"/>
                <w:color w:val="auto"/>
                <w:kern w:val="0"/>
                <w:szCs w:val="21"/>
                <w:highlight w:val="none"/>
                <w:lang w:val="en-US" w:eastAsia="zh-CN"/>
              </w:rPr>
              <w:t>合同</w:t>
            </w:r>
            <w:r>
              <w:rPr>
                <w:rFonts w:hint="eastAsia" w:ascii="宋体" w:hAnsi="宋体" w:cs="宋体"/>
                <w:color w:val="auto"/>
                <w:kern w:val="0"/>
                <w:szCs w:val="21"/>
                <w:highlight w:val="none"/>
              </w:rPr>
              <w:t>任职</w:t>
            </w:r>
          </w:p>
        </w:tc>
        <w:tc>
          <w:tcPr>
            <w:tcW w:w="2322" w:type="dxa"/>
            <w:shd w:val="clear" w:color="auto" w:fill="auto"/>
            <w:vAlign w:val="center"/>
          </w:tcPr>
          <w:p w14:paraId="75AF5C44">
            <w:pPr>
              <w:adjustRightInd w:val="0"/>
              <w:snapToGrid w:val="0"/>
              <w:spacing w:line="240" w:lineRule="auto"/>
              <w:jc w:val="center"/>
              <w:rPr>
                <w:rFonts w:ascii="宋体" w:hAnsi="宋体" w:cs="宋体"/>
                <w:color w:val="auto"/>
                <w:kern w:val="0"/>
                <w:szCs w:val="21"/>
                <w:highlight w:val="none"/>
              </w:rPr>
            </w:pPr>
          </w:p>
        </w:tc>
      </w:tr>
      <w:tr w14:paraId="27C7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54AE35D">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毕业学校</w:t>
            </w:r>
          </w:p>
        </w:tc>
        <w:tc>
          <w:tcPr>
            <w:tcW w:w="8095" w:type="dxa"/>
            <w:gridSpan w:val="5"/>
            <w:shd w:val="clear" w:color="auto" w:fill="auto"/>
            <w:vAlign w:val="center"/>
          </w:tcPr>
          <w:p w14:paraId="7122C471">
            <w:pPr>
              <w:adjustRightInd w:val="0"/>
              <w:snapToGrid w:val="0"/>
              <w:spacing w:line="240" w:lineRule="auto"/>
              <w:ind w:firstLine="840" w:firstLineChars="400"/>
              <w:jc w:val="left"/>
              <w:rPr>
                <w:rFonts w:ascii="宋体" w:hAnsi="宋体" w:cs="宋体"/>
                <w:color w:val="auto"/>
                <w:kern w:val="0"/>
                <w:szCs w:val="21"/>
                <w:highlight w:val="none"/>
              </w:rPr>
            </w:pPr>
            <w:r>
              <w:rPr>
                <w:rFonts w:hint="eastAsia" w:ascii="宋体" w:hAnsi="宋体" w:cs="宋体"/>
                <w:color w:val="auto"/>
                <w:kern w:val="0"/>
                <w:szCs w:val="21"/>
                <w:highlight w:val="none"/>
              </w:rPr>
              <w:t>年毕业于                  学校            专业</w:t>
            </w:r>
          </w:p>
        </w:tc>
      </w:tr>
      <w:tr w14:paraId="1406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88" w:type="dxa"/>
            <w:gridSpan w:val="6"/>
            <w:shd w:val="clear" w:color="auto" w:fill="auto"/>
            <w:vAlign w:val="center"/>
          </w:tcPr>
          <w:p w14:paraId="0F72DF70">
            <w:pPr>
              <w:adjustRightInd w:val="0"/>
              <w:snapToGrid w:val="0"/>
              <w:spacing w:line="24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主要</w:t>
            </w:r>
            <w:r>
              <w:rPr>
                <w:rFonts w:hint="eastAsia" w:ascii="宋体" w:hAnsi="宋体" w:cs="宋体"/>
                <w:color w:val="auto"/>
                <w:kern w:val="0"/>
                <w:szCs w:val="21"/>
                <w:highlight w:val="none"/>
                <w:lang w:val="en-US" w:eastAsia="zh-CN"/>
              </w:rPr>
              <w:t>施工管理经历</w:t>
            </w:r>
          </w:p>
        </w:tc>
      </w:tr>
      <w:tr w14:paraId="4F566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11FAFE21">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时  间</w:t>
            </w:r>
          </w:p>
        </w:tc>
        <w:tc>
          <w:tcPr>
            <w:tcW w:w="3761" w:type="dxa"/>
            <w:gridSpan w:val="3"/>
            <w:shd w:val="clear" w:color="auto" w:fill="auto"/>
            <w:vAlign w:val="center"/>
          </w:tcPr>
          <w:p w14:paraId="55F6BA18">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参加过的类似项目</w:t>
            </w:r>
          </w:p>
        </w:tc>
        <w:tc>
          <w:tcPr>
            <w:tcW w:w="2012" w:type="dxa"/>
            <w:shd w:val="clear" w:color="auto" w:fill="auto"/>
            <w:vAlign w:val="center"/>
          </w:tcPr>
          <w:p w14:paraId="40EC23CF">
            <w:pPr>
              <w:adjustRightInd w:val="0"/>
              <w:snapToGrid w:val="0"/>
              <w:spacing w:line="24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担任职务</w:t>
            </w:r>
          </w:p>
        </w:tc>
        <w:tc>
          <w:tcPr>
            <w:tcW w:w="2322" w:type="dxa"/>
            <w:shd w:val="clear" w:color="auto" w:fill="auto"/>
            <w:vAlign w:val="center"/>
          </w:tcPr>
          <w:p w14:paraId="1BCAF3D5">
            <w:pPr>
              <w:adjustRightInd w:val="0"/>
              <w:snapToGri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发包人及联系电话</w:t>
            </w:r>
          </w:p>
        </w:tc>
      </w:tr>
      <w:tr w14:paraId="35C39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F84B1FF">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36E6A319">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00D72AC5">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76A878A0">
            <w:pPr>
              <w:adjustRightInd w:val="0"/>
              <w:snapToGrid w:val="0"/>
              <w:spacing w:line="360" w:lineRule="auto"/>
              <w:jc w:val="center"/>
              <w:rPr>
                <w:rFonts w:ascii="宋体" w:hAnsi="宋体" w:cs="宋体"/>
                <w:color w:val="auto"/>
                <w:kern w:val="0"/>
                <w:szCs w:val="21"/>
                <w:highlight w:val="none"/>
              </w:rPr>
            </w:pPr>
          </w:p>
        </w:tc>
      </w:tr>
      <w:tr w14:paraId="3C4F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7B0BD7EE">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6656848D">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61D60D1B">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A1BF9C5">
            <w:pPr>
              <w:adjustRightInd w:val="0"/>
              <w:snapToGrid w:val="0"/>
              <w:spacing w:line="360" w:lineRule="auto"/>
              <w:jc w:val="center"/>
              <w:rPr>
                <w:rFonts w:ascii="宋体" w:hAnsi="宋体" w:cs="宋体"/>
                <w:color w:val="auto"/>
                <w:kern w:val="0"/>
                <w:szCs w:val="21"/>
                <w:highlight w:val="none"/>
              </w:rPr>
            </w:pPr>
          </w:p>
        </w:tc>
      </w:tr>
      <w:tr w14:paraId="31B0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21C4E798">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2151B61">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22AA838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1D7371F9">
            <w:pPr>
              <w:adjustRightInd w:val="0"/>
              <w:snapToGrid w:val="0"/>
              <w:spacing w:line="360" w:lineRule="auto"/>
              <w:jc w:val="center"/>
              <w:rPr>
                <w:rFonts w:ascii="宋体" w:hAnsi="宋体" w:cs="宋体"/>
                <w:color w:val="auto"/>
                <w:kern w:val="0"/>
                <w:szCs w:val="21"/>
                <w:highlight w:val="none"/>
              </w:rPr>
            </w:pPr>
          </w:p>
        </w:tc>
      </w:tr>
      <w:tr w14:paraId="0767E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5A109F7">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EDDB6CE">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080388D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5842B46D">
            <w:pPr>
              <w:adjustRightInd w:val="0"/>
              <w:snapToGrid w:val="0"/>
              <w:spacing w:line="360" w:lineRule="auto"/>
              <w:jc w:val="center"/>
              <w:rPr>
                <w:rFonts w:ascii="宋体" w:hAnsi="宋体" w:cs="宋体"/>
                <w:color w:val="auto"/>
                <w:kern w:val="0"/>
                <w:szCs w:val="21"/>
                <w:highlight w:val="none"/>
              </w:rPr>
            </w:pPr>
          </w:p>
        </w:tc>
      </w:tr>
      <w:tr w14:paraId="2DCFB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035B2B3B">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70E5DCF">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7CC769B1">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1489934">
            <w:pPr>
              <w:adjustRightInd w:val="0"/>
              <w:snapToGrid w:val="0"/>
              <w:spacing w:line="360" w:lineRule="auto"/>
              <w:jc w:val="center"/>
              <w:rPr>
                <w:rFonts w:ascii="宋体" w:hAnsi="宋体" w:cs="宋体"/>
                <w:color w:val="auto"/>
                <w:kern w:val="0"/>
                <w:szCs w:val="21"/>
                <w:highlight w:val="none"/>
              </w:rPr>
            </w:pPr>
          </w:p>
        </w:tc>
      </w:tr>
      <w:tr w14:paraId="3E49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5E4F32CA">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BA7C806">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59270F00">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7A5D837">
            <w:pPr>
              <w:adjustRightInd w:val="0"/>
              <w:snapToGrid w:val="0"/>
              <w:spacing w:line="360" w:lineRule="auto"/>
              <w:jc w:val="center"/>
              <w:rPr>
                <w:rFonts w:ascii="宋体" w:hAnsi="宋体" w:cs="宋体"/>
                <w:color w:val="auto"/>
                <w:kern w:val="0"/>
                <w:szCs w:val="21"/>
                <w:highlight w:val="none"/>
              </w:rPr>
            </w:pPr>
          </w:p>
        </w:tc>
      </w:tr>
      <w:tr w14:paraId="231C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60AA3234">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19BC4A38">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7AD457B5">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63A6F8A2">
            <w:pPr>
              <w:adjustRightInd w:val="0"/>
              <w:snapToGrid w:val="0"/>
              <w:spacing w:line="360" w:lineRule="auto"/>
              <w:jc w:val="center"/>
              <w:rPr>
                <w:rFonts w:ascii="宋体" w:hAnsi="宋体" w:cs="宋体"/>
                <w:color w:val="auto"/>
                <w:kern w:val="0"/>
                <w:szCs w:val="21"/>
                <w:highlight w:val="none"/>
              </w:rPr>
            </w:pPr>
          </w:p>
        </w:tc>
      </w:tr>
      <w:tr w14:paraId="5503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4FE091EC">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39D70C62">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5A9B9125">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085EFBFB">
            <w:pPr>
              <w:adjustRightInd w:val="0"/>
              <w:snapToGrid w:val="0"/>
              <w:spacing w:line="360" w:lineRule="auto"/>
              <w:jc w:val="center"/>
              <w:rPr>
                <w:rFonts w:ascii="宋体" w:hAnsi="宋体" w:cs="宋体"/>
                <w:color w:val="auto"/>
                <w:kern w:val="0"/>
                <w:szCs w:val="21"/>
                <w:highlight w:val="none"/>
              </w:rPr>
            </w:pPr>
          </w:p>
        </w:tc>
      </w:tr>
      <w:tr w14:paraId="3D25E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5D23BBE2">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7DBD1AEB">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5212C749">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1554472B">
            <w:pPr>
              <w:adjustRightInd w:val="0"/>
              <w:snapToGrid w:val="0"/>
              <w:spacing w:line="360" w:lineRule="auto"/>
              <w:jc w:val="center"/>
              <w:rPr>
                <w:rFonts w:ascii="宋体" w:hAnsi="宋体" w:cs="宋体"/>
                <w:color w:val="auto"/>
                <w:kern w:val="0"/>
                <w:szCs w:val="21"/>
                <w:highlight w:val="none"/>
              </w:rPr>
            </w:pPr>
          </w:p>
        </w:tc>
      </w:tr>
      <w:tr w14:paraId="69FB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93" w:type="dxa"/>
            <w:shd w:val="clear" w:color="auto" w:fill="auto"/>
            <w:vAlign w:val="center"/>
          </w:tcPr>
          <w:p w14:paraId="0EA0AFEB">
            <w:pPr>
              <w:adjustRightInd w:val="0"/>
              <w:snapToGrid w:val="0"/>
              <w:spacing w:line="360" w:lineRule="auto"/>
              <w:jc w:val="center"/>
              <w:rPr>
                <w:rFonts w:ascii="宋体" w:hAnsi="宋体" w:cs="宋体"/>
                <w:color w:val="auto"/>
                <w:kern w:val="0"/>
                <w:szCs w:val="21"/>
                <w:highlight w:val="none"/>
              </w:rPr>
            </w:pPr>
          </w:p>
        </w:tc>
        <w:tc>
          <w:tcPr>
            <w:tcW w:w="3761" w:type="dxa"/>
            <w:gridSpan w:val="3"/>
            <w:shd w:val="clear" w:color="auto" w:fill="auto"/>
            <w:vAlign w:val="center"/>
          </w:tcPr>
          <w:p w14:paraId="5E14196B">
            <w:pPr>
              <w:adjustRightInd w:val="0"/>
              <w:snapToGrid w:val="0"/>
              <w:spacing w:line="360" w:lineRule="auto"/>
              <w:jc w:val="center"/>
              <w:rPr>
                <w:rFonts w:ascii="宋体" w:hAnsi="宋体" w:cs="宋体"/>
                <w:color w:val="auto"/>
                <w:kern w:val="0"/>
                <w:szCs w:val="21"/>
                <w:highlight w:val="none"/>
              </w:rPr>
            </w:pPr>
          </w:p>
        </w:tc>
        <w:tc>
          <w:tcPr>
            <w:tcW w:w="2012" w:type="dxa"/>
            <w:shd w:val="clear" w:color="auto" w:fill="auto"/>
            <w:vAlign w:val="center"/>
          </w:tcPr>
          <w:p w14:paraId="4C5FF09E">
            <w:pPr>
              <w:adjustRightInd w:val="0"/>
              <w:snapToGrid w:val="0"/>
              <w:spacing w:line="360" w:lineRule="auto"/>
              <w:jc w:val="center"/>
              <w:rPr>
                <w:rFonts w:ascii="宋体" w:hAnsi="宋体" w:cs="宋体"/>
                <w:color w:val="auto"/>
                <w:kern w:val="0"/>
                <w:szCs w:val="21"/>
                <w:highlight w:val="none"/>
              </w:rPr>
            </w:pPr>
          </w:p>
        </w:tc>
        <w:tc>
          <w:tcPr>
            <w:tcW w:w="2322" w:type="dxa"/>
            <w:shd w:val="clear" w:color="auto" w:fill="auto"/>
            <w:vAlign w:val="center"/>
          </w:tcPr>
          <w:p w14:paraId="53CBC6FF">
            <w:pPr>
              <w:adjustRightInd w:val="0"/>
              <w:snapToGrid w:val="0"/>
              <w:spacing w:line="360" w:lineRule="auto"/>
              <w:jc w:val="center"/>
              <w:rPr>
                <w:rFonts w:ascii="宋体" w:hAnsi="宋体" w:cs="宋体"/>
                <w:color w:val="auto"/>
                <w:kern w:val="0"/>
                <w:szCs w:val="21"/>
                <w:highlight w:val="none"/>
              </w:rPr>
            </w:pPr>
          </w:p>
        </w:tc>
      </w:tr>
    </w:tbl>
    <w:p w14:paraId="3D1787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附执业资格证书</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如有</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、注册证书</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如有</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、安全生产考核合格证书</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如有</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、身份证、职称证</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如有</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、学历证、</w:t>
      </w:r>
      <w:r>
        <w:rPr>
          <w:rFonts w:hint="eastAsia" w:ascii="宋体" w:hAnsi="宋体"/>
          <w:color w:val="auto"/>
          <w:kern w:val="0"/>
          <w:szCs w:val="21"/>
          <w:highlight w:val="none"/>
          <w:lang w:val="en-US" w:eastAsia="zh-CN"/>
        </w:rPr>
        <w:t>社保证明等材料</w:t>
      </w:r>
      <w:r>
        <w:rPr>
          <w:rFonts w:hint="eastAsia" w:ascii="宋体" w:hAnsi="宋体"/>
          <w:color w:val="auto"/>
          <w:kern w:val="0"/>
          <w:szCs w:val="21"/>
          <w:highlight w:val="none"/>
          <w:lang w:eastAsia="zh-CN"/>
        </w:rPr>
        <w:t>。</w:t>
      </w:r>
    </w:p>
    <w:p w14:paraId="46856686">
      <w:pPr>
        <w:pStyle w:val="3"/>
        <w:rPr>
          <w:rFonts w:hint="eastAsia"/>
          <w:color w:val="auto"/>
          <w:highlight w:val="none"/>
          <w:lang w:val="en-US" w:eastAsia="zh-CN"/>
        </w:rPr>
        <w:sectPr>
          <w:pgSz w:w="11906" w:h="16838"/>
          <w:pgMar w:top="1247" w:right="1253" w:bottom="1247" w:left="1293" w:header="720" w:footer="833" w:gutter="0"/>
          <w:pgBorders>
            <w:top w:val="none" w:sz="0" w:space="0"/>
            <w:left w:val="none" w:sz="0" w:space="0"/>
            <w:bottom w:val="none" w:sz="0" w:space="0"/>
            <w:right w:val="none" w:sz="0" w:space="0"/>
          </w:pgBorders>
          <w:pgNumType w:fmt="decimal"/>
          <w:cols w:space="0" w:num="1"/>
          <w:titlePg/>
          <w:rtlGutter w:val="0"/>
          <w:docGrid w:type="lines" w:linePitch="312" w:charSpace="0"/>
        </w:sectPr>
      </w:pPr>
    </w:p>
    <w:p w14:paraId="10D1264F">
      <w:pPr>
        <w:pStyle w:val="3"/>
        <w:rPr>
          <w:rFonts w:hint="eastAsia"/>
          <w:color w:val="auto"/>
          <w:highlight w:val="none"/>
          <w:lang w:val="en-US" w:eastAsia="zh-CN"/>
        </w:rPr>
      </w:pPr>
      <w:bookmarkStart w:id="1343" w:name="_Toc19854"/>
      <w:bookmarkStart w:id="1344" w:name="_Toc28633"/>
      <w:bookmarkStart w:id="1345" w:name="_Toc29377"/>
      <w:bookmarkStart w:id="1346" w:name="_Toc28112"/>
      <w:bookmarkStart w:id="1347" w:name="_Toc13917"/>
      <w:bookmarkStart w:id="1348" w:name="_Toc1041"/>
      <w:r>
        <w:rPr>
          <w:rFonts w:hint="eastAsia"/>
          <w:color w:val="auto"/>
          <w:highlight w:val="none"/>
          <w:lang w:val="en-US" w:eastAsia="zh-CN"/>
        </w:rPr>
        <w:t>七、类似项目情况表</w:t>
      </w:r>
      <w:bookmarkEnd w:id="1343"/>
      <w:bookmarkEnd w:id="1344"/>
      <w:bookmarkEnd w:id="1345"/>
      <w:bookmarkEnd w:id="1346"/>
      <w:bookmarkEnd w:id="1347"/>
      <w:bookmarkEnd w:id="1348"/>
    </w:p>
    <w:p w14:paraId="3E64A5E1">
      <w:pPr>
        <w:pStyle w:val="6"/>
        <w:ind w:firstLine="482"/>
        <w:rPr>
          <w:rFonts w:hint="eastAsia"/>
          <w:color w:val="auto"/>
          <w:highlight w:val="none"/>
          <w:lang w:val="en-US" w:eastAsia="zh-CN"/>
        </w:rPr>
      </w:pPr>
      <w:r>
        <w:rPr>
          <w:rFonts w:hint="eastAsia"/>
          <w:color w:val="auto"/>
          <w:highlight w:val="none"/>
          <w:lang w:val="en-US" w:eastAsia="zh-CN"/>
        </w:rPr>
        <w:t>（一）近年完成的类似项目情况表</w:t>
      </w:r>
    </w:p>
    <w:tbl>
      <w:tblPr>
        <w:tblStyle w:val="32"/>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8"/>
        <w:gridCol w:w="6474"/>
      </w:tblGrid>
      <w:tr w14:paraId="4A2C2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7CA4A861">
            <w:pPr>
              <w:autoSpaceDE w:val="0"/>
              <w:autoSpaceDN w:val="0"/>
              <w:adjustRightInd w:val="0"/>
              <w:snapToGrid w:val="0"/>
              <w:spacing w:line="240" w:lineRule="auto"/>
              <w:jc w:val="center"/>
              <w:rPr>
                <w:rFonts w:ascii="宋体" w:hAnsi="宋体"/>
                <w:color w:val="auto"/>
                <w:kern w:val="0"/>
                <w:highlight w:val="none"/>
              </w:rPr>
            </w:pPr>
            <w:r>
              <w:rPr>
                <w:rFonts w:hint="eastAsia" w:ascii="宋体" w:hAnsi="宋体"/>
                <w:color w:val="auto"/>
                <w:kern w:val="0"/>
                <w:highlight w:val="none"/>
              </w:rPr>
              <w:t>合同</w:t>
            </w:r>
            <w:r>
              <w:rPr>
                <w:rFonts w:ascii="宋体" w:hAnsi="宋体"/>
                <w:color w:val="auto"/>
                <w:kern w:val="0"/>
                <w:highlight w:val="none"/>
              </w:rPr>
              <w:t>名称</w:t>
            </w:r>
          </w:p>
        </w:tc>
        <w:tc>
          <w:tcPr>
            <w:tcW w:w="6474" w:type="dxa"/>
            <w:shd w:val="clear" w:color="auto" w:fill="auto"/>
            <w:vAlign w:val="center"/>
          </w:tcPr>
          <w:p w14:paraId="7969D92B">
            <w:pPr>
              <w:autoSpaceDE w:val="0"/>
              <w:autoSpaceDN w:val="0"/>
              <w:adjustRightInd w:val="0"/>
              <w:snapToGrid w:val="0"/>
              <w:spacing w:line="240" w:lineRule="auto"/>
              <w:jc w:val="center"/>
              <w:rPr>
                <w:rFonts w:ascii="宋体" w:hAnsi="宋体"/>
                <w:color w:val="auto"/>
                <w:kern w:val="0"/>
                <w:highlight w:val="none"/>
              </w:rPr>
            </w:pPr>
          </w:p>
        </w:tc>
      </w:tr>
      <w:tr w14:paraId="4E6C4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4882164E">
            <w:pPr>
              <w:autoSpaceDE w:val="0"/>
              <w:autoSpaceDN w:val="0"/>
              <w:adjustRightInd w:val="0"/>
              <w:snapToGrid w:val="0"/>
              <w:spacing w:line="240" w:lineRule="auto"/>
              <w:jc w:val="center"/>
              <w:rPr>
                <w:rFonts w:ascii="宋体" w:hAnsi="宋体"/>
                <w:color w:val="auto"/>
                <w:kern w:val="0"/>
                <w:highlight w:val="none"/>
              </w:rPr>
            </w:pPr>
            <w:r>
              <w:rPr>
                <w:rFonts w:hint="eastAsia" w:ascii="宋体" w:hAnsi="宋体"/>
                <w:color w:val="auto"/>
                <w:kern w:val="0"/>
                <w:highlight w:val="none"/>
              </w:rPr>
              <w:t>合同</w:t>
            </w:r>
            <w:r>
              <w:rPr>
                <w:rFonts w:ascii="宋体" w:hAnsi="宋体"/>
                <w:color w:val="auto"/>
                <w:kern w:val="0"/>
                <w:highlight w:val="none"/>
              </w:rPr>
              <w:t>项目所在地</w:t>
            </w:r>
          </w:p>
        </w:tc>
        <w:tc>
          <w:tcPr>
            <w:tcW w:w="6474" w:type="dxa"/>
            <w:shd w:val="clear" w:color="auto" w:fill="auto"/>
            <w:vAlign w:val="center"/>
          </w:tcPr>
          <w:p w14:paraId="6920A9E4">
            <w:pPr>
              <w:autoSpaceDE w:val="0"/>
              <w:autoSpaceDN w:val="0"/>
              <w:adjustRightInd w:val="0"/>
              <w:snapToGrid w:val="0"/>
              <w:spacing w:line="240" w:lineRule="auto"/>
              <w:jc w:val="center"/>
              <w:rPr>
                <w:rFonts w:ascii="宋体" w:hAnsi="宋体"/>
                <w:color w:val="auto"/>
                <w:kern w:val="0"/>
                <w:highlight w:val="none"/>
              </w:rPr>
            </w:pPr>
          </w:p>
        </w:tc>
      </w:tr>
      <w:tr w14:paraId="59EBA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0D1452CE">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发包人名称</w:t>
            </w:r>
          </w:p>
        </w:tc>
        <w:tc>
          <w:tcPr>
            <w:tcW w:w="6474" w:type="dxa"/>
            <w:shd w:val="clear" w:color="auto" w:fill="auto"/>
            <w:vAlign w:val="center"/>
          </w:tcPr>
          <w:p w14:paraId="5D62925B">
            <w:pPr>
              <w:autoSpaceDE w:val="0"/>
              <w:autoSpaceDN w:val="0"/>
              <w:adjustRightInd w:val="0"/>
              <w:snapToGrid w:val="0"/>
              <w:spacing w:line="240" w:lineRule="auto"/>
              <w:jc w:val="center"/>
              <w:rPr>
                <w:rFonts w:ascii="宋体" w:hAnsi="宋体"/>
                <w:color w:val="auto"/>
                <w:kern w:val="0"/>
                <w:highlight w:val="none"/>
              </w:rPr>
            </w:pPr>
          </w:p>
        </w:tc>
      </w:tr>
      <w:tr w14:paraId="2E278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5A3C9F75">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发包人地址</w:t>
            </w:r>
          </w:p>
        </w:tc>
        <w:tc>
          <w:tcPr>
            <w:tcW w:w="6474" w:type="dxa"/>
            <w:shd w:val="clear" w:color="auto" w:fill="auto"/>
            <w:vAlign w:val="center"/>
          </w:tcPr>
          <w:p w14:paraId="00EE151C">
            <w:pPr>
              <w:autoSpaceDE w:val="0"/>
              <w:autoSpaceDN w:val="0"/>
              <w:adjustRightInd w:val="0"/>
              <w:snapToGrid w:val="0"/>
              <w:spacing w:line="240" w:lineRule="auto"/>
              <w:jc w:val="center"/>
              <w:rPr>
                <w:rFonts w:ascii="宋体" w:hAnsi="宋体"/>
                <w:color w:val="auto"/>
                <w:kern w:val="0"/>
                <w:highlight w:val="none"/>
              </w:rPr>
            </w:pPr>
          </w:p>
        </w:tc>
      </w:tr>
      <w:tr w14:paraId="36C79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6CFDCC9A">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发包人电话</w:t>
            </w:r>
          </w:p>
        </w:tc>
        <w:tc>
          <w:tcPr>
            <w:tcW w:w="6474" w:type="dxa"/>
            <w:shd w:val="clear" w:color="auto" w:fill="auto"/>
            <w:vAlign w:val="center"/>
          </w:tcPr>
          <w:p w14:paraId="22E6B606">
            <w:pPr>
              <w:autoSpaceDE w:val="0"/>
              <w:autoSpaceDN w:val="0"/>
              <w:adjustRightInd w:val="0"/>
              <w:snapToGrid w:val="0"/>
              <w:spacing w:line="240" w:lineRule="auto"/>
              <w:jc w:val="center"/>
              <w:rPr>
                <w:rFonts w:ascii="宋体" w:hAnsi="宋体"/>
                <w:color w:val="auto"/>
                <w:kern w:val="0"/>
                <w:highlight w:val="none"/>
              </w:rPr>
            </w:pPr>
          </w:p>
        </w:tc>
      </w:tr>
      <w:tr w14:paraId="61AE1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22B4AFBD">
            <w:pPr>
              <w:autoSpaceDE w:val="0"/>
              <w:autoSpaceDN w:val="0"/>
              <w:adjustRightInd w:val="0"/>
              <w:snapToGrid w:val="0"/>
              <w:spacing w:line="240" w:lineRule="auto"/>
              <w:jc w:val="center"/>
              <w:rPr>
                <w:rFonts w:ascii="宋体" w:hAnsi="宋体"/>
                <w:color w:val="auto"/>
                <w:kern w:val="0"/>
                <w:highlight w:val="none"/>
              </w:rPr>
            </w:pPr>
            <w:r>
              <w:rPr>
                <w:rFonts w:hint="eastAsia" w:ascii="宋体" w:hAnsi="宋体"/>
                <w:color w:val="auto"/>
                <w:kern w:val="0"/>
                <w:highlight w:val="none"/>
              </w:rPr>
              <w:t>签约</w:t>
            </w:r>
            <w:r>
              <w:rPr>
                <w:rFonts w:ascii="宋体" w:hAnsi="宋体"/>
                <w:color w:val="auto"/>
                <w:kern w:val="0"/>
                <w:highlight w:val="none"/>
              </w:rPr>
              <w:t>合同价</w:t>
            </w:r>
          </w:p>
        </w:tc>
        <w:tc>
          <w:tcPr>
            <w:tcW w:w="6474" w:type="dxa"/>
            <w:shd w:val="clear" w:color="auto" w:fill="auto"/>
            <w:vAlign w:val="center"/>
          </w:tcPr>
          <w:p w14:paraId="7AC97A6D">
            <w:pPr>
              <w:autoSpaceDE w:val="0"/>
              <w:autoSpaceDN w:val="0"/>
              <w:adjustRightInd w:val="0"/>
              <w:snapToGrid w:val="0"/>
              <w:spacing w:line="240" w:lineRule="auto"/>
              <w:jc w:val="center"/>
              <w:rPr>
                <w:rFonts w:ascii="宋体" w:hAnsi="宋体"/>
                <w:color w:val="auto"/>
                <w:kern w:val="0"/>
                <w:highlight w:val="none"/>
              </w:rPr>
            </w:pPr>
          </w:p>
        </w:tc>
      </w:tr>
      <w:tr w14:paraId="3EEA3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3B13879A">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开工日期</w:t>
            </w:r>
          </w:p>
        </w:tc>
        <w:tc>
          <w:tcPr>
            <w:tcW w:w="6474" w:type="dxa"/>
            <w:shd w:val="clear" w:color="auto" w:fill="auto"/>
            <w:vAlign w:val="center"/>
          </w:tcPr>
          <w:p w14:paraId="6C67CF36">
            <w:pPr>
              <w:autoSpaceDE w:val="0"/>
              <w:autoSpaceDN w:val="0"/>
              <w:adjustRightInd w:val="0"/>
              <w:snapToGrid w:val="0"/>
              <w:spacing w:line="240" w:lineRule="auto"/>
              <w:jc w:val="center"/>
              <w:rPr>
                <w:rFonts w:ascii="宋体" w:hAnsi="宋体"/>
                <w:color w:val="auto"/>
                <w:kern w:val="0"/>
                <w:highlight w:val="none"/>
              </w:rPr>
            </w:pPr>
          </w:p>
        </w:tc>
      </w:tr>
      <w:tr w14:paraId="188F6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1559B69F">
            <w:pPr>
              <w:autoSpaceDE w:val="0"/>
              <w:autoSpaceDN w:val="0"/>
              <w:adjustRightInd w:val="0"/>
              <w:snapToGrid w:val="0"/>
              <w:spacing w:line="240" w:lineRule="auto"/>
              <w:jc w:val="center"/>
              <w:rPr>
                <w:rFonts w:ascii="宋体" w:hAnsi="宋体"/>
                <w:color w:val="auto"/>
                <w:kern w:val="0"/>
                <w:highlight w:val="none"/>
              </w:rPr>
            </w:pPr>
            <w:r>
              <w:rPr>
                <w:rFonts w:hint="eastAsia" w:ascii="宋体" w:hAnsi="宋体"/>
                <w:color w:val="auto"/>
                <w:kern w:val="0"/>
                <w:highlight w:val="none"/>
                <w:lang w:val="en-US" w:eastAsia="zh-CN"/>
              </w:rPr>
              <w:t>完工</w:t>
            </w:r>
            <w:r>
              <w:rPr>
                <w:rFonts w:ascii="宋体" w:hAnsi="宋体"/>
                <w:color w:val="auto"/>
                <w:kern w:val="0"/>
                <w:highlight w:val="none"/>
              </w:rPr>
              <w:t>日期</w:t>
            </w:r>
          </w:p>
        </w:tc>
        <w:tc>
          <w:tcPr>
            <w:tcW w:w="6474" w:type="dxa"/>
            <w:shd w:val="clear" w:color="auto" w:fill="auto"/>
            <w:vAlign w:val="center"/>
          </w:tcPr>
          <w:p w14:paraId="457C49D0">
            <w:pPr>
              <w:autoSpaceDE w:val="0"/>
              <w:autoSpaceDN w:val="0"/>
              <w:adjustRightInd w:val="0"/>
              <w:snapToGrid w:val="0"/>
              <w:spacing w:line="240" w:lineRule="auto"/>
              <w:jc w:val="center"/>
              <w:rPr>
                <w:rFonts w:ascii="宋体" w:hAnsi="宋体"/>
                <w:color w:val="auto"/>
                <w:kern w:val="0"/>
                <w:highlight w:val="none"/>
              </w:rPr>
            </w:pPr>
          </w:p>
        </w:tc>
      </w:tr>
      <w:tr w14:paraId="2FB55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4C4534FB">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承担的工作</w:t>
            </w:r>
          </w:p>
        </w:tc>
        <w:tc>
          <w:tcPr>
            <w:tcW w:w="6474" w:type="dxa"/>
            <w:shd w:val="clear" w:color="auto" w:fill="auto"/>
            <w:vAlign w:val="center"/>
          </w:tcPr>
          <w:p w14:paraId="10E7F54E">
            <w:pPr>
              <w:autoSpaceDE w:val="0"/>
              <w:autoSpaceDN w:val="0"/>
              <w:adjustRightInd w:val="0"/>
              <w:snapToGrid w:val="0"/>
              <w:spacing w:line="240" w:lineRule="auto"/>
              <w:jc w:val="center"/>
              <w:rPr>
                <w:rFonts w:ascii="宋体" w:hAnsi="宋体"/>
                <w:color w:val="auto"/>
                <w:kern w:val="0"/>
                <w:highlight w:val="none"/>
              </w:rPr>
            </w:pPr>
          </w:p>
        </w:tc>
      </w:tr>
      <w:tr w14:paraId="59CEF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4C22173B">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工程质量</w:t>
            </w:r>
          </w:p>
        </w:tc>
        <w:tc>
          <w:tcPr>
            <w:tcW w:w="6474" w:type="dxa"/>
            <w:shd w:val="clear" w:color="auto" w:fill="auto"/>
            <w:vAlign w:val="center"/>
          </w:tcPr>
          <w:p w14:paraId="56ED0D22">
            <w:pPr>
              <w:autoSpaceDE w:val="0"/>
              <w:autoSpaceDN w:val="0"/>
              <w:adjustRightInd w:val="0"/>
              <w:snapToGrid w:val="0"/>
              <w:spacing w:line="240" w:lineRule="auto"/>
              <w:jc w:val="center"/>
              <w:rPr>
                <w:rFonts w:ascii="宋体" w:hAnsi="宋体"/>
                <w:color w:val="auto"/>
                <w:kern w:val="0"/>
                <w:highlight w:val="none"/>
              </w:rPr>
            </w:pPr>
          </w:p>
        </w:tc>
      </w:tr>
      <w:tr w14:paraId="6B0B9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3EE5574F">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项目</w:t>
            </w:r>
            <w:r>
              <w:rPr>
                <w:rFonts w:hint="eastAsia" w:ascii="宋体" w:hAnsi="宋体"/>
                <w:color w:val="auto"/>
                <w:kern w:val="0"/>
                <w:highlight w:val="none"/>
              </w:rPr>
              <w:t>经理</w:t>
            </w:r>
          </w:p>
        </w:tc>
        <w:tc>
          <w:tcPr>
            <w:tcW w:w="6474" w:type="dxa"/>
            <w:shd w:val="clear" w:color="auto" w:fill="auto"/>
            <w:vAlign w:val="center"/>
          </w:tcPr>
          <w:p w14:paraId="646F7239">
            <w:pPr>
              <w:autoSpaceDE w:val="0"/>
              <w:autoSpaceDN w:val="0"/>
              <w:adjustRightInd w:val="0"/>
              <w:snapToGrid w:val="0"/>
              <w:spacing w:line="240" w:lineRule="auto"/>
              <w:jc w:val="center"/>
              <w:rPr>
                <w:rFonts w:ascii="宋体" w:hAnsi="宋体"/>
                <w:color w:val="auto"/>
                <w:kern w:val="0"/>
                <w:highlight w:val="none"/>
              </w:rPr>
            </w:pPr>
          </w:p>
        </w:tc>
      </w:tr>
      <w:tr w14:paraId="45004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1E1402BD">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技术负责人</w:t>
            </w:r>
          </w:p>
        </w:tc>
        <w:tc>
          <w:tcPr>
            <w:tcW w:w="6474" w:type="dxa"/>
            <w:shd w:val="clear" w:color="auto" w:fill="auto"/>
            <w:vAlign w:val="center"/>
          </w:tcPr>
          <w:p w14:paraId="56C5F7E9">
            <w:pPr>
              <w:autoSpaceDE w:val="0"/>
              <w:autoSpaceDN w:val="0"/>
              <w:adjustRightInd w:val="0"/>
              <w:snapToGrid w:val="0"/>
              <w:spacing w:line="240" w:lineRule="auto"/>
              <w:jc w:val="center"/>
              <w:rPr>
                <w:rFonts w:ascii="宋体" w:hAnsi="宋体"/>
                <w:color w:val="auto"/>
                <w:kern w:val="0"/>
                <w:highlight w:val="none"/>
              </w:rPr>
            </w:pPr>
          </w:p>
        </w:tc>
      </w:tr>
      <w:tr w14:paraId="5702D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5B9FB4FA">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总监理工程师及电话</w:t>
            </w:r>
          </w:p>
        </w:tc>
        <w:tc>
          <w:tcPr>
            <w:tcW w:w="6474" w:type="dxa"/>
            <w:shd w:val="clear" w:color="auto" w:fill="auto"/>
            <w:vAlign w:val="center"/>
          </w:tcPr>
          <w:p w14:paraId="511FAEC4">
            <w:pPr>
              <w:autoSpaceDE w:val="0"/>
              <w:autoSpaceDN w:val="0"/>
              <w:adjustRightInd w:val="0"/>
              <w:snapToGrid w:val="0"/>
              <w:spacing w:line="240" w:lineRule="auto"/>
              <w:jc w:val="center"/>
              <w:rPr>
                <w:rFonts w:ascii="宋体" w:hAnsi="宋体"/>
                <w:color w:val="auto"/>
                <w:kern w:val="0"/>
                <w:highlight w:val="none"/>
              </w:rPr>
            </w:pPr>
          </w:p>
        </w:tc>
      </w:tr>
      <w:tr w14:paraId="4761C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jc w:val="center"/>
        </w:trPr>
        <w:tc>
          <w:tcPr>
            <w:tcW w:w="2608" w:type="dxa"/>
            <w:shd w:val="clear" w:color="auto" w:fill="auto"/>
            <w:vAlign w:val="center"/>
          </w:tcPr>
          <w:p w14:paraId="298576A8">
            <w:pPr>
              <w:autoSpaceDE w:val="0"/>
              <w:autoSpaceDN w:val="0"/>
              <w:adjustRightInd w:val="0"/>
              <w:snapToGrid w:val="0"/>
              <w:spacing w:line="240" w:lineRule="auto"/>
              <w:jc w:val="center"/>
              <w:rPr>
                <w:rFonts w:ascii="宋体" w:hAnsi="宋体"/>
                <w:color w:val="auto"/>
                <w:kern w:val="0"/>
                <w:highlight w:val="none"/>
              </w:rPr>
            </w:pPr>
            <w:r>
              <w:rPr>
                <w:rFonts w:hint="eastAsia" w:ascii="宋体" w:hAnsi="宋体"/>
                <w:color w:val="auto"/>
                <w:kern w:val="0"/>
                <w:highlight w:val="none"/>
              </w:rPr>
              <w:t>合同</w:t>
            </w:r>
            <w:r>
              <w:rPr>
                <w:rFonts w:ascii="宋体" w:hAnsi="宋体"/>
                <w:color w:val="auto"/>
                <w:kern w:val="0"/>
                <w:highlight w:val="none"/>
              </w:rPr>
              <w:t>项目描述</w:t>
            </w:r>
          </w:p>
        </w:tc>
        <w:tc>
          <w:tcPr>
            <w:tcW w:w="6474" w:type="dxa"/>
            <w:shd w:val="clear" w:color="auto" w:fill="auto"/>
            <w:vAlign w:val="center"/>
          </w:tcPr>
          <w:p w14:paraId="7F179939">
            <w:pPr>
              <w:autoSpaceDE w:val="0"/>
              <w:autoSpaceDN w:val="0"/>
              <w:adjustRightInd w:val="0"/>
              <w:snapToGrid w:val="0"/>
              <w:spacing w:line="240" w:lineRule="auto"/>
              <w:jc w:val="center"/>
              <w:rPr>
                <w:rFonts w:ascii="宋体" w:hAnsi="宋体"/>
                <w:color w:val="auto"/>
                <w:kern w:val="0"/>
                <w:highlight w:val="none"/>
              </w:rPr>
            </w:pPr>
          </w:p>
        </w:tc>
      </w:tr>
      <w:tr w14:paraId="64055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043EFAD0">
            <w:pPr>
              <w:autoSpaceDE w:val="0"/>
              <w:autoSpaceDN w:val="0"/>
              <w:adjustRightInd w:val="0"/>
              <w:snapToGrid w:val="0"/>
              <w:spacing w:line="240" w:lineRule="auto"/>
              <w:jc w:val="center"/>
              <w:rPr>
                <w:rFonts w:ascii="宋体" w:hAnsi="宋体"/>
                <w:color w:val="auto"/>
                <w:kern w:val="0"/>
                <w:highlight w:val="none"/>
              </w:rPr>
            </w:pPr>
            <w:r>
              <w:rPr>
                <w:rFonts w:ascii="宋体" w:hAnsi="宋体"/>
                <w:color w:val="auto"/>
                <w:kern w:val="0"/>
                <w:highlight w:val="none"/>
              </w:rPr>
              <w:t>备注</w:t>
            </w:r>
          </w:p>
        </w:tc>
        <w:tc>
          <w:tcPr>
            <w:tcW w:w="6474" w:type="dxa"/>
            <w:shd w:val="clear" w:color="auto" w:fill="auto"/>
            <w:vAlign w:val="center"/>
          </w:tcPr>
          <w:p w14:paraId="4BC51FE6">
            <w:pPr>
              <w:autoSpaceDE w:val="0"/>
              <w:autoSpaceDN w:val="0"/>
              <w:adjustRightInd w:val="0"/>
              <w:snapToGrid w:val="0"/>
              <w:spacing w:line="240" w:lineRule="auto"/>
              <w:jc w:val="center"/>
              <w:rPr>
                <w:rFonts w:ascii="宋体" w:hAnsi="宋体"/>
                <w:color w:val="auto"/>
                <w:kern w:val="0"/>
                <w:highlight w:val="none"/>
              </w:rPr>
            </w:pPr>
          </w:p>
        </w:tc>
      </w:tr>
    </w:tbl>
    <w:p w14:paraId="21DDA3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注：附中标（成交）通知书或合同协议书或合同工程完工证书（工程竣工证书副本）等材料。</w:t>
      </w:r>
    </w:p>
    <w:p w14:paraId="73538D0B">
      <w:pPr>
        <w:rPr>
          <w:rFonts w:hint="eastAsia"/>
          <w:color w:val="auto"/>
          <w:sz w:val="28"/>
          <w:szCs w:val="28"/>
          <w:highlight w:val="none"/>
          <w:lang w:eastAsia="zh-CN"/>
        </w:rPr>
      </w:pPr>
      <w:bookmarkStart w:id="1349" w:name="_Toc2472"/>
      <w:r>
        <w:rPr>
          <w:rFonts w:hint="eastAsia"/>
          <w:color w:val="auto"/>
          <w:sz w:val="28"/>
          <w:szCs w:val="28"/>
          <w:highlight w:val="none"/>
          <w:lang w:eastAsia="zh-CN"/>
        </w:rPr>
        <w:br w:type="page"/>
      </w:r>
    </w:p>
    <w:p w14:paraId="417B713D">
      <w:pPr>
        <w:pStyle w:val="6"/>
        <w:ind w:firstLine="482"/>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二</w:t>
      </w:r>
      <w:r>
        <w:rPr>
          <w:rFonts w:hint="eastAsia"/>
          <w:color w:val="auto"/>
          <w:highlight w:val="none"/>
          <w:lang w:eastAsia="zh-CN"/>
        </w:rPr>
        <w:t>）正在施工和新承接的项目情况表</w:t>
      </w:r>
      <w:bookmarkEnd w:id="1349"/>
    </w:p>
    <w:tbl>
      <w:tblPr>
        <w:tblStyle w:val="32"/>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8"/>
        <w:gridCol w:w="6474"/>
      </w:tblGrid>
      <w:tr w14:paraId="579E6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16E8FAF8">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eastAsia" w:ascii="宋体" w:hAnsi="宋体"/>
                <w:color w:val="auto"/>
                <w:kern w:val="0"/>
                <w:szCs w:val="20"/>
                <w:highlight w:val="none"/>
              </w:rPr>
              <w:t>合同</w:t>
            </w:r>
            <w:r>
              <w:rPr>
                <w:rFonts w:hint="default" w:ascii="宋体" w:hAnsi="宋体"/>
                <w:color w:val="auto"/>
                <w:kern w:val="0"/>
                <w:szCs w:val="20"/>
                <w:highlight w:val="none"/>
              </w:rPr>
              <w:t>名称</w:t>
            </w:r>
          </w:p>
        </w:tc>
        <w:tc>
          <w:tcPr>
            <w:tcW w:w="6474" w:type="dxa"/>
            <w:shd w:val="clear" w:color="auto" w:fill="auto"/>
            <w:vAlign w:val="center"/>
          </w:tcPr>
          <w:p w14:paraId="1EDE0FEF">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0DD27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36296D6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eastAsia" w:ascii="宋体" w:hAnsi="宋体"/>
                <w:color w:val="auto"/>
                <w:kern w:val="0"/>
                <w:szCs w:val="20"/>
                <w:highlight w:val="none"/>
              </w:rPr>
              <w:t>合同</w:t>
            </w:r>
            <w:r>
              <w:rPr>
                <w:rFonts w:hint="default" w:ascii="宋体" w:hAnsi="宋体"/>
                <w:color w:val="auto"/>
                <w:kern w:val="0"/>
                <w:szCs w:val="20"/>
                <w:highlight w:val="none"/>
              </w:rPr>
              <w:t>项目所在地</w:t>
            </w:r>
          </w:p>
        </w:tc>
        <w:tc>
          <w:tcPr>
            <w:tcW w:w="6474" w:type="dxa"/>
            <w:shd w:val="clear" w:color="auto" w:fill="auto"/>
            <w:vAlign w:val="center"/>
          </w:tcPr>
          <w:p w14:paraId="6CFBBD4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27F05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53B67E12">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发包人名称</w:t>
            </w:r>
          </w:p>
        </w:tc>
        <w:tc>
          <w:tcPr>
            <w:tcW w:w="6474" w:type="dxa"/>
            <w:shd w:val="clear" w:color="auto" w:fill="auto"/>
            <w:vAlign w:val="center"/>
          </w:tcPr>
          <w:p w14:paraId="6CF1CA0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50C9C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15936CB5">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发包人地址</w:t>
            </w:r>
          </w:p>
        </w:tc>
        <w:tc>
          <w:tcPr>
            <w:tcW w:w="6474" w:type="dxa"/>
            <w:shd w:val="clear" w:color="auto" w:fill="auto"/>
            <w:vAlign w:val="center"/>
          </w:tcPr>
          <w:p w14:paraId="2F36EA00">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726E7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759AF40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发包人电话</w:t>
            </w:r>
          </w:p>
        </w:tc>
        <w:tc>
          <w:tcPr>
            <w:tcW w:w="6474" w:type="dxa"/>
            <w:shd w:val="clear" w:color="auto" w:fill="auto"/>
            <w:vAlign w:val="center"/>
          </w:tcPr>
          <w:p w14:paraId="004292C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1290F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5AF64E3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签约合同价</w:t>
            </w:r>
          </w:p>
        </w:tc>
        <w:tc>
          <w:tcPr>
            <w:tcW w:w="6474" w:type="dxa"/>
            <w:shd w:val="clear" w:color="auto" w:fill="auto"/>
            <w:vAlign w:val="center"/>
          </w:tcPr>
          <w:p w14:paraId="4425182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52D7E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692D3B8F">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开工日期</w:t>
            </w:r>
          </w:p>
        </w:tc>
        <w:tc>
          <w:tcPr>
            <w:tcW w:w="6474" w:type="dxa"/>
            <w:shd w:val="clear" w:color="auto" w:fill="auto"/>
            <w:vAlign w:val="center"/>
          </w:tcPr>
          <w:p w14:paraId="5746C2C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70298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51EC1996">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计划</w:t>
            </w:r>
            <w:r>
              <w:rPr>
                <w:rFonts w:hint="eastAsia" w:ascii="宋体" w:hAnsi="宋体"/>
                <w:color w:val="auto"/>
                <w:kern w:val="0"/>
                <w:szCs w:val="20"/>
                <w:highlight w:val="none"/>
                <w:lang w:val="en-US" w:eastAsia="zh-CN"/>
              </w:rPr>
              <w:t>完工</w:t>
            </w:r>
            <w:r>
              <w:rPr>
                <w:rFonts w:hint="default" w:ascii="宋体" w:hAnsi="宋体"/>
                <w:color w:val="auto"/>
                <w:kern w:val="0"/>
                <w:szCs w:val="20"/>
                <w:highlight w:val="none"/>
              </w:rPr>
              <w:t>日期</w:t>
            </w:r>
          </w:p>
        </w:tc>
        <w:tc>
          <w:tcPr>
            <w:tcW w:w="6474" w:type="dxa"/>
            <w:shd w:val="clear" w:color="auto" w:fill="auto"/>
            <w:vAlign w:val="center"/>
          </w:tcPr>
          <w:p w14:paraId="064A252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37F93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6CA913E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承担的工作</w:t>
            </w:r>
          </w:p>
        </w:tc>
        <w:tc>
          <w:tcPr>
            <w:tcW w:w="6474" w:type="dxa"/>
            <w:shd w:val="clear" w:color="auto" w:fill="auto"/>
            <w:vAlign w:val="center"/>
          </w:tcPr>
          <w:p w14:paraId="4B2E42A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7D6EE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2895C2E8">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工程质量</w:t>
            </w:r>
          </w:p>
        </w:tc>
        <w:tc>
          <w:tcPr>
            <w:tcW w:w="6474" w:type="dxa"/>
            <w:shd w:val="clear" w:color="auto" w:fill="auto"/>
            <w:vAlign w:val="center"/>
          </w:tcPr>
          <w:p w14:paraId="0A0AFAED">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16296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7CF46A4B">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项目</w:t>
            </w:r>
            <w:r>
              <w:rPr>
                <w:rFonts w:hint="eastAsia" w:ascii="宋体" w:hAnsi="宋体"/>
                <w:color w:val="auto"/>
                <w:kern w:val="0"/>
                <w:szCs w:val="20"/>
                <w:highlight w:val="none"/>
              </w:rPr>
              <w:t>经理</w:t>
            </w:r>
          </w:p>
        </w:tc>
        <w:tc>
          <w:tcPr>
            <w:tcW w:w="6474" w:type="dxa"/>
            <w:shd w:val="clear" w:color="auto" w:fill="auto"/>
            <w:vAlign w:val="center"/>
          </w:tcPr>
          <w:p w14:paraId="42281A92">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4642D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4B67D004">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技术负责人</w:t>
            </w:r>
          </w:p>
        </w:tc>
        <w:tc>
          <w:tcPr>
            <w:tcW w:w="6474" w:type="dxa"/>
            <w:shd w:val="clear" w:color="auto" w:fill="auto"/>
            <w:vAlign w:val="center"/>
          </w:tcPr>
          <w:p w14:paraId="7D2D2C6E">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38322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57CCBADC">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总监理工程师及电话</w:t>
            </w:r>
          </w:p>
        </w:tc>
        <w:tc>
          <w:tcPr>
            <w:tcW w:w="6474" w:type="dxa"/>
            <w:shd w:val="clear" w:color="auto" w:fill="auto"/>
            <w:vAlign w:val="center"/>
          </w:tcPr>
          <w:p w14:paraId="11652297">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08BD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jc w:val="center"/>
        </w:trPr>
        <w:tc>
          <w:tcPr>
            <w:tcW w:w="2608" w:type="dxa"/>
            <w:shd w:val="clear" w:color="auto" w:fill="auto"/>
            <w:vAlign w:val="center"/>
          </w:tcPr>
          <w:p w14:paraId="70ED9D33">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项目描述</w:t>
            </w:r>
          </w:p>
        </w:tc>
        <w:tc>
          <w:tcPr>
            <w:tcW w:w="6474" w:type="dxa"/>
            <w:shd w:val="clear" w:color="auto" w:fill="auto"/>
            <w:vAlign w:val="center"/>
          </w:tcPr>
          <w:p w14:paraId="530FA965">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r w14:paraId="636D8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2608" w:type="dxa"/>
            <w:shd w:val="clear" w:color="auto" w:fill="auto"/>
            <w:vAlign w:val="center"/>
          </w:tcPr>
          <w:p w14:paraId="030981C2">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r>
              <w:rPr>
                <w:rFonts w:hint="default" w:ascii="宋体" w:hAnsi="宋体"/>
                <w:color w:val="auto"/>
                <w:kern w:val="0"/>
                <w:szCs w:val="20"/>
                <w:highlight w:val="none"/>
              </w:rPr>
              <w:t>备注</w:t>
            </w:r>
          </w:p>
        </w:tc>
        <w:tc>
          <w:tcPr>
            <w:tcW w:w="6474" w:type="dxa"/>
            <w:shd w:val="clear" w:color="auto" w:fill="auto"/>
            <w:vAlign w:val="center"/>
          </w:tcPr>
          <w:p w14:paraId="6A39BA93">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color w:val="auto"/>
                <w:kern w:val="0"/>
                <w:szCs w:val="20"/>
                <w:highlight w:val="none"/>
              </w:rPr>
            </w:pPr>
          </w:p>
        </w:tc>
      </w:tr>
    </w:tbl>
    <w:p w14:paraId="5714F0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rFonts w:hint="eastAsia"/>
          <w:color w:val="auto"/>
          <w:highlight w:val="none"/>
          <w:lang w:val="en-US" w:eastAsia="zh-CN"/>
        </w:rPr>
        <w:t>注：附中标（成交）通知书或合同协议书等材料。</w:t>
      </w:r>
    </w:p>
    <w:p w14:paraId="62EB064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color w:val="auto"/>
          <w:highlight w:val="none"/>
          <w:lang w:val="en-US" w:eastAsia="zh-CN"/>
        </w:rPr>
        <w:sectPr>
          <w:pgSz w:w="11906" w:h="16838"/>
          <w:pgMar w:top="1247" w:right="1253" w:bottom="1247" w:left="1293" w:header="720" w:footer="833" w:gutter="0"/>
          <w:pgBorders>
            <w:top w:val="none" w:sz="0" w:space="0"/>
            <w:left w:val="none" w:sz="0" w:space="0"/>
            <w:bottom w:val="none" w:sz="0" w:space="0"/>
            <w:right w:val="none" w:sz="0" w:space="0"/>
          </w:pgBorders>
          <w:pgNumType w:fmt="decimal"/>
          <w:cols w:space="0" w:num="1"/>
          <w:titlePg/>
          <w:rtlGutter w:val="0"/>
          <w:docGrid w:type="lines" w:linePitch="312" w:charSpace="0"/>
        </w:sectPr>
      </w:pPr>
    </w:p>
    <w:p w14:paraId="465B76A5">
      <w:pPr>
        <w:pStyle w:val="3"/>
        <w:rPr>
          <w:color w:val="auto"/>
          <w:highlight w:val="none"/>
        </w:rPr>
      </w:pPr>
      <w:bookmarkStart w:id="1350" w:name="_Toc16167"/>
      <w:bookmarkStart w:id="1351" w:name="_Toc17452"/>
      <w:bookmarkStart w:id="1352" w:name="_Toc30019"/>
      <w:bookmarkStart w:id="1353" w:name="_Toc21027"/>
      <w:bookmarkStart w:id="1354" w:name="_Toc11044"/>
      <w:bookmarkStart w:id="1355" w:name="_Toc24525"/>
      <w:r>
        <w:rPr>
          <w:rFonts w:hint="eastAsia"/>
          <w:color w:val="auto"/>
          <w:highlight w:val="none"/>
          <w:lang w:val="en-US" w:eastAsia="zh-CN"/>
        </w:rPr>
        <w:t>八</w:t>
      </w:r>
      <w:r>
        <w:rPr>
          <w:rFonts w:hint="eastAsia"/>
          <w:color w:val="auto"/>
          <w:highlight w:val="none"/>
        </w:rPr>
        <w:t>、技术部分</w:t>
      </w:r>
      <w:bookmarkEnd w:id="1335"/>
      <w:bookmarkEnd w:id="1350"/>
      <w:bookmarkEnd w:id="1351"/>
      <w:bookmarkEnd w:id="1352"/>
      <w:bookmarkEnd w:id="1353"/>
      <w:bookmarkEnd w:id="1354"/>
      <w:bookmarkEnd w:id="1355"/>
    </w:p>
    <w:p w14:paraId="5051CC99">
      <w:pPr>
        <w:pStyle w:val="11"/>
        <w:keepNext w:val="0"/>
        <w:keepLines w:val="0"/>
        <w:pageBreakBefore w:val="0"/>
        <w:widowControl w:val="0"/>
        <w:kinsoku/>
        <w:wordWrap/>
        <w:overflowPunct/>
        <w:topLinePunct w:val="0"/>
        <w:autoSpaceDE/>
        <w:autoSpaceDN/>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格式自拟，包含</w:t>
      </w:r>
      <w:r>
        <w:rPr>
          <w:rFonts w:hint="eastAsia" w:ascii="宋体" w:hAnsi="宋体" w:cs="宋体"/>
          <w:color w:val="auto"/>
          <w:sz w:val="21"/>
          <w:szCs w:val="21"/>
          <w:highlight w:val="none"/>
          <w:lang w:val="en-US" w:eastAsia="zh-CN"/>
        </w:rPr>
        <w:t>但不限于</w:t>
      </w:r>
      <w:r>
        <w:rPr>
          <w:rFonts w:hint="eastAsia" w:ascii="宋体" w:hAnsi="宋体" w:eastAsia="宋体" w:cs="宋体"/>
          <w:color w:val="auto"/>
          <w:sz w:val="21"/>
          <w:szCs w:val="21"/>
          <w:highlight w:val="none"/>
        </w:rPr>
        <w:t>以下内容：</w:t>
      </w:r>
    </w:p>
    <w:p w14:paraId="282118CF">
      <w:pPr>
        <w:pStyle w:val="1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20" w:firstLineChars="200"/>
        <w:textAlignment w:val="auto"/>
        <w:rPr>
          <w:rFonts w:hint="eastAsia"/>
          <w:sz w:val="21"/>
          <w:szCs w:val="21"/>
          <w:lang w:val="en-US" w:eastAsia="zh-CN"/>
        </w:rPr>
      </w:pPr>
      <w:r>
        <w:rPr>
          <w:rFonts w:hint="eastAsia" w:eastAsia="宋体" w:asciiTheme="majorHAnsi" w:hAnsiTheme="majorHAnsi" w:cstheme="majorBidi"/>
          <w:kern w:val="2"/>
          <w:sz w:val="21"/>
          <w:szCs w:val="21"/>
          <w:lang w:val="en-US" w:eastAsia="zh-CN" w:bidi="ar-SA"/>
        </w:rPr>
        <w:t>（1）</w:t>
      </w:r>
      <w:r>
        <w:rPr>
          <w:rFonts w:hint="eastAsia"/>
          <w:sz w:val="21"/>
          <w:szCs w:val="21"/>
          <w:lang w:val="en-US" w:eastAsia="zh-CN"/>
        </w:rPr>
        <w:t>施工总布置；</w:t>
      </w:r>
    </w:p>
    <w:p w14:paraId="2433C9F8">
      <w:pPr>
        <w:pStyle w:val="1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20" w:firstLineChars="200"/>
        <w:textAlignment w:val="auto"/>
        <w:rPr>
          <w:rFonts w:hint="eastAsia"/>
          <w:sz w:val="21"/>
          <w:szCs w:val="21"/>
          <w:lang w:val="en-US" w:eastAsia="zh-CN"/>
        </w:rPr>
      </w:pPr>
      <w:r>
        <w:rPr>
          <w:rFonts w:hint="eastAsia"/>
          <w:sz w:val="21"/>
          <w:szCs w:val="21"/>
          <w:lang w:val="en-US" w:eastAsia="zh-CN"/>
        </w:rPr>
        <w:t>（2）</w:t>
      </w:r>
      <w:r>
        <w:rPr>
          <w:sz w:val="21"/>
          <w:szCs w:val="21"/>
        </w:rPr>
        <w:t>施工方案与技术措施</w:t>
      </w:r>
      <w:r>
        <w:rPr>
          <w:rFonts w:hint="eastAsia"/>
          <w:sz w:val="21"/>
          <w:szCs w:val="21"/>
          <w:lang w:eastAsia="zh-CN"/>
        </w:rPr>
        <w:t>；</w:t>
      </w:r>
    </w:p>
    <w:p w14:paraId="1AB54DE2">
      <w:pPr>
        <w:pStyle w:val="1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20" w:firstLineChars="200"/>
        <w:textAlignment w:val="auto"/>
        <w:rPr>
          <w:rFonts w:hint="eastAsia"/>
          <w:sz w:val="21"/>
          <w:szCs w:val="21"/>
          <w:lang w:val="en-US" w:eastAsia="zh-CN"/>
        </w:rPr>
      </w:pPr>
      <w:r>
        <w:rPr>
          <w:rFonts w:hint="eastAsia"/>
          <w:sz w:val="21"/>
          <w:szCs w:val="21"/>
          <w:lang w:eastAsia="zh-CN"/>
        </w:rPr>
        <w:t>（</w:t>
      </w:r>
      <w:r>
        <w:rPr>
          <w:rFonts w:hint="eastAsia"/>
          <w:sz w:val="21"/>
          <w:szCs w:val="21"/>
          <w:lang w:val="en-US" w:eastAsia="zh-CN"/>
        </w:rPr>
        <w:t>3</w:t>
      </w:r>
      <w:r>
        <w:rPr>
          <w:rFonts w:hint="eastAsia"/>
          <w:sz w:val="21"/>
          <w:szCs w:val="21"/>
          <w:lang w:eastAsia="zh-CN"/>
        </w:rPr>
        <w:t>）</w:t>
      </w:r>
      <w:r>
        <w:rPr>
          <w:sz w:val="21"/>
          <w:szCs w:val="21"/>
        </w:rPr>
        <w:t>质量管理体系与措施</w:t>
      </w:r>
      <w:r>
        <w:rPr>
          <w:rFonts w:hint="eastAsia"/>
          <w:sz w:val="21"/>
          <w:szCs w:val="21"/>
          <w:lang w:eastAsia="zh-CN"/>
        </w:rPr>
        <w:t>；</w:t>
      </w:r>
    </w:p>
    <w:p w14:paraId="4CF83E3B">
      <w:pPr>
        <w:pStyle w:val="1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20" w:firstLineChars="200"/>
        <w:textAlignment w:val="auto"/>
        <w:rPr>
          <w:rFonts w:hint="eastAsia"/>
          <w:sz w:val="21"/>
          <w:szCs w:val="21"/>
          <w:lang w:val="en-US" w:eastAsia="zh-CN"/>
        </w:rPr>
      </w:pPr>
      <w:r>
        <w:rPr>
          <w:rFonts w:hint="eastAsia"/>
          <w:sz w:val="21"/>
          <w:szCs w:val="21"/>
          <w:lang w:eastAsia="zh-CN"/>
        </w:rPr>
        <w:t>（</w:t>
      </w:r>
      <w:r>
        <w:rPr>
          <w:rFonts w:hint="eastAsia"/>
          <w:sz w:val="21"/>
          <w:szCs w:val="21"/>
          <w:lang w:val="en-US" w:eastAsia="zh-CN"/>
        </w:rPr>
        <w:t>4</w:t>
      </w:r>
      <w:r>
        <w:rPr>
          <w:rFonts w:hint="eastAsia"/>
          <w:sz w:val="21"/>
          <w:szCs w:val="21"/>
          <w:lang w:eastAsia="zh-CN"/>
        </w:rPr>
        <w:t>）</w:t>
      </w:r>
      <w:r>
        <w:rPr>
          <w:sz w:val="21"/>
          <w:szCs w:val="21"/>
        </w:rPr>
        <w:t>安全管理体系与措施</w:t>
      </w:r>
      <w:r>
        <w:rPr>
          <w:rFonts w:hint="eastAsia"/>
          <w:sz w:val="21"/>
          <w:szCs w:val="21"/>
          <w:lang w:eastAsia="zh-CN"/>
        </w:rPr>
        <w:t>；</w:t>
      </w:r>
    </w:p>
    <w:p w14:paraId="39ADCE00">
      <w:pPr>
        <w:pStyle w:val="1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20" w:firstLineChars="200"/>
        <w:textAlignment w:val="auto"/>
        <w:rPr>
          <w:rFonts w:hint="eastAsia"/>
          <w:sz w:val="21"/>
          <w:szCs w:val="21"/>
          <w:lang w:val="en-US" w:eastAsia="zh-CN"/>
        </w:rPr>
      </w:pPr>
      <w:r>
        <w:rPr>
          <w:rFonts w:hint="eastAsia"/>
          <w:sz w:val="21"/>
          <w:szCs w:val="21"/>
          <w:lang w:eastAsia="zh-CN"/>
        </w:rPr>
        <w:t>（</w:t>
      </w:r>
      <w:r>
        <w:rPr>
          <w:rFonts w:hint="eastAsia"/>
          <w:sz w:val="21"/>
          <w:szCs w:val="21"/>
          <w:lang w:val="en-US" w:eastAsia="zh-CN"/>
        </w:rPr>
        <w:t>5</w:t>
      </w:r>
      <w:r>
        <w:rPr>
          <w:rFonts w:hint="eastAsia"/>
          <w:sz w:val="21"/>
          <w:szCs w:val="21"/>
          <w:lang w:eastAsia="zh-CN"/>
        </w:rPr>
        <w:t>）</w:t>
      </w:r>
      <w:r>
        <w:rPr>
          <w:sz w:val="21"/>
          <w:szCs w:val="21"/>
        </w:rPr>
        <w:t>文明施工、环境保护管理体系与措施</w:t>
      </w:r>
      <w:r>
        <w:rPr>
          <w:rFonts w:hint="eastAsia"/>
          <w:sz w:val="21"/>
          <w:szCs w:val="21"/>
          <w:lang w:eastAsia="zh-CN"/>
        </w:rPr>
        <w:t>；</w:t>
      </w:r>
    </w:p>
    <w:p w14:paraId="43818805">
      <w:pPr>
        <w:pStyle w:val="11"/>
        <w:keepNext w:val="0"/>
        <w:keepLines w:val="0"/>
        <w:pageBreakBefore w:val="0"/>
        <w:widowControl w:val="0"/>
        <w:numPr>
          <w:ilvl w:val="0"/>
          <w:numId w:val="0"/>
        </w:numPr>
        <w:kinsoku/>
        <w:wordWrap/>
        <w:overflowPunct/>
        <w:topLinePunct w:val="0"/>
        <w:autoSpaceDE/>
        <w:autoSpaceDN/>
        <w:bidi w:val="0"/>
        <w:adjustRightInd/>
        <w:snapToGrid/>
        <w:spacing w:before="0" w:line="360" w:lineRule="auto"/>
        <w:ind w:firstLine="420" w:firstLineChars="200"/>
        <w:textAlignment w:val="auto"/>
        <w:rPr>
          <w:rFonts w:hint="eastAsia"/>
          <w:sz w:val="21"/>
          <w:szCs w:val="21"/>
          <w:lang w:val="en-US" w:eastAsia="zh-CN"/>
        </w:rPr>
      </w:pPr>
      <w:r>
        <w:rPr>
          <w:rFonts w:hint="eastAsia"/>
          <w:sz w:val="21"/>
          <w:szCs w:val="21"/>
          <w:lang w:eastAsia="zh-CN"/>
        </w:rPr>
        <w:t>（</w:t>
      </w:r>
      <w:r>
        <w:rPr>
          <w:rFonts w:hint="eastAsia"/>
          <w:sz w:val="21"/>
          <w:szCs w:val="21"/>
          <w:lang w:val="en-US" w:eastAsia="zh-CN"/>
        </w:rPr>
        <w:t>6</w:t>
      </w:r>
      <w:r>
        <w:rPr>
          <w:rFonts w:hint="eastAsia"/>
          <w:sz w:val="21"/>
          <w:szCs w:val="21"/>
          <w:lang w:eastAsia="zh-CN"/>
        </w:rPr>
        <w:t>）</w:t>
      </w:r>
      <w:r>
        <w:rPr>
          <w:sz w:val="21"/>
          <w:szCs w:val="21"/>
        </w:rPr>
        <w:t>工程进度计划与措施</w:t>
      </w:r>
      <w:r>
        <w:rPr>
          <w:rFonts w:hint="eastAsia"/>
          <w:sz w:val="21"/>
          <w:szCs w:val="21"/>
          <w:lang w:eastAsia="zh-CN"/>
        </w:rPr>
        <w:t>；</w:t>
      </w:r>
    </w:p>
    <w:p w14:paraId="5245263E">
      <w:pPr>
        <w:pStyle w:val="11"/>
        <w:keepNext w:val="0"/>
        <w:keepLines w:val="0"/>
        <w:pageBreakBefore w:val="0"/>
        <w:widowControl w:val="0"/>
        <w:kinsoku/>
        <w:wordWrap/>
        <w:overflowPunct/>
        <w:topLinePunct w:val="0"/>
        <w:autoSpaceDE/>
        <w:autoSpaceDN/>
        <w:bidi w:val="0"/>
        <w:adjustRightInd/>
        <w:snapToGrid/>
        <w:spacing w:before="0" w:line="360" w:lineRule="auto"/>
        <w:ind w:firstLine="420" w:firstLineChars="200"/>
        <w:textAlignment w:val="auto"/>
        <w:rPr>
          <w:color w:val="auto"/>
          <w:highlight w:val="none"/>
        </w:rPr>
      </w:pPr>
      <w:r>
        <w:rPr>
          <w:rFonts w:hint="eastAsia"/>
          <w:sz w:val="21"/>
          <w:szCs w:val="21"/>
          <w:lang w:eastAsia="zh-CN"/>
        </w:rPr>
        <w:t>（</w:t>
      </w:r>
      <w:r>
        <w:rPr>
          <w:rFonts w:hint="eastAsia"/>
          <w:sz w:val="21"/>
          <w:szCs w:val="21"/>
          <w:lang w:val="en-US" w:eastAsia="zh-CN"/>
        </w:rPr>
        <w:t>7</w:t>
      </w:r>
      <w:r>
        <w:rPr>
          <w:rFonts w:hint="eastAsia"/>
          <w:sz w:val="21"/>
          <w:szCs w:val="21"/>
          <w:lang w:eastAsia="zh-CN"/>
        </w:rPr>
        <w:t>）</w:t>
      </w:r>
      <w:r>
        <w:rPr>
          <w:sz w:val="21"/>
          <w:szCs w:val="21"/>
        </w:rPr>
        <w:t>资源配备计划</w:t>
      </w:r>
      <w:r>
        <w:rPr>
          <w:rFonts w:hint="eastAsia"/>
          <w:sz w:val="21"/>
          <w:szCs w:val="21"/>
          <w:lang w:eastAsia="zh-CN"/>
        </w:rPr>
        <w:t>。</w:t>
      </w:r>
      <w:r>
        <w:rPr>
          <w:color w:val="auto"/>
          <w:highlight w:val="none"/>
        </w:rPr>
        <w:br w:type="page"/>
      </w:r>
    </w:p>
    <w:p w14:paraId="5F15942C">
      <w:pPr>
        <w:pStyle w:val="3"/>
        <w:rPr>
          <w:color w:val="auto"/>
          <w:highlight w:val="none"/>
        </w:rPr>
      </w:pPr>
      <w:bookmarkStart w:id="1356" w:name="_Toc6815"/>
      <w:bookmarkStart w:id="1357" w:name="_Toc31923"/>
      <w:bookmarkStart w:id="1358" w:name="_Toc15367"/>
      <w:bookmarkStart w:id="1359" w:name="_Toc25621"/>
      <w:bookmarkStart w:id="1360" w:name="_Toc44"/>
      <w:bookmarkStart w:id="1361" w:name="_Toc21184"/>
      <w:r>
        <w:rPr>
          <w:rFonts w:hint="eastAsia"/>
          <w:color w:val="auto"/>
          <w:highlight w:val="none"/>
          <w:lang w:val="en-US" w:eastAsia="zh-CN"/>
        </w:rPr>
        <w:t>九</w:t>
      </w:r>
      <w:r>
        <w:rPr>
          <w:rFonts w:hint="eastAsia"/>
          <w:color w:val="auto"/>
          <w:highlight w:val="none"/>
        </w:rPr>
        <w:t>、其他资料</w:t>
      </w:r>
      <w:bookmarkEnd w:id="1356"/>
      <w:bookmarkEnd w:id="1357"/>
      <w:bookmarkEnd w:id="1358"/>
      <w:bookmarkEnd w:id="1359"/>
      <w:bookmarkEnd w:id="1360"/>
      <w:bookmarkEnd w:id="1361"/>
    </w:p>
    <w:p w14:paraId="6B34F22D">
      <w:pPr>
        <w:pStyle w:val="18"/>
        <w:spacing w:line="360" w:lineRule="auto"/>
        <w:ind w:firstLine="840" w:firstLineChars="400"/>
        <w:rPr>
          <w:rFonts w:hint="eastAsia" w:ascii="宋体" w:hAnsi="宋体" w:eastAsia="宋体" w:cs="宋体"/>
          <w:color w:val="auto"/>
          <w:sz w:val="21"/>
          <w:szCs w:val="21"/>
          <w:highlight w:val="none"/>
        </w:rPr>
        <w:sectPr>
          <w:pgSz w:w="11906" w:h="16838"/>
          <w:pgMar w:top="1247" w:right="1253" w:bottom="1247" w:left="1293" w:header="720" w:footer="833" w:gutter="0"/>
          <w:pgBorders>
            <w:top w:val="none" w:sz="0" w:space="0"/>
            <w:left w:val="none" w:sz="0" w:space="0"/>
            <w:bottom w:val="none" w:sz="0" w:space="0"/>
            <w:right w:val="none" w:sz="0" w:space="0"/>
          </w:pgBorders>
          <w:pgNumType w:fmt="decimal"/>
          <w:cols w:space="0" w:num="1"/>
          <w:titlePg/>
          <w:rtlGutter w:val="0"/>
          <w:docGrid w:type="lines" w:linePitch="312" w:charSpace="0"/>
        </w:sectPr>
      </w:pPr>
      <w:r>
        <w:rPr>
          <w:rFonts w:hint="eastAsia" w:ascii="宋体" w:hAnsi="宋体" w:eastAsia="宋体" w:cs="宋体"/>
          <w:color w:val="auto"/>
          <w:sz w:val="21"/>
          <w:szCs w:val="21"/>
          <w:highlight w:val="none"/>
        </w:rPr>
        <w:t>格式自拟，</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在编制</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时，可以根据</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要求提供其他材料。但不得与</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或本</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格式列出的内容相抵触。</w:t>
      </w:r>
    </w:p>
    <w:p w14:paraId="64B05530">
      <w:pPr>
        <w:bidi w:val="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附：响应报价（最终报价）</w:t>
      </w:r>
      <w:r>
        <w:rPr>
          <w:rFonts w:hint="eastAsia"/>
          <w:color w:val="auto"/>
          <w:sz w:val="24"/>
          <w:szCs w:val="24"/>
          <w:highlight w:val="none"/>
          <w:lang w:eastAsia="zh-CN"/>
        </w:rPr>
        <w:t>，</w:t>
      </w:r>
      <w:r>
        <w:rPr>
          <w:rFonts w:hint="eastAsia"/>
          <w:color w:val="auto"/>
          <w:sz w:val="24"/>
          <w:szCs w:val="24"/>
          <w:highlight w:val="none"/>
          <w:lang w:val="en-US" w:eastAsia="zh-CN"/>
        </w:rPr>
        <w:t>首次递交响应文件时无需提交，磋商后二次报价</w:t>
      </w:r>
      <w:bookmarkStart w:id="1362" w:name="_GoBack"/>
      <w:bookmarkEnd w:id="1362"/>
      <w:r>
        <w:rPr>
          <w:rFonts w:hint="eastAsia"/>
          <w:color w:val="auto"/>
          <w:sz w:val="24"/>
          <w:szCs w:val="24"/>
          <w:highlight w:val="none"/>
          <w:lang w:val="en-US" w:eastAsia="zh-CN"/>
        </w:rPr>
        <w:t>按照以下格式填写并作为附件上传至云南省政府采购电子交易平台（政采云）。</w:t>
      </w:r>
    </w:p>
    <w:p w14:paraId="11EC094D">
      <w:pPr>
        <w:bidi w:val="0"/>
        <w:spacing w:line="360" w:lineRule="auto"/>
        <w:jc w:val="center"/>
        <w:rPr>
          <w:rFonts w:hint="eastAsia"/>
          <w:b/>
          <w:bCs/>
          <w:color w:val="auto"/>
          <w:sz w:val="24"/>
          <w:szCs w:val="24"/>
          <w:highlight w:val="none"/>
        </w:rPr>
      </w:pPr>
      <w:r>
        <w:rPr>
          <w:rFonts w:hint="eastAsia"/>
          <w:b/>
          <w:bCs/>
          <w:color w:val="auto"/>
          <w:sz w:val="24"/>
          <w:szCs w:val="24"/>
          <w:highlight w:val="none"/>
          <w:lang w:val="en-US" w:eastAsia="zh-CN"/>
        </w:rPr>
        <w:t>响应报价</w:t>
      </w:r>
      <w:r>
        <w:rPr>
          <w:rFonts w:hint="eastAsia"/>
          <w:b/>
          <w:bCs/>
          <w:color w:val="auto"/>
          <w:sz w:val="24"/>
          <w:szCs w:val="24"/>
          <w:highlight w:val="none"/>
          <w:lang w:eastAsia="zh-CN"/>
        </w:rPr>
        <w:t>（</w:t>
      </w:r>
      <w:r>
        <w:rPr>
          <w:rFonts w:hint="eastAsia"/>
          <w:b/>
          <w:bCs/>
          <w:color w:val="auto"/>
          <w:sz w:val="24"/>
          <w:szCs w:val="24"/>
          <w:highlight w:val="none"/>
          <w:lang w:val="en-US" w:eastAsia="zh-CN"/>
        </w:rPr>
        <w:t>最终报价</w:t>
      </w:r>
      <w:r>
        <w:rPr>
          <w:rFonts w:hint="eastAsia"/>
          <w:b/>
          <w:bCs/>
          <w:color w:val="auto"/>
          <w:sz w:val="24"/>
          <w:szCs w:val="24"/>
          <w:highlight w:val="none"/>
          <w:lang w:eastAsia="zh-CN"/>
        </w:rPr>
        <w:t>）</w:t>
      </w:r>
    </w:p>
    <w:p w14:paraId="280E00ED">
      <w:pPr>
        <w:pStyle w:val="6"/>
        <w:ind w:firstLine="0" w:firstLineChars="0"/>
        <w:rPr>
          <w:rFonts w:hint="eastAsia" w:eastAsiaTheme="majorEastAsia"/>
          <w:color w:val="auto"/>
          <w:highlight w:val="none"/>
          <w:lang w:eastAsia="zh-CN"/>
        </w:rPr>
      </w:pPr>
      <w:r>
        <w:rPr>
          <w:rFonts w:hint="eastAsia"/>
          <w:color w:val="auto"/>
          <w:highlight w:val="none"/>
        </w:rPr>
        <w:t>（一）报价一览表</w:t>
      </w:r>
    </w:p>
    <w:p w14:paraId="5FDAE2F5">
      <w:pPr>
        <w:pStyle w:val="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bl>
      <w:tblPr>
        <w:tblStyle w:val="32"/>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728"/>
      </w:tblGrid>
      <w:tr w14:paraId="43B85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atLeast"/>
          <w:jc w:val="center"/>
        </w:trPr>
        <w:tc>
          <w:tcPr>
            <w:tcW w:w="817" w:type="dxa"/>
            <w:vAlign w:val="center"/>
          </w:tcPr>
          <w:p w14:paraId="6943DA12">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77" w:type="dxa"/>
            <w:vAlign w:val="center"/>
          </w:tcPr>
          <w:p w14:paraId="70D4B8F7">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条款内容</w:t>
            </w:r>
          </w:p>
        </w:tc>
        <w:tc>
          <w:tcPr>
            <w:tcW w:w="5728" w:type="dxa"/>
            <w:vAlign w:val="center"/>
          </w:tcPr>
          <w:p w14:paraId="664AC785">
            <w:pPr>
              <w:pStyle w:val="9"/>
              <w:keepNext w:val="0"/>
              <w:keepLines w:val="0"/>
              <w:suppressLineNumbers w:val="0"/>
              <w:spacing w:before="0" w:beforeAutospacing="0" w:after="0" w:afterAutospacing="0"/>
              <w:ind w:left="0" w:right="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响应内容</w:t>
            </w:r>
          </w:p>
        </w:tc>
      </w:tr>
      <w:tr w14:paraId="2DC8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817" w:type="dxa"/>
            <w:vAlign w:val="center"/>
          </w:tcPr>
          <w:p w14:paraId="51A2192E">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77" w:type="dxa"/>
            <w:vAlign w:val="center"/>
          </w:tcPr>
          <w:p w14:paraId="760E3460">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响应</w:t>
            </w:r>
            <w:r>
              <w:rPr>
                <w:rFonts w:hint="eastAsia" w:ascii="宋体" w:hAnsi="宋体" w:eastAsia="宋体" w:cs="宋体"/>
                <w:color w:val="auto"/>
                <w:sz w:val="21"/>
                <w:szCs w:val="21"/>
                <w:highlight w:val="none"/>
              </w:rPr>
              <w:t>报价</w:t>
            </w:r>
          </w:p>
        </w:tc>
        <w:tc>
          <w:tcPr>
            <w:tcW w:w="5728" w:type="dxa"/>
            <w:vAlign w:val="center"/>
          </w:tcPr>
          <w:p w14:paraId="6A4E8064">
            <w:pPr>
              <w:pStyle w:val="9"/>
              <w:keepNext w:val="0"/>
              <w:keepLines w:val="0"/>
              <w:suppressLineNumbers w:val="0"/>
              <w:spacing w:before="0" w:beforeAutospacing="0" w:after="0" w:afterAutospacing="0" w:line="360" w:lineRule="auto"/>
              <w:ind w:left="0" w:right="0" w:firstLine="0" w:firstLineChars="0"/>
              <w:jc w:val="lef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小写：</w:t>
            </w:r>
          </w:p>
          <w:p w14:paraId="615D505E">
            <w:pPr>
              <w:pStyle w:val="9"/>
              <w:keepNext w:val="0"/>
              <w:keepLines w:val="0"/>
              <w:suppressLineNumbers w:val="0"/>
              <w:spacing w:before="0" w:beforeAutospacing="0" w:after="0" w:afterAutospacing="0"/>
              <w:ind w:left="0" w:right="0" w:firstLine="0" w:firstLineChars="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大写：</w:t>
            </w:r>
          </w:p>
        </w:tc>
      </w:tr>
      <w:tr w14:paraId="3534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0B497C84">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77" w:type="dxa"/>
            <w:vAlign w:val="center"/>
          </w:tcPr>
          <w:p w14:paraId="375A794C">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合同履行期限</w:t>
            </w:r>
          </w:p>
        </w:tc>
        <w:tc>
          <w:tcPr>
            <w:tcW w:w="5728" w:type="dxa"/>
            <w:vAlign w:val="center"/>
          </w:tcPr>
          <w:p w14:paraId="4190FD95">
            <w:pPr>
              <w:keepNext w:val="0"/>
              <w:keepLines w:val="0"/>
              <w:suppressLineNumbers w:val="0"/>
              <w:spacing w:before="0" w:beforeAutospacing="0" w:after="0" w:afterAutospacing="0" w:line="460" w:lineRule="exact"/>
              <w:ind w:left="0" w:right="0"/>
              <w:rPr>
                <w:rFonts w:hint="eastAsia" w:ascii="宋体" w:hAnsi="宋体" w:eastAsia="宋体" w:cs="宋体"/>
                <w:color w:val="auto"/>
                <w:sz w:val="21"/>
                <w:szCs w:val="21"/>
                <w:highlight w:val="none"/>
              </w:rPr>
            </w:pPr>
          </w:p>
        </w:tc>
      </w:tr>
      <w:tr w14:paraId="6981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41344534">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77" w:type="dxa"/>
            <w:vAlign w:val="center"/>
          </w:tcPr>
          <w:p w14:paraId="3A7B80C9">
            <w:pPr>
              <w:pStyle w:val="9"/>
              <w:keepNext w:val="0"/>
              <w:keepLines w:val="0"/>
              <w:suppressLineNumbers w:val="0"/>
              <w:spacing w:before="0" w:beforeAutospacing="0" w:after="0" w:afterAutospacing="0"/>
              <w:ind w:left="0" w:right="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质量承诺</w:t>
            </w:r>
          </w:p>
        </w:tc>
        <w:tc>
          <w:tcPr>
            <w:tcW w:w="5728" w:type="dxa"/>
            <w:vAlign w:val="center"/>
          </w:tcPr>
          <w:p w14:paraId="75D11561">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rPr>
            </w:pPr>
          </w:p>
        </w:tc>
      </w:tr>
      <w:tr w14:paraId="5303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4CEEB478">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2977" w:type="dxa"/>
            <w:vAlign w:val="center"/>
          </w:tcPr>
          <w:p w14:paraId="39147E81">
            <w:pPr>
              <w:pStyle w:val="9"/>
              <w:keepNext w:val="0"/>
              <w:keepLines w:val="0"/>
              <w:suppressLineNumbers w:val="0"/>
              <w:spacing w:before="0" w:beforeAutospacing="0" w:after="0" w:afterAutospacing="0"/>
              <w:ind w:left="0" w:right="0" w:firstLine="0" w:firstLineChars="0"/>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项目地点</w:t>
            </w:r>
          </w:p>
        </w:tc>
        <w:tc>
          <w:tcPr>
            <w:tcW w:w="5728" w:type="dxa"/>
            <w:vAlign w:val="center"/>
          </w:tcPr>
          <w:p w14:paraId="6342127D">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rPr>
            </w:pPr>
          </w:p>
        </w:tc>
      </w:tr>
      <w:tr w14:paraId="01513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7" w:type="dxa"/>
            <w:vAlign w:val="center"/>
          </w:tcPr>
          <w:p w14:paraId="4B8F949C">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2977" w:type="dxa"/>
            <w:vAlign w:val="center"/>
          </w:tcPr>
          <w:p w14:paraId="7108BFD2">
            <w:pPr>
              <w:pStyle w:val="9"/>
              <w:keepNext w:val="0"/>
              <w:keepLines w:val="0"/>
              <w:suppressLineNumbers w:val="0"/>
              <w:spacing w:before="0" w:beforeAutospacing="0" w:after="0" w:afterAutospacing="0"/>
              <w:ind w:left="0"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5728" w:type="dxa"/>
            <w:vAlign w:val="center"/>
          </w:tcPr>
          <w:p w14:paraId="66E9B62A">
            <w:pPr>
              <w:pStyle w:val="9"/>
              <w:keepNext w:val="0"/>
              <w:keepLines w:val="0"/>
              <w:suppressLineNumbers w:val="0"/>
              <w:spacing w:before="0" w:beforeAutospacing="0" w:after="0" w:afterAutospacing="0"/>
              <w:ind w:left="0" w:right="0" w:firstLine="0" w:firstLineChars="0"/>
              <w:rPr>
                <w:rFonts w:hint="eastAsia" w:ascii="宋体" w:hAnsi="宋体" w:eastAsia="宋体" w:cs="宋体"/>
                <w:color w:val="auto"/>
                <w:sz w:val="21"/>
                <w:szCs w:val="21"/>
                <w:highlight w:val="none"/>
              </w:rPr>
            </w:pPr>
          </w:p>
        </w:tc>
      </w:tr>
      <w:tr w14:paraId="4A8F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6" w:hRule="atLeast"/>
          <w:jc w:val="center"/>
        </w:trPr>
        <w:tc>
          <w:tcPr>
            <w:tcW w:w="9522" w:type="dxa"/>
            <w:gridSpan w:val="3"/>
            <w:vAlign w:val="center"/>
          </w:tcPr>
          <w:p w14:paraId="1F25F1C0">
            <w:pPr>
              <w:keepNext w:val="0"/>
              <w:keepLines w:val="0"/>
              <w:suppressLineNumbers w:val="0"/>
              <w:spacing w:before="0" w:beforeAutospacing="0" w:after="0" w:afterAutospacing="0" w:line="480" w:lineRule="auto"/>
              <w:ind w:left="0" w:right="0" w:firstLine="2" w:firstLineChars="1"/>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48FABE1E">
            <w:pPr>
              <w:keepNext w:val="0"/>
              <w:keepLines w:val="0"/>
              <w:suppressLineNumbers w:val="0"/>
              <w:spacing w:before="0" w:beforeAutospacing="0" w:after="0" w:afterAutospacing="0" w:line="480" w:lineRule="auto"/>
              <w:ind w:left="0" w:right="0" w:firstLine="2" w:firstLineChars="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电子签章</w:t>
            </w:r>
            <w:r>
              <w:rPr>
                <w:rFonts w:hint="eastAsia" w:ascii="宋体" w:hAnsi="宋体" w:cs="宋体"/>
                <w:color w:val="auto"/>
                <w:sz w:val="21"/>
                <w:szCs w:val="21"/>
                <w:highlight w:val="none"/>
                <w:u w:val="none"/>
                <w:lang w:eastAsia="zh-CN"/>
              </w:rPr>
              <w:t>）</w:t>
            </w:r>
          </w:p>
          <w:p w14:paraId="6D99052D">
            <w:pPr>
              <w:pStyle w:val="9"/>
              <w:keepNext w:val="0"/>
              <w:keepLines w:val="0"/>
              <w:suppressLineNumbers w:val="0"/>
              <w:spacing w:before="0" w:beforeAutospacing="0" w:after="0" w:afterAutospacing="0" w:line="480" w:lineRule="auto"/>
              <w:ind w:left="0" w:right="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tc>
      </w:tr>
    </w:tbl>
    <w:p w14:paraId="44062EEA">
      <w:pPr>
        <w:pStyle w:val="1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注：1、报价的计算应包括</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成交后为完成合同规定的全部任务需支付的一切费用和拟获得的利润，并考虑应承担的风险。</w:t>
      </w:r>
    </w:p>
    <w:p w14:paraId="74960D51">
      <w:pPr>
        <w:pStyle w:val="18"/>
        <w:spacing w:line="360" w:lineRule="auto"/>
        <w:ind w:firstLine="840" w:firstLineChars="400"/>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2.</w:t>
      </w:r>
      <w:r>
        <w:rPr>
          <w:rFonts w:hint="eastAsia" w:hAnsi="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报价应为人民币含税全包价。</w:t>
      </w:r>
    </w:p>
    <w:p w14:paraId="3F5AF7EF">
      <w:pPr>
        <w:pStyle w:val="18"/>
        <w:spacing w:line="360" w:lineRule="auto"/>
        <w:ind w:firstLine="840" w:firstLineChars="400"/>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3.</w:t>
      </w:r>
      <w:r>
        <w:rPr>
          <w:rFonts w:hint="eastAsia" w:hAnsi="宋体" w:cs="宋体"/>
          <w:color w:val="auto"/>
          <w:sz w:val="21"/>
          <w:szCs w:val="21"/>
          <w:highlight w:val="none"/>
          <w:lang w:val="en-US" w:eastAsia="zh-CN"/>
        </w:rPr>
        <w:t>磋商</w:t>
      </w:r>
      <w:r>
        <w:rPr>
          <w:rFonts w:hint="eastAsia" w:ascii="宋体" w:hAnsi="宋体" w:eastAsia="宋体" w:cs="宋体"/>
          <w:color w:val="auto"/>
          <w:sz w:val="21"/>
          <w:szCs w:val="21"/>
          <w:highlight w:val="none"/>
        </w:rPr>
        <w:t>报价超过采购项目</w:t>
      </w:r>
      <w:r>
        <w:rPr>
          <w:rFonts w:hint="eastAsia" w:hAnsi="宋体" w:cs="宋体"/>
          <w:color w:val="auto"/>
          <w:sz w:val="21"/>
          <w:szCs w:val="21"/>
          <w:highlight w:val="none"/>
          <w:lang w:val="en-US" w:eastAsia="zh-CN"/>
        </w:rPr>
        <w:t>最高限价</w:t>
      </w:r>
      <w:r>
        <w:rPr>
          <w:rFonts w:hint="eastAsia" w:ascii="宋体" w:hAnsi="宋体" w:eastAsia="宋体" w:cs="宋体"/>
          <w:color w:val="auto"/>
          <w:sz w:val="21"/>
          <w:szCs w:val="21"/>
          <w:highlight w:val="none"/>
        </w:rPr>
        <w:t>的按</w:t>
      </w:r>
      <w:r>
        <w:rPr>
          <w:rFonts w:hint="eastAsia" w:hAnsi="宋体" w:cs="宋体"/>
          <w:color w:val="auto"/>
          <w:sz w:val="21"/>
          <w:szCs w:val="21"/>
          <w:highlight w:val="none"/>
          <w:lang w:val="en-US" w:eastAsia="zh-CN"/>
        </w:rPr>
        <w:t>无效响应</w:t>
      </w:r>
      <w:r>
        <w:rPr>
          <w:rFonts w:hint="eastAsia" w:ascii="宋体" w:hAnsi="宋体" w:eastAsia="宋体" w:cs="宋体"/>
          <w:color w:val="auto"/>
          <w:sz w:val="21"/>
          <w:szCs w:val="21"/>
          <w:highlight w:val="none"/>
        </w:rPr>
        <w:t>处理。</w:t>
      </w:r>
    </w:p>
    <w:p w14:paraId="75F69B65">
      <w:pPr>
        <w:pStyle w:val="18"/>
        <w:spacing w:line="360" w:lineRule="auto"/>
        <w:ind w:firstLine="840" w:firstLineChars="40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4.首次递交响应文件不用提交，磋商后上传。</w:t>
      </w:r>
    </w:p>
    <w:p w14:paraId="0531C63B">
      <w:pPr>
        <w:rPr>
          <w:rFonts w:hint="eastAsia"/>
          <w:color w:val="auto"/>
          <w:highlight w:val="none"/>
        </w:rPr>
      </w:pPr>
      <w:r>
        <w:rPr>
          <w:rFonts w:hint="eastAsia"/>
          <w:color w:val="auto"/>
          <w:highlight w:val="none"/>
        </w:rPr>
        <w:br w:type="page"/>
      </w:r>
    </w:p>
    <w:p w14:paraId="1716ED1F">
      <w:pPr>
        <w:pStyle w:val="6"/>
        <w:ind w:firstLine="0" w:firstLineChars="0"/>
        <w:rPr>
          <w:rFonts w:hint="default"/>
          <w:color w:val="auto"/>
          <w:highlight w:val="none"/>
          <w:lang w:val="en-US" w:eastAsia="zh-CN"/>
        </w:rPr>
      </w:pPr>
      <w:r>
        <w:rPr>
          <w:rFonts w:hint="eastAsia"/>
          <w:color w:val="auto"/>
          <w:highlight w:val="none"/>
        </w:rPr>
        <w:t>（二）</w:t>
      </w:r>
      <w:r>
        <w:rPr>
          <w:rFonts w:hint="eastAsia"/>
          <w:color w:val="auto"/>
          <w:highlight w:val="none"/>
          <w:lang w:val="en-US" w:eastAsia="zh-CN"/>
        </w:rPr>
        <w:t>已标价工程量清单</w:t>
      </w:r>
    </w:p>
    <w:p w14:paraId="1B8E854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1.</w:t>
      </w:r>
      <w:r>
        <w:rPr>
          <w:rFonts w:hint="eastAsia" w:ascii="宋体" w:hAnsi="宋体" w:cs="宋体"/>
          <w:color w:val="auto"/>
          <w:highlight w:val="none"/>
          <w:lang w:eastAsia="zh-CN"/>
        </w:rPr>
        <w:t>响应报价</w:t>
      </w:r>
      <w:r>
        <w:rPr>
          <w:rFonts w:hint="eastAsia" w:ascii="宋体" w:hAnsi="宋体" w:eastAsia="宋体" w:cs="宋体"/>
          <w:color w:val="auto"/>
          <w:highlight w:val="none"/>
        </w:rPr>
        <w:t>编制说明</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格式自拟</w:t>
      </w:r>
      <w:r>
        <w:rPr>
          <w:rFonts w:hint="eastAsia" w:ascii="宋体" w:hAnsi="宋体" w:cs="宋体"/>
          <w:color w:val="auto"/>
          <w:highlight w:val="none"/>
          <w:lang w:eastAsia="zh-CN"/>
        </w:rPr>
        <w:t>）</w:t>
      </w:r>
    </w:p>
    <w:p w14:paraId="02DFD2B5">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lang w:eastAsia="zh-CN"/>
        </w:rPr>
        <w:t>响应报价</w:t>
      </w:r>
      <w:r>
        <w:rPr>
          <w:rFonts w:hint="eastAsia" w:ascii="宋体" w:hAnsi="宋体" w:eastAsia="宋体" w:cs="宋体"/>
          <w:color w:val="auto"/>
          <w:highlight w:val="none"/>
        </w:rPr>
        <w:t>表格式按第</w:t>
      </w:r>
      <w:r>
        <w:rPr>
          <w:rFonts w:hint="eastAsia" w:ascii="宋体" w:hAnsi="宋体" w:cs="宋体"/>
          <w:color w:val="auto"/>
          <w:highlight w:val="none"/>
          <w:lang w:val="en-US" w:eastAsia="zh-CN"/>
        </w:rPr>
        <w:t>三</w:t>
      </w:r>
      <w:r>
        <w:rPr>
          <w:rFonts w:hint="eastAsia" w:ascii="宋体" w:hAnsi="宋体" w:eastAsia="宋体" w:cs="宋体"/>
          <w:color w:val="auto"/>
          <w:highlight w:val="none"/>
        </w:rPr>
        <w:t>章“</w:t>
      </w:r>
      <w:r>
        <w:rPr>
          <w:rFonts w:hint="eastAsia" w:ascii="宋体" w:hAnsi="宋体" w:cs="宋体"/>
          <w:color w:val="auto"/>
          <w:highlight w:val="none"/>
          <w:lang w:val="en-US" w:eastAsia="zh-CN"/>
        </w:rPr>
        <w:t>采购需求</w:t>
      </w:r>
      <w:r>
        <w:rPr>
          <w:rFonts w:hint="eastAsia" w:ascii="宋体" w:hAnsi="宋体" w:eastAsia="宋体" w:cs="宋体"/>
          <w:color w:val="auto"/>
          <w:highlight w:val="none"/>
        </w:rPr>
        <w:t>”中提供的工程量清单格式填写。</w:t>
      </w:r>
    </w:p>
    <w:sectPr>
      <w:pgSz w:w="11906" w:h="16838"/>
      <w:pgMar w:top="1247" w:right="1253" w:bottom="1247" w:left="1293" w:header="720" w:footer="833" w:gutter="0"/>
      <w:pgBorders>
        <w:top w:val="none" w:sz="0" w:space="0"/>
        <w:left w:val="none" w:sz="0" w:space="0"/>
        <w:bottom w:val="none" w:sz="0" w:space="0"/>
        <w:right w:val="none" w:sz="0" w:space="0"/>
      </w:pgBorders>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Noto Sans Mono CJK JP Regular">
    <w:altName w:val="Arial"/>
    <w:panose1 w:val="00000000000000000000"/>
    <w:charset w:val="00"/>
    <w:family w:val="swiss"/>
    <w:pitch w:val="default"/>
    <w:sig w:usb0="00000000" w:usb1="00000000" w:usb2="00000000"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E9805">
    <w:pPr>
      <w:pStyle w:val="20"/>
      <w:jc w:val="right"/>
    </w:pPr>
    <w:r>
      <w:drawing>
        <wp:inline distT="0" distB="0" distL="114300" distR="114300">
          <wp:extent cx="170815" cy="170180"/>
          <wp:effectExtent l="0" t="0" r="635" b="1270"/>
          <wp:docPr id="6"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LOGO"/>
                  <pic:cNvPicPr>
                    <a:picLocks noChangeAspect="1"/>
                  </pic:cNvPicPr>
                </pic:nvPicPr>
                <pic:blipFill>
                  <a:blip r:embed="rId1"/>
                  <a:stretch>
                    <a:fillRect/>
                  </a:stretch>
                </pic:blipFill>
                <pic:spPr>
                  <a:xfrm>
                    <a:off x="0" y="0"/>
                    <a:ext cx="170815" cy="170180"/>
                  </a:xfrm>
                  <a:prstGeom prst="rect">
                    <a:avLst/>
                  </a:prstGeom>
                  <a:noFill/>
                  <a:ln>
                    <a:noFill/>
                  </a:ln>
                </pic:spPr>
              </pic:pic>
            </a:graphicData>
          </a:graphic>
        </wp:inline>
      </w:drawing>
    </w:r>
    <w:r>
      <w:rPr>
        <w:rFonts w:hint="eastAsia"/>
        <w:sz w:val="21"/>
        <w:szCs w:val="21"/>
      </w:rPr>
      <w:t>云南嘉融建设工程管理有限责任公司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4D3B1">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C91B0">
    <w:pPr>
      <w:pStyle w:val="20"/>
      <w:widowControl w:val="0"/>
      <w:pBdr>
        <w:top w:val="none" w:color="auto" w:sz="0" w:space="1"/>
        <w:left w:val="none" w:color="auto" w:sz="0" w:space="4"/>
        <w:bottom w:val="thickThinSmallGap" w:color="auto" w:sz="12" w:space="1"/>
        <w:right w:val="none" w:color="auto" w:sz="0" w:space="4"/>
        <w:between w:val="none" w:color="auto" w:sz="0" w:space="0"/>
      </w:pBdr>
      <w:snapToGrid w:val="0"/>
      <w:jc w:val="right"/>
    </w:pPr>
    <w:r>
      <w:drawing>
        <wp:inline distT="0" distB="0" distL="114300" distR="114300">
          <wp:extent cx="170815" cy="170180"/>
          <wp:effectExtent l="0" t="0" r="635" b="1270"/>
          <wp:docPr id="7"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LOGO"/>
                  <pic:cNvPicPr>
                    <a:picLocks noChangeAspect="1"/>
                  </pic:cNvPicPr>
                </pic:nvPicPr>
                <pic:blipFill>
                  <a:blip r:embed="rId1"/>
                  <a:stretch>
                    <a:fillRect/>
                  </a:stretch>
                </pic:blipFill>
                <pic:spPr>
                  <a:xfrm>
                    <a:off x="0" y="0"/>
                    <a:ext cx="170815" cy="170180"/>
                  </a:xfrm>
                  <a:prstGeom prst="rect">
                    <a:avLst/>
                  </a:prstGeom>
                  <a:noFill/>
                  <a:ln>
                    <a:noFill/>
                  </a:ln>
                </pic:spPr>
              </pic:pic>
            </a:graphicData>
          </a:graphic>
        </wp:inline>
      </w:drawing>
    </w:r>
    <w:r>
      <w:rPr>
        <w:rFonts w:hint="eastAsia"/>
        <w:b/>
        <w:bCs/>
        <w:sz w:val="21"/>
        <w:szCs w:val="21"/>
      </w:rPr>
      <w:t>云南嘉融建设工程管理有限责任公司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CC18A">
    <w:pPr>
      <w:pStyle w:val="20"/>
      <w:widowControl w:val="0"/>
      <w:pBdr>
        <w:top w:val="none" w:color="auto" w:sz="0" w:space="1"/>
        <w:left w:val="none" w:color="auto" w:sz="0" w:space="4"/>
        <w:bottom w:val="thickThinSmallGap" w:color="auto" w:sz="12" w:space="1"/>
        <w:right w:val="none" w:color="auto" w:sz="0" w:space="4"/>
        <w:between w:val="none" w:color="auto" w:sz="0" w:space="0"/>
      </w:pBdr>
      <w:snapToGrid w:val="0"/>
      <w:jc w:val="right"/>
    </w:pPr>
    <w:r>
      <w:drawing>
        <wp:inline distT="0" distB="0" distL="114300" distR="114300">
          <wp:extent cx="170815" cy="170180"/>
          <wp:effectExtent l="0" t="0" r="635" b="1270"/>
          <wp:docPr id="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LOGO"/>
                  <pic:cNvPicPr>
                    <a:picLocks noChangeAspect="1"/>
                  </pic:cNvPicPr>
                </pic:nvPicPr>
                <pic:blipFill>
                  <a:blip r:embed="rId1"/>
                  <a:stretch>
                    <a:fillRect/>
                  </a:stretch>
                </pic:blipFill>
                <pic:spPr>
                  <a:xfrm>
                    <a:off x="0" y="0"/>
                    <a:ext cx="170815" cy="170180"/>
                  </a:xfrm>
                  <a:prstGeom prst="rect">
                    <a:avLst/>
                  </a:prstGeom>
                  <a:noFill/>
                  <a:ln>
                    <a:noFill/>
                  </a:ln>
                </pic:spPr>
              </pic:pic>
            </a:graphicData>
          </a:graphic>
        </wp:inline>
      </w:drawing>
    </w:r>
    <w:r>
      <w:rPr>
        <w:rFonts w:hint="eastAsia"/>
        <w:b/>
        <w:bCs/>
        <w:sz w:val="21"/>
        <w:szCs w:val="21"/>
      </w:rPr>
      <w:t>云南嘉融建设工程管理有限责任公司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24B72">
    <w:pPr>
      <w:pStyle w:val="20"/>
      <w:widowControl w:val="0"/>
      <w:pBdr>
        <w:top w:val="none" w:color="auto" w:sz="0" w:space="1"/>
        <w:left w:val="none" w:color="auto" w:sz="0" w:space="4"/>
        <w:bottom w:val="thickThinSmallGap" w:color="auto" w:sz="12" w:space="1"/>
        <w:right w:val="none" w:color="auto" w:sz="0" w:space="4"/>
        <w:between w:val="none" w:color="auto" w:sz="0" w:space="0"/>
      </w:pBdr>
      <w:snapToGrid w:val="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2450A9">
                          <w:pPr>
                            <w:pStyle w:val="20"/>
                          </w:pPr>
                          <w:r>
                            <w:t xml:space="preserve">第 </w:t>
                          </w:r>
                          <w:r>
                            <w:fldChar w:fldCharType="begin"/>
                          </w:r>
                          <w:r>
                            <w:instrText xml:space="preserve"> PAGE  \* MERGEFORMAT </w:instrText>
                          </w:r>
                          <w:r>
                            <w:fldChar w:fldCharType="separate"/>
                          </w:r>
                          <w:r>
                            <w:t>II</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F2450A9">
                    <w:pPr>
                      <w:pStyle w:val="20"/>
                    </w:pPr>
                    <w:r>
                      <w:t xml:space="preserve">第 </w:t>
                    </w:r>
                    <w:r>
                      <w:fldChar w:fldCharType="begin"/>
                    </w:r>
                    <w:r>
                      <w:instrText xml:space="preserve"> PAGE  \* MERGEFORMAT </w:instrText>
                    </w:r>
                    <w:r>
                      <w:fldChar w:fldCharType="separate"/>
                    </w:r>
                    <w:r>
                      <w:t>II</w:t>
                    </w:r>
                    <w:r>
                      <w:fldChar w:fldCharType="end"/>
                    </w:r>
                    <w:r>
                      <w:t xml:space="preserve"> 页</w:t>
                    </w:r>
                  </w:p>
                </w:txbxContent>
              </v:textbox>
            </v:shape>
          </w:pict>
        </mc:Fallback>
      </mc:AlternateContent>
    </w:r>
    <w:r>
      <w:drawing>
        <wp:inline distT="0" distB="0" distL="114300" distR="114300">
          <wp:extent cx="170815" cy="170180"/>
          <wp:effectExtent l="0" t="0" r="635" b="1270"/>
          <wp:docPr id="8"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LOGO"/>
                  <pic:cNvPicPr>
                    <a:picLocks noChangeAspect="1"/>
                  </pic:cNvPicPr>
                </pic:nvPicPr>
                <pic:blipFill>
                  <a:blip r:embed="rId1"/>
                  <a:stretch>
                    <a:fillRect/>
                  </a:stretch>
                </pic:blipFill>
                <pic:spPr>
                  <a:xfrm>
                    <a:off x="0" y="0"/>
                    <a:ext cx="170815" cy="170180"/>
                  </a:xfrm>
                  <a:prstGeom prst="rect">
                    <a:avLst/>
                  </a:prstGeom>
                  <a:noFill/>
                  <a:ln>
                    <a:noFill/>
                  </a:ln>
                </pic:spPr>
              </pic:pic>
            </a:graphicData>
          </a:graphic>
        </wp:inline>
      </w:drawing>
    </w:r>
    <w:r>
      <w:rPr>
        <w:rFonts w:hint="eastAsia"/>
        <w:b/>
        <w:bCs/>
        <w:sz w:val="21"/>
        <w:szCs w:val="21"/>
      </w:rPr>
      <w:t>云南嘉融建设工程管理有限责任公司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3B2D2">
    <w:pPr>
      <w:pStyle w:val="20"/>
      <w:widowControl w:val="0"/>
      <w:pBdr>
        <w:top w:val="none" w:color="auto" w:sz="0" w:space="1"/>
        <w:left w:val="none" w:color="auto" w:sz="0" w:space="4"/>
        <w:bottom w:val="thickThinSmallGap" w:color="auto" w:sz="12" w:space="1"/>
        <w:right w:val="none" w:color="auto" w:sz="0" w:space="4"/>
        <w:between w:val="none" w:color="auto" w:sz="0" w:space="0"/>
      </w:pBdr>
      <w:snapToGrid w:val="0"/>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41707">
                          <w:pPr>
                            <w:pStyle w:val="20"/>
                          </w:pPr>
                          <w:r>
                            <w:t xml:space="preserve">第 </w:t>
                          </w:r>
                          <w:r>
                            <w:fldChar w:fldCharType="begin"/>
                          </w:r>
                          <w:r>
                            <w:instrText xml:space="preserve"> PAGE  \* MERGEFORMAT </w:instrText>
                          </w:r>
                          <w:r>
                            <w:fldChar w:fldCharType="separate"/>
                          </w:r>
                          <w:r>
                            <w:t>I</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7541707">
                    <w:pPr>
                      <w:pStyle w:val="20"/>
                    </w:pPr>
                    <w:r>
                      <w:t xml:space="preserve">第 </w:t>
                    </w:r>
                    <w:r>
                      <w:fldChar w:fldCharType="begin"/>
                    </w:r>
                    <w:r>
                      <w:instrText xml:space="preserve"> PAGE  \* MERGEFORMAT </w:instrText>
                    </w:r>
                    <w:r>
                      <w:fldChar w:fldCharType="separate"/>
                    </w:r>
                    <w:r>
                      <w:t>I</w:t>
                    </w:r>
                    <w:r>
                      <w:fldChar w:fldCharType="end"/>
                    </w:r>
                    <w:r>
                      <w:t xml:space="preserve"> 页</w:t>
                    </w:r>
                  </w:p>
                </w:txbxContent>
              </v:textbox>
            </v:shape>
          </w:pict>
        </mc:Fallback>
      </mc:AlternateContent>
    </w:r>
    <w:r>
      <w:drawing>
        <wp:inline distT="0" distB="0" distL="114300" distR="114300">
          <wp:extent cx="170815" cy="170180"/>
          <wp:effectExtent l="0" t="0" r="635" b="1270"/>
          <wp:docPr id="9"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LOGO"/>
                  <pic:cNvPicPr>
                    <a:picLocks noChangeAspect="1"/>
                  </pic:cNvPicPr>
                </pic:nvPicPr>
                <pic:blipFill>
                  <a:blip r:embed="rId1"/>
                  <a:stretch>
                    <a:fillRect/>
                  </a:stretch>
                </pic:blipFill>
                <pic:spPr>
                  <a:xfrm>
                    <a:off x="0" y="0"/>
                    <a:ext cx="170815" cy="170180"/>
                  </a:xfrm>
                  <a:prstGeom prst="rect">
                    <a:avLst/>
                  </a:prstGeom>
                  <a:noFill/>
                  <a:ln>
                    <a:noFill/>
                  </a:ln>
                </pic:spPr>
              </pic:pic>
            </a:graphicData>
          </a:graphic>
        </wp:inline>
      </w:drawing>
    </w:r>
    <w:r>
      <w:rPr>
        <w:rFonts w:hint="eastAsia"/>
        <w:b/>
        <w:bCs/>
        <w:sz w:val="21"/>
        <w:szCs w:val="21"/>
      </w:rPr>
      <w:t>云南嘉融建设工程管理有限责任公司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47EED">
    <w:pPr>
      <w:pStyle w:val="21"/>
      <w:pBdr>
        <w:bottom w:val="none" w:color="auto" w:sz="0" w:space="1"/>
      </w:pBdr>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08A0A">
    <w:pPr>
      <w:pStyle w:val="2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1A70A">
    <w:pPr>
      <w:pStyle w:val="21"/>
      <w:pBdr>
        <w:bottom w:val="thickThinSmallGap" w:color="auto" w:sz="12" w:space="1"/>
      </w:pBdr>
      <w:jc w:val="left"/>
      <w:rPr>
        <w:rFonts w:hint="default" w:eastAsia="宋体"/>
        <w:lang w:val="en-US" w:eastAsia="zh-CN"/>
      </w:rPr>
    </w:pPr>
    <w:r>
      <w:rPr>
        <w:rFonts w:hint="eastAsia"/>
        <w:b/>
        <w:bCs/>
        <w:lang w:val="en-US" w:eastAsia="zh-CN"/>
      </w:rPr>
      <w:t>红河县后山二台水库除险加固工程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AA9F2">
    <w:pPr>
      <w:pStyle w:val="21"/>
      <w:pBdr>
        <w:bottom w:val="thickThinSmallGap" w:color="auto" w:sz="12" w:space="1"/>
      </w:pBdr>
      <w:jc w:val="left"/>
      <w:rPr>
        <w:rFonts w:hint="default" w:eastAsia="宋体"/>
        <w:lang w:val="en-US" w:eastAsia="zh-CN"/>
      </w:rPr>
    </w:pPr>
    <w:r>
      <w:rPr>
        <w:rFonts w:hint="eastAsia"/>
        <w:b/>
        <w:bCs/>
        <w:lang w:val="en-US" w:eastAsia="zh-CN"/>
      </w:rPr>
      <w:t>红河县后山二台水库除险加固工程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0AB09B"/>
    <w:multiLevelType w:val="singleLevel"/>
    <w:tmpl w:val="D20AB09B"/>
    <w:lvl w:ilvl="0" w:tentative="0">
      <w:start w:val="3"/>
      <w:numFmt w:val="decimal"/>
      <w:suff w:val="nothing"/>
      <w:lvlText w:val="（%1）"/>
      <w:lvlJc w:val="left"/>
    </w:lvl>
  </w:abstractNum>
  <w:abstractNum w:abstractNumId="1">
    <w:nsid w:val="596C1E12"/>
    <w:multiLevelType w:val="multilevel"/>
    <w:tmpl w:val="596C1E12"/>
    <w:lvl w:ilvl="0" w:tentative="0">
      <w:start w:val="1"/>
      <w:numFmt w:val="decimal"/>
      <w:suff w:val="space"/>
      <w:lvlText w:val="%1"/>
      <w:lvlJc w:val="left"/>
      <w:pPr>
        <w:tabs>
          <w:tab w:val="left" w:pos="0"/>
        </w:tabs>
        <w:ind w:left="0" w:firstLine="0"/>
      </w:pPr>
      <w:rPr>
        <w:rFonts w:ascii="Arial" w:hAnsi="Arial" w:eastAsia="黑体" w:cs="Times New Roman"/>
        <w:b/>
        <w:iCs w:val="0"/>
        <w:caps w:val="0"/>
        <w:strike w:val="0"/>
        <w:dstrike w:val="0"/>
        <w:vanish w:val="0"/>
        <w:color w:val="000000"/>
        <w:spacing w:val="0"/>
        <w:kern w:val="0"/>
        <w:position w:val="0"/>
        <w:sz w:val="32"/>
        <w:szCs w:val="32"/>
        <w:u w:val="none"/>
      </w:rPr>
    </w:lvl>
    <w:lvl w:ilvl="1" w:tentative="0">
      <w:start w:val="1"/>
      <w:numFmt w:val="decimal"/>
      <w:suff w:val="space"/>
      <w:lvlText w:val="%1.%2"/>
      <w:lvlJc w:val="left"/>
      <w:pPr>
        <w:tabs>
          <w:tab w:val="left" w:pos="0"/>
        </w:tabs>
        <w:ind w:left="0" w:firstLine="0"/>
      </w:pPr>
      <w:rPr>
        <w:rFonts w:hint="default" w:ascii="Arial" w:hAnsi="Arial" w:eastAsia="黑体" w:cs="Times New Roman"/>
        <w:b/>
        <w:sz w:val="28"/>
        <w:szCs w:val="28"/>
      </w:rPr>
    </w:lvl>
    <w:lvl w:ilvl="2" w:tentative="0">
      <w:start w:val="1"/>
      <w:numFmt w:val="decimal"/>
      <w:suff w:val="space"/>
      <w:lvlText w:val="%1.%2.%3"/>
      <w:lvlJc w:val="left"/>
      <w:pPr>
        <w:tabs>
          <w:tab w:val="left" w:pos="0"/>
        </w:tabs>
        <w:ind w:left="0" w:firstLine="0"/>
      </w:pPr>
      <w:rPr>
        <w:rFonts w:hint="default" w:ascii="Arial" w:hAnsi="Arial" w:eastAsia="黑体" w:cs="Times New Roman"/>
        <w:b/>
        <w:sz w:val="28"/>
        <w:szCs w:val="28"/>
      </w:rPr>
    </w:lvl>
    <w:lvl w:ilvl="3" w:tentative="0">
      <w:start w:val="1"/>
      <w:numFmt w:val="decimal"/>
      <w:suff w:val="space"/>
      <w:lvlText w:val="%1.%2.%3.%4"/>
      <w:lvlJc w:val="left"/>
      <w:pPr>
        <w:tabs>
          <w:tab w:val="left" w:pos="0"/>
        </w:tabs>
        <w:ind w:left="0" w:firstLine="0"/>
      </w:pPr>
      <w:rPr>
        <w:rFonts w:hint="default" w:ascii="Arial" w:hAnsi="Arial" w:eastAsia="黑体" w:cs="Times New Roman"/>
        <w:b/>
        <w:sz w:val="30"/>
        <w:szCs w:val="30"/>
      </w:rPr>
    </w:lvl>
    <w:lvl w:ilvl="4" w:tentative="0">
      <w:start w:val="1"/>
      <w:numFmt w:val="decimal"/>
      <w:pStyle w:val="7"/>
      <w:suff w:val="space"/>
      <w:lvlText w:val="%1.%2.%3.%4.%5"/>
      <w:lvlJc w:val="left"/>
      <w:pPr>
        <w:tabs>
          <w:tab w:val="left" w:pos="0"/>
        </w:tabs>
        <w:ind w:left="0" w:firstLine="0"/>
      </w:pPr>
      <w:rPr>
        <w:rFonts w:hint="default" w:ascii="Arial" w:hAnsi="Arial" w:eastAsia="黑体" w:cs="Times New Roman"/>
        <w:b/>
        <w:sz w:val="28"/>
        <w:szCs w:val="28"/>
      </w:rPr>
    </w:lvl>
    <w:lvl w:ilvl="5" w:tentative="0">
      <w:start w:val="1"/>
      <w:numFmt w:val="decimal"/>
      <w:lvlText w:val="%1.%2.%3.%4.%5.%6"/>
      <w:lvlJc w:val="left"/>
      <w:pPr>
        <w:tabs>
          <w:tab w:val="left" w:pos="1152"/>
        </w:tabs>
        <w:ind w:left="0" w:firstLine="0"/>
      </w:pPr>
    </w:lvl>
    <w:lvl w:ilvl="6" w:tentative="0">
      <w:start w:val="1"/>
      <w:numFmt w:val="decimal"/>
      <w:lvlText w:val="%1.%2.%3.%4.%5.%6.%7"/>
      <w:lvlJc w:val="left"/>
      <w:pPr>
        <w:tabs>
          <w:tab w:val="left" w:pos="1296"/>
        </w:tabs>
        <w:ind w:left="0" w:firstLine="0"/>
      </w:pPr>
    </w:lvl>
    <w:lvl w:ilvl="7" w:tentative="0">
      <w:start w:val="1"/>
      <w:numFmt w:val="decimal"/>
      <w:lvlText w:val="%1.%2.%3.%4.%5.%6.%7.%8"/>
      <w:lvlJc w:val="left"/>
      <w:pPr>
        <w:tabs>
          <w:tab w:val="left" w:pos="1440"/>
        </w:tabs>
        <w:ind w:left="0" w:firstLine="0"/>
      </w:pPr>
    </w:lvl>
    <w:lvl w:ilvl="8" w:tentative="0">
      <w:start w:val="1"/>
      <w:numFmt w:val="decimal"/>
      <w:lvlText w:val="%1.%2.%3.%4.%5.%6.%7.%8.%9"/>
      <w:lvlJc w:val="left"/>
      <w:pPr>
        <w:tabs>
          <w:tab w:val="left" w:pos="1584"/>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4OTRkYTA3MTRlYTc1MGU5NjA5NzcwMDc4ODU3ZjUifQ=="/>
  </w:docVars>
  <w:rsids>
    <w:rsidRoot w:val="00172A27"/>
    <w:rsid w:val="000047F8"/>
    <w:rsid w:val="00025166"/>
    <w:rsid w:val="000315C0"/>
    <w:rsid w:val="000348A4"/>
    <w:rsid w:val="00042A3F"/>
    <w:rsid w:val="00064E6C"/>
    <w:rsid w:val="00087327"/>
    <w:rsid w:val="0009263E"/>
    <w:rsid w:val="00092EA5"/>
    <w:rsid w:val="00097084"/>
    <w:rsid w:val="000A3A05"/>
    <w:rsid w:val="000B4B1A"/>
    <w:rsid w:val="000C014E"/>
    <w:rsid w:val="000C45EC"/>
    <w:rsid w:val="000D15C9"/>
    <w:rsid w:val="000D3430"/>
    <w:rsid w:val="000D4487"/>
    <w:rsid w:val="000E3D32"/>
    <w:rsid w:val="000E3DE8"/>
    <w:rsid w:val="0010164A"/>
    <w:rsid w:val="001043E9"/>
    <w:rsid w:val="00114E5E"/>
    <w:rsid w:val="001251FE"/>
    <w:rsid w:val="00132BDA"/>
    <w:rsid w:val="00133456"/>
    <w:rsid w:val="00140A07"/>
    <w:rsid w:val="00156416"/>
    <w:rsid w:val="0016223B"/>
    <w:rsid w:val="00172A27"/>
    <w:rsid w:val="00173495"/>
    <w:rsid w:val="00182B10"/>
    <w:rsid w:val="0018382B"/>
    <w:rsid w:val="00184708"/>
    <w:rsid w:val="00184EE7"/>
    <w:rsid w:val="001979E6"/>
    <w:rsid w:val="001A7E2A"/>
    <w:rsid w:val="001B02F1"/>
    <w:rsid w:val="001B506B"/>
    <w:rsid w:val="001C1490"/>
    <w:rsid w:val="001C3841"/>
    <w:rsid w:val="001D33F5"/>
    <w:rsid w:val="001F37B0"/>
    <w:rsid w:val="00207C31"/>
    <w:rsid w:val="00213110"/>
    <w:rsid w:val="00213267"/>
    <w:rsid w:val="00214946"/>
    <w:rsid w:val="0021717D"/>
    <w:rsid w:val="00220356"/>
    <w:rsid w:val="00223DBD"/>
    <w:rsid w:val="00227BDA"/>
    <w:rsid w:val="00232DBA"/>
    <w:rsid w:val="002461AF"/>
    <w:rsid w:val="0025331A"/>
    <w:rsid w:val="002540FA"/>
    <w:rsid w:val="00256534"/>
    <w:rsid w:val="00262FC2"/>
    <w:rsid w:val="00263670"/>
    <w:rsid w:val="002644CF"/>
    <w:rsid w:val="00264DC0"/>
    <w:rsid w:val="00270F0C"/>
    <w:rsid w:val="00272570"/>
    <w:rsid w:val="00275CD1"/>
    <w:rsid w:val="00276A7E"/>
    <w:rsid w:val="00276D68"/>
    <w:rsid w:val="00283A9E"/>
    <w:rsid w:val="002843CD"/>
    <w:rsid w:val="00286D1F"/>
    <w:rsid w:val="002A17EA"/>
    <w:rsid w:val="002A398A"/>
    <w:rsid w:val="002A517B"/>
    <w:rsid w:val="002A6768"/>
    <w:rsid w:val="002B4643"/>
    <w:rsid w:val="002C472F"/>
    <w:rsid w:val="002D29CE"/>
    <w:rsid w:val="002E0611"/>
    <w:rsid w:val="002E7499"/>
    <w:rsid w:val="002F5F19"/>
    <w:rsid w:val="002F6349"/>
    <w:rsid w:val="00300E06"/>
    <w:rsid w:val="0030712A"/>
    <w:rsid w:val="003220A0"/>
    <w:rsid w:val="00324AAA"/>
    <w:rsid w:val="003264BB"/>
    <w:rsid w:val="00327BCE"/>
    <w:rsid w:val="00331D45"/>
    <w:rsid w:val="00332B1C"/>
    <w:rsid w:val="00335914"/>
    <w:rsid w:val="00341A9C"/>
    <w:rsid w:val="00344295"/>
    <w:rsid w:val="00345FF7"/>
    <w:rsid w:val="003508E7"/>
    <w:rsid w:val="003610EA"/>
    <w:rsid w:val="003637F6"/>
    <w:rsid w:val="00365ECF"/>
    <w:rsid w:val="00370081"/>
    <w:rsid w:val="00371027"/>
    <w:rsid w:val="00374C3A"/>
    <w:rsid w:val="00386BAA"/>
    <w:rsid w:val="003901A3"/>
    <w:rsid w:val="003A2A43"/>
    <w:rsid w:val="003A63E5"/>
    <w:rsid w:val="003B059B"/>
    <w:rsid w:val="003B2165"/>
    <w:rsid w:val="003B4973"/>
    <w:rsid w:val="003D2203"/>
    <w:rsid w:val="003D4EA2"/>
    <w:rsid w:val="003D6FDB"/>
    <w:rsid w:val="003D7748"/>
    <w:rsid w:val="003D796D"/>
    <w:rsid w:val="003E024A"/>
    <w:rsid w:val="003E044C"/>
    <w:rsid w:val="003E747B"/>
    <w:rsid w:val="003F708B"/>
    <w:rsid w:val="00420843"/>
    <w:rsid w:val="0043051C"/>
    <w:rsid w:val="00431193"/>
    <w:rsid w:val="00444413"/>
    <w:rsid w:val="00446E1C"/>
    <w:rsid w:val="004656FC"/>
    <w:rsid w:val="00466C64"/>
    <w:rsid w:val="00471FBA"/>
    <w:rsid w:val="0048032D"/>
    <w:rsid w:val="00481E62"/>
    <w:rsid w:val="00491779"/>
    <w:rsid w:val="00491878"/>
    <w:rsid w:val="004A21ED"/>
    <w:rsid w:val="004A5FC1"/>
    <w:rsid w:val="004B0DE4"/>
    <w:rsid w:val="004B5279"/>
    <w:rsid w:val="004B5C33"/>
    <w:rsid w:val="004C7706"/>
    <w:rsid w:val="004C7BD9"/>
    <w:rsid w:val="004C7D22"/>
    <w:rsid w:val="004D44D1"/>
    <w:rsid w:val="004D7776"/>
    <w:rsid w:val="004E1721"/>
    <w:rsid w:val="004E2F87"/>
    <w:rsid w:val="004F631A"/>
    <w:rsid w:val="005202A1"/>
    <w:rsid w:val="00524F27"/>
    <w:rsid w:val="00530C78"/>
    <w:rsid w:val="00536630"/>
    <w:rsid w:val="00581324"/>
    <w:rsid w:val="0059280E"/>
    <w:rsid w:val="005A61DE"/>
    <w:rsid w:val="005A6786"/>
    <w:rsid w:val="005B0F32"/>
    <w:rsid w:val="005B3076"/>
    <w:rsid w:val="005B3BC5"/>
    <w:rsid w:val="005B6A03"/>
    <w:rsid w:val="005C1535"/>
    <w:rsid w:val="00601396"/>
    <w:rsid w:val="006160CB"/>
    <w:rsid w:val="00623E59"/>
    <w:rsid w:val="00630F9A"/>
    <w:rsid w:val="00631E02"/>
    <w:rsid w:val="0064421A"/>
    <w:rsid w:val="00650271"/>
    <w:rsid w:val="00656857"/>
    <w:rsid w:val="0067276B"/>
    <w:rsid w:val="00675CF5"/>
    <w:rsid w:val="00695F29"/>
    <w:rsid w:val="006A20DE"/>
    <w:rsid w:val="006B6571"/>
    <w:rsid w:val="006D7D7D"/>
    <w:rsid w:val="006F12CE"/>
    <w:rsid w:val="006F697A"/>
    <w:rsid w:val="006F6C12"/>
    <w:rsid w:val="00734629"/>
    <w:rsid w:val="0073599A"/>
    <w:rsid w:val="007471D2"/>
    <w:rsid w:val="00752CBD"/>
    <w:rsid w:val="00753BFB"/>
    <w:rsid w:val="00757B46"/>
    <w:rsid w:val="00766856"/>
    <w:rsid w:val="00782027"/>
    <w:rsid w:val="007858F2"/>
    <w:rsid w:val="00787304"/>
    <w:rsid w:val="007903D0"/>
    <w:rsid w:val="007954C3"/>
    <w:rsid w:val="007A1D2A"/>
    <w:rsid w:val="007A6ABA"/>
    <w:rsid w:val="007B20DC"/>
    <w:rsid w:val="007B38DC"/>
    <w:rsid w:val="007B4E9E"/>
    <w:rsid w:val="007D62DF"/>
    <w:rsid w:val="0080311C"/>
    <w:rsid w:val="008070D2"/>
    <w:rsid w:val="00817FE9"/>
    <w:rsid w:val="008313BE"/>
    <w:rsid w:val="008341EA"/>
    <w:rsid w:val="00836788"/>
    <w:rsid w:val="00856D32"/>
    <w:rsid w:val="008646A1"/>
    <w:rsid w:val="00872B3C"/>
    <w:rsid w:val="0088059D"/>
    <w:rsid w:val="00886A01"/>
    <w:rsid w:val="00891C36"/>
    <w:rsid w:val="008A169F"/>
    <w:rsid w:val="008A19A2"/>
    <w:rsid w:val="008A46DE"/>
    <w:rsid w:val="008A63EC"/>
    <w:rsid w:val="008B0D5A"/>
    <w:rsid w:val="008B20B3"/>
    <w:rsid w:val="008B42EB"/>
    <w:rsid w:val="008C7241"/>
    <w:rsid w:val="008D5286"/>
    <w:rsid w:val="008D6A62"/>
    <w:rsid w:val="008E717E"/>
    <w:rsid w:val="008F7162"/>
    <w:rsid w:val="0090076D"/>
    <w:rsid w:val="00910EAE"/>
    <w:rsid w:val="00911973"/>
    <w:rsid w:val="009247E4"/>
    <w:rsid w:val="009421F4"/>
    <w:rsid w:val="009427EA"/>
    <w:rsid w:val="00943A6A"/>
    <w:rsid w:val="00956D0F"/>
    <w:rsid w:val="00961B7E"/>
    <w:rsid w:val="009637ED"/>
    <w:rsid w:val="00967DD2"/>
    <w:rsid w:val="0097677B"/>
    <w:rsid w:val="00985D68"/>
    <w:rsid w:val="00986BEE"/>
    <w:rsid w:val="00987F5A"/>
    <w:rsid w:val="00993094"/>
    <w:rsid w:val="009A3A5E"/>
    <w:rsid w:val="009A551B"/>
    <w:rsid w:val="009B1B1F"/>
    <w:rsid w:val="009B567A"/>
    <w:rsid w:val="009B5718"/>
    <w:rsid w:val="009C4311"/>
    <w:rsid w:val="009D3D35"/>
    <w:rsid w:val="009D6A35"/>
    <w:rsid w:val="009D728C"/>
    <w:rsid w:val="009E5001"/>
    <w:rsid w:val="009F7940"/>
    <w:rsid w:val="00A001A7"/>
    <w:rsid w:val="00A00C2F"/>
    <w:rsid w:val="00A017E8"/>
    <w:rsid w:val="00A03A5D"/>
    <w:rsid w:val="00A06499"/>
    <w:rsid w:val="00A1376D"/>
    <w:rsid w:val="00A1502D"/>
    <w:rsid w:val="00A150E7"/>
    <w:rsid w:val="00A167C0"/>
    <w:rsid w:val="00A23009"/>
    <w:rsid w:val="00A24509"/>
    <w:rsid w:val="00A2509D"/>
    <w:rsid w:val="00A26ECE"/>
    <w:rsid w:val="00A434BC"/>
    <w:rsid w:val="00A444E7"/>
    <w:rsid w:val="00A45315"/>
    <w:rsid w:val="00A52A3E"/>
    <w:rsid w:val="00A71A7F"/>
    <w:rsid w:val="00A75191"/>
    <w:rsid w:val="00A75CEB"/>
    <w:rsid w:val="00A83626"/>
    <w:rsid w:val="00A905F3"/>
    <w:rsid w:val="00A9112E"/>
    <w:rsid w:val="00A96F9A"/>
    <w:rsid w:val="00AB6BA9"/>
    <w:rsid w:val="00AC11C1"/>
    <w:rsid w:val="00AD172C"/>
    <w:rsid w:val="00AD583C"/>
    <w:rsid w:val="00AE189F"/>
    <w:rsid w:val="00AE2484"/>
    <w:rsid w:val="00AE31EF"/>
    <w:rsid w:val="00AE64BA"/>
    <w:rsid w:val="00B21DB8"/>
    <w:rsid w:val="00B2289B"/>
    <w:rsid w:val="00B22908"/>
    <w:rsid w:val="00B26EDE"/>
    <w:rsid w:val="00B524FE"/>
    <w:rsid w:val="00B53BAC"/>
    <w:rsid w:val="00B609CA"/>
    <w:rsid w:val="00B65C1A"/>
    <w:rsid w:val="00B669EE"/>
    <w:rsid w:val="00B67057"/>
    <w:rsid w:val="00B6749D"/>
    <w:rsid w:val="00B91154"/>
    <w:rsid w:val="00BA148C"/>
    <w:rsid w:val="00BA1B1A"/>
    <w:rsid w:val="00BA3025"/>
    <w:rsid w:val="00BB3D9A"/>
    <w:rsid w:val="00BB5F6A"/>
    <w:rsid w:val="00BB7FD1"/>
    <w:rsid w:val="00BC472A"/>
    <w:rsid w:val="00BD326E"/>
    <w:rsid w:val="00BD38DD"/>
    <w:rsid w:val="00BD6DA7"/>
    <w:rsid w:val="00BE0250"/>
    <w:rsid w:val="00BE2EF8"/>
    <w:rsid w:val="00BF4411"/>
    <w:rsid w:val="00C0051A"/>
    <w:rsid w:val="00C167E6"/>
    <w:rsid w:val="00C22677"/>
    <w:rsid w:val="00C23D29"/>
    <w:rsid w:val="00C24E0F"/>
    <w:rsid w:val="00C40C4A"/>
    <w:rsid w:val="00C47259"/>
    <w:rsid w:val="00C5196D"/>
    <w:rsid w:val="00C702A8"/>
    <w:rsid w:val="00CB68A0"/>
    <w:rsid w:val="00CC45A7"/>
    <w:rsid w:val="00CE3F09"/>
    <w:rsid w:val="00CE5449"/>
    <w:rsid w:val="00CF4376"/>
    <w:rsid w:val="00CF6167"/>
    <w:rsid w:val="00CF72AC"/>
    <w:rsid w:val="00D31C06"/>
    <w:rsid w:val="00D456A7"/>
    <w:rsid w:val="00D45C6E"/>
    <w:rsid w:val="00D47DA3"/>
    <w:rsid w:val="00D55245"/>
    <w:rsid w:val="00D638A1"/>
    <w:rsid w:val="00D70999"/>
    <w:rsid w:val="00D7263E"/>
    <w:rsid w:val="00DC34BB"/>
    <w:rsid w:val="00DD1B3A"/>
    <w:rsid w:val="00DE772B"/>
    <w:rsid w:val="00DF40EA"/>
    <w:rsid w:val="00DF4CE1"/>
    <w:rsid w:val="00E0223D"/>
    <w:rsid w:val="00E136D9"/>
    <w:rsid w:val="00E15905"/>
    <w:rsid w:val="00E16523"/>
    <w:rsid w:val="00E23289"/>
    <w:rsid w:val="00E34DA9"/>
    <w:rsid w:val="00E351DC"/>
    <w:rsid w:val="00E5096E"/>
    <w:rsid w:val="00E52F1B"/>
    <w:rsid w:val="00E56F3B"/>
    <w:rsid w:val="00E66EE6"/>
    <w:rsid w:val="00E919CB"/>
    <w:rsid w:val="00E95D40"/>
    <w:rsid w:val="00EA0513"/>
    <w:rsid w:val="00EA089C"/>
    <w:rsid w:val="00EA10EC"/>
    <w:rsid w:val="00EA3FBE"/>
    <w:rsid w:val="00EA47D6"/>
    <w:rsid w:val="00EB215E"/>
    <w:rsid w:val="00EC1C63"/>
    <w:rsid w:val="00EC6598"/>
    <w:rsid w:val="00ED2FA2"/>
    <w:rsid w:val="00ED4FD1"/>
    <w:rsid w:val="00EF529D"/>
    <w:rsid w:val="00F0176F"/>
    <w:rsid w:val="00F03719"/>
    <w:rsid w:val="00F13F91"/>
    <w:rsid w:val="00F42CF8"/>
    <w:rsid w:val="00F51CFB"/>
    <w:rsid w:val="00F56960"/>
    <w:rsid w:val="00F60BD9"/>
    <w:rsid w:val="00F72536"/>
    <w:rsid w:val="00F72ABC"/>
    <w:rsid w:val="00F80527"/>
    <w:rsid w:val="00F83AB2"/>
    <w:rsid w:val="00F9050A"/>
    <w:rsid w:val="00FB2F4A"/>
    <w:rsid w:val="00FC3F7C"/>
    <w:rsid w:val="00FC51B0"/>
    <w:rsid w:val="00FD3685"/>
    <w:rsid w:val="00FD515B"/>
    <w:rsid w:val="00FD6723"/>
    <w:rsid w:val="00FE2AE5"/>
    <w:rsid w:val="00FE2DDD"/>
    <w:rsid w:val="00FE447B"/>
    <w:rsid w:val="013E15AA"/>
    <w:rsid w:val="013F5CEB"/>
    <w:rsid w:val="014F5F03"/>
    <w:rsid w:val="016F6FCB"/>
    <w:rsid w:val="018D750F"/>
    <w:rsid w:val="01C97553"/>
    <w:rsid w:val="01EA111D"/>
    <w:rsid w:val="01F81425"/>
    <w:rsid w:val="01FD42EF"/>
    <w:rsid w:val="0227136C"/>
    <w:rsid w:val="029B6436"/>
    <w:rsid w:val="029F1D76"/>
    <w:rsid w:val="02A91043"/>
    <w:rsid w:val="0301396B"/>
    <w:rsid w:val="03A42634"/>
    <w:rsid w:val="03B201CE"/>
    <w:rsid w:val="03E17841"/>
    <w:rsid w:val="04473600"/>
    <w:rsid w:val="04776088"/>
    <w:rsid w:val="05010187"/>
    <w:rsid w:val="055C74CA"/>
    <w:rsid w:val="057300F5"/>
    <w:rsid w:val="05757C6D"/>
    <w:rsid w:val="05997E8B"/>
    <w:rsid w:val="05E732EC"/>
    <w:rsid w:val="066165AE"/>
    <w:rsid w:val="06626721"/>
    <w:rsid w:val="0664493D"/>
    <w:rsid w:val="06B31420"/>
    <w:rsid w:val="06B37672"/>
    <w:rsid w:val="06C76C7A"/>
    <w:rsid w:val="06E544F7"/>
    <w:rsid w:val="07662DA7"/>
    <w:rsid w:val="0791652A"/>
    <w:rsid w:val="07A17BF6"/>
    <w:rsid w:val="08206641"/>
    <w:rsid w:val="085D185E"/>
    <w:rsid w:val="08675A19"/>
    <w:rsid w:val="08843074"/>
    <w:rsid w:val="088969F0"/>
    <w:rsid w:val="08915791"/>
    <w:rsid w:val="08940143"/>
    <w:rsid w:val="08953153"/>
    <w:rsid w:val="090351FD"/>
    <w:rsid w:val="090715AF"/>
    <w:rsid w:val="0908410F"/>
    <w:rsid w:val="090B7B26"/>
    <w:rsid w:val="09293C1C"/>
    <w:rsid w:val="095D4A8F"/>
    <w:rsid w:val="09842C00"/>
    <w:rsid w:val="09E26B30"/>
    <w:rsid w:val="09E33DCA"/>
    <w:rsid w:val="0A044046"/>
    <w:rsid w:val="0A465A5E"/>
    <w:rsid w:val="0A4D3EDC"/>
    <w:rsid w:val="0A594E8F"/>
    <w:rsid w:val="0A650C83"/>
    <w:rsid w:val="0A764C3F"/>
    <w:rsid w:val="0A961E85"/>
    <w:rsid w:val="0AF52CE9"/>
    <w:rsid w:val="0B0040A6"/>
    <w:rsid w:val="0B256863"/>
    <w:rsid w:val="0B292BC3"/>
    <w:rsid w:val="0B421E5F"/>
    <w:rsid w:val="0B9C6E1D"/>
    <w:rsid w:val="0B9F3D21"/>
    <w:rsid w:val="0BC65AE4"/>
    <w:rsid w:val="0C9F3B54"/>
    <w:rsid w:val="0CBB2DDD"/>
    <w:rsid w:val="0CF802F7"/>
    <w:rsid w:val="0D1F33E7"/>
    <w:rsid w:val="0D3F4DBF"/>
    <w:rsid w:val="0D553231"/>
    <w:rsid w:val="0D5B578F"/>
    <w:rsid w:val="0D9B4AE6"/>
    <w:rsid w:val="0DCF5641"/>
    <w:rsid w:val="0DD94DBC"/>
    <w:rsid w:val="0DED346A"/>
    <w:rsid w:val="0DFE11D3"/>
    <w:rsid w:val="0E272E41"/>
    <w:rsid w:val="0E3F0DAA"/>
    <w:rsid w:val="0E7B4B53"/>
    <w:rsid w:val="0ECF0DC1"/>
    <w:rsid w:val="0F8E6586"/>
    <w:rsid w:val="0FAE6C29"/>
    <w:rsid w:val="0FD05FD6"/>
    <w:rsid w:val="0FE975E3"/>
    <w:rsid w:val="0FFC7994"/>
    <w:rsid w:val="10B17F4F"/>
    <w:rsid w:val="10B82205"/>
    <w:rsid w:val="12294422"/>
    <w:rsid w:val="122F062D"/>
    <w:rsid w:val="122F0C3F"/>
    <w:rsid w:val="125541CA"/>
    <w:rsid w:val="125C4252"/>
    <w:rsid w:val="12C65F60"/>
    <w:rsid w:val="12D76496"/>
    <w:rsid w:val="12E416EC"/>
    <w:rsid w:val="131C20FB"/>
    <w:rsid w:val="13663689"/>
    <w:rsid w:val="13A47C4E"/>
    <w:rsid w:val="13CA5D5C"/>
    <w:rsid w:val="14546004"/>
    <w:rsid w:val="147E1869"/>
    <w:rsid w:val="148461AA"/>
    <w:rsid w:val="14B42DA7"/>
    <w:rsid w:val="14CD68F0"/>
    <w:rsid w:val="14F26FE7"/>
    <w:rsid w:val="15202377"/>
    <w:rsid w:val="153C2FD8"/>
    <w:rsid w:val="1560260D"/>
    <w:rsid w:val="15AF2870"/>
    <w:rsid w:val="162F3235"/>
    <w:rsid w:val="1651030E"/>
    <w:rsid w:val="16663EF1"/>
    <w:rsid w:val="167C538B"/>
    <w:rsid w:val="16930995"/>
    <w:rsid w:val="16A668AC"/>
    <w:rsid w:val="16B4405B"/>
    <w:rsid w:val="16E36295"/>
    <w:rsid w:val="16E573D4"/>
    <w:rsid w:val="16F6268C"/>
    <w:rsid w:val="173E6AE4"/>
    <w:rsid w:val="17C0574B"/>
    <w:rsid w:val="18162F93"/>
    <w:rsid w:val="186D3A8A"/>
    <w:rsid w:val="1890511D"/>
    <w:rsid w:val="18C6594F"/>
    <w:rsid w:val="19302A62"/>
    <w:rsid w:val="195E346D"/>
    <w:rsid w:val="198D3D62"/>
    <w:rsid w:val="19A02829"/>
    <w:rsid w:val="19F07238"/>
    <w:rsid w:val="19F2383F"/>
    <w:rsid w:val="1A433660"/>
    <w:rsid w:val="1A770669"/>
    <w:rsid w:val="1AFC4CEC"/>
    <w:rsid w:val="1B171B26"/>
    <w:rsid w:val="1B467B4C"/>
    <w:rsid w:val="1B530AD7"/>
    <w:rsid w:val="1B6A55DC"/>
    <w:rsid w:val="1B8F65AD"/>
    <w:rsid w:val="1B9D1FDC"/>
    <w:rsid w:val="1BB47375"/>
    <w:rsid w:val="1BCB6367"/>
    <w:rsid w:val="1BE37C5A"/>
    <w:rsid w:val="1C2F4C4D"/>
    <w:rsid w:val="1C454471"/>
    <w:rsid w:val="1C6D1F48"/>
    <w:rsid w:val="1C723209"/>
    <w:rsid w:val="1C890DB5"/>
    <w:rsid w:val="1C984EE8"/>
    <w:rsid w:val="1CB17D58"/>
    <w:rsid w:val="1CC80214"/>
    <w:rsid w:val="1CC950A2"/>
    <w:rsid w:val="1CDC1BD7"/>
    <w:rsid w:val="1CF83155"/>
    <w:rsid w:val="1CFD4D4B"/>
    <w:rsid w:val="1D556C86"/>
    <w:rsid w:val="1D71334C"/>
    <w:rsid w:val="1D82779C"/>
    <w:rsid w:val="1DBE7C4D"/>
    <w:rsid w:val="1DEE5384"/>
    <w:rsid w:val="1DEF0B38"/>
    <w:rsid w:val="1E4950F3"/>
    <w:rsid w:val="1E5B3112"/>
    <w:rsid w:val="1E7E6480"/>
    <w:rsid w:val="1E8C7A22"/>
    <w:rsid w:val="1E9538CD"/>
    <w:rsid w:val="1ED33FB6"/>
    <w:rsid w:val="1F354C71"/>
    <w:rsid w:val="1F422309"/>
    <w:rsid w:val="1F464788"/>
    <w:rsid w:val="1F4D76B7"/>
    <w:rsid w:val="1F5C044F"/>
    <w:rsid w:val="1F617814"/>
    <w:rsid w:val="1F8D1AA3"/>
    <w:rsid w:val="1FE35858"/>
    <w:rsid w:val="200F7270"/>
    <w:rsid w:val="20120B0E"/>
    <w:rsid w:val="2026550C"/>
    <w:rsid w:val="206F7D0E"/>
    <w:rsid w:val="2089609F"/>
    <w:rsid w:val="20BA1695"/>
    <w:rsid w:val="20D64231"/>
    <w:rsid w:val="20EA55E7"/>
    <w:rsid w:val="21277E1D"/>
    <w:rsid w:val="212C5BFF"/>
    <w:rsid w:val="21556F04"/>
    <w:rsid w:val="21731A80"/>
    <w:rsid w:val="217E6596"/>
    <w:rsid w:val="21814378"/>
    <w:rsid w:val="21B028CD"/>
    <w:rsid w:val="21E43FE8"/>
    <w:rsid w:val="2215318C"/>
    <w:rsid w:val="222230E5"/>
    <w:rsid w:val="222E0E43"/>
    <w:rsid w:val="22331BC9"/>
    <w:rsid w:val="22680EB9"/>
    <w:rsid w:val="226C7A22"/>
    <w:rsid w:val="22B55EE8"/>
    <w:rsid w:val="22E542B8"/>
    <w:rsid w:val="23244DE0"/>
    <w:rsid w:val="236B0C61"/>
    <w:rsid w:val="237A787C"/>
    <w:rsid w:val="23935E70"/>
    <w:rsid w:val="24235937"/>
    <w:rsid w:val="2432200C"/>
    <w:rsid w:val="24ED5D54"/>
    <w:rsid w:val="251250A8"/>
    <w:rsid w:val="251A1701"/>
    <w:rsid w:val="2540743C"/>
    <w:rsid w:val="25641E0C"/>
    <w:rsid w:val="25B56E73"/>
    <w:rsid w:val="260C7587"/>
    <w:rsid w:val="265A2525"/>
    <w:rsid w:val="268362C1"/>
    <w:rsid w:val="26CC7C68"/>
    <w:rsid w:val="26DC3C24"/>
    <w:rsid w:val="26EC64FD"/>
    <w:rsid w:val="26F31699"/>
    <w:rsid w:val="26F342A9"/>
    <w:rsid w:val="2702368A"/>
    <w:rsid w:val="27200A46"/>
    <w:rsid w:val="272F4900"/>
    <w:rsid w:val="27483067"/>
    <w:rsid w:val="27A159AD"/>
    <w:rsid w:val="27E1149D"/>
    <w:rsid w:val="27EE1EF4"/>
    <w:rsid w:val="281A0EA7"/>
    <w:rsid w:val="283830DC"/>
    <w:rsid w:val="28463A4A"/>
    <w:rsid w:val="28523BA3"/>
    <w:rsid w:val="287E30C9"/>
    <w:rsid w:val="28D64DCE"/>
    <w:rsid w:val="291E69B1"/>
    <w:rsid w:val="292C33EB"/>
    <w:rsid w:val="294837F2"/>
    <w:rsid w:val="2976489F"/>
    <w:rsid w:val="29B82D89"/>
    <w:rsid w:val="29F32DA9"/>
    <w:rsid w:val="29F51284"/>
    <w:rsid w:val="2A2F419C"/>
    <w:rsid w:val="2A521023"/>
    <w:rsid w:val="2AA00F26"/>
    <w:rsid w:val="2AAA4765"/>
    <w:rsid w:val="2AB8479E"/>
    <w:rsid w:val="2AB97FA5"/>
    <w:rsid w:val="2ABB2172"/>
    <w:rsid w:val="2AE46E13"/>
    <w:rsid w:val="2AFE51B4"/>
    <w:rsid w:val="2B200583"/>
    <w:rsid w:val="2B204A27"/>
    <w:rsid w:val="2B552C19"/>
    <w:rsid w:val="2B5A4552"/>
    <w:rsid w:val="2BA70CA4"/>
    <w:rsid w:val="2BA81B0F"/>
    <w:rsid w:val="2BE96963"/>
    <w:rsid w:val="2C577567"/>
    <w:rsid w:val="2C751680"/>
    <w:rsid w:val="2C8B0746"/>
    <w:rsid w:val="2C8C36B7"/>
    <w:rsid w:val="2CA7014C"/>
    <w:rsid w:val="2CAE117D"/>
    <w:rsid w:val="2CB74F17"/>
    <w:rsid w:val="2CC60568"/>
    <w:rsid w:val="2CF91A3F"/>
    <w:rsid w:val="2D036255"/>
    <w:rsid w:val="2D1C2FCC"/>
    <w:rsid w:val="2D426ED6"/>
    <w:rsid w:val="2D5358E6"/>
    <w:rsid w:val="2D5C161A"/>
    <w:rsid w:val="2D690D88"/>
    <w:rsid w:val="2DA94538"/>
    <w:rsid w:val="2DBB27E5"/>
    <w:rsid w:val="2DD96390"/>
    <w:rsid w:val="2DF06932"/>
    <w:rsid w:val="2DFA51E2"/>
    <w:rsid w:val="2E1C637D"/>
    <w:rsid w:val="2E600A5B"/>
    <w:rsid w:val="2E7F4BA9"/>
    <w:rsid w:val="2E9E309D"/>
    <w:rsid w:val="2EC04EED"/>
    <w:rsid w:val="2EC118E8"/>
    <w:rsid w:val="2F2E07CE"/>
    <w:rsid w:val="2F2E6FE6"/>
    <w:rsid w:val="2F300FB0"/>
    <w:rsid w:val="2F4D6B27"/>
    <w:rsid w:val="2F620F58"/>
    <w:rsid w:val="2FD162F0"/>
    <w:rsid w:val="2FD92570"/>
    <w:rsid w:val="30204B81"/>
    <w:rsid w:val="304D122A"/>
    <w:rsid w:val="3061394D"/>
    <w:rsid w:val="306B4BAB"/>
    <w:rsid w:val="307C38DD"/>
    <w:rsid w:val="309F019C"/>
    <w:rsid w:val="30E94F09"/>
    <w:rsid w:val="30FD0D95"/>
    <w:rsid w:val="310B5831"/>
    <w:rsid w:val="312D39EE"/>
    <w:rsid w:val="31396282"/>
    <w:rsid w:val="313E5C07"/>
    <w:rsid w:val="314F3970"/>
    <w:rsid w:val="318E16CE"/>
    <w:rsid w:val="31B232FA"/>
    <w:rsid w:val="31D2228D"/>
    <w:rsid w:val="31F35E5A"/>
    <w:rsid w:val="323D3654"/>
    <w:rsid w:val="32847649"/>
    <w:rsid w:val="329817E8"/>
    <w:rsid w:val="329D019D"/>
    <w:rsid w:val="32C959A4"/>
    <w:rsid w:val="32D767CD"/>
    <w:rsid w:val="32E11283"/>
    <w:rsid w:val="32EE0F67"/>
    <w:rsid w:val="336F02F9"/>
    <w:rsid w:val="33AF4B9A"/>
    <w:rsid w:val="341A152D"/>
    <w:rsid w:val="345968B4"/>
    <w:rsid w:val="346F257B"/>
    <w:rsid w:val="34AF7A4B"/>
    <w:rsid w:val="350D4269"/>
    <w:rsid w:val="352E7D40"/>
    <w:rsid w:val="35613C72"/>
    <w:rsid w:val="35BD3546"/>
    <w:rsid w:val="35C2757F"/>
    <w:rsid w:val="35E63D13"/>
    <w:rsid w:val="35FE3BB6"/>
    <w:rsid w:val="35FE5964"/>
    <w:rsid w:val="3667175C"/>
    <w:rsid w:val="36C00E6C"/>
    <w:rsid w:val="372C3AE7"/>
    <w:rsid w:val="375F0685"/>
    <w:rsid w:val="37A367C3"/>
    <w:rsid w:val="37AD38FC"/>
    <w:rsid w:val="37F469EF"/>
    <w:rsid w:val="38262F51"/>
    <w:rsid w:val="38341B11"/>
    <w:rsid w:val="383D6734"/>
    <w:rsid w:val="384224D9"/>
    <w:rsid w:val="386C12AB"/>
    <w:rsid w:val="386C7DF1"/>
    <w:rsid w:val="388760E5"/>
    <w:rsid w:val="38BF1BE0"/>
    <w:rsid w:val="390F7E89"/>
    <w:rsid w:val="398820D3"/>
    <w:rsid w:val="3A0F1908"/>
    <w:rsid w:val="3A2406DF"/>
    <w:rsid w:val="3A9B2B90"/>
    <w:rsid w:val="3AA0618A"/>
    <w:rsid w:val="3AB605BC"/>
    <w:rsid w:val="3AC67C1F"/>
    <w:rsid w:val="3AD16BD5"/>
    <w:rsid w:val="3AE74C19"/>
    <w:rsid w:val="3B025076"/>
    <w:rsid w:val="3B0A7A73"/>
    <w:rsid w:val="3B111C96"/>
    <w:rsid w:val="3B1523AB"/>
    <w:rsid w:val="3B781D15"/>
    <w:rsid w:val="3B801576"/>
    <w:rsid w:val="3BEF38F1"/>
    <w:rsid w:val="3BF536BE"/>
    <w:rsid w:val="3BF54581"/>
    <w:rsid w:val="3C126879"/>
    <w:rsid w:val="3D65276D"/>
    <w:rsid w:val="3D6B4996"/>
    <w:rsid w:val="3D6B7F55"/>
    <w:rsid w:val="3D7217AC"/>
    <w:rsid w:val="3DD57C40"/>
    <w:rsid w:val="3E4A0AC0"/>
    <w:rsid w:val="3E635864"/>
    <w:rsid w:val="3E6D373C"/>
    <w:rsid w:val="3E734A16"/>
    <w:rsid w:val="3E7442DA"/>
    <w:rsid w:val="3EBC460F"/>
    <w:rsid w:val="3F226B6D"/>
    <w:rsid w:val="3F2A77CA"/>
    <w:rsid w:val="3F3C78B5"/>
    <w:rsid w:val="3FA25349"/>
    <w:rsid w:val="40120FF4"/>
    <w:rsid w:val="40652D8B"/>
    <w:rsid w:val="4069496D"/>
    <w:rsid w:val="40890DB7"/>
    <w:rsid w:val="40CF0629"/>
    <w:rsid w:val="40E34955"/>
    <w:rsid w:val="40E72416"/>
    <w:rsid w:val="410026FB"/>
    <w:rsid w:val="410214C9"/>
    <w:rsid w:val="411E4A11"/>
    <w:rsid w:val="4125649B"/>
    <w:rsid w:val="414E5B84"/>
    <w:rsid w:val="41A73354"/>
    <w:rsid w:val="41D74DA7"/>
    <w:rsid w:val="41E00A0C"/>
    <w:rsid w:val="42194C89"/>
    <w:rsid w:val="422D52B6"/>
    <w:rsid w:val="42E163F2"/>
    <w:rsid w:val="43365AE2"/>
    <w:rsid w:val="43A01E09"/>
    <w:rsid w:val="43A04D63"/>
    <w:rsid w:val="43D94CD0"/>
    <w:rsid w:val="4401215F"/>
    <w:rsid w:val="441E1C39"/>
    <w:rsid w:val="4450512E"/>
    <w:rsid w:val="44550E45"/>
    <w:rsid w:val="44647CC4"/>
    <w:rsid w:val="4492209A"/>
    <w:rsid w:val="44BD1F32"/>
    <w:rsid w:val="44DF0618"/>
    <w:rsid w:val="45241322"/>
    <w:rsid w:val="45442C68"/>
    <w:rsid w:val="45BA342B"/>
    <w:rsid w:val="45D87F80"/>
    <w:rsid w:val="45E94ADB"/>
    <w:rsid w:val="4608488B"/>
    <w:rsid w:val="46380A1F"/>
    <w:rsid w:val="465522BB"/>
    <w:rsid w:val="46873754"/>
    <w:rsid w:val="468D139F"/>
    <w:rsid w:val="46C91677"/>
    <w:rsid w:val="471111CF"/>
    <w:rsid w:val="47162FEE"/>
    <w:rsid w:val="47347438"/>
    <w:rsid w:val="47537BE1"/>
    <w:rsid w:val="47737D22"/>
    <w:rsid w:val="47775244"/>
    <w:rsid w:val="478607C7"/>
    <w:rsid w:val="479F3519"/>
    <w:rsid w:val="47D77DC3"/>
    <w:rsid w:val="47E70642"/>
    <w:rsid w:val="48031B28"/>
    <w:rsid w:val="48346FAF"/>
    <w:rsid w:val="489363E0"/>
    <w:rsid w:val="49211DA4"/>
    <w:rsid w:val="49675177"/>
    <w:rsid w:val="49B02E4C"/>
    <w:rsid w:val="49D25DF0"/>
    <w:rsid w:val="49DA01B0"/>
    <w:rsid w:val="49E5086E"/>
    <w:rsid w:val="49F1180F"/>
    <w:rsid w:val="4A031344"/>
    <w:rsid w:val="4A1C705E"/>
    <w:rsid w:val="4A325785"/>
    <w:rsid w:val="4A71034D"/>
    <w:rsid w:val="4B010E98"/>
    <w:rsid w:val="4B1F3F5B"/>
    <w:rsid w:val="4B471FE8"/>
    <w:rsid w:val="4B5B4B95"/>
    <w:rsid w:val="4B614574"/>
    <w:rsid w:val="4B6510EB"/>
    <w:rsid w:val="4B68459C"/>
    <w:rsid w:val="4B787E6D"/>
    <w:rsid w:val="4B864F30"/>
    <w:rsid w:val="4BAB7AB6"/>
    <w:rsid w:val="4BB45E69"/>
    <w:rsid w:val="4BDA60D4"/>
    <w:rsid w:val="4BEF6F51"/>
    <w:rsid w:val="4C045283"/>
    <w:rsid w:val="4C172E84"/>
    <w:rsid w:val="4C724EDE"/>
    <w:rsid w:val="4CCE79E7"/>
    <w:rsid w:val="4CDD3C79"/>
    <w:rsid w:val="4D394883"/>
    <w:rsid w:val="4D4B54DB"/>
    <w:rsid w:val="4D756693"/>
    <w:rsid w:val="4D8A3F7B"/>
    <w:rsid w:val="4DB82445"/>
    <w:rsid w:val="4DEE0FB0"/>
    <w:rsid w:val="4E0060E4"/>
    <w:rsid w:val="4E067654"/>
    <w:rsid w:val="4E102281"/>
    <w:rsid w:val="4E303B30"/>
    <w:rsid w:val="4E597784"/>
    <w:rsid w:val="4E607A86"/>
    <w:rsid w:val="4E6A3AAE"/>
    <w:rsid w:val="4E797630"/>
    <w:rsid w:val="4E797C68"/>
    <w:rsid w:val="4E7A4E88"/>
    <w:rsid w:val="4ECF6DF0"/>
    <w:rsid w:val="4EEE78C8"/>
    <w:rsid w:val="4F0A0B7D"/>
    <w:rsid w:val="4F2C7590"/>
    <w:rsid w:val="4F30107B"/>
    <w:rsid w:val="4F77635D"/>
    <w:rsid w:val="4FC748BE"/>
    <w:rsid w:val="4FD712A8"/>
    <w:rsid w:val="4FE77F7D"/>
    <w:rsid w:val="502B0D17"/>
    <w:rsid w:val="50C073D2"/>
    <w:rsid w:val="50CF3D2E"/>
    <w:rsid w:val="51247D85"/>
    <w:rsid w:val="514E10F6"/>
    <w:rsid w:val="51611ED1"/>
    <w:rsid w:val="51925B48"/>
    <w:rsid w:val="51B74DC9"/>
    <w:rsid w:val="51D943B8"/>
    <w:rsid w:val="52051759"/>
    <w:rsid w:val="52431871"/>
    <w:rsid w:val="52DC5653"/>
    <w:rsid w:val="52E75E71"/>
    <w:rsid w:val="53562A43"/>
    <w:rsid w:val="53764BB0"/>
    <w:rsid w:val="53CC27A6"/>
    <w:rsid w:val="542425E2"/>
    <w:rsid w:val="54DB601C"/>
    <w:rsid w:val="54E65AEA"/>
    <w:rsid w:val="5572737D"/>
    <w:rsid w:val="559268E4"/>
    <w:rsid w:val="55AF2380"/>
    <w:rsid w:val="55C018F1"/>
    <w:rsid w:val="55CF0CFC"/>
    <w:rsid w:val="55D50038"/>
    <w:rsid w:val="55FD133D"/>
    <w:rsid w:val="562468CA"/>
    <w:rsid w:val="56617AA3"/>
    <w:rsid w:val="56C16083"/>
    <w:rsid w:val="56C80B24"/>
    <w:rsid w:val="56FE711B"/>
    <w:rsid w:val="570A11AB"/>
    <w:rsid w:val="575D2467"/>
    <w:rsid w:val="578F634A"/>
    <w:rsid w:val="57BC0E3B"/>
    <w:rsid w:val="57F1246A"/>
    <w:rsid w:val="580170AE"/>
    <w:rsid w:val="580E7831"/>
    <w:rsid w:val="582F1FBB"/>
    <w:rsid w:val="586E02D0"/>
    <w:rsid w:val="5887025B"/>
    <w:rsid w:val="58903EE9"/>
    <w:rsid w:val="58D565F7"/>
    <w:rsid w:val="59247D7F"/>
    <w:rsid w:val="59673BFF"/>
    <w:rsid w:val="59875AED"/>
    <w:rsid w:val="59B13F62"/>
    <w:rsid w:val="59C208D3"/>
    <w:rsid w:val="59D523CA"/>
    <w:rsid w:val="59DB4088"/>
    <w:rsid w:val="59E948D4"/>
    <w:rsid w:val="59F1740B"/>
    <w:rsid w:val="5A001F32"/>
    <w:rsid w:val="5A226374"/>
    <w:rsid w:val="5A752C0B"/>
    <w:rsid w:val="5A976E99"/>
    <w:rsid w:val="5AC00150"/>
    <w:rsid w:val="5B0C76EF"/>
    <w:rsid w:val="5B132C0F"/>
    <w:rsid w:val="5B3A26EB"/>
    <w:rsid w:val="5B765E19"/>
    <w:rsid w:val="5B8A5F72"/>
    <w:rsid w:val="5BBA6264"/>
    <w:rsid w:val="5C514982"/>
    <w:rsid w:val="5C6D3D5D"/>
    <w:rsid w:val="5C835DA4"/>
    <w:rsid w:val="5C9A34D5"/>
    <w:rsid w:val="5CEF3755"/>
    <w:rsid w:val="5D5743B5"/>
    <w:rsid w:val="5D963292"/>
    <w:rsid w:val="5DA106BA"/>
    <w:rsid w:val="5DB05371"/>
    <w:rsid w:val="5DFB0858"/>
    <w:rsid w:val="5E3D49CC"/>
    <w:rsid w:val="5E510675"/>
    <w:rsid w:val="5E653BB7"/>
    <w:rsid w:val="5EBA02EC"/>
    <w:rsid w:val="5EE66E12"/>
    <w:rsid w:val="5F332700"/>
    <w:rsid w:val="5F553F98"/>
    <w:rsid w:val="5F893C41"/>
    <w:rsid w:val="5FA1306E"/>
    <w:rsid w:val="5FB54A36"/>
    <w:rsid w:val="5FF05552"/>
    <w:rsid w:val="603B13E0"/>
    <w:rsid w:val="605A36CD"/>
    <w:rsid w:val="607D065B"/>
    <w:rsid w:val="607D19DC"/>
    <w:rsid w:val="6091109A"/>
    <w:rsid w:val="60921D04"/>
    <w:rsid w:val="60BD0A74"/>
    <w:rsid w:val="60D20857"/>
    <w:rsid w:val="60FE1551"/>
    <w:rsid w:val="615A3AE7"/>
    <w:rsid w:val="61BD4879"/>
    <w:rsid w:val="626F35C2"/>
    <w:rsid w:val="62AE19BD"/>
    <w:rsid w:val="62B50778"/>
    <w:rsid w:val="62D6562F"/>
    <w:rsid w:val="63035D84"/>
    <w:rsid w:val="631A46BB"/>
    <w:rsid w:val="63256784"/>
    <w:rsid w:val="63352116"/>
    <w:rsid w:val="638210D3"/>
    <w:rsid w:val="639321E0"/>
    <w:rsid w:val="643C1DDA"/>
    <w:rsid w:val="64D64329"/>
    <w:rsid w:val="64FA277A"/>
    <w:rsid w:val="6508084E"/>
    <w:rsid w:val="652109E8"/>
    <w:rsid w:val="65613696"/>
    <w:rsid w:val="65897F45"/>
    <w:rsid w:val="65A7422C"/>
    <w:rsid w:val="65BB19BB"/>
    <w:rsid w:val="65EE6DAE"/>
    <w:rsid w:val="66134265"/>
    <w:rsid w:val="664F6409"/>
    <w:rsid w:val="665E7BD6"/>
    <w:rsid w:val="67050051"/>
    <w:rsid w:val="670859F8"/>
    <w:rsid w:val="67306444"/>
    <w:rsid w:val="6733580F"/>
    <w:rsid w:val="67BE6D57"/>
    <w:rsid w:val="68161876"/>
    <w:rsid w:val="6819341F"/>
    <w:rsid w:val="6856322D"/>
    <w:rsid w:val="68A70F3F"/>
    <w:rsid w:val="68E4035F"/>
    <w:rsid w:val="692B11A4"/>
    <w:rsid w:val="69584DB0"/>
    <w:rsid w:val="69630E7F"/>
    <w:rsid w:val="697346E3"/>
    <w:rsid w:val="69A423FE"/>
    <w:rsid w:val="69D63F27"/>
    <w:rsid w:val="6A150CD0"/>
    <w:rsid w:val="6A244C92"/>
    <w:rsid w:val="6A6B28C1"/>
    <w:rsid w:val="6AAE0A1D"/>
    <w:rsid w:val="6AB24F1D"/>
    <w:rsid w:val="6AC75994"/>
    <w:rsid w:val="6AF757D9"/>
    <w:rsid w:val="6AF9611F"/>
    <w:rsid w:val="6AFC4C4B"/>
    <w:rsid w:val="6B2317B1"/>
    <w:rsid w:val="6B296AFB"/>
    <w:rsid w:val="6B3F5966"/>
    <w:rsid w:val="6BBA4E27"/>
    <w:rsid w:val="6BF80185"/>
    <w:rsid w:val="6C450EF0"/>
    <w:rsid w:val="6C7A1FD0"/>
    <w:rsid w:val="6C8E6D3B"/>
    <w:rsid w:val="6CAE2F39"/>
    <w:rsid w:val="6D192556"/>
    <w:rsid w:val="6D284A9A"/>
    <w:rsid w:val="6D4A2C62"/>
    <w:rsid w:val="6D891D51"/>
    <w:rsid w:val="6DA26B0D"/>
    <w:rsid w:val="6E536987"/>
    <w:rsid w:val="6E591D20"/>
    <w:rsid w:val="6E7A1325"/>
    <w:rsid w:val="6EA30151"/>
    <w:rsid w:val="6F1C7A8B"/>
    <w:rsid w:val="6F2614AD"/>
    <w:rsid w:val="6F2A6805"/>
    <w:rsid w:val="6FE94B25"/>
    <w:rsid w:val="6FF60E7F"/>
    <w:rsid w:val="6FFD7C6E"/>
    <w:rsid w:val="702F7EED"/>
    <w:rsid w:val="70391631"/>
    <w:rsid w:val="70AB7EBB"/>
    <w:rsid w:val="7103184D"/>
    <w:rsid w:val="7121017E"/>
    <w:rsid w:val="71470CB6"/>
    <w:rsid w:val="71491A0F"/>
    <w:rsid w:val="722817FD"/>
    <w:rsid w:val="724D68CC"/>
    <w:rsid w:val="724E6D50"/>
    <w:rsid w:val="72552CBE"/>
    <w:rsid w:val="72577650"/>
    <w:rsid w:val="729C3FC8"/>
    <w:rsid w:val="72D03C09"/>
    <w:rsid w:val="72D744B9"/>
    <w:rsid w:val="72DF3E4C"/>
    <w:rsid w:val="730E3689"/>
    <w:rsid w:val="731C6E4F"/>
    <w:rsid w:val="731F3202"/>
    <w:rsid w:val="7320136A"/>
    <w:rsid w:val="73E97917"/>
    <w:rsid w:val="74B96FC4"/>
    <w:rsid w:val="74DF1EE2"/>
    <w:rsid w:val="74E07D7C"/>
    <w:rsid w:val="74F57F73"/>
    <w:rsid w:val="75911E60"/>
    <w:rsid w:val="75954C96"/>
    <w:rsid w:val="760C4202"/>
    <w:rsid w:val="76197675"/>
    <w:rsid w:val="766E23EF"/>
    <w:rsid w:val="76D9334A"/>
    <w:rsid w:val="77E12415"/>
    <w:rsid w:val="781172D8"/>
    <w:rsid w:val="781B1759"/>
    <w:rsid w:val="782E3942"/>
    <w:rsid w:val="7853714E"/>
    <w:rsid w:val="788D2783"/>
    <w:rsid w:val="78923282"/>
    <w:rsid w:val="78B6564F"/>
    <w:rsid w:val="78CB5A16"/>
    <w:rsid w:val="78E21FCD"/>
    <w:rsid w:val="799A4A9F"/>
    <w:rsid w:val="7A0E5017"/>
    <w:rsid w:val="7A4053FD"/>
    <w:rsid w:val="7AA50AEA"/>
    <w:rsid w:val="7B0F54EB"/>
    <w:rsid w:val="7B2E0770"/>
    <w:rsid w:val="7B6475E5"/>
    <w:rsid w:val="7B8E01BE"/>
    <w:rsid w:val="7BD227A0"/>
    <w:rsid w:val="7BE923C3"/>
    <w:rsid w:val="7C451807"/>
    <w:rsid w:val="7C5C5DD2"/>
    <w:rsid w:val="7C6D4277"/>
    <w:rsid w:val="7C815F74"/>
    <w:rsid w:val="7CC4464F"/>
    <w:rsid w:val="7CEC1490"/>
    <w:rsid w:val="7D031B6D"/>
    <w:rsid w:val="7D384885"/>
    <w:rsid w:val="7D511DEB"/>
    <w:rsid w:val="7D6705F8"/>
    <w:rsid w:val="7D8E0597"/>
    <w:rsid w:val="7DD04FAB"/>
    <w:rsid w:val="7E20746B"/>
    <w:rsid w:val="7E271DD0"/>
    <w:rsid w:val="7E8D0C00"/>
    <w:rsid w:val="7E9006F1"/>
    <w:rsid w:val="7E9417C7"/>
    <w:rsid w:val="7EA321D2"/>
    <w:rsid w:val="7EB937A4"/>
    <w:rsid w:val="7EEA2100"/>
    <w:rsid w:val="7F071FA2"/>
    <w:rsid w:val="7F3C6183"/>
    <w:rsid w:val="7F45772D"/>
    <w:rsid w:val="7F7D29F2"/>
    <w:rsid w:val="7F8F7C89"/>
    <w:rsid w:val="7FC324AF"/>
    <w:rsid w:val="7FD45DCD"/>
    <w:rsid w:val="7FE812F6"/>
    <w:rsid w:val="7FF241A4"/>
    <w:rsid w:val="7FF41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69"/>
    <w:qFormat/>
    <w:uiPriority w:val="9"/>
    <w:pPr>
      <w:keepNext/>
      <w:keepLines/>
      <w:spacing w:line="360" w:lineRule="auto"/>
      <w:outlineLvl w:val="0"/>
    </w:pPr>
    <w:rPr>
      <w:b/>
      <w:bCs/>
      <w:kern w:val="44"/>
      <w:sz w:val="44"/>
      <w:szCs w:val="44"/>
    </w:rPr>
  </w:style>
  <w:style w:type="paragraph" w:styleId="3">
    <w:name w:val="heading 2"/>
    <w:basedOn w:val="1"/>
    <w:next w:val="1"/>
    <w:link w:val="49"/>
    <w:unhideWhenUsed/>
    <w:qFormat/>
    <w:uiPriority w:val="9"/>
    <w:pPr>
      <w:keepNext/>
      <w:keepLines/>
      <w:jc w:val="center"/>
      <w:outlineLvl w:val="1"/>
    </w:pPr>
    <w:rPr>
      <w:rFonts w:asciiTheme="majorHAnsi" w:hAnsiTheme="majorHAnsi" w:eastAsiaTheme="majorEastAsia" w:cstheme="majorBidi"/>
      <w:b/>
      <w:bCs/>
      <w:sz w:val="28"/>
      <w:szCs w:val="32"/>
    </w:rPr>
  </w:style>
  <w:style w:type="paragraph" w:styleId="4">
    <w:name w:val="heading 3"/>
    <w:basedOn w:val="5"/>
    <w:next w:val="1"/>
    <w:link w:val="50"/>
    <w:unhideWhenUsed/>
    <w:qFormat/>
    <w:uiPriority w:val="9"/>
    <w:pPr>
      <w:keepNext/>
      <w:keepLines/>
      <w:spacing w:line="360" w:lineRule="auto"/>
      <w:ind w:firstLine="200" w:firstLineChars="200"/>
      <w:jc w:val="left"/>
      <w:outlineLvl w:val="2"/>
    </w:pPr>
    <w:rPr>
      <w:b/>
      <w:bCs/>
      <w:sz w:val="24"/>
      <w:szCs w:val="32"/>
    </w:rPr>
  </w:style>
  <w:style w:type="paragraph" w:styleId="6">
    <w:name w:val="heading 4"/>
    <w:basedOn w:val="1"/>
    <w:next w:val="1"/>
    <w:link w:val="53"/>
    <w:unhideWhenUsed/>
    <w:qFormat/>
    <w:uiPriority w:val="9"/>
    <w:pPr>
      <w:keepNext/>
      <w:keepLines/>
      <w:spacing w:line="360" w:lineRule="auto"/>
      <w:ind w:firstLine="200" w:firstLineChars="200"/>
      <w:jc w:val="center"/>
      <w:outlineLvl w:val="3"/>
    </w:pPr>
    <w:rPr>
      <w:rFonts w:asciiTheme="majorHAnsi" w:hAnsiTheme="majorHAnsi" w:eastAsiaTheme="majorEastAsia" w:cstheme="majorBidi"/>
      <w:b/>
      <w:bCs/>
      <w:sz w:val="24"/>
      <w:szCs w:val="28"/>
    </w:rPr>
  </w:style>
  <w:style w:type="paragraph" w:styleId="7">
    <w:name w:val="heading 5"/>
    <w:basedOn w:val="1"/>
    <w:next w:val="1"/>
    <w:qFormat/>
    <w:uiPriority w:val="0"/>
    <w:pPr>
      <w:keepNext/>
      <w:keepLines/>
      <w:numPr>
        <w:ilvl w:val="4"/>
        <w:numId w:val="1"/>
      </w:numPr>
      <w:snapToGrid w:val="0"/>
      <w:spacing w:line="360" w:lineRule="auto"/>
      <w:jc w:val="left"/>
      <w:outlineLvl w:val="4"/>
    </w:pPr>
    <w:rPr>
      <w:rFonts w:ascii="Arial" w:hAnsi="Arial" w:eastAsia="黑体"/>
      <w:b/>
      <w:kern w:val="2"/>
      <w:sz w:val="24"/>
    </w:rPr>
  </w:style>
  <w:style w:type="paragraph" w:styleId="8">
    <w:name w:val="heading 6"/>
    <w:basedOn w:val="1"/>
    <w:next w:val="1"/>
    <w:link w:val="55"/>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5">
    <w:name w:val="列表段落1"/>
    <w:basedOn w:val="1"/>
    <w:qFormat/>
    <w:uiPriority w:val="0"/>
    <w:pPr>
      <w:ind w:firstLine="420" w:firstLineChars="200"/>
    </w:pPr>
    <w:rPr>
      <w:szCs w:val="20"/>
    </w:rPr>
  </w:style>
  <w:style w:type="paragraph" w:styleId="9">
    <w:name w:val="Normal Indent"/>
    <w:basedOn w:val="1"/>
    <w:link w:val="62"/>
    <w:qFormat/>
    <w:uiPriority w:val="0"/>
    <w:pPr>
      <w:ind w:firstLine="420" w:firstLineChars="200"/>
    </w:pPr>
    <w:rPr>
      <w:rFonts w:ascii="Times New Roman" w:hAnsi="Times New Roman"/>
      <w:szCs w:val="20"/>
    </w:rPr>
  </w:style>
  <w:style w:type="paragraph" w:styleId="10">
    <w:name w:val="Document Map"/>
    <w:basedOn w:val="1"/>
    <w:semiHidden/>
    <w:qFormat/>
    <w:uiPriority w:val="0"/>
    <w:pPr>
      <w:shd w:val="clear" w:color="auto" w:fill="000080"/>
    </w:pPr>
  </w:style>
  <w:style w:type="paragraph" w:styleId="11">
    <w:name w:val="toa heading"/>
    <w:basedOn w:val="1"/>
    <w:next w:val="1"/>
    <w:unhideWhenUsed/>
    <w:qFormat/>
    <w:uiPriority w:val="99"/>
    <w:pPr>
      <w:spacing w:before="120"/>
    </w:pPr>
    <w:rPr>
      <w:rFonts w:asciiTheme="majorHAnsi" w:hAnsiTheme="majorHAnsi" w:cstheme="majorBidi"/>
      <w:sz w:val="24"/>
      <w:szCs w:val="24"/>
    </w:rPr>
  </w:style>
  <w:style w:type="paragraph" w:styleId="12">
    <w:name w:val="annotation text"/>
    <w:basedOn w:val="1"/>
    <w:link w:val="59"/>
    <w:qFormat/>
    <w:uiPriority w:val="0"/>
    <w:pPr>
      <w:ind w:firstLine="388" w:firstLineChars="200"/>
      <w:jc w:val="left"/>
    </w:pPr>
    <w:rPr>
      <w:rFonts w:ascii="Times New Roman" w:hAnsi="Times New Roman"/>
      <w:szCs w:val="20"/>
    </w:rPr>
  </w:style>
  <w:style w:type="paragraph" w:styleId="13">
    <w:name w:val="Body Text"/>
    <w:basedOn w:val="1"/>
    <w:next w:val="1"/>
    <w:link w:val="70"/>
    <w:semiHidden/>
    <w:unhideWhenUsed/>
    <w:qFormat/>
    <w:uiPriority w:val="99"/>
    <w:pPr>
      <w:spacing w:after="120"/>
    </w:pPr>
  </w:style>
  <w:style w:type="paragraph" w:styleId="14">
    <w:name w:val="Body Text Indent"/>
    <w:basedOn w:val="1"/>
    <w:next w:val="1"/>
    <w:link w:val="45"/>
    <w:semiHidden/>
    <w:unhideWhenUsed/>
    <w:qFormat/>
    <w:uiPriority w:val="99"/>
    <w:pPr>
      <w:spacing w:after="120"/>
      <w:ind w:left="420" w:leftChars="200"/>
    </w:pPr>
  </w:style>
  <w:style w:type="paragraph" w:styleId="15">
    <w:name w:val="Block Text"/>
    <w:basedOn w:val="1"/>
    <w:next w:val="1"/>
    <w:qFormat/>
    <w:uiPriority w:val="99"/>
    <w:pPr>
      <w:overflowPunct w:val="0"/>
      <w:autoSpaceDE w:val="0"/>
      <w:autoSpaceDN w:val="0"/>
      <w:adjustRightInd w:val="0"/>
      <w:spacing w:before="60" w:after="60" w:line="440" w:lineRule="exact"/>
      <w:ind w:left="420" w:leftChars="150" w:right="1"/>
      <w:textAlignment w:val="baseline"/>
    </w:pPr>
    <w:rPr>
      <w:rFonts w:ascii="宋体" w:hAnsi="Times New Roman" w:cs="宋体"/>
      <w:sz w:val="24"/>
      <w:szCs w:val="20"/>
    </w:rPr>
  </w:style>
  <w:style w:type="paragraph" w:styleId="16">
    <w:name w:val="toc 5"/>
    <w:basedOn w:val="1"/>
    <w:next w:val="1"/>
    <w:qFormat/>
    <w:uiPriority w:val="0"/>
    <w:pPr>
      <w:ind w:left="1680" w:leftChars="800"/>
    </w:pPr>
    <w:rPr>
      <w:szCs w:val="24"/>
    </w:rPr>
  </w:style>
  <w:style w:type="paragraph" w:styleId="17">
    <w:name w:val="toc 3"/>
    <w:basedOn w:val="1"/>
    <w:next w:val="1"/>
    <w:unhideWhenUsed/>
    <w:qFormat/>
    <w:uiPriority w:val="39"/>
    <w:pPr>
      <w:ind w:left="840" w:leftChars="400"/>
    </w:pPr>
  </w:style>
  <w:style w:type="paragraph" w:styleId="18">
    <w:name w:val="Plain Text"/>
    <w:basedOn w:val="1"/>
    <w:next w:val="1"/>
    <w:link w:val="51"/>
    <w:qFormat/>
    <w:uiPriority w:val="0"/>
    <w:rPr>
      <w:rFonts w:ascii="宋体" w:hAnsi="Courier New"/>
      <w:szCs w:val="20"/>
    </w:rPr>
  </w:style>
  <w:style w:type="paragraph" w:styleId="19">
    <w:name w:val="Balloon Text"/>
    <w:basedOn w:val="1"/>
    <w:link w:val="54"/>
    <w:semiHidden/>
    <w:unhideWhenUsed/>
    <w:qFormat/>
    <w:uiPriority w:val="99"/>
    <w:rPr>
      <w:sz w:val="18"/>
      <w:szCs w:val="18"/>
    </w:rPr>
  </w:style>
  <w:style w:type="paragraph" w:styleId="20">
    <w:name w:val="footer"/>
    <w:basedOn w:val="1"/>
    <w:link w:val="71"/>
    <w:unhideWhenUsed/>
    <w:qFormat/>
    <w:uiPriority w:val="99"/>
    <w:pPr>
      <w:tabs>
        <w:tab w:val="center" w:pos="4153"/>
        <w:tab w:val="right" w:pos="8306"/>
      </w:tabs>
      <w:snapToGrid w:val="0"/>
      <w:jc w:val="left"/>
    </w:pPr>
    <w:rPr>
      <w:sz w:val="18"/>
      <w:szCs w:val="18"/>
    </w:rPr>
  </w:style>
  <w:style w:type="paragraph" w:styleId="21">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style>
  <w:style w:type="paragraph" w:styleId="23">
    <w:name w:val="Subtitle"/>
    <w:basedOn w:val="1"/>
    <w:next w:val="1"/>
    <w:qFormat/>
    <w:uiPriority w:val="0"/>
    <w:pPr>
      <w:adjustRightInd w:val="0"/>
      <w:spacing w:after="60" w:line="360" w:lineRule="atLeast"/>
      <w:jc w:val="center"/>
      <w:textAlignment w:val="baseline"/>
    </w:pPr>
    <w:rPr>
      <w:rFonts w:ascii="Arial" w:hAnsi="Arial" w:eastAsia="黑体"/>
      <w:i/>
      <w:kern w:val="0"/>
      <w:sz w:val="24"/>
      <w:szCs w:val="20"/>
    </w:rPr>
  </w:style>
  <w:style w:type="paragraph" w:styleId="24">
    <w:name w:val="List 5"/>
    <w:basedOn w:val="1"/>
    <w:next w:val="25"/>
    <w:qFormat/>
    <w:uiPriority w:val="0"/>
    <w:pPr>
      <w:ind w:left="100" w:hanging="200"/>
    </w:pPr>
  </w:style>
  <w:style w:type="paragraph" w:customStyle="1" w:styleId="25">
    <w:name w:val="目录 51"/>
    <w:basedOn w:val="1"/>
    <w:next w:val="1"/>
    <w:qFormat/>
    <w:uiPriority w:val="0"/>
    <w:pPr>
      <w:ind w:left="630"/>
    </w:pPr>
    <w:rPr>
      <w:sz w:val="20"/>
    </w:rPr>
  </w:style>
  <w:style w:type="paragraph" w:styleId="26">
    <w:name w:val="toc 2"/>
    <w:basedOn w:val="1"/>
    <w:next w:val="1"/>
    <w:unhideWhenUsed/>
    <w:qFormat/>
    <w:uiPriority w:val="39"/>
    <w:pPr>
      <w:ind w:left="420" w:leftChars="200"/>
    </w:pPr>
  </w:style>
  <w:style w:type="paragraph" w:styleId="27">
    <w:name w:val="Body Text 2"/>
    <w:basedOn w:val="1"/>
    <w:link w:val="56"/>
    <w:qFormat/>
    <w:uiPriority w:val="0"/>
    <w:pPr>
      <w:spacing w:after="120" w:line="480" w:lineRule="auto"/>
    </w:pPr>
    <w:rPr>
      <w:rFonts w:ascii="Times New Roman" w:hAnsi="Times New Roman"/>
      <w:szCs w:val="24"/>
    </w:rPr>
  </w:style>
  <w:style w:type="paragraph" w:styleId="28">
    <w:name w:val="Normal (Web)"/>
    <w:basedOn w:val="1"/>
    <w:qFormat/>
    <w:uiPriority w:val="0"/>
    <w:pPr>
      <w:spacing w:before="100" w:beforeAutospacing="1" w:after="100" w:afterAutospacing="1"/>
      <w:jc w:val="left"/>
    </w:pPr>
    <w:rPr>
      <w:rFonts w:ascii="Times New Roman" w:hAnsi="Times New Roman"/>
      <w:kern w:val="0"/>
      <w:sz w:val="24"/>
      <w:szCs w:val="24"/>
    </w:rPr>
  </w:style>
  <w:style w:type="paragraph" w:styleId="29">
    <w:name w:val="Title"/>
    <w:basedOn w:val="1"/>
    <w:next w:val="1"/>
    <w:link w:val="52"/>
    <w:qFormat/>
    <w:uiPriority w:val="0"/>
    <w:pPr>
      <w:jc w:val="center"/>
    </w:pPr>
    <w:rPr>
      <w:rFonts w:ascii="Times New Roman" w:hAnsi="Times New Roman" w:eastAsia="黑体"/>
      <w:sz w:val="32"/>
      <w:szCs w:val="20"/>
    </w:rPr>
  </w:style>
  <w:style w:type="paragraph" w:styleId="30">
    <w:name w:val="Body Text First Indent"/>
    <w:basedOn w:val="13"/>
    <w:next w:val="31"/>
    <w:link w:val="44"/>
    <w:qFormat/>
    <w:uiPriority w:val="0"/>
    <w:pPr>
      <w:widowControl/>
      <w:spacing w:line="276" w:lineRule="auto"/>
      <w:ind w:firstLine="420" w:firstLineChars="100"/>
      <w:jc w:val="left"/>
    </w:pPr>
    <w:rPr>
      <w:rFonts w:eastAsia="仿宋_GB2312"/>
      <w:b/>
      <w:sz w:val="22"/>
      <w:lang w:eastAsia="en-US" w:bidi="en-US"/>
    </w:rPr>
  </w:style>
  <w:style w:type="paragraph" w:styleId="31">
    <w:name w:val="Body Text First Indent 2"/>
    <w:basedOn w:val="14"/>
    <w:next w:val="1"/>
    <w:link w:val="46"/>
    <w:unhideWhenUsed/>
    <w:qFormat/>
    <w:uiPriority w:val="99"/>
    <w:pPr>
      <w:ind w:firstLine="420" w:firstLineChars="200"/>
    </w:pPr>
  </w:style>
  <w:style w:type="table" w:styleId="33">
    <w:name w:val="Table Grid"/>
    <w:basedOn w:val="3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basedOn w:val="34"/>
    <w:qFormat/>
    <w:uiPriority w:val="0"/>
  </w:style>
  <w:style w:type="character" w:styleId="37">
    <w:name w:val="Hyperlink"/>
    <w:basedOn w:val="34"/>
    <w:unhideWhenUsed/>
    <w:qFormat/>
    <w:uiPriority w:val="99"/>
    <w:rPr>
      <w:color w:val="0000FF" w:themeColor="hyperlink"/>
      <w:u w:val="single"/>
      <w14:textFill>
        <w14:solidFill>
          <w14:schemeClr w14:val="hlink"/>
        </w14:solidFill>
      </w14:textFill>
    </w:rPr>
  </w:style>
  <w:style w:type="paragraph" w:customStyle="1" w:styleId="38">
    <w:name w:val="NormalIndent"/>
    <w:basedOn w:val="1"/>
    <w:qFormat/>
    <w:uiPriority w:val="0"/>
    <w:pPr>
      <w:ind w:firstLine="420"/>
    </w:pPr>
  </w:style>
  <w:style w:type="paragraph" w:customStyle="1" w:styleId="39">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0">
    <w:name w:val="正文缩进1"/>
    <w:basedOn w:val="1"/>
    <w:next w:val="24"/>
    <w:qFormat/>
    <w:uiPriority w:val="0"/>
    <w:pPr>
      <w:widowControl/>
      <w:ind w:firstLine="420"/>
    </w:pPr>
    <w:rPr>
      <w:sz w:val="20"/>
    </w:rPr>
  </w:style>
  <w:style w:type="character" w:customStyle="1" w:styleId="41">
    <w:name w:val="页眉 字符"/>
    <w:basedOn w:val="34"/>
    <w:link w:val="21"/>
    <w:qFormat/>
    <w:uiPriority w:val="99"/>
    <w:rPr>
      <w:sz w:val="18"/>
      <w:szCs w:val="18"/>
    </w:rPr>
  </w:style>
  <w:style w:type="character" w:customStyle="1" w:styleId="42">
    <w:name w:val="页脚 Char"/>
    <w:basedOn w:val="34"/>
    <w:qFormat/>
    <w:uiPriority w:val="99"/>
    <w:rPr>
      <w:sz w:val="18"/>
      <w:szCs w:val="18"/>
    </w:rPr>
  </w:style>
  <w:style w:type="character" w:customStyle="1" w:styleId="43">
    <w:name w:val="正文文本 Char"/>
    <w:basedOn w:val="34"/>
    <w:semiHidden/>
    <w:qFormat/>
    <w:uiPriority w:val="99"/>
    <w:rPr>
      <w:rFonts w:ascii="Calibri" w:hAnsi="Calibri" w:eastAsia="宋体" w:cs="Times New Roman"/>
    </w:rPr>
  </w:style>
  <w:style w:type="character" w:customStyle="1" w:styleId="44">
    <w:name w:val="正文文本首行缩进 字符"/>
    <w:basedOn w:val="43"/>
    <w:link w:val="30"/>
    <w:qFormat/>
    <w:uiPriority w:val="0"/>
    <w:rPr>
      <w:rFonts w:ascii="Calibri" w:hAnsi="Calibri" w:eastAsia="仿宋_GB2312" w:cs="Times New Roman"/>
      <w:b/>
      <w:sz w:val="22"/>
      <w:lang w:eastAsia="en-US" w:bidi="en-US"/>
    </w:rPr>
  </w:style>
  <w:style w:type="character" w:customStyle="1" w:styleId="45">
    <w:name w:val="正文文本缩进 字符"/>
    <w:basedOn w:val="34"/>
    <w:link w:val="14"/>
    <w:semiHidden/>
    <w:qFormat/>
    <w:uiPriority w:val="99"/>
    <w:rPr>
      <w:rFonts w:ascii="Calibri" w:hAnsi="Calibri" w:eastAsia="宋体" w:cs="Times New Roman"/>
    </w:rPr>
  </w:style>
  <w:style w:type="character" w:customStyle="1" w:styleId="46">
    <w:name w:val="正文文本首行缩进 2 字符"/>
    <w:basedOn w:val="45"/>
    <w:link w:val="31"/>
    <w:qFormat/>
    <w:uiPriority w:val="99"/>
    <w:rPr>
      <w:rFonts w:ascii="Calibri" w:hAnsi="Calibri" w:eastAsia="宋体" w:cs="Times New Roman"/>
    </w:rPr>
  </w:style>
  <w:style w:type="character" w:customStyle="1" w:styleId="47">
    <w:name w:val="标题 1 Char"/>
    <w:basedOn w:val="34"/>
    <w:qFormat/>
    <w:uiPriority w:val="9"/>
    <w:rPr>
      <w:rFonts w:ascii="Calibri" w:hAnsi="Calibri" w:eastAsia="宋体" w:cs="Times New Roman"/>
      <w:b/>
      <w:bCs/>
      <w:kern w:val="44"/>
      <w:sz w:val="44"/>
      <w:szCs w:val="44"/>
    </w:rPr>
  </w:style>
  <w:style w:type="paragraph" w:styleId="48">
    <w:name w:val="List Paragraph"/>
    <w:basedOn w:val="1"/>
    <w:qFormat/>
    <w:uiPriority w:val="34"/>
    <w:pPr>
      <w:ind w:firstLine="420" w:firstLineChars="200"/>
    </w:pPr>
  </w:style>
  <w:style w:type="character" w:customStyle="1" w:styleId="49">
    <w:name w:val="标题 2 字符"/>
    <w:basedOn w:val="34"/>
    <w:link w:val="3"/>
    <w:qFormat/>
    <w:uiPriority w:val="9"/>
    <w:rPr>
      <w:rFonts w:asciiTheme="majorHAnsi" w:hAnsiTheme="majorHAnsi" w:eastAsiaTheme="majorEastAsia" w:cstheme="majorBidi"/>
      <w:b/>
      <w:bCs/>
      <w:sz w:val="28"/>
      <w:szCs w:val="32"/>
    </w:rPr>
  </w:style>
  <w:style w:type="character" w:customStyle="1" w:styleId="50">
    <w:name w:val="标题 3 字符"/>
    <w:basedOn w:val="34"/>
    <w:link w:val="4"/>
    <w:qFormat/>
    <w:uiPriority w:val="9"/>
    <w:rPr>
      <w:rFonts w:ascii="Calibri" w:hAnsi="Calibri" w:eastAsia="宋体" w:cs="Times New Roman"/>
      <w:b/>
      <w:bCs/>
      <w:sz w:val="24"/>
      <w:szCs w:val="32"/>
    </w:rPr>
  </w:style>
  <w:style w:type="character" w:customStyle="1" w:styleId="51">
    <w:name w:val="纯文本 字符"/>
    <w:basedOn w:val="34"/>
    <w:link w:val="18"/>
    <w:qFormat/>
    <w:uiPriority w:val="0"/>
    <w:rPr>
      <w:rFonts w:ascii="宋体" w:hAnsi="Courier New" w:eastAsia="宋体" w:cs="Times New Roman"/>
      <w:szCs w:val="20"/>
    </w:rPr>
  </w:style>
  <w:style w:type="character" w:customStyle="1" w:styleId="52">
    <w:name w:val="标题 字符"/>
    <w:basedOn w:val="34"/>
    <w:link w:val="29"/>
    <w:qFormat/>
    <w:uiPriority w:val="0"/>
    <w:rPr>
      <w:rFonts w:ascii="Times New Roman" w:hAnsi="Times New Roman" w:eastAsia="黑体" w:cs="Times New Roman"/>
      <w:sz w:val="32"/>
      <w:szCs w:val="20"/>
    </w:rPr>
  </w:style>
  <w:style w:type="character" w:customStyle="1" w:styleId="53">
    <w:name w:val="标题 4 字符"/>
    <w:basedOn w:val="34"/>
    <w:link w:val="6"/>
    <w:qFormat/>
    <w:uiPriority w:val="9"/>
    <w:rPr>
      <w:rFonts w:asciiTheme="majorHAnsi" w:hAnsiTheme="majorHAnsi" w:eastAsiaTheme="majorEastAsia" w:cstheme="majorBidi"/>
      <w:b/>
      <w:bCs/>
      <w:sz w:val="24"/>
      <w:szCs w:val="28"/>
    </w:rPr>
  </w:style>
  <w:style w:type="character" w:customStyle="1" w:styleId="54">
    <w:name w:val="批注框文本 字符"/>
    <w:basedOn w:val="34"/>
    <w:link w:val="19"/>
    <w:semiHidden/>
    <w:qFormat/>
    <w:uiPriority w:val="99"/>
    <w:rPr>
      <w:rFonts w:ascii="Calibri" w:hAnsi="Calibri" w:eastAsia="宋体" w:cs="Times New Roman"/>
      <w:sz w:val="18"/>
      <w:szCs w:val="18"/>
    </w:rPr>
  </w:style>
  <w:style w:type="character" w:customStyle="1" w:styleId="55">
    <w:name w:val="标题 6 字符"/>
    <w:basedOn w:val="34"/>
    <w:link w:val="8"/>
    <w:semiHidden/>
    <w:qFormat/>
    <w:uiPriority w:val="9"/>
    <w:rPr>
      <w:rFonts w:asciiTheme="majorHAnsi" w:hAnsiTheme="majorHAnsi" w:eastAsiaTheme="majorEastAsia" w:cstheme="majorBidi"/>
      <w:b/>
      <w:bCs/>
      <w:sz w:val="24"/>
      <w:szCs w:val="24"/>
    </w:rPr>
  </w:style>
  <w:style w:type="character" w:customStyle="1" w:styleId="56">
    <w:name w:val="正文文本 2 字符"/>
    <w:basedOn w:val="34"/>
    <w:link w:val="27"/>
    <w:qFormat/>
    <w:uiPriority w:val="0"/>
    <w:rPr>
      <w:rFonts w:ascii="Times New Roman" w:hAnsi="Times New Roman" w:eastAsia="宋体" w:cs="Times New Roman"/>
      <w:szCs w:val="24"/>
    </w:rPr>
  </w:style>
  <w:style w:type="paragraph" w:customStyle="1" w:styleId="57">
    <w:name w:val="_Style 26"/>
    <w:basedOn w:val="1"/>
    <w:qFormat/>
    <w:uiPriority w:val="1"/>
    <w:pPr>
      <w:widowControl/>
      <w:jc w:val="left"/>
    </w:pPr>
    <w:rPr>
      <w:rFonts w:ascii="Verdana" w:hAnsi="Verdana"/>
      <w:kern w:val="0"/>
      <w:sz w:val="24"/>
      <w:lang w:eastAsia="en-US" w:bidi="en-US"/>
    </w:rPr>
  </w:style>
  <w:style w:type="paragraph" w:customStyle="1" w:styleId="58">
    <w:name w:val="列出段落1"/>
    <w:basedOn w:val="1"/>
    <w:qFormat/>
    <w:uiPriority w:val="0"/>
    <w:pPr>
      <w:ind w:firstLine="420" w:firstLineChars="200"/>
    </w:pPr>
    <w:rPr>
      <w:rFonts w:ascii="Times New Roman" w:hAnsi="Times New Roman"/>
      <w:szCs w:val="20"/>
    </w:rPr>
  </w:style>
  <w:style w:type="character" w:customStyle="1" w:styleId="59">
    <w:name w:val="批注文字 字符"/>
    <w:basedOn w:val="34"/>
    <w:link w:val="12"/>
    <w:qFormat/>
    <w:uiPriority w:val="0"/>
    <w:rPr>
      <w:rFonts w:ascii="Times New Roman" w:hAnsi="Times New Roman" w:eastAsia="宋体" w:cs="Times New Roman"/>
      <w:szCs w:val="20"/>
    </w:rPr>
  </w:style>
  <w:style w:type="paragraph" w:customStyle="1" w:styleId="60">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1"/>
    <w:qFormat/>
    <w:uiPriority w:val="0"/>
    <w:rPr>
      <w:rFonts w:ascii="Times New Roman" w:hAnsi="Times New Roman" w:cs="宋体"/>
      <w:szCs w:val="24"/>
    </w:rPr>
  </w:style>
  <w:style w:type="paragraph" w:customStyle="1" w:styleId="61">
    <w:name w:val="段"/>
    <w:next w:val="1"/>
    <w:link w:val="64"/>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62">
    <w:name w:val="正文缩进 字符"/>
    <w:link w:val="9"/>
    <w:qFormat/>
    <w:uiPriority w:val="0"/>
    <w:rPr>
      <w:rFonts w:ascii="Times New Roman" w:hAnsi="Times New Roman" w:eastAsia="宋体" w:cs="Times New Roman"/>
      <w:szCs w:val="20"/>
    </w:rPr>
  </w:style>
  <w:style w:type="paragraph" w:customStyle="1" w:styleId="63">
    <w:name w:val="TOC 标题1"/>
    <w:basedOn w:val="2"/>
    <w:next w:val="1"/>
    <w:semiHidden/>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64">
    <w:name w:val="段 Char"/>
    <w:link w:val="61"/>
    <w:qFormat/>
    <w:uiPriority w:val="0"/>
    <w:rPr>
      <w:rFonts w:ascii="宋体" w:hAnsi="Times New Roman" w:eastAsia="宋体" w:cs="Times New Roman"/>
      <w:kern w:val="0"/>
    </w:rPr>
  </w:style>
  <w:style w:type="paragraph" w:customStyle="1" w:styleId="65">
    <w:name w:val="Table Paragraph"/>
    <w:basedOn w:val="1"/>
    <w:qFormat/>
    <w:uiPriority w:val="1"/>
    <w:pPr>
      <w:autoSpaceDE w:val="0"/>
      <w:autoSpaceDN w:val="0"/>
      <w:jc w:val="left"/>
    </w:pPr>
    <w:rPr>
      <w:rFonts w:ascii="Noto Sans Mono CJK JP Regular" w:hAnsi="Noto Sans Mono CJK JP Regular" w:eastAsia="Noto Sans Mono CJK JP Regular" w:cs="Noto Sans Mono CJK JP Regular"/>
      <w:kern w:val="0"/>
      <w:sz w:val="22"/>
      <w:lang w:eastAsia="en-US"/>
    </w:rPr>
  </w:style>
  <w:style w:type="table" w:customStyle="1" w:styleId="66">
    <w:name w:val="Table Normal_0"/>
    <w:semiHidden/>
    <w:unhideWhenUsed/>
    <w:qFormat/>
    <w:uiPriority w:val="0"/>
    <w:tblPr>
      <w:tblCellMar>
        <w:top w:w="0" w:type="dxa"/>
        <w:left w:w="0" w:type="dxa"/>
        <w:bottom w:w="0" w:type="dxa"/>
        <w:right w:w="0" w:type="dxa"/>
      </w:tblCellMar>
    </w:tblPr>
  </w:style>
  <w:style w:type="paragraph" w:customStyle="1" w:styleId="67">
    <w:name w:val="_Style 2"/>
    <w:basedOn w:val="1"/>
    <w:qFormat/>
    <w:uiPriority w:val="0"/>
    <w:rPr>
      <w:rFonts w:ascii="Times New Roman" w:hAnsi="Times New Roman"/>
    </w:rPr>
  </w:style>
  <w:style w:type="paragraph" w:customStyle="1" w:styleId="68">
    <w:name w:val="Char Char"/>
    <w:basedOn w:val="1"/>
    <w:qFormat/>
    <w:uiPriority w:val="0"/>
    <w:rPr>
      <w:rFonts w:ascii="Arial" w:hAnsi="Arial" w:cs="Arial"/>
      <w:sz w:val="20"/>
      <w:szCs w:val="20"/>
    </w:rPr>
  </w:style>
  <w:style w:type="character" w:customStyle="1" w:styleId="69">
    <w:name w:val="标题 1 字符"/>
    <w:basedOn w:val="34"/>
    <w:link w:val="2"/>
    <w:qFormat/>
    <w:uiPriority w:val="0"/>
    <w:rPr>
      <w:rFonts w:hint="default" w:ascii="Calibri" w:hAnsi="Calibri" w:eastAsia="仿宋" w:cs="Calibri"/>
      <w:b/>
      <w:bCs/>
      <w:kern w:val="44"/>
      <w:sz w:val="28"/>
      <w:szCs w:val="44"/>
    </w:rPr>
  </w:style>
  <w:style w:type="character" w:customStyle="1" w:styleId="70">
    <w:name w:val="正文文本 字符"/>
    <w:basedOn w:val="34"/>
    <w:link w:val="13"/>
    <w:qFormat/>
    <w:uiPriority w:val="0"/>
    <w:rPr>
      <w:kern w:val="2"/>
      <w:sz w:val="21"/>
      <w:szCs w:val="22"/>
    </w:rPr>
  </w:style>
  <w:style w:type="character" w:customStyle="1" w:styleId="71">
    <w:name w:val="页脚 字符"/>
    <w:basedOn w:val="34"/>
    <w:link w:val="20"/>
    <w:qFormat/>
    <w:uiPriority w:val="0"/>
    <w:rPr>
      <w:kern w:val="2"/>
      <w:sz w:val="18"/>
      <w:szCs w:val="18"/>
    </w:rPr>
  </w:style>
  <w:style w:type="character" w:customStyle="1" w:styleId="72">
    <w:name w:val="页脚 字符1"/>
    <w:basedOn w:val="34"/>
    <w:qFormat/>
    <w:uiPriority w:val="0"/>
    <w:rPr>
      <w:kern w:val="2"/>
      <w:sz w:val="18"/>
      <w:szCs w:val="18"/>
    </w:rPr>
  </w:style>
  <w:style w:type="paragraph" w:customStyle="1" w:styleId="73">
    <w:name w:val="列出段落2"/>
    <w:basedOn w:val="1"/>
    <w:unhideWhenUsed/>
    <w:qFormat/>
    <w:uiPriority w:val="0"/>
    <w:pPr>
      <w:ind w:firstLine="420" w:firstLineChars="200"/>
    </w:pPr>
  </w:style>
  <w:style w:type="paragraph" w:customStyle="1" w:styleId="74">
    <w:name w:val="样式 样式 样式 行距: 最小值 25 磅 + Times New Roman 首行缩进:  0.83 厘米 + (符号) Ti..."/>
    <w:basedOn w:val="1"/>
    <w:qFormat/>
    <w:uiPriority w:val="0"/>
    <w:pPr>
      <w:spacing w:line="480" w:lineRule="atLeast"/>
      <w:ind w:firstLine="482"/>
    </w:pPr>
    <w:rPr>
      <w:rFonts w:hAnsi="宋体" w:cs="宋体"/>
      <w:kern w:val="0"/>
    </w:rPr>
  </w:style>
  <w:style w:type="character" w:customStyle="1" w:styleId="75">
    <w:name w:val="font81"/>
    <w:basedOn w:val="34"/>
    <w:qFormat/>
    <w:uiPriority w:val="0"/>
    <w:rPr>
      <w:rFonts w:hint="eastAsia" w:ascii="宋体" w:hAnsi="宋体" w:eastAsia="宋体" w:cs="宋体"/>
      <w:b/>
      <w:bCs/>
      <w:color w:val="000000"/>
      <w:sz w:val="28"/>
      <w:szCs w:val="28"/>
      <w:u w:val="none"/>
    </w:rPr>
  </w:style>
  <w:style w:type="character" w:customStyle="1" w:styleId="76">
    <w:name w:val="font91"/>
    <w:basedOn w:val="34"/>
    <w:qFormat/>
    <w:uiPriority w:val="0"/>
    <w:rPr>
      <w:rFonts w:hint="eastAsia" w:ascii="宋体" w:hAnsi="宋体" w:eastAsia="宋体" w:cs="宋体"/>
      <w:b/>
      <w:bCs/>
      <w:color w:val="000000"/>
      <w:sz w:val="24"/>
      <w:szCs w:val="24"/>
      <w:u w:val="none"/>
    </w:rPr>
  </w:style>
  <w:style w:type="character" w:customStyle="1" w:styleId="77">
    <w:name w:val="font71"/>
    <w:basedOn w:val="34"/>
    <w:qFormat/>
    <w:uiPriority w:val="0"/>
    <w:rPr>
      <w:rFonts w:hint="eastAsia" w:ascii="宋体" w:hAnsi="宋体" w:eastAsia="宋体" w:cs="宋体"/>
      <w:color w:val="000000"/>
      <w:sz w:val="22"/>
      <w:szCs w:val="22"/>
      <w:u w:val="none"/>
    </w:rPr>
  </w:style>
  <w:style w:type="character" w:customStyle="1" w:styleId="78">
    <w:name w:val="font41"/>
    <w:basedOn w:val="34"/>
    <w:qFormat/>
    <w:uiPriority w:val="0"/>
    <w:rPr>
      <w:rFonts w:hint="default" w:ascii="Times New Roman" w:hAnsi="Times New Roman" w:cs="Times New Roman"/>
      <w:color w:val="000000"/>
      <w:sz w:val="22"/>
      <w:szCs w:val="22"/>
      <w:u w:val="none"/>
    </w:rPr>
  </w:style>
  <w:style w:type="character" w:customStyle="1" w:styleId="79">
    <w:name w:val="font101"/>
    <w:basedOn w:val="34"/>
    <w:qFormat/>
    <w:uiPriority w:val="0"/>
    <w:rPr>
      <w:rFonts w:hint="eastAsia" w:ascii="宋体" w:hAnsi="宋体" w:eastAsia="宋体" w:cs="宋体"/>
      <w:b/>
      <w:bCs/>
      <w:color w:val="000000"/>
      <w:sz w:val="22"/>
      <w:szCs w:val="22"/>
      <w:u w:val="none"/>
    </w:rPr>
  </w:style>
  <w:style w:type="character" w:customStyle="1" w:styleId="80">
    <w:name w:val="font61"/>
    <w:basedOn w:val="34"/>
    <w:qFormat/>
    <w:uiPriority w:val="0"/>
    <w:rPr>
      <w:rFonts w:hint="default" w:ascii="Times New Roman" w:hAnsi="Times New Roman" w:cs="Times New Roman"/>
      <w:b/>
      <w:bCs/>
      <w:color w:val="000000"/>
      <w:sz w:val="24"/>
      <w:szCs w:val="24"/>
      <w:u w:val="none"/>
    </w:rPr>
  </w:style>
  <w:style w:type="character" w:customStyle="1" w:styleId="81">
    <w:name w:val="font31"/>
    <w:basedOn w:val="34"/>
    <w:qFormat/>
    <w:uiPriority w:val="0"/>
    <w:rPr>
      <w:rFonts w:hint="default" w:ascii="Times New Roman" w:hAnsi="Times New Roman" w:cs="Times New Roman"/>
      <w:color w:val="000000"/>
      <w:sz w:val="22"/>
      <w:szCs w:val="22"/>
      <w:u w:val="none"/>
    </w:rPr>
  </w:style>
  <w:style w:type="character" w:customStyle="1" w:styleId="82">
    <w:name w:val="font21"/>
    <w:basedOn w:val="34"/>
    <w:qFormat/>
    <w:uiPriority w:val="0"/>
    <w:rPr>
      <w:rFonts w:hint="default" w:ascii="Times New Roman" w:hAnsi="Times New Roman" w:cs="Times New Roman"/>
      <w:b/>
      <w:bCs/>
      <w:color w:val="000000"/>
      <w:sz w:val="22"/>
      <w:szCs w:val="22"/>
      <w:u w:val="none"/>
    </w:rPr>
  </w:style>
  <w:style w:type="character" w:customStyle="1" w:styleId="83">
    <w:name w:val="招标文件正文 Char Char"/>
    <w:basedOn w:val="34"/>
    <w:link w:val="84"/>
    <w:qFormat/>
    <w:uiPriority w:val="0"/>
    <w:rPr>
      <w:rFonts w:ascii="宋体" w:hAnsi="宋体" w:cs="宋体"/>
      <w:szCs w:val="21"/>
      <w:lang w:val="zh-CN"/>
    </w:rPr>
  </w:style>
  <w:style w:type="paragraph" w:customStyle="1" w:styleId="84">
    <w:name w:val="招标文件正文"/>
    <w:basedOn w:val="1"/>
    <w:link w:val="83"/>
    <w:qFormat/>
    <w:uiPriority w:val="0"/>
    <w:pPr>
      <w:autoSpaceDE w:val="0"/>
      <w:autoSpaceDN w:val="0"/>
      <w:adjustRightInd w:val="0"/>
      <w:snapToGrid w:val="0"/>
      <w:spacing w:line="360" w:lineRule="auto"/>
      <w:ind w:firstLine="200" w:firstLineChars="200"/>
    </w:pPr>
    <w:rPr>
      <w:rFonts w:ascii="宋体" w:hAnsi="宋体" w:cs="宋体"/>
      <w:szCs w:val="21"/>
      <w:lang w:val="zh-CN"/>
    </w:rPr>
  </w:style>
  <w:style w:type="paragraph" w:customStyle="1" w:styleId="85">
    <w:name w:val="正文首行缩进1"/>
    <w:basedOn w:val="13"/>
    <w:qFormat/>
    <w:uiPriority w:val="0"/>
    <w:pPr>
      <w:ind w:firstLine="420" w:firstLineChars="100"/>
    </w:pPr>
  </w:style>
  <w:style w:type="character" w:customStyle="1" w:styleId="86">
    <w:name w:val="标题 2 字符1"/>
    <w:basedOn w:val="34"/>
    <w:qFormat/>
    <w:uiPriority w:val="0"/>
    <w:rPr>
      <w:rFonts w:ascii="Arial" w:hAnsi="Arial" w:eastAsia="黑体"/>
      <w:b/>
      <w:sz w:val="32"/>
    </w:rPr>
  </w:style>
  <w:style w:type="paragraph" w:customStyle="1" w:styleId="87">
    <w:name w:val="Normal_2"/>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8">
    <w:name w:val="font122"/>
    <w:basedOn w:val="34"/>
    <w:qFormat/>
    <w:uiPriority w:val="0"/>
    <w:rPr>
      <w:rFonts w:hint="eastAsia" w:ascii="宋体" w:hAnsi="宋体" w:eastAsia="宋体" w:cs="宋体"/>
      <w:color w:val="000000"/>
      <w:sz w:val="20"/>
      <w:szCs w:val="20"/>
      <w:u w:val="none"/>
      <w:vertAlign w:val="superscript"/>
    </w:rPr>
  </w:style>
  <w:style w:type="character" w:customStyle="1" w:styleId="89">
    <w:name w:val="font51"/>
    <w:basedOn w:val="34"/>
    <w:qFormat/>
    <w:uiPriority w:val="0"/>
    <w:rPr>
      <w:rFonts w:hint="eastAsia" w:ascii="宋体" w:hAnsi="宋体" w:eastAsia="宋体" w:cs="宋体"/>
      <w:color w:val="000000"/>
      <w:sz w:val="20"/>
      <w:szCs w:val="20"/>
      <w:u w:val="none"/>
    </w:rPr>
  </w:style>
  <w:style w:type="character" w:customStyle="1" w:styleId="90">
    <w:name w:val="font121"/>
    <w:basedOn w:val="34"/>
    <w:qFormat/>
    <w:uiPriority w:val="0"/>
    <w:rPr>
      <w:rFonts w:hint="eastAsia" w:ascii="宋体" w:hAnsi="宋体" w:eastAsia="宋体" w:cs="宋体"/>
      <w:color w:val="000000"/>
      <w:sz w:val="20"/>
      <w:szCs w:val="20"/>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wmf"/><Relationship Id="rId17" Type="http://schemas.openxmlformats.org/officeDocument/2006/relationships/oleObject" Target="embeddings/oleObject2.bin"/><Relationship Id="rId16" Type="http://schemas.openxmlformats.org/officeDocument/2006/relationships/image" Target="media/image3.wmf"/><Relationship Id="rId15" Type="http://schemas.openxmlformats.org/officeDocument/2006/relationships/oleObject" Target="embeddings/oleObject1.bin"/><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7e6021dc-a075-403b-be34-a002b00af99e</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3DE42167</paraID>
      <start>64</start>
      <end>75</end>
      <status>ignored</status>
      <modifiedWord/>
      <trackRevisions>false</trackRevisions>
    </reviewItem>
    <reviewItem>
      <errorID>a53fc285-05a4-490a-992d-a2b1b47e3d5a</errorID>
      <errorWord>《财政部 司法部关于政府采购支持监狱企业发展有关问题的通知》</errorWord>
      <group>L1_Official</group>
      <groupName>公文格式问题</groupName>
      <ability>L2_Official</ability>
      <abilityName>公文要素检查</abilityName>
      <candidateList/>
      <explain>公文文件引用格式不规范</explain>
      <paraID>4F4C958A</paraID>
      <start>5</start>
      <end>35</end>
      <status>ignored</status>
      <modifiedWord/>
      <trackRevisions>false</trackRevisions>
    </reviewItem>
    <reviewItem>
      <errorID>6522f35c-341f-41c6-9d44-eed1c624d62c</errorID>
      <errorWord>(</errorWord>
      <group>L1_Format</group>
      <groupName>格式问题</groupName>
      <ability>L2_HalfPunc_CN</ability>
      <abilityName>全半角检查</abilityName>
      <candidateList>
        <item>（</item>
      </candidateList>
      <explain>文本全半角错误。</explain>
      <paraID>4F4C958A</paraID>
      <start>35</start>
      <end>36</end>
      <status>modified</status>
      <modifiedWord>（</modifiedWord>
      <trackRevisions>false</trackRevisions>
    </reviewItem>
    <reviewItem>
      <errorID>a3e2dab6-e35d-463e-b1a3-0edc37d4ebe5</errorID>
      <errorWord>[2014]68号</errorWord>
      <group>L1_Knowledge</group>
      <groupName>知识性问题</groupName>
      <ability>L2_Knowledge</ability>
      <abilityName>其他知识</abilityName>
      <candidateList>
        <item>〔2014〕68号</item>
      </candidateList>
      <explain>发文字号格式错误。</explain>
      <paraID>4F4C958A</paraID>
      <start>38</start>
      <end>47</end>
      <status>modified</status>
      <modifiedWord>〔2014〕68号</modifiedWord>
      <trackRevisions>false</trackRevisions>
    </reviewItem>
    <reviewItem>
      <errorID>f2cb99f5-773a-411c-851e-d5cc6c37c57e</errorID>
      <errorWord>)</errorWord>
      <group>L1_Format</group>
      <groupName>格式问题</groupName>
      <ability>L2_HalfPunc_CN</ability>
      <abilityName>全半角检查</abilityName>
      <candidateList>
        <item>）</item>
      </candidateList>
      <explain>文本全半角错误。</explain>
      <paraID>4F4C958A</paraID>
      <start>47</start>
      <end>48</end>
      <status>modified</status>
      <modifiedWord>）</modifiedWord>
      <trackRevisions>false</trackRevisions>
    </reviewItem>
    <reviewItem>
      <errorID>14c3fe4f-6b8f-4d36-a247-4079f8a660ae</errorID>
      <errorWord>,</errorWord>
      <group>L1_Format</group>
      <groupName>格式问题</groupName>
      <ability>L2_HalfPunc_CN</ability>
      <abilityName>全半角检查</abilityName>
      <candidateList>
        <item>，</item>
      </candidateList>
      <explain>文本全半角错误。</explain>
      <paraID>4F4C958A</paraID>
      <start>51</start>
      <end>52</end>
      <status>modified</status>
      <modifiedWord>，</modifiedWord>
      <trackRevisions>false</trackRevisions>
    </reviewItem>
    <reviewItem>
      <errorID>ee6bf8b7-7414-465e-ba37-d76e94e83892</errorID>
      <errorWord>2026年09月11日</errorWord>
      <group>L1_Knowledge</group>
      <groupName>知识性问题</groupName>
      <ability>L2_Time</ability>
      <abilityName>日期时间</abilityName>
      <candidateList>
        <item>2026年9月11日</item>
      </candidateList>
      <explain>根据日常书写习惯，月份一般会省略前导零。</explain>
      <paraID> 5DFC2F4</paraID>
      <start>5</start>
      <end>16</end>
      <status>ignored</status>
      <modifiedWord/>
      <trackRevisions>false</trackRevisions>
    </reviewItem>
    <reviewItem>
      <errorID>7d0e9695-bef1-468e-930d-aedd95ce4387</errorID>
      <errorWord>2026年09月18日</errorWord>
      <group>L1_Knowledge</group>
      <groupName>知识性问题</groupName>
      <ability>L2_Time</ability>
      <abilityName>日期时间</abilityName>
      <candidateList>
        <item>2026年9月18日</item>
      </candidateList>
      <explain>根据日常书写习惯，月份一般会省略前导零。</explain>
      <paraID> 5DFC2F4</paraID>
      <start>23</start>
      <end>34</end>
      <status>ignored</status>
      <modifiedWord/>
      <trackRevisions>false</trackRevisions>
    </reviewItem>
    <reviewItem>
      <errorID>42c79a37-2e65-4521-b7a4-aec852a0da10</errorID>
      <errorWord>/）</errorWord>
      <group>L1_Punc</group>
      <groupName>标点问题</groupName>
      <ability>L2_Punc_CN</ability>
      <abilityName>标点符号检查</abilityName>
      <candidateList>
        <item>）</item>
      </candidateList>
      <explain/>
      <paraID> 39A0950</paraID>
      <start>38</start>
      <end>40</end>
      <status>ignored</status>
      <modifiedWord/>
      <trackRevisions>false</trackRevisions>
    </reviewItem>
    <reviewItem>
      <errorID>0542cc6e-a042-42a4-b4e3-e6eae3c7d679</errorID>
      <errorWord>-</errorWord>
      <group>L1_Format</group>
      <groupName>格式问题</groupName>
      <ability>L2_HalfPunc_CN</ability>
      <abilityName>全半角检查</abilityName>
      <candidateList>
        <item>－</item>
      </candidateList>
      <explain>文本全半角错误。</explain>
      <paraID> 39A0950</paraID>
      <start>55</start>
      <end>56</end>
      <status>modified</status>
      <modifiedWord>－</modifiedWord>
      <trackRevisions>false</trackRevisions>
    </reviewItem>
    <reviewItem>
      <errorID>d7de4659-1d34-4174-8db9-9129e8081d24</errorID>
      <errorWord>-</errorWord>
      <group>L1_Format</group>
      <groupName>格式问题</groupName>
      <ability>L2_HalfPunc_CN</ability>
      <abilityName>全半角检查</abilityName>
      <candidateList>
        <item>－</item>
      </candidateList>
      <explain>文本全半角错误。</explain>
      <paraID> 39A0950</paraID>
      <start>60</start>
      <end>61</end>
      <status>modified</status>
      <modifiedWord>－</modifiedWord>
      <trackRevisions>false</trackRevisions>
    </reviewItem>
    <reviewItem>
      <errorID>7592b032-b872-4ce7-9e8f-d1d682d42d62</errorID>
      <errorWord>-</errorWord>
      <group>L1_Format</group>
      <groupName>格式问题</groupName>
      <ability>L2_HalfPunc_CN</ability>
      <abilityName>全半角检查</abilityName>
      <candidateList>
        <item>－</item>
      </candidateList>
      <explain>文本全半角错误。</explain>
      <paraID> 39A0950</paraID>
      <start>68</start>
      <end>69</end>
      <status>modified</status>
      <modifiedWord>－</modifiedWord>
      <trackRevisions>false</trackRevisions>
    </reviewItem>
    <reviewItem>
      <errorID>45e4a361-da13-4215-96f7-5a8a2e4f1c4e</errorID>
      <errorWord>-</errorWord>
      <group>L1_Format</group>
      <groupName>格式问题</groupName>
      <ability>L2_HalfPunc_CN</ability>
      <abilityName>全半角检查</abilityName>
      <candidateList>
        <item>－</item>
      </candidateList>
      <explain>文本全半角错误。</explain>
      <paraID> 39A0950</paraID>
      <start>74</start>
      <end>75</end>
      <status>modified</status>
      <modifiedWord>－</modifiedWord>
      <trackRevisions>false</trackRevisions>
    </reviewItem>
    <reviewItem>
      <errorID>f6d00e20-98a7-4dca-a1d0-4852c4d281eb</errorID>
      <errorWord>/）</errorWord>
      <group>L1_Punc</group>
      <groupName>标点问题</groupName>
      <ability>L2_Punc_CN</ability>
      <abilityName>标点符号检查</abilityName>
      <candidateList>
        <item>）</item>
      </candidateList>
      <explain/>
      <paraID>719800A8</paraID>
      <start>524</start>
      <end>526</end>
      <status>ignored</status>
      <modifiedWord/>
      <trackRevisions>false</trackRevisions>
    </reviewItem>
    <reviewItem>
      <errorID>75f991d1-aa77-41f7-b360-95507b6b171b</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12A5A780</paraID>
      <start>7</start>
      <end>18</end>
      <status>ignored</status>
      <modifiedWord/>
      <trackRevisions>false</trackRevisions>
    </reviewItem>
    <reviewItem>
      <errorID>18c7af32-ae87-47d6-b1ec-db559c212c66</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39D9C21A</paraID>
      <start>7</start>
      <end>18</end>
      <status>ignored</status>
      <modifiedWord/>
      <trackRevisions>false</trackRevisions>
    </reviewItem>
    <reviewItem>
      <errorID>11f6f6a1-e405-4971-a539-7ff5b4f5fd06</errorID>
      <errorWord>/）</errorWord>
      <group>L1_Punc</group>
      <groupName>标点问题</groupName>
      <ability>L2_Punc_CN</ability>
      <abilityName>标点符号检查</abilityName>
      <candidateList>
        <item>）</item>
      </candidateList>
      <explain/>
      <paraID>5A24E11D</paraID>
      <start>35</start>
      <end>37</end>
      <status>ignored</status>
      <modifiedWord/>
      <trackRevisions>false</trackRevisions>
    </reviewItem>
    <reviewItem>
      <errorID>01de17ae-81b2-4889-a739-9d1ef4371ad0</errorID>
      <errorWord>/）</errorWord>
      <group>L1_Punc</group>
      <groupName>标点问题</groupName>
      <ability>L2_Punc_CN</ability>
      <abilityName>标点符号检查</abilityName>
      <candidateList>
        <item>）</item>
      </candidateList>
      <explain/>
      <paraID>5A24E11D</paraID>
      <start>76</start>
      <end>78</end>
      <status>ignored</status>
      <modifiedWord/>
      <trackRevisions>false</trackRevisions>
    </reviewItem>
    <reviewItem>
      <errorID>984cdb53-be0e-4f4f-b221-4ae788310dff</errorID>
      <errorWord>。</errorWord>
      <group>L1_Format</group>
      <groupName>格式问题</groupName>
      <ability>L2_HalfPunc_CN</ability>
      <abilityName>全半角检查</abilityName>
      <candidateList>
        <item>.</item>
      </candidateList>
      <explain>文本全半角错误。</explain>
      <paraID>7E0B6D73</paraID>
      <start>286</start>
      <end>287</end>
      <status>ignored</status>
      <modifiedWord/>
      <trackRevisions>false</trackRevisions>
    </reviewItem>
    <reviewItem>
      <errorID>d7e02c8f-45d8-4172-b539-50e563a4a6c3</errorID>
      <errorWord>《财政部 司法部关于政府采购支持监狱企业发展有关问题的通知》</errorWord>
      <group>L1_Official</group>
      <groupName>公文格式问题</groupName>
      <ability>L2_Official</ability>
      <abilityName>公文要素检查</abilityName>
      <candidateList/>
      <explain>公文文件引用格式不规范</explain>
      <paraID>6C8B226E</paraID>
      <start>5</start>
      <end>35</end>
      <status>ignored</status>
      <modifiedWord/>
      <trackRevisions>false</trackRevisions>
    </reviewItem>
    <reviewItem>
      <errorID>357efead-18c1-497d-947e-591268a63e82</errorID>
      <errorWord>(</errorWord>
      <group>L1_Format</group>
      <groupName>格式问题</groupName>
      <ability>L2_HalfPunc_CN</ability>
      <abilityName>全半角检查</abilityName>
      <candidateList>
        <item>（</item>
      </candidateList>
      <explain>文本全半角错误。</explain>
      <paraID>6C8B226E</paraID>
      <start>35</start>
      <end>36</end>
      <status>modified</status>
      <modifiedWord>（</modifiedWord>
      <trackRevisions>false</trackRevisions>
    </reviewItem>
    <reviewItem>
      <errorID>c6a3c45d-a543-4604-a9d6-95964ceb1c8b</errorID>
      <errorWord>[2014]68号</errorWord>
      <group>L1_Knowledge</group>
      <groupName>知识性问题</groupName>
      <ability>L2_Knowledge</ability>
      <abilityName>其他知识</abilityName>
      <candidateList>
        <item>〔2014〕68号</item>
      </candidateList>
      <explain>发文字号格式错误。</explain>
      <paraID>6C8B226E</paraID>
      <start>38</start>
      <end>47</end>
      <status>modified</status>
      <modifiedWord>〔2014〕68号</modifiedWord>
      <trackRevisions>false</trackRevisions>
    </reviewItem>
    <reviewItem>
      <errorID>d3ef050f-0b68-4af5-afb1-1bf5f72fd426</errorID>
      <errorWord>)</errorWord>
      <group>L1_Format</group>
      <groupName>格式问题</groupName>
      <ability>L2_HalfPunc_CN</ability>
      <abilityName>全半角检查</abilityName>
      <candidateList>
        <item>）</item>
      </candidateList>
      <explain>文本全半角错误。</explain>
      <paraID>6C8B226E</paraID>
      <start>47</start>
      <end>48</end>
      <status>modified</status>
      <modifiedWord>）</modifiedWord>
      <trackRevisions>false</trackRevisions>
    </reviewItem>
    <reviewItem>
      <errorID>3ddd9c70-54c0-416b-9f3f-67c3b5290f74</errorID>
      <errorWord>,</errorWord>
      <group>L1_Format</group>
      <groupName>格式问题</groupName>
      <ability>L2_HalfPunc_CN</ability>
      <abilityName>全半角检查</abilityName>
      <candidateList>
        <item>，</item>
      </candidateList>
      <explain>文本全半角错误。</explain>
      <paraID>6C8B226E</paraID>
      <start>51</start>
      <end>52</end>
      <status>modified</status>
      <modifiedWord>，</modifiedWord>
      <trackRevisions>false</trackRevisions>
    </reviewItem>
    <reviewItem>
      <errorID>0bcd9d99-5ccf-48ee-a11a-6bc9f6632bca</errorID>
      <errorWord>《云南省建设工程招标代理服务收费参考意见》</errorWord>
      <group>L1_Official</group>
      <groupName>公文格式问题</groupName>
      <ability>L2_Official</ability>
      <abilityName>公文要素检查</abilityName>
      <candidateList/>
      <explain>公文文件引用格式不规范</explain>
      <paraID>5333BA90</paraID>
      <start>25</start>
      <end>46</end>
      <status>ignored</status>
      <modifiedWord/>
      <trackRevisions>false</trackRevisions>
    </reviewItem>
    <reviewItem>
      <errorID>16c05148-1332-4347-963d-5bd7a25da57a</errorID>
      <errorWord>《云南省物价局关于调整建设工程造价咨询服务收费标准的通知》</errorWord>
      <group>L1_Official</group>
      <groupName>公文格式问题</groupName>
      <ability>L2_Official</ability>
      <abilityName>公文要素检查</abilityName>
      <candidateList/>
      <explain>公文文件引用格式不规范</explain>
      <paraID>5333BA90</paraID>
      <start>83</start>
      <end>112</end>
      <status>ignored</status>
      <modifiedWord/>
      <trackRevisions>false</trackRevisions>
    </reviewItem>
    <reviewItem>
      <errorID>b23d9087-0e32-4efc-b3f3-cf49165da636</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3F2B460D</paraID>
      <start>0</start>
      <end>11</end>
      <status>ignored</status>
      <modifiedWord/>
      <trackRevisions>false</trackRevisions>
    </reviewItem>
    <reviewItem>
      <errorID>f85bd2dc-25fd-433f-a209-9b2d4fbb10c1</errorID>
      <errorWord>/）</errorWord>
      <group>L1_Punc</group>
      <groupName>标点问题</groupName>
      <ability>L2_Punc_CN</ability>
      <abilityName>标点符号检查</abilityName>
      <candidateList>
        <item>）</item>
      </candidateList>
      <explain/>
      <paraID>191FA9B8</paraID>
      <start>35</start>
      <end>37</end>
      <status>ignored</status>
      <modifiedWord/>
      <trackRevisions>false</trackRevisions>
    </reviewItem>
    <reviewItem>
      <errorID>4f5d19e7-ea42-4ba6-b869-5ea9d361b2db</errorID>
      <errorWord>/）</errorWord>
      <group>L1_Punc</group>
      <groupName>标点问题</groupName>
      <ability>L2_Punc_CN</ability>
      <abilityName>标点符号检查</abilityName>
      <candidateList>
        <item>）</item>
      </candidateList>
      <explain/>
      <paraID>6FA34DCE</paraID>
      <start>35</start>
      <end>37</end>
      <status>ignored</status>
      <modifiedWord/>
      <trackRevisions>false</trackRevisions>
    </reviewItem>
    <reviewItem>
      <errorID>432c0db1-00be-4d3f-9396-6a3c64eba9e5</errorID>
      <errorWord>“/</errorWord>
      <group>L1_Punc</group>
      <groupName>标点问题</groupName>
      <ability>L2_Punc_CN</ability>
      <abilityName>标点符号检查</abilityName>
      <candidateList>
        <item>“</item>
      </candidateList>
      <explain/>
      <paraID>6A05B3EB</paraID>
      <start>45</start>
      <end>47</end>
      <status>ignored</status>
      <modifiedWord/>
      <trackRevisions>false</trackRevisions>
    </reviewItem>
    <reviewItem>
      <errorID>5aaa6368-0439-488d-821e-8339bbde2dbe</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3BF5975C</paraID>
      <start>14</start>
      <end>25</end>
      <status>ignored</status>
      <modifiedWord/>
      <trackRevisions>false</trackRevisions>
    </reviewItem>
    <reviewItem>
      <errorID>81d2ed57-c296-4ca1-97e1-9dce308fc997</errorID>
      <errorWord>生</errorWord>
      <group>L1_Word</group>
      <groupName>字词问题</groupName>
      <ability>L2_Typo</ability>
      <abilityName>字词错误</abilityName>
      <candidateList>
        <item>生的</item>
      </candidateList>
      <explain/>
      <paraID>4CCC1BA3</paraID>
      <start>185</start>
      <end>187</end>
      <status>modified</status>
      <modifiedWord>生的</modifiedWord>
      <trackRevisions>false</trackRevisions>
    </reviewItem>
    <reviewItem>
      <errorID>630e9cc5-d1be-4877-a347-d22a05dc7297</errorID>
      <errorWord>2026年09月21日</errorWord>
      <group>L1_Knowledge</group>
      <groupName>知识性问题</groupName>
      <ability>L2_Time</ability>
      <abilityName>日期时间</abilityName>
      <candidateList>
        <item>2026年9月21日</item>
      </candidateList>
      <explain>根据日常书写习惯，月份一般会省略前导零。</explain>
      <paraID>25FC8E0A</paraID>
      <start>3</start>
      <end>14</end>
      <status>ignored</status>
      <modifiedWord/>
      <trackRevisions>false</trackRevisions>
    </reviewItem>
    <reviewItem>
      <errorID>b23b755f-b4e5-44cd-9010-1031d2ac205a</errorID>
      <errorWord>/）</errorWord>
      <group>L1_Punc</group>
      <groupName>标点问题</groupName>
      <ability>L2_Punc_CN</ability>
      <abilityName>标点符号检查</abilityName>
      <candidateList>
        <item>）</item>
      </candidateList>
      <explain/>
      <paraID>747F35CD</paraID>
      <start>41</start>
      <end>43</end>
      <status>ignored</status>
      <modifiedWord/>
      <trackRevisions>false</trackRevisions>
    </reviewItem>
    <reviewItem>
      <errorID>d9f8163e-2fbd-4845-8d3c-600d5ce19581</errorID>
      <errorWord>，</errorWord>
      <group>L1_Word</group>
      <groupName>字词问题</groupName>
      <ability>L2_Typo</ability>
      <abilityName>字词错误</abilityName>
      <candidateList>
        <item>，由</item>
      </candidateList>
      <explain/>
      <paraID>2244A63D</paraID>
      <start>114</start>
      <end>115</end>
      <status>ignored</status>
      <modifiedWord/>
      <trackRevisions>false</trackRevisions>
    </reviewItem>
    <reviewItem>
      <errorID>b66f3e99-bf93-45b7-8cd6-eb35ccb2d218</errorID>
      <errorWord>《关于印发中小企业划型标准规定的通知》</errorWord>
      <group>L1_Official</group>
      <groupName>公文格式问题</groupName>
      <ability>L2_Official</ability>
      <abilityName>公文要素检查</abilityName>
      <candidateList/>
      <explain>公文文件引用格式不规范</explain>
      <paraID>775B41CB</paraID>
      <start>10</start>
      <end>29</end>
      <status>ignored</status>
      <modifiedWord/>
      <trackRevisions>false</trackRevisions>
    </reviewItem>
    <reviewItem>
      <errorID>15789d55-7d66-41f4-9a32-31f16b64bd3a</errorID>
      <errorWord>，</errorWord>
      <group>L1_Word</group>
      <groupName>字词问题</groupName>
      <ability>L2_Typo</ability>
      <abilityName>字词错误</abilityName>
      <candidateList>
        <item>，对</item>
      </candidateList>
      <explain/>
      <paraID>525DE52B</paraID>
      <start>61</start>
      <end>62</end>
      <status>ignored</status>
      <modifiedWord/>
      <trackRevisions>false</trackRevisions>
    </reviewItem>
    <reviewItem>
      <errorID>5712d91e-32dd-48cf-bea2-105db3a736af</errorID>
      <errorWord>，</errorWord>
      <group>L1_Word</group>
      <groupName>字词问题</groupName>
      <ability>L2_Typo</ability>
      <abilityName>字词错误</abilityName>
      <candidateList>
        <item>，在</item>
      </candidateList>
      <explain/>
      <paraID>28B383AE</paraID>
      <start>90</start>
      <end>91</end>
      <status>ignored</status>
      <modifiedWord/>
      <trackRevisions>false</trackRevisions>
    </reviewItem>
    <reviewItem>
      <errorID>801ef3ac-c98a-43a3-905f-cea9378ebfcb</errorID>
      <errorWord>生</errorWord>
      <group>L1_Word</group>
      <groupName>字词问题</groupName>
      <ability>L2_Typo</ability>
      <abilityName>字词错误</abilityName>
      <candidateList>
        <item>生的</item>
      </candidateList>
      <explain/>
      <paraID>28B383AE</paraID>
      <start>160</start>
      <end>162</end>
      <status>modified</status>
      <modifiedWord>生的</modifiedWord>
      <trackRevisions>false</trackRevisions>
    </reviewItem>
    <reviewItem>
      <errorID>8a48947b-3962-410e-9595-82fca98044df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1D1DD2AB</paraID>
      <start>46</start>
      <end>56</end>
      <status>modified</status>
      <modifiedWord>中华人民共和国民法典</modifiedWord>
      <trackRevisions>false</trackRevisions>
    </reviewItem>
    <reviewItem>
      <errorID>b9274af2-7939-416a-adce-7be3cfef42bb</errorID>
      <errorWord>第1259条</errorWord>
      <group>L1_Knowledge</group>
      <groupName>知识性问题</groupName>
      <ability>L2_Knowledge</ability>
      <abilityName>其他知识</abilityName>
      <candidateList>
        <item>第一千二百五十九条</item>
      </candidateList>
      <explain>法律条目书写应使用汉字数字，不使用阿拉伯数字。</explain>
      <paraID>1D1DD2AB</paraID>
      <start>57</start>
      <end>66</end>
      <status>modified</status>
      <modifiedWord>第一千二百五十九条</modifiedWord>
      <trackRevisions>false</trackRevisions>
    </reviewItem>
    <reviewItem>
      <errorID>19ce1705-7746-456d-a322-cc4be5e04552</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1D1DD2AB</paraID>
      <start>77</start>
      <end>87</end>
      <status>modified</status>
      <modifiedWord>中华人民共和国民法典</modifiedWord>
      <trackRevisions>false</trackRevisions>
    </reviewItem>
    <reviewItem>
      <errorID>74b8e0ae-b568-416c-bb9f-9dd88edb9114</errorID>
      <errorWord>第1259条</errorWord>
      <group>L1_Knowledge</group>
      <groupName>知识性问题</groupName>
      <ability>L2_Knowledge</ability>
      <abilityName>其他知识</abilityName>
      <candidateList>
        <item>第一千二百五十九条</item>
      </candidateList>
      <explain>法律条目书写应使用汉字数字，不使用阿拉伯数字。</explain>
      <paraID>1D1DD2AB</paraID>
      <start>88</start>
      <end>97</end>
      <status>modified</status>
      <modifiedWord>第一千二百五十九条</modifiedWord>
      <trackRevisions>false</trackRevisions>
    </reviewItem>
    <reviewItem>
      <errorID>f2304388-c22c-4a9f-a167-a1ecd711fb62</errorID>
      <errorWord>截止</errorWord>
      <group>L1_Word</group>
      <groupName>字词问题</groupName>
      <ability>L2_Typo</ability>
      <abilityName>字词错误</abilityName>
      <candidateList>
        <item>截至</item>
      </candidateList>
      <explain>存在发音相同字词的误用。</explain>
      <paraID>12DA2A1E</paraID>
      <start>3</start>
      <end>5</end>
      <status>ignored</status>
      <modifiedWord/>
      <trackRevisions>false</trackRevisions>
    </reviewItem>
    <reviewItem>
      <errorID>5c5f7a38-bcc2-4078-a66b-1d55b21d5246</errorID>
      <errorWord>规</errorWord>
      <group>L1_Word</group>
      <groupName>字词问题</groupName>
      <ability>L2_Typo</ability>
      <abilityName>字词错误</abilityName>
      <candidateList>
        <item>规和</item>
      </candidateList>
      <explain/>
      <paraID>77985C44</paraID>
      <start>19</start>
      <end>21</end>
      <status>modified</status>
      <modifiedWord>规和</modifiedWord>
      <trackRevisions>false</trackRevisions>
    </reviewItem>
    <reviewItem>
      <errorID>5b1840c7-c6d8-41ea-a194-c9004e94b29b</errorID>
      <errorWord>领近</errorWord>
      <group>L1_Word</group>
      <groupName>字词问题</groupName>
      <ability>L2_Typo</ability>
      <abilityName>字词错误</abilityName>
      <candidateList>
        <item>邻近</item>
      </candidateList>
      <explain>存在发音相近字词的误用。</explain>
      <paraID>75FA4147</paraID>
      <start>8</start>
      <end>10</end>
      <status>modified</status>
      <modifiedWord>邻近</modifiedWord>
      <trackRevisions>false</trackRevisions>
    </reviewItem>
    <reviewItem>
      <errorID>8920a4d5-6ede-46d6-9c8a-9b371626dab5</errorID>
      <errorWord>《云南省 2004年土壤侵蚀现状遥感调查报告》</errorWord>
      <group>L1_Official</group>
      <groupName>公文格式问题</groupName>
      <ability>L2_Official</ability>
      <abilityName>公文要素检查</abilityName>
      <candidateList/>
      <explain>公文文件引用格式不规范</explain>
      <paraID>75FA4147</paraID>
      <start>56</start>
      <end>79</end>
      <status>ignored</status>
      <modifiedWord/>
      <trackRevisions>false</trackRevisions>
    </reviewItem>
    <reviewItem>
      <errorID>dde6749b-61df-410c-a7e8-b3293c797f9f</errorID>
      <errorWord>，要</errorWord>
      <group>L1_Word</group>
      <groupName>字词问题</groupName>
      <ability>L2_Typo</ability>
      <abilityName>字词错误</abilityName>
      <candidateList>
        <item>，</item>
      </candidateList>
      <explain/>
      <paraID>7C4ED949</paraID>
      <start>79</start>
      <end>81</end>
      <status>ignored</status>
      <modifiedWord/>
      <trackRevisions>false</trackRevisions>
    </reviewItem>
    <reviewItem>
      <errorID>5b8c26a2-6db6-43e7-bf3a-324652ded30d</errorID>
      <errorWord>面流</errorWord>
      <group>L1_Word</group>
      <groupName>字词问题</groupName>
      <ability>L2_Typo</ability>
      <abilityName>字词错误</abilityName>
      <candidateList>
        <item>径流</item>
      </candidateList>
      <explain/>
      <paraID>411DC2D6</paraID>
      <start>38</start>
      <end>40</end>
      <status>ignored</status>
      <modifiedWord/>
      <trackRevisions>false</trackRevisions>
    </reviewItem>
    <reviewItem>
      <errorID>09b14d1f-aff5-474d-a139-e7d912d6728a</errorID>
      <errorWord>，</errorWord>
      <group>L1_Word</group>
      <groupName>字词问题</groupName>
      <ability>L2_Typo</ability>
      <abilityName>字词错误</abilityName>
      <candidateList>
        <item>，具</item>
      </candidateList>
      <explain/>
      <paraID>3F4C79DE</paraID>
      <start>22</start>
      <end>23</end>
      <status>ignored</status>
      <modifiedWord/>
      <trackRevisions>false</trackRevisions>
    </reviewItem>
    <reviewItem>
      <errorID>5cf70411-5efe-4137-b536-d70eb0dee817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203C3A78</paraID>
      <start>0</start>
      <end>2</end>
      <status>ignored</status>
      <modifiedWord/>
      <trackRevisions>false</trackRevisions>
    </reviewItem>
    <reviewItem>
      <errorID>8441c7b6-d4be-49e7-8c8a-35829dcc4fce</errorID>
      <errorWord>其它</errorWord>
      <group>L1_Word</group>
      <groupName>字词问题</groupName>
      <ability>L2_Alias</ability>
      <abilityName>也作/曾用词</abilityName>
      <candidateList>
        <item>其他</item>
      </candidateList>
      <explain>词汇[其它]为不规范表述或旧称，其规范书面表述为[其他]。</explain>
      <paraID>6E6B0EA2</paraID>
      <start>105</start>
      <end>107</end>
      <status>modified</status>
      <modifiedWord>其他</modifiedWord>
      <trackRevisions>false</trackRevisions>
    </reviewItem>
    <reviewItem>
      <errorID>1e4940b9-b934-42e0-9b92-d6065a8fd836</errorID>
      <errorWord>价</errorWord>
      <group>L1_Word</group>
      <groupName>字词问题</groupName>
      <ability>L2_Typo</ability>
      <abilityName>字词错误</abilityName>
      <candidateList>
        <item>价格</item>
      </candidateList>
      <explain/>
      <paraID>42723D8D</paraID>
      <start>38</start>
      <end>39</end>
      <status>ignored</status>
      <modifiedWord/>
      <trackRevisions>false</trackRevisions>
    </reviewItem>
    <reviewItem>
      <errorID>d88d0adf-f86b-48e9-94d1-610242fc44a9</errorID>
      <errorWord>《云南省水利厅关于切实落实水利工程安全生产措施费的通知》</errorWord>
      <group>L1_Official</group>
      <groupName>公文格式问题</groupName>
      <ability>L2_Official</ability>
      <abilityName>公文要素检查</abilityName>
      <candidateList/>
      <explain>公文文件引用格式不规范</explain>
      <paraID>7EE64D20</paraID>
      <start>8</start>
      <end>36</end>
      <status>ignored</status>
      <modifiedWord/>
      <trackRevisions>false</trackRevisions>
    </reviewItem>
    <reviewItem>
      <errorID>fc7f067e-a82a-49a6-8a62-af5d13fe1fc0</errorID>
      <errorWord>(</errorWord>
      <group>L1_Format</group>
      <groupName>格式问题</groupName>
      <ability>L2_HalfPunc_CN</ability>
      <abilityName>全半角检查</abilityName>
      <candidateList>
        <item>（</item>
      </candidateList>
      <explain>文本全半角错误。</explain>
      <paraID>7EE64D20</paraID>
      <start>36</start>
      <end>37</end>
      <status>modified</status>
      <modifiedWord>（</modifiedWord>
      <trackRevisions>false</trackRevisions>
    </reviewItem>
    <reviewItem>
      <errorID>03019e5a-dd65-42a0-ba65-d7bba3449eb0</errorID>
      <errorWord>)</errorWord>
      <group>L1_Format</group>
      <groupName>格式问题</groupName>
      <ability>L2_HalfPunc_CN</ability>
      <abilityName>全半角检查</abilityName>
      <candidateList>
        <item>）</item>
      </candidateList>
      <explain>文本全半角错误。</explain>
      <paraID>7EE64D20</paraID>
      <start>49</start>
      <end>50</end>
      <status>modified</status>
      <modifiedWord>）</modifiedWord>
      <trackRevisions>false</trackRevisions>
    </reviewItem>
    <reviewItem>
      <errorID>179ba74a-0cbf-4cdd-b756-1170f7ebb235</errorID>
      <errorWord>:(</errorWord>
      <group>L1_Format</group>
      <groupName>格式问题</groupName>
      <ability>L2_HalfPunc_CN</ability>
      <abilityName>全半角检查</abilityName>
      <candidateList>
        <item>：（</item>
      </candidateList>
      <explain>文本全半角错误。</explain>
      <paraID>3C6D09AB</paraID>
      <start>4</start>
      <end>6</end>
      <status>modified</status>
      <modifiedWord>：（</modifiedWord>
      <trackRevisions>false</trackRevisions>
    </reviewItem>
    <reviewItem>
      <errorID>c9aee90a-7487-464f-839c-586f2f76644d</errorID>
      <errorWord>)</errorWord>
      <group>L1_Format</group>
      <groupName>格式问题</groupName>
      <ability>L2_HalfPunc_CN</ability>
      <abilityName>全半角检查</abilityName>
      <candidateList>
        <item>）</item>
      </candidateList>
      <explain>文本全半角错误。</explain>
      <paraID>3C6D09AB</paraID>
      <start>8</start>
      <end>9</end>
      <status>modified</status>
      <modifiedWord>）</modifiedWord>
      <trackRevisions>false</trackRevisions>
    </reviewItem>
    <reviewItem>
      <errorID>c93d4712-663f-434a-888a-a82d31149be4</errorID>
      <errorWord>(</errorWord>
      <group>L1_Format</group>
      <groupName>格式问题</groupName>
      <ability>L2_HalfPunc_CN</ability>
      <abilityName>全半角检查</abilityName>
      <candidateList>
        <item>（</item>
      </candidateList>
      <explain>文本全半角错误。</explain>
      <paraID> CAB3DE6</paraID>
      <start>0</start>
      <end>1</end>
      <status>modified</status>
      <modifiedWord>（</modifiedWord>
      <trackRevisions>false</trackRevisions>
    </reviewItem>
    <reviewItem>
      <errorID>e4a4d825-1fd6-458e-9e5b-e88e259d0ff2</errorID>
      <errorWord>)</errorWord>
      <group>L1_Format</group>
      <groupName>格式问题</groupName>
      <ability>L2_HalfPunc_CN</ability>
      <abilityName>全半角检查</abilityName>
      <candidateList>
        <item>）</item>
      </candidateList>
      <explain>文本全半角错误。</explain>
      <paraID> CAB3DE6</paraID>
      <start>3</start>
      <end>4</end>
      <status>modified</status>
      <modifiedWord>）</modifiedWord>
      <trackRevisions>false</trackRevisions>
    </reviewItem>
    <reviewItem>
      <errorID>cb3e197a-e262-4133-9e75-9529659a876f</errorID>
      <errorWord>(</errorWord>
      <group>L1_Format</group>
      <groupName>格式问题</groupName>
      <ability>L2_HalfPunc_CN</ability>
      <abilityName>全半角检查</abilityName>
      <candidateList>
        <item>（</item>
      </candidateList>
      <explain>文本全半角错误。</explain>
      <paraID>251FA46D</paraID>
      <start>3</start>
      <end>4</end>
      <status>modified</status>
      <modifiedWord>（</modifiedWord>
      <trackRevisions>false</trackRevisions>
    </reviewItem>
    <reviewItem>
      <errorID>b6455a53-6f74-4640-b215-41bc2c5d9fba</errorID>
      <errorWord>)</errorWord>
      <group>L1_Format</group>
      <groupName>格式问题</groupName>
      <ability>L2_HalfPunc_CN</ability>
      <abilityName>全半角检查</abilityName>
      <candidateList>
        <item>）</item>
      </candidateList>
      <explain>文本全半角错误。</explain>
      <paraID>251FA46D</paraID>
      <start>5</start>
      <end>6</end>
      <status>modified</status>
      <modifiedWord>）</modifiedWord>
      <trackRevisions>false</trackRevisions>
    </reviewItem>
    <reviewItem>
      <errorID>414e6bdf-4def-44c8-8b9c-cfb1ac3392c7</errorID>
      <errorWord>(</errorWord>
      <group>L1_Format</group>
      <groupName>格式问题</groupName>
      <ability>L2_HalfPunc_CN</ability>
      <abilityName>全半角检查</abilityName>
      <candidateList>
        <item>（</item>
      </candidateList>
      <explain>文本全半角错误。</explain>
      <paraID>66757ED1</paraID>
      <start>3</start>
      <end>4</end>
      <status>modified</status>
      <modifiedWord>（</modifiedWord>
      <trackRevisions>false</trackRevisions>
    </reviewItem>
    <reviewItem>
      <errorID>e5f12097-511c-4a45-9292-fb15c1aa2be3</errorID>
      <errorWord>)</errorWord>
      <group>L1_Format</group>
      <groupName>格式问题</groupName>
      <ability>L2_HalfPunc_CN</ability>
      <abilityName>全半角检查</abilityName>
      <candidateList>
        <item>）</item>
      </candidateList>
      <explain>文本全半角错误。</explain>
      <paraID>66757ED1</paraID>
      <start>5</start>
      <end>6</end>
      <status>modified</status>
      <modifiedWord>）</modifiedWord>
      <trackRevisions>false</trackRevisions>
    </reviewItem>
    <reviewItem>
      <errorID>a9ca442d-3ef4-4d24-96c6-82cbf44843ee</errorID>
      <errorWord>(</errorWord>
      <group>L1_Format</group>
      <groupName>格式问题</groupName>
      <ability>L2_HalfPunc_CN</ability>
      <abilityName>全半角检查</abilityName>
      <candidateList>
        <item>（</item>
      </candidateList>
      <explain>文本全半角错误。</explain>
      <paraID>7E482FA1</paraID>
      <start>12</start>
      <end>13</end>
      <status>modified</status>
      <modifiedWord>（</modifiedWord>
      <trackRevisions>false</trackRevisions>
    </reviewItem>
    <reviewItem>
      <errorID>eb38de8c-c9a1-4ea8-8875-1ad67a1ae9aa</errorID>
      <errorWord>)</errorWord>
      <group>L1_Format</group>
      <groupName>格式问题</groupName>
      <ability>L2_HalfPunc_CN</ability>
      <abilityName>全半角检查</abilityName>
      <candidateList>
        <item>）</item>
      </candidateList>
      <explain>文本全半角错误。</explain>
      <paraID>7E482FA1</paraID>
      <start>21</start>
      <end>22</end>
      <status>modified</status>
      <modifiedWord>）</modifiedWord>
      <trackRevisions>false</trackRevisions>
    </reviewItem>
    <reviewItem>
      <errorID>96e648df-018d-4fe8-a3c4-906d28a09a72</errorID>
      <errorWord>(</errorWord>
      <group>L1_Format</group>
      <groupName>格式问题</groupName>
      <ability>L2_HalfPunc_CN</ability>
      <abilityName>全半角检查</abilityName>
      <candidateList>
        <item>（</item>
      </candidateList>
      <explain>文本全半角错误。</explain>
      <paraID>6D71C005</paraID>
      <start>7</start>
      <end>8</end>
      <status>modified</status>
      <modifiedWord>（</modifiedWord>
      <trackRevisions>false</trackRevisions>
    </reviewItem>
    <reviewItem>
      <errorID>a0afecd8-3af2-4bb3-b60b-7509501abadd</errorID>
      <errorWord>)</errorWord>
      <group>L1_Format</group>
      <groupName>格式问题</groupName>
      <ability>L2_HalfPunc_CN</ability>
      <abilityName>全半角检查</abilityName>
      <candidateList>
        <item>）</item>
      </candidateList>
      <explain>文本全半角错误。</explain>
      <paraID>6D71C005</paraID>
      <start>17</start>
      <end>18</end>
      <status>modified</status>
      <modifiedWord>）</modifiedWord>
      <trackRevisions>false</trackRevisions>
    </reviewItem>
    <reviewItem>
      <errorID>08143a5b-0e71-4007-a3dc-3eaea72c9515</errorID>
      <errorWord>木板</errorWord>
      <group>L1_Word</group>
      <groupName>字词问题</groupName>
      <ability>L2_Typo</ability>
      <abilityName>字词错误</abilityName>
      <candidateList>
        <item>模板</item>
      </candidateList>
      <explain/>
      <paraID>21F3ABDC</paraID>
      <start>2</start>
      <end>4</end>
      <status>ignored</status>
      <modifiedWord/>
      <trackRevisions>false</trackRevisions>
    </reviewItem>
    <reviewItem>
      <errorID>956fed5e-ab13-4ef3-a5e6-063d68a7710b</errorID>
      <errorWord>(</errorWord>
      <group>L1_Format</group>
      <groupName>格式问题</groupName>
      <ability>L2_HalfPunc_CN</ability>
      <abilityName>全半角检查</abilityName>
      <candidateList>
        <item>（</item>
      </candidateList>
      <explain>文本全半角错误。</explain>
      <paraID>48B4B313</paraID>
      <start>0</start>
      <end>1</end>
      <status>modified</status>
      <modifiedWord>（</modifiedWord>
      <trackRevisions>false</trackRevisions>
    </reviewItem>
    <reviewItem>
      <errorID>c9e4ba0a-994b-49e6-a488-209397d47ba0</errorID>
      <errorWord>)</errorWord>
      <group>L1_Format</group>
      <groupName>格式问题</groupName>
      <ability>L2_HalfPunc_CN</ability>
      <abilityName>全半角检查</abilityName>
      <candidateList>
        <item>）</item>
      </candidateList>
      <explain>文本全半角错误。</explain>
      <paraID>48B4B313</paraID>
      <start>2</start>
      <end>3</end>
      <status>modified</status>
      <modifiedWord>）</modifiedWord>
      <trackRevisions>false</trackRevisions>
    </reviewItem>
    <reviewItem>
      <errorID>ddabf36c-13c3-42ab-83ac-b9800e6de509</errorID>
      <errorWord>(</errorWord>
      <group>L1_Format</group>
      <groupName>格式问题</groupName>
      <ability>L2_HalfPunc_CN</ability>
      <abilityName>全半角检查</abilityName>
      <candidateList>
        <item>（</item>
      </candidateList>
      <explain>文本全半角错误。</explain>
      <paraID>24619EF8</paraID>
      <start>4</start>
      <end>5</end>
      <status>modified</status>
      <modifiedWord>（</modifiedWord>
      <trackRevisions>false</trackRevisions>
    </reviewItem>
    <reviewItem>
      <errorID>b2817173-e730-4de4-9ada-29e77a64dd19</errorID>
      <errorWord>(</errorWord>
      <group>L1_Format</group>
      <groupName>格式问题</groupName>
      <ability>L2_HalfPunc_CN</ability>
      <abilityName>全半角检查</abilityName>
      <candidateList>
        <item>（</item>
      </candidateList>
      <explain>文本全半角错误。</explain>
      <paraID>3DD05AC8</paraID>
      <start>5</start>
      <end>6</end>
      <status>modified</status>
      <modifiedWord>（</modifiedWord>
      <trackRevisions>false</trackRevisions>
    </reviewItem>
    <reviewItem>
      <errorID>3c9eb0e6-6943-46bf-ab14-235f2914b0c5</errorID>
      <errorWord>(</errorWord>
      <group>L1_Format</group>
      <groupName>格式问题</groupName>
      <ability>L2_HalfPunc_CN</ability>
      <abilityName>全半角检查</abilityName>
      <candidateList>
        <item>（</item>
      </candidateList>
      <explain>文本全半角错误。</explain>
      <paraID>6B60951A</paraID>
      <start>5</start>
      <end>6</end>
      <status>modified</status>
      <modifiedWord>（</modifiedWord>
      <trackRevisions>false</trackRevisions>
    </reviewItem>
    <reviewItem>
      <errorID>4a57bcbb-7b3b-4fb4-ab03-10e411e722cb</errorID>
      <errorWord>)</errorWord>
      <group>L1_Format</group>
      <groupName>格式问题</groupName>
      <ability>L2_HalfPunc_CN</ability>
      <abilityName>全半角检查</abilityName>
      <candidateList>
        <item>）</item>
      </candidateList>
      <explain>文本全半角错误。</explain>
      <paraID>6B60951A</paraID>
      <start>10</start>
      <end>11</end>
      <status>modified</status>
      <modifiedWord>）</modifiedWord>
      <trackRevisions>false</trackRevisions>
    </reviewItem>
    <reviewItem>
      <errorID>c736eae6-c770-49f1-89ce-7323fa6db481</errorID>
      <errorWord>木板</errorWord>
      <group>L1_Word</group>
      <groupName>字词问题</groupName>
      <ability>L2_Typo</ability>
      <abilityName>字词错误</abilityName>
      <candidateList>
        <item>模板</item>
      </candidateList>
      <explain/>
      <paraID>23503751</paraID>
      <start>2</start>
      <end>4</end>
      <status>ignored</status>
      <modifiedWord/>
      <trackRevisions>false</trackRevisions>
    </reviewItem>
    <reviewItem>
      <errorID>8dc233d8-c674-4daf-b69d-d5bcfee3a7a8</errorID>
      <errorWord>(</errorWord>
      <group>L1_Format</group>
      <groupName>格式问题</groupName>
      <ability>L2_HalfPunc_CN</ability>
      <abilityName>全半角检查</abilityName>
      <candidateList>
        <item>（</item>
      </candidateList>
      <explain>文本全半角错误。</explain>
      <paraID>5CF8356F</paraID>
      <start>5</start>
      <end>6</end>
      <status>modified</status>
      <modifiedWord>（</modifiedWord>
      <trackRevisions>false</trackRevisions>
    </reviewItem>
    <reviewItem>
      <errorID>003d5b50-9190-444e-a4dc-6b8895d5518b</errorID>
      <errorWord>)</errorWord>
      <group>L1_Format</group>
      <groupName>格式问题</groupName>
      <ability>L2_HalfPunc_CN</ability>
      <abilityName>全半角检查</abilityName>
      <candidateList>
        <item>）</item>
      </candidateList>
      <explain>文本全半角错误。</explain>
      <paraID>5CF8356F</paraID>
      <start>10</start>
      <end>11</end>
      <status>modified</status>
      <modifiedWord>）</modifiedWord>
      <trackRevisions>false</trackRevisions>
    </reviewItem>
    <reviewItem>
      <errorID>04e85e74-deab-46a4-9695-a2ba2da3a762</errorID>
      <errorWord>木板</errorWord>
      <group>L1_Word</group>
      <groupName>字词问题</groupName>
      <ability>L2_Typo</ability>
      <abilityName>字词错误</abilityName>
      <candidateList>
        <item>模板</item>
      </candidateList>
      <explain/>
      <paraID>44FAFD4C</paraID>
      <start>2</start>
      <end>4</end>
      <status>ignored</status>
      <modifiedWord/>
      <trackRevisions>false</trackRevisions>
    </reviewItem>
    <reviewItem>
      <errorID>d60e93e4-a016-45a4-ae38-3e64f17dcca6</errorID>
      <errorWord>木板</errorWord>
      <group>L1_Word</group>
      <groupName>字词问题</groupName>
      <ability>L2_Typo</ability>
      <abilityName>字词错误</abilityName>
      <candidateList>
        <item>模板</item>
      </candidateList>
      <explain/>
      <paraID>6A254232</paraID>
      <start>2</start>
      <end>4</end>
      <status>ignored</status>
      <modifiedWord/>
      <trackRevisions>false</trackRevisions>
    </reviewItem>
    <reviewItem>
      <errorID>abb11546-4024-4814-96e1-f1fbbe153f40</errorID>
      <errorWord>木板</errorWord>
      <group>L1_Word</group>
      <groupName>字词问题</groupName>
      <ability>L2_Typo</ability>
      <abilityName>字词错误</abilityName>
      <candidateList>
        <item>模板</item>
      </candidateList>
      <explain/>
      <paraID>5621A0C0</paraID>
      <start>2</start>
      <end>4</end>
      <status>ignored</status>
      <modifiedWord/>
      <trackRevisions>false</trackRevisions>
    </reviewItem>
    <reviewItem>
      <errorID>3553fcda-55c7-4097-a9f3-ffaa83810eac</errorID>
      <errorWord>木板</errorWord>
      <group>L1_Word</group>
      <groupName>字词问题</groupName>
      <ability>L2_Typo</ability>
      <abilityName>字词错误</abilityName>
      <candidateList>
        <item>模板</item>
      </candidateList>
      <explain/>
      <paraID>3D728437</paraID>
      <start>2</start>
      <end>4</end>
      <status>ignored</status>
      <modifiedWord/>
      <trackRevisions>false</trackRevisions>
    </reviewItem>
    <reviewItem>
      <errorID>87304687-1e07-43b3-b436-59ae43448b48</errorID>
      <errorWord>,</errorWord>
      <group>L1_Format</group>
      <groupName>格式问题</groupName>
      <ability>L2_HalfPunc_CN</ability>
      <abilityName>全半角检查</abilityName>
      <candidateList>
        <item>，</item>
      </candidateList>
      <explain>文本全半角错误。</explain>
      <paraID>64095929</paraID>
      <start>13</start>
      <end>14</end>
      <status>modified</status>
      <modifiedWord>，</modifiedWord>
      <trackRevisions>false</trackRevisions>
    </reviewItem>
    <reviewItem>
      <errorID>832f5d7f-5c2c-4f2b-8238-bcdaee148091</errorID>
      <errorWord>(</errorWord>
      <group>L1_Format</group>
      <groupName>格式问题</groupName>
      <ability>L2_HalfPunc_CN</ability>
      <abilityName>全半角检查</abilityName>
      <candidateList>
        <item>（</item>
      </candidateList>
      <explain>文本全半角错误。</explain>
      <paraID>50B32D91</paraID>
      <start>3</start>
      <end>4</end>
      <status>modified</status>
      <modifiedWord>（</modifiedWord>
      <trackRevisions>false</trackRevisions>
    </reviewItem>
    <reviewItem>
      <errorID>c7417a92-0290-4917-89bc-c5d6764a852a</errorID>
      <errorWord>)</errorWord>
      <group>L1_Format</group>
      <groupName>格式问题</groupName>
      <ability>L2_HalfPunc_CN</ability>
      <abilityName>全半角检查</abilityName>
      <candidateList>
        <item>）</item>
      </candidateList>
      <explain>文本全半角错误。</explain>
      <paraID>50B32D91</paraID>
      <start>5</start>
      <end>6</end>
      <status>modified</status>
      <modifiedWord>）</modifiedWord>
      <trackRevisions>false</trackRevisions>
    </reviewItem>
    <reviewItem>
      <errorID>1598f051-fd42-4911-a9df-26877618df9c</errorID>
      <errorWord>(</errorWord>
      <group>L1_Format</group>
      <groupName>格式问题</groupName>
      <ability>L2_HalfPunc_CN</ability>
      <abilityName>全半角检查</abilityName>
      <candidateList>
        <item>（</item>
      </candidateList>
      <explain>文本全半角错误。</explain>
      <paraID>36A2AFD5</paraID>
      <start>5</start>
      <end>6</end>
      <status>modified</status>
      <modifiedWord>（</modifiedWord>
      <trackRevisions>false</trackRevisions>
    </reviewItem>
    <reviewItem>
      <errorID>c43db2a6-1166-41a6-b84d-ad0d63040187</errorID>
      <errorWord>)</errorWord>
      <group>L1_Format</group>
      <groupName>格式问题</groupName>
      <ability>L2_HalfPunc_CN</ability>
      <abilityName>全半角检查</abilityName>
      <candidateList>
        <item>）</item>
      </candidateList>
      <explain>文本全半角错误。</explain>
      <paraID>36A2AFD5</paraID>
      <start>7</start>
      <end>8</end>
      <status>modified</status>
      <modifiedWord>）</modifiedWord>
      <trackRevisions>false</trackRevisions>
    </reviewItem>
    <reviewItem>
      <errorID>bb7b755c-bd6a-493f-b812-71abd89b04f7</errorID>
      <errorWord>(</errorWord>
      <group>L1_Format</group>
      <groupName>格式问题</groupName>
      <ability>L2_HalfPunc_CN</ability>
      <abilityName>全半角检查</abilityName>
      <candidateList>
        <item>（</item>
      </candidateList>
      <explain>文本全半角错误。</explain>
      <paraID>4D48DC81</paraID>
      <start>5</start>
      <end>6</end>
      <status>modified</status>
      <modifiedWord>（</modifiedWord>
      <trackRevisions>false</trackRevisions>
    </reviewItem>
    <reviewItem>
      <errorID>2cb67543-997a-44e8-95ed-480c7470a3fc</errorID>
      <errorWord>)</errorWord>
      <group>L1_Format</group>
      <groupName>格式问题</groupName>
      <ability>L2_HalfPunc_CN</ability>
      <abilityName>全半角检查</abilityName>
      <candidateList>
        <item>）</item>
      </candidateList>
      <explain>文本全半角错误。</explain>
      <paraID>4D48DC81</paraID>
      <start>7</start>
      <end>8</end>
      <status>modified</status>
      <modifiedWord>）</modifiedWord>
      <trackRevisions>false</trackRevisions>
    </reviewItem>
    <reviewItem>
      <errorID>58c5c594-7456-4c3c-9907-9aa2874c3e49</errorID>
      <errorWord>其它直接费</errorWord>
      <group>L1_Word</group>
      <groupName>字词问题</groupName>
      <ability>L2_Alias</ability>
      <abilityName>也作/曾用词</abilityName>
      <candidateList>
        <item>其他直接费</item>
      </candidateList>
      <explain>词汇[其它直接费]为不规范表述或旧称，其规范书面表述为[其他直接费]。</explain>
      <paraID>5850BB0D</paraID>
      <start>0</start>
      <end>5</end>
      <status>ignored</status>
      <modifiedWord/>
      <trackRevisions>false</trackRevisions>
    </reviewItem>
    <reviewItem>
      <errorID>043ad7c9-3e09-4ea7-a0d6-dfe4ac985544</errorID>
      <errorWord>(</errorWord>
      <group>L1_Format</group>
      <groupName>格式问题</groupName>
      <ability>L2_HalfPunc_CN</ability>
      <abilityName>全半角检查</abilityName>
      <candidateList>
        <item>（</item>
      </candidateList>
      <explain>文本全半角错误。</explain>
      <paraID>15A6E46C</paraID>
      <start>3</start>
      <end>4</end>
      <status>modified</status>
      <modifiedWord>（</modifiedWord>
      <trackRevisions>false</trackRevisions>
    </reviewItem>
    <reviewItem>
      <errorID>643453e3-a2d5-4e84-905c-b86d9f4fbbe2</errorID>
      <errorWord>)</errorWord>
      <group>L1_Format</group>
      <groupName>格式问题</groupName>
      <ability>L2_HalfPunc_CN</ability>
      <abilityName>全半角检查</abilityName>
      <candidateList>
        <item>）</item>
      </candidateList>
      <explain>文本全半角错误。</explain>
      <paraID>15A6E46C</paraID>
      <start>5</start>
      <end>6</end>
      <status>modified</status>
      <modifiedWord>）</modifiedWord>
      <trackRevisions>false</trackRevisions>
    </reviewItem>
    <reviewItem>
      <errorID>7ab6edff-00a1-4ea2-a0d1-fd643d9a2ac3</errorID>
      <errorWord>详实</errorWord>
      <group>L1_Word</group>
      <groupName>字词问题</groupName>
      <ability>L2_Typo</ability>
      <abilityName>字词错误</abilityName>
      <candidateList>
        <item>翔实</item>
      </candidateList>
      <explain/>
      <paraID>378D5671</paraID>
      <start>80</start>
      <end>82</end>
      <status>ignored</status>
      <modifiedWord/>
      <trackRevisions>false</trackRevisions>
    </reviewItem>
    <reviewItem>
      <errorID>fa8aa8b6-a836-41fa-bc96-b5ff0db9ddc3</errorID>
      <errorWord>方案与</errorWord>
      <group>L1_Word</group>
      <groupName>字词问题</groupName>
      <ability>L2_Typo</ability>
      <abilityName>字词错误</abilityName>
      <candidateList>
        <item>方案</item>
      </candidateList>
      <explain/>
      <paraID>378D5671</paraID>
      <start>190</start>
      <end>192</end>
      <status>modified</status>
      <modifiedWord>方案</modifiedWord>
      <trackRevisions>false</trackRevisions>
    </reviewItem>
    <reviewItem>
      <errorID>6f8cb8ff-9b7a-4eac-96aa-1c4254df499e</errorID>
      <errorWord>好</errorWord>
      <group>L1_Word</group>
      <groupName>字词问题</groupName>
      <ability>L2_Typo</ability>
      <abilityName>字词错误</abilityName>
      <candidateList>
        <item>好地</item>
      </candidateList>
      <explain/>
      <paraID>156C18E5</paraID>
      <start>163</start>
      <end>164</end>
      <status>ignored</status>
      <modifiedWord/>
      <trackRevisions>false</trackRevisions>
    </reviewItem>
    <reviewItem>
      <errorID>c5a2d883-0406-44aa-ae42-28792c39fc65</errorID>
      <errorWord>详实</errorWord>
      <group>L1_Word</group>
      <groupName>字词问题</groupName>
      <ability>L2_Typo</ability>
      <abilityName>字词错误</abilityName>
      <candidateList>
        <item>翔实</item>
      </candidateList>
      <explain/>
      <paraID>7606D697</paraID>
      <start>83</start>
      <end>85</end>
      <status>ignored</status>
      <modifiedWord/>
      <trackRevisions>false</trackRevisions>
    </reviewItem>
    <reviewItem>
      <errorID>2c40dbc9-fa1f-4bac-9c82-93d3e5ac4719</errorID>
      <errorWord>好</errorWord>
      <group>L1_Word</group>
      <groupName>字词问题</groupName>
      <ability>L2_Typo</ability>
      <abilityName>字词错误</abilityName>
      <candidateList>
        <item>好地</item>
      </candidateList>
      <explain/>
      <paraID>5644044B</paraID>
      <start>132</start>
      <end>133</end>
      <status>ignored</status>
      <modifiedWord/>
      <trackRevisions>false</trackRevisions>
    </reviewItem>
    <reviewItem>
      <errorID>19ebf210-9143-47ef-973e-23830de1453f</errorID>
      <errorWord>详实</errorWord>
      <group>L1_Word</group>
      <groupName>字词问题</groupName>
      <ability>L2_Typo</ability>
      <abilityName>字词错误</abilityName>
      <candidateList>
        <item>翔实</item>
      </candidateList>
      <explain/>
      <paraID>6D4B4F1D</paraID>
      <start>115</start>
      <end>117</end>
      <status>ignored</status>
      <modifiedWord/>
      <trackRevisions>false</trackRevisions>
    </reviewItem>
    <reviewItem>
      <errorID>8fe9b75c-1f7c-4e80-a85d-bd07045e93a9</errorID>
      <errorWord>好</errorWord>
      <group>L1_Word</group>
      <groupName>字词问题</groupName>
      <ability>L2_Typo</ability>
      <abilityName>字词错误</abilityName>
      <candidateList>
        <item>好地</item>
      </candidateList>
      <explain/>
      <paraID>699330EB</paraID>
      <start>115</start>
      <end>116</end>
      <status>ignored</status>
      <modifiedWord/>
      <trackRevisions>false</trackRevisions>
    </reviewItem>
    <reviewItem>
      <errorID>8039c89e-3efc-4445-bf5d-ca00012d0ab6</errorID>
      <errorWord>好</errorWord>
      <group>L1_Word</group>
      <groupName>字词问题</groupName>
      <ability>L2_Typo</ability>
      <abilityName>字词错误</abilityName>
      <candidateList>
        <item>好地</item>
      </candidateList>
      <explain/>
      <paraID>4212DBF6</paraID>
      <start>122</start>
      <end>123</end>
      <status>ignored</status>
      <modifiedWord/>
      <trackRevisions>false</trackRevisions>
    </reviewItem>
    <reviewItem>
      <errorID>985cb53e-ed9a-4391-b460-e77ed1f3d2d2</errorID>
      <errorWord>详实</errorWord>
      <group>L1_Word</group>
      <groupName>字词问题</groupName>
      <ability>L2_Typo</ability>
      <abilityName>字词错误</abilityName>
      <candidateList>
        <item>翔实</item>
      </candidateList>
      <explain/>
      <paraID>45E1A02E</paraID>
      <start>122</start>
      <end>124</end>
      <status>ignored</status>
      <modifiedWord/>
      <trackRevisions>false</trackRevisions>
    </reviewItem>
    <reviewItem>
      <errorID>71e8fa16-80d4-427d-a372-64ccf73f9956</errorID>
      <errorWord>基本基本</errorWord>
      <group>L1_Word</group>
      <groupName>字词问题</groupName>
      <ability>L2_Typo</ability>
      <abilityName>字词错误</abilityName>
      <candidateList>
        <item>基本</item>
      </candidateList>
      <explain/>
      <paraID>5AC71CC7</paraID>
      <start>82</start>
      <end>84</end>
      <status>modified</status>
      <modifiedWord>基本</modifiedWord>
      <trackRevisions>false</trackRevisions>
    </reviewItem>
    <reviewItem>
      <errorID>b16ab43c-5989-44b1-bca5-daee0e5318d7</errorID>
      <errorWord>相应</errorWord>
      <group>L1_Word</group>
      <groupName>字词问题</groupName>
      <ability>L2_Typo</ability>
      <abilityName>字词错误</abilityName>
      <candidateList>
        <item>响应</item>
      </candidateList>
      <explain/>
      <paraID> 87C7F9D</paraID>
      <start>21</start>
      <end>23</end>
      <status>ignored</status>
      <modifiedWord/>
      <trackRevisions>false</trackRevisions>
    </reviewItem>
    <reviewItem>
      <errorID>8783aa2e-d42b-4692-9e4f-f03deb10fdf3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C43E96B</paraID>
      <start>50</start>
      <end>51</end>
      <status>ignored</status>
      <modifiedWord/>
      <trackRevisions>false</trackRevisions>
    </reviewItem>
    <reviewItem>
      <errorID>4e4565d0-7a02-4693-8433-005a407851af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5BBEB870</paraID>
      <start>50</start>
      <end>51</end>
      <status>ignored</status>
      <modifiedWord/>
      <trackRevisions>false</trackRevisions>
    </reviewItem>
    <reviewItem>
      <errorID>cc0a3c61-108f-442a-a84c-25187b1d4cbc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6C7E09DA</paraID>
      <start>35</start>
      <end>36</end>
      <status>ignored</status>
      <modifiedWord/>
      <trackRevisions>false</trackRevisions>
    </reviewItem>
    <reviewItem>
      <errorID>8c42955a-7279-450e-8769-1a6c4bfc1040</errorID>
      <errorWord>《中小企业声明函》</errorWord>
      <group>L1_Official</group>
      <groupName>公文格式问题</groupName>
      <ability>L2_Official</ability>
      <abilityName>公文要素检查</abilityName>
      <candidateList/>
      <explain>公文文件引用格式不规范</explain>
      <paraID>4B42D78C</paraID>
      <start>230</start>
      <end>239</end>
      <status>ignored</status>
      <modifiedWord/>
      <trackRevisions>false</trackRevisions>
    </reviewItem>
    <reviewItem>
      <errorID>96dd23d0-3e6b-4ac0-86ff-d70c23da751d</errorID>
      <errorWord>《财政部 司法部关于政府采购支持监狱企业发展有关问题的通知》</errorWord>
      <group>L1_Official</group>
      <groupName>公文格式问题</groupName>
      <ability>L2_Official</ability>
      <abilityName>公文要素检查</abilityName>
      <candidateList/>
      <explain>公文文件引用格式不规范</explain>
      <paraID>39317FD9</paraID>
      <start>2</start>
      <end>32</end>
      <status>ignored</status>
      <modifiedWord/>
      <trackRevisions>false</trackRevisions>
    </reviewItem>
    <reviewItem>
      <errorID>df7da1c5-07b8-4ef8-ad76-f406227b7f6b</errorID>
      <errorWord>《残疾人福利性单位声明函》</errorWord>
      <group>L1_Official</group>
      <groupName>公文格式问题</groupName>
      <ability>L2_Official</ability>
      <abilityName>公文要素检查</abilityName>
      <candidateList/>
      <explain>公文文件引用格式不规范</explain>
      <paraID> 33BFF02</paraID>
      <start>37</start>
      <end>50</end>
      <status>ignored</status>
      <modifiedWord/>
      <trackRevisions>false</trackRevisions>
    </reviewItem>
    <reviewItem>
      <errorID>b0c2f793-efbf-4e14-ad95-e54d20e1d4ac</errorID>
      <errorWord>《残疾人福利性单位声明函》</errorWord>
      <group>L1_Official</group>
      <groupName>公文格式问题</groupName>
      <ability>L2_Official</ability>
      <abilityName>公文要素检查</abilityName>
      <candidateList/>
      <explain>公文文件引用格式不规范</explain>
      <paraID>344B70EA</paraID>
      <start>49</start>
      <end>62</end>
      <status>ignored</status>
      <modifiedWord/>
      <trackRevisions>false</trackRevisions>
    </reviewItem>
    <reviewItem>
      <errorID>d693403a-c007-4462-8b26-9bdefcba0724</errorID>
      <errorWord>《残疾人福利性单位声明函》</errorWord>
      <group>L1_Official</group>
      <groupName>公文格式问题</groupName>
      <ability>L2_Official</ability>
      <abilityName>公文要素检查</abilityName>
      <candidateList/>
      <explain>公文文件引用格式不规范</explain>
      <paraID>38FA8EC7</paraID>
      <start>6</start>
      <end>19</end>
      <status>ignored</status>
      <modifiedWord/>
      <trackRevisions>false</trackRevisions>
    </reviewItem>
    <reviewItem>
      <errorID>2e95722a-02e8-4554-a145-33c64aceb1d0</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158EB328</paraID>
      <start>0</start>
      <end>5</end>
      <status>modified</status>
      <modifiedWord>银行账号：</modifiedWord>
      <trackRevisions>false</trackRevisions>
    </reviewItem>
    <reviewItem>
      <errorID>c060247e-85d5-4c9c-9e19-707f52d74793</errorID>
      <errorWord>位</errorWord>
      <group>L1_Word</group>
      <groupName>字词问题</groupName>
      <ability>L2_Typo</ability>
      <abilityName>字词错误</abilityName>
      <candidateList>
        <item>位公</item>
      </candidateList>
      <explain/>
      <paraID>7FB2C959</paraID>
      <start>79</start>
      <end>80</end>
      <status>ignored</status>
      <modifiedWord/>
      <trackRevisions>false</trackRevisions>
    </reviewItem>
    <reviewItem>
      <errorID>28c3d868-9ff4-4a7c-bb3f-7e399be7aa17</errorID>
      <errorWord>运入</errorWord>
      <group>L1_Word</group>
      <groupName>字词问题</groupName>
      <ability>L2_Typo</ability>
      <abilityName>字词错误</abilityName>
      <candidateList>
        <item>进入</item>
      </candidateList>
      <explain/>
      <paraID>40C17E5B</paraID>
      <start>5</start>
      <end>7</end>
      <status>ignored</status>
      <modifiedWord/>
      <trackRevisions>false</trackRevisions>
    </reviewItem>
    <reviewItem>
      <errorID>40b06965-fecd-416f-9bf6-ecd8a9a61eed</errorID>
      <errorWord>运入</errorWord>
      <group>L1_Word</group>
      <groupName>字词问题</groupName>
      <ability>L2_Typo</ability>
      <abilityName>字词错误</abilityName>
      <candidateList>
        <item>进入</item>
      </candidateList>
      <explain/>
      <paraID>5DFCD00F</paraID>
      <start>12</start>
      <end>14</end>
      <status>ignored</status>
      <modifiedWord/>
      <trackRevisions>false</trackRevisions>
    </reviewItem>
    <reviewItem>
      <errorID>ef1dd6c8-eb13-469a-91ae-1a655eeaf47b</errorID>
      <errorWord>运入</errorWord>
      <group>L1_Word</group>
      <groupName>字词问题</groupName>
      <ability>L2_Typo</ability>
      <abilityName>字词错误</abilityName>
      <candidateList>
        <item>进入</item>
      </candidateList>
      <explain/>
      <paraID> 9AE6CE4</paraID>
      <start>14</start>
      <end>16</end>
      <status>ignored</status>
      <modifiedWord/>
      <trackRevisions>false</trackRevisions>
    </reviewItem>
    <reviewItem>
      <errorID>1d091c1d-ceb2-48f3-81f1-4009fc16940f</errorID>
      <errorWord>标价</errorWord>
      <group>L1_Word</group>
      <groupName>字词问题</groupName>
      <ability>L2_Typo</ability>
      <abilityName>字词错误</abilityName>
      <candidateList>
        <item>报价</item>
      </candidateList>
      <explain/>
      <paraID>68FCE577</paraID>
      <start>47</start>
      <end>49</end>
      <status>ignored</status>
      <modifiedWord/>
      <trackRevisions>false</trackRevisions>
    </reviewItem>
    <reviewItem>
      <errorID>b1dbff0f-2646-4913-b046-8ec99c0c06d6</errorID>
      <errorWord>察看</errorWord>
      <group>L1_Word</group>
      <groupName>字词问题</groupName>
      <ability>L2_Typo</ability>
      <abilityName>字词错误</abilityName>
      <candidateList>
        <item>查看</item>
      </candidateList>
      <explain/>
      <paraID>65AAE90C</paraID>
      <start>86</start>
      <end>88</end>
      <status>ignored</status>
      <modifiedWord/>
      <trackRevisions>false</trackRevisions>
    </reviewItem>
    <reviewItem>
      <errorID>f3b77e46-f46c-43ce-92f4-06b2aa8fd16c</errorID>
      <errorWord>(</errorWord>
      <group>L1_Format</group>
      <groupName>格式问题</groupName>
      <ability>L2_HalfPunc_CN</ability>
      <abilityName>全半角检查</abilityName>
      <candidateList>
        <item>（</item>
      </candidateList>
      <explain>文本全半角错误。</explain>
      <paraID>49D4B81A</paraID>
      <start>25</start>
      <end>26</end>
      <status>modified</status>
      <modifiedWord>（</modifiedWord>
      <trackRevisions>false</trackRevisions>
    </reviewItem>
    <reviewItem>
      <errorID>515b1c7d-14d8-4e78-aa33-cbb1729b9c63</errorID>
      <errorWord>缘由</errorWord>
      <group>L1_Word</group>
      <groupName>字词问题</groupName>
      <ability>L2_Typo</ability>
      <abilityName>字词错误</abilityName>
      <candidateList>
        <item>由</item>
      </candidateList>
      <explain/>
      <paraID>3E45A97A</paraID>
      <start>21</start>
      <end>22</end>
      <status>modified</status>
      <modifiedWord>由</modifiedWord>
      <trackRevisions>false</trackRevisions>
    </reviewItem>
    <reviewItem>
      <errorID>cc1d34fd-ad2f-4ecc-a3ab-0b6d5f1e4f20</errorID>
      <errorWord>中发生争议</errorWord>
      <group>L1_Word</group>
      <groupName>字词问题</groupName>
      <ability>L2_Typo</ability>
      <abilityName>字词错误</abilityName>
      <candidateList>
        <item>过程中发生争议</item>
      </candidateList>
      <explain/>
      <paraID>631E5D64</paraID>
      <start>12</start>
      <end>17</end>
      <status>ignored</status>
      <modifiedWord/>
      <trackRevisions>false</trackRevisions>
    </reviewItem>
    <reviewItem>
      <errorID>8378c9c4-c3a0-492f-8ef1-11dcced47da8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1765054C</paraID>
      <start>206</start>
      <end>207</end>
      <status>ignored</status>
      <modifiedWord/>
      <trackRevisions>false</trackRevisions>
    </reviewItem>
    <reviewItem>
      <errorID>e04de758-666c-4d30-97cb-2c22bbd252ae</errorID>
      <errorWord>[2022]27号</errorWord>
      <group>L1_Knowledge</group>
      <groupName>知识性问题</groupName>
      <ability>L2_Knowledge</ability>
      <abilityName>其他知识</abilityName>
      <candidateList>
        <item>〔2022〕27号</item>
      </candidateList>
      <explain>发文字号格式错误。</explain>
      <paraID>1765054C</paraID>
      <start>299</start>
      <end>308</end>
      <status>modified</status>
      <modifiedWord>〔2022〕27号</modifiedWord>
      <trackRevisions>false</trackRevisions>
    </reviewItem>
    <reviewItem>
      <errorID>b6112ae0-df6b-4b15-b1f3-6f456c44d055</errorID>
      <errorWord>，</errorWord>
      <group>L1_Word</group>
      <groupName>字词问题</groupName>
      <ability>L2_Typo</ability>
      <abilityName>字词错误</abilityName>
      <candidateList>
        <item>，包</item>
      </candidateList>
      <explain/>
      <paraID>7B335DE1</paraID>
      <start>161</start>
      <end>162</end>
      <status>ignored</status>
      <modifiedWord/>
      <trackRevisions>false</trackRevisions>
    </reviewItem>
    <reviewItem>
      <errorID>5920bfff-0776-4327-a65f-1446674f281a</errorID>
      <errorWord>《云南省水利厅关于切实落实水利工程安全生产措施费的通知》</errorWord>
      <group>L1_Official</group>
      <groupName>公文格式问题</groupName>
      <ability>L2_Official</ability>
      <abilityName>公文要素检查</abilityName>
      <candidateList/>
      <explain>公文文件引用格式不规范</explain>
      <paraID>34F040A9</paraID>
      <start>15</start>
      <end>43</end>
      <status>ignored</status>
      <modifiedWord/>
      <trackRevisions>false</trackRevisions>
    </reviewItem>
    <reviewItem>
      <errorID>35379117-c1dc-458f-a00c-79a94d8e1b0b</errorID>
      <errorWord>(</errorWord>
      <group>L1_Format</group>
      <groupName>格式问题</groupName>
      <ability>L2_HalfPunc_CN</ability>
      <abilityName>全半角检查</abilityName>
      <candidateList>
        <item>（</item>
      </candidateList>
      <explain>文本全半角错误。</explain>
      <paraID>34F040A9</paraID>
      <start>43</start>
      <end>44</end>
      <status>modified</status>
      <modifiedWord>（</modifiedWord>
      <trackRevisions>false</trackRevisions>
    </reviewItem>
    <reviewItem>
      <errorID>6daaf8ca-d268-477d-9f38-33a40c3b5ef3</errorID>
      <errorWord>)</errorWord>
      <group>L1_Format</group>
      <groupName>格式问题</groupName>
      <ability>L2_HalfPunc_CN</ability>
      <abilityName>全半角检查</abilityName>
      <candidateList>
        <item>）</item>
      </candidateList>
      <explain>文本全半角错误。</explain>
      <paraID>34F040A9</paraID>
      <start>56</start>
      <end>57</end>
      <status>modified</status>
      <modifiedWord>）</modifiedWord>
      <trackRevisions>false</trackRevisions>
    </reviewItem>
    <reviewItem>
      <errorID>e88aea73-5618-49ab-a6c8-ea6c036e9233</errorID>
      <errorWord>扣</errorWord>
      <group>L1_Word</group>
      <groupName>字词问题</groupName>
      <ability>L2_Typo</ability>
      <abilityName>字词错误</abilityName>
      <candidateList>
        <item>扣除</item>
      </candidateList>
      <explain/>
      <paraID>68503D44</paraID>
      <start>18</start>
      <end>19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cf11dc-0660-42dc-ae12-6c9a01c46127}">
  <ds:schemaRefs/>
</ds:datastoreItem>
</file>

<file path=docProps/app.xml><?xml version="1.0" encoding="utf-8"?>
<Properties xmlns="http://schemas.openxmlformats.org/officeDocument/2006/extended-properties" xmlns:vt="http://schemas.openxmlformats.org/officeDocument/2006/docPropsVTypes">
  <Template>Normal</Template>
  <Pages>160</Pages>
  <Words>68</Words>
  <Characters>97</Characters>
  <Lines>415</Lines>
  <Paragraphs>117</Paragraphs>
  <TotalTime>210</TotalTime>
  <ScaleCrop>false</ScaleCrop>
  <LinksUpToDate>false</LinksUpToDate>
  <CharactersWithSpaces>104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2023-05-12T02:18:00Z</dcterms:created>
  <dc:creator>Administrator</dc:creator>
  <cp:lastModifiedBy>云南融晔工程项目管理咨询有限公司</cp:lastModifiedBy>
  <cp:lastPrinted>2026-09-03T10:36:00Z</cp:lastPrinted>
  <dcterms:modified xsi:type="dcterms:W3CDTF">2026-09-18T13:05:49Z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DF60BE8F2974407D81725F264B89E76B_13</vt:lpwstr>
  </property>
  <property fmtid="{D5CDD505-2E9C-101B-9397-08002B2CF9AE}" pid="4" name="KSOTemplateDocerSaveRecord">
    <vt:lpwstr>eyJoZGlkIjoiODM0YzQzMGFjMjUzMGYwODMwZjhmZTEzMTA0N2U0NTciLCJ1c2VySWQiOiI1NjQwNjQ3MTIifQ==</vt:lpwstr>
  </property>
</Properties>
</file>