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8901ED">
      <w:pPr>
        <w:jc w:val="center"/>
        <w:rPr>
          <w:rFonts w:hint="eastAsia"/>
          <w:sz w:val="28"/>
          <w:szCs w:val="36"/>
          <w:lang w:val="en-US" w:eastAsia="zh-CN"/>
        </w:rPr>
      </w:pPr>
      <w:r>
        <w:rPr>
          <w:rFonts w:hint="eastAsia"/>
          <w:sz w:val="28"/>
          <w:szCs w:val="36"/>
          <w:lang w:val="en-US" w:eastAsia="zh-CN"/>
        </w:rPr>
        <w:t>第三章 采购需求书</w:t>
      </w:r>
    </w:p>
    <w:p w14:paraId="39EC302A">
      <w:pPr>
        <w:keepNext w:val="0"/>
        <w:keepLines w:val="0"/>
        <w:pageBreakBefore w:val="0"/>
        <w:widowControl w:val="0"/>
        <w:kinsoku/>
        <w:wordWrap/>
        <w:overflowPunct/>
        <w:topLinePunct w:val="0"/>
        <w:autoSpaceDE/>
        <w:autoSpaceDN/>
        <w:bidi w:val="0"/>
        <w:adjustRightInd/>
        <w:snapToGrid/>
        <w:spacing w:line="360" w:lineRule="auto"/>
        <w:ind w:right="42"/>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9"/>
          <w:sz w:val="24"/>
          <w:szCs w:val="24"/>
          <w:highlight w:val="none"/>
        </w:rPr>
        <w:t>1</w:t>
      </w:r>
      <w:r>
        <w:rPr>
          <w:rFonts w:hint="eastAsia" w:ascii="宋体" w:hAnsi="宋体" w:eastAsia="宋体" w:cs="宋体"/>
          <w:b w:val="0"/>
          <w:bCs w:val="0"/>
          <w:color w:val="auto"/>
          <w:spacing w:val="-9"/>
          <w:sz w:val="24"/>
          <w:szCs w:val="24"/>
          <w:highlight w:val="none"/>
          <w:lang w:eastAsia="zh-CN"/>
        </w:rPr>
        <w:t>、</w:t>
      </w:r>
      <w:r>
        <w:rPr>
          <w:rFonts w:hint="eastAsia" w:ascii="宋体" w:hAnsi="宋体" w:eastAsia="宋体" w:cs="宋体"/>
          <w:b w:val="0"/>
          <w:bCs w:val="0"/>
          <w:color w:val="auto"/>
          <w:spacing w:val="-9"/>
          <w:sz w:val="24"/>
          <w:szCs w:val="24"/>
          <w:highlight w:val="none"/>
        </w:rPr>
        <w:t>本章中标注“★</w:t>
      </w:r>
      <w:r>
        <w:rPr>
          <w:rFonts w:hint="eastAsia" w:ascii="宋体" w:hAnsi="宋体" w:eastAsia="宋体" w:cs="宋体"/>
          <w:b w:val="0"/>
          <w:bCs w:val="0"/>
          <w:color w:val="auto"/>
          <w:spacing w:val="-88"/>
          <w:sz w:val="24"/>
          <w:szCs w:val="24"/>
          <w:highlight w:val="none"/>
        </w:rPr>
        <w:t xml:space="preserve"> </w:t>
      </w:r>
      <w:r>
        <w:rPr>
          <w:rFonts w:hint="eastAsia" w:ascii="宋体" w:hAnsi="宋体" w:eastAsia="宋体" w:cs="宋体"/>
          <w:b w:val="0"/>
          <w:bCs w:val="0"/>
          <w:color w:val="auto"/>
          <w:spacing w:val="-9"/>
          <w:sz w:val="24"/>
          <w:szCs w:val="24"/>
          <w:highlight w:val="none"/>
        </w:rPr>
        <w:t>”的条款为本项目</w:t>
      </w:r>
      <w:r>
        <w:rPr>
          <w:rFonts w:hint="eastAsia" w:ascii="宋体" w:hAnsi="宋体" w:eastAsia="宋体" w:cs="宋体"/>
          <w:b w:val="0"/>
          <w:bCs w:val="0"/>
          <w:color w:val="auto"/>
          <w:spacing w:val="-9"/>
          <w:sz w:val="24"/>
          <w:szCs w:val="24"/>
          <w:highlight w:val="none"/>
          <w:lang w:val="en-US" w:eastAsia="zh-CN"/>
        </w:rPr>
        <w:t>不允许偏离</w:t>
      </w:r>
      <w:r>
        <w:rPr>
          <w:rFonts w:hint="eastAsia" w:ascii="宋体" w:hAnsi="宋体" w:eastAsia="宋体" w:cs="宋体"/>
          <w:b w:val="0"/>
          <w:bCs w:val="0"/>
          <w:color w:val="auto"/>
          <w:spacing w:val="-9"/>
          <w:sz w:val="24"/>
          <w:szCs w:val="24"/>
          <w:highlight w:val="none"/>
        </w:rPr>
        <w:t>的实质性条款，如投标人不满</w:t>
      </w:r>
      <w:r>
        <w:rPr>
          <w:rFonts w:hint="eastAsia" w:ascii="宋体" w:hAnsi="宋体" w:eastAsia="宋体" w:cs="宋体"/>
          <w:b w:val="0"/>
          <w:bCs w:val="0"/>
          <w:color w:val="auto"/>
          <w:spacing w:val="-10"/>
          <w:sz w:val="24"/>
          <w:szCs w:val="24"/>
          <w:highlight w:val="none"/>
        </w:rPr>
        <w:t>足的，</w:t>
      </w:r>
      <w:r>
        <w:rPr>
          <w:rFonts w:hint="eastAsia" w:ascii="宋体" w:hAnsi="宋体" w:eastAsia="宋体" w:cs="宋体"/>
          <w:b w:val="0"/>
          <w:bCs w:val="0"/>
          <w:color w:val="auto"/>
          <w:spacing w:val="-52"/>
          <w:sz w:val="24"/>
          <w:szCs w:val="24"/>
          <w:highlight w:val="none"/>
        </w:rPr>
        <w:t xml:space="preserve"> </w:t>
      </w:r>
      <w:r>
        <w:rPr>
          <w:rFonts w:hint="eastAsia" w:ascii="宋体" w:hAnsi="宋体" w:eastAsia="宋体" w:cs="宋体"/>
          <w:b w:val="0"/>
          <w:bCs w:val="0"/>
          <w:color w:val="auto"/>
          <w:spacing w:val="-10"/>
          <w:sz w:val="24"/>
          <w:szCs w:val="24"/>
          <w:highlight w:val="none"/>
        </w:rPr>
        <w:t>将</w:t>
      </w:r>
      <w:r>
        <w:rPr>
          <w:rFonts w:hint="eastAsia" w:ascii="宋体" w:hAnsi="宋体" w:eastAsia="宋体" w:cs="宋体"/>
          <w:b w:val="0"/>
          <w:bCs w:val="0"/>
          <w:color w:val="auto"/>
          <w:sz w:val="24"/>
          <w:szCs w:val="24"/>
          <w:highlight w:val="none"/>
        </w:rPr>
        <w:t>按照无效投标处理；标注“▲</w:t>
      </w:r>
      <w:r>
        <w:rPr>
          <w:rFonts w:hint="eastAsia" w:ascii="宋体" w:hAnsi="宋体" w:eastAsia="宋体" w:cs="宋体"/>
          <w:b w:val="0"/>
          <w:bCs w:val="0"/>
          <w:color w:val="auto"/>
          <w:spacing w:val="-75"/>
          <w:sz w:val="24"/>
          <w:szCs w:val="24"/>
          <w:highlight w:val="none"/>
        </w:rPr>
        <w:t xml:space="preserve"> </w:t>
      </w:r>
      <w:r>
        <w:rPr>
          <w:rFonts w:hint="eastAsia" w:ascii="宋体" w:hAnsi="宋体" w:eastAsia="宋体" w:cs="宋体"/>
          <w:b w:val="0"/>
          <w:bCs w:val="0"/>
          <w:color w:val="auto"/>
          <w:sz w:val="24"/>
          <w:szCs w:val="24"/>
          <w:highlight w:val="none"/>
        </w:rPr>
        <w:t>”的条款为本项目的重要条款，若投标人不满足</w:t>
      </w:r>
      <w:r>
        <w:rPr>
          <w:rFonts w:hint="eastAsia" w:ascii="宋体" w:hAnsi="宋体" w:eastAsia="宋体" w:cs="宋体"/>
          <w:b w:val="0"/>
          <w:bCs w:val="0"/>
          <w:color w:val="auto"/>
          <w:spacing w:val="-3"/>
          <w:sz w:val="24"/>
          <w:szCs w:val="24"/>
          <w:highlight w:val="none"/>
        </w:rPr>
        <w:t>的，将在详细评审中加重扣分。</w:t>
      </w:r>
    </w:p>
    <w:p w14:paraId="3D5E434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pacing w:val="-3"/>
          <w:sz w:val="24"/>
          <w:szCs w:val="24"/>
          <w:highlight w:val="none"/>
          <w:lang w:val="en-US" w:eastAsia="zh-CN"/>
        </w:rPr>
      </w:pPr>
      <w:r>
        <w:rPr>
          <w:rFonts w:hint="eastAsia" w:ascii="宋体" w:hAnsi="宋体" w:eastAsia="宋体" w:cs="宋体"/>
          <w:b w:val="0"/>
          <w:bCs w:val="0"/>
          <w:color w:val="auto"/>
          <w:spacing w:val="-3"/>
          <w:sz w:val="24"/>
          <w:szCs w:val="24"/>
          <w:highlight w:val="none"/>
          <w:lang w:val="en-US" w:eastAsia="zh-CN"/>
        </w:rPr>
        <w:t>2、标注“★”“▲”的技术条款须提供技术支持证明材料(提供非中文资料时，必须同时提供对应的中文翻译材料)，否则视为负偏离。技术支持资料包括以下任意一种形式：</w:t>
      </w:r>
    </w:p>
    <w:p w14:paraId="740DB50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pacing w:val="-3"/>
          <w:sz w:val="24"/>
          <w:szCs w:val="24"/>
          <w:highlight w:val="none"/>
          <w:lang w:val="en-US" w:eastAsia="zh-CN"/>
        </w:rPr>
      </w:pPr>
      <w:r>
        <w:rPr>
          <w:rFonts w:hint="eastAsia" w:ascii="宋体" w:hAnsi="宋体" w:eastAsia="宋体" w:cs="宋体"/>
          <w:b w:val="0"/>
          <w:bCs w:val="0"/>
          <w:color w:val="auto"/>
          <w:spacing w:val="-3"/>
          <w:sz w:val="24"/>
          <w:szCs w:val="24"/>
          <w:highlight w:val="none"/>
          <w:lang w:val="en-US" w:eastAsia="zh-CN"/>
        </w:rPr>
        <w:t>（1）国家认可的第三方检测机构出具的检测报告；</w:t>
      </w:r>
    </w:p>
    <w:p w14:paraId="46270DA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pacing w:val="-3"/>
          <w:sz w:val="24"/>
          <w:szCs w:val="24"/>
          <w:highlight w:val="none"/>
          <w:lang w:val="en-US" w:eastAsia="zh-CN"/>
        </w:rPr>
      </w:pPr>
      <w:r>
        <w:rPr>
          <w:rFonts w:hint="eastAsia" w:ascii="宋体" w:hAnsi="宋体" w:eastAsia="宋体" w:cs="宋体"/>
          <w:b w:val="0"/>
          <w:bCs w:val="0"/>
          <w:color w:val="auto"/>
          <w:spacing w:val="-3"/>
          <w:sz w:val="24"/>
          <w:szCs w:val="24"/>
          <w:highlight w:val="none"/>
          <w:lang w:val="en-US" w:eastAsia="zh-CN"/>
        </w:rPr>
        <w:t>（2）技术参数确认函（格式自拟）；</w:t>
      </w:r>
    </w:p>
    <w:p w14:paraId="7717C51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pacing w:val="-3"/>
          <w:sz w:val="24"/>
          <w:szCs w:val="24"/>
          <w:highlight w:val="none"/>
          <w:lang w:val="en-US" w:eastAsia="zh-CN"/>
        </w:rPr>
      </w:pPr>
      <w:r>
        <w:rPr>
          <w:rFonts w:hint="eastAsia" w:ascii="宋体" w:hAnsi="宋体" w:eastAsia="宋体" w:cs="宋体"/>
          <w:b w:val="0"/>
          <w:bCs w:val="0"/>
          <w:color w:val="auto"/>
          <w:spacing w:val="-3"/>
          <w:sz w:val="24"/>
          <w:szCs w:val="24"/>
          <w:highlight w:val="none"/>
          <w:lang w:val="en-US" w:eastAsia="zh-CN"/>
        </w:rPr>
        <w:t>（3）产品彩页；</w:t>
      </w:r>
    </w:p>
    <w:p w14:paraId="11E8A98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pacing w:val="-3"/>
          <w:sz w:val="24"/>
          <w:szCs w:val="24"/>
          <w:highlight w:val="none"/>
          <w:lang w:val="en-US" w:eastAsia="zh-CN"/>
        </w:rPr>
      </w:pPr>
      <w:r>
        <w:rPr>
          <w:rFonts w:hint="eastAsia" w:ascii="宋体" w:hAnsi="宋体" w:eastAsia="宋体" w:cs="宋体"/>
          <w:b w:val="0"/>
          <w:bCs w:val="0"/>
          <w:color w:val="auto"/>
          <w:spacing w:val="-3"/>
          <w:sz w:val="24"/>
          <w:szCs w:val="24"/>
          <w:highlight w:val="none"/>
          <w:lang w:val="en-US" w:eastAsia="zh-CN"/>
        </w:rPr>
        <w:t>（4）产品白皮书或设备说明书。</w:t>
      </w:r>
    </w:p>
    <w:p w14:paraId="72C81FC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pacing w:val="-3"/>
          <w:sz w:val="24"/>
          <w:szCs w:val="24"/>
          <w:highlight w:val="none"/>
          <w:lang w:val="en-US" w:eastAsia="zh-CN"/>
        </w:rPr>
      </w:pPr>
      <w:r>
        <w:rPr>
          <w:rFonts w:hint="eastAsia" w:ascii="宋体" w:hAnsi="宋体" w:eastAsia="宋体" w:cs="宋体"/>
          <w:b w:val="0"/>
          <w:bCs w:val="0"/>
          <w:color w:val="auto"/>
          <w:spacing w:val="-3"/>
          <w:sz w:val="24"/>
          <w:szCs w:val="24"/>
          <w:highlight w:val="none"/>
          <w:lang w:val="en-US" w:eastAsia="zh-CN"/>
        </w:rPr>
        <w:t>（注：①货物的技术参数确认函、产品白皮书或设备说明书必须加盖制造商公章；②投标人须用红框在技术支持资料中清晰框出所响应参数的具体位置，未标注、标注位置不准确、模糊或遮挡关键信息的，视为未提供技术支持资料，对应条款按“负偏离”处理）</w:t>
      </w:r>
    </w:p>
    <w:p w14:paraId="27539A2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pacing w:val="-5"/>
          <w:sz w:val="24"/>
          <w:szCs w:val="24"/>
          <w:highlight w:val="none"/>
          <w:lang w:val="en-US" w:eastAsia="zh-CN"/>
        </w:rPr>
      </w:pPr>
      <w:r>
        <w:rPr>
          <w:rFonts w:hint="eastAsia" w:ascii="宋体" w:hAnsi="宋体" w:eastAsia="宋体" w:cs="宋体"/>
          <w:b w:val="0"/>
          <w:bCs w:val="0"/>
          <w:color w:val="auto"/>
          <w:spacing w:val="-5"/>
          <w:sz w:val="24"/>
          <w:szCs w:val="24"/>
          <w:highlight w:val="none"/>
          <w:lang w:val="en-US" w:eastAsia="zh-CN"/>
        </w:rPr>
        <w:t>3、一般参数（非▲号、★号的其他指标）应在投标文件中提供技术参数承诺函（格式详见第六章投标文件格式要求-技术参数承诺函），否则视为负偏离。</w:t>
      </w:r>
    </w:p>
    <w:p w14:paraId="6CF0CC7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pacing w:val="-5"/>
          <w:sz w:val="24"/>
          <w:szCs w:val="24"/>
          <w:highlight w:val="none"/>
        </w:rPr>
      </w:pPr>
      <w:r>
        <w:rPr>
          <w:rFonts w:hint="eastAsia" w:ascii="宋体" w:hAnsi="宋体" w:eastAsia="宋体" w:cs="宋体"/>
          <w:b w:val="0"/>
          <w:bCs w:val="0"/>
          <w:color w:val="auto"/>
          <w:spacing w:val="-5"/>
          <w:sz w:val="24"/>
          <w:szCs w:val="24"/>
          <w:highlight w:val="none"/>
          <w:lang w:val="en-US" w:eastAsia="zh-CN"/>
        </w:rPr>
        <w:t>（注：①货物的技术参数承诺函必须加盖制造商公章）</w:t>
      </w:r>
    </w:p>
    <w:p w14:paraId="127AD5F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5"/>
          <w:sz w:val="24"/>
          <w:szCs w:val="24"/>
          <w:highlight w:val="none"/>
          <w:lang w:val="en-US" w:eastAsia="zh-CN"/>
        </w:rPr>
        <w:t>4</w:t>
      </w:r>
      <w:r>
        <w:rPr>
          <w:rFonts w:hint="eastAsia" w:ascii="宋体" w:hAnsi="宋体" w:eastAsia="宋体" w:cs="宋体"/>
          <w:b w:val="0"/>
          <w:bCs w:val="0"/>
          <w:color w:val="auto"/>
          <w:spacing w:val="-5"/>
          <w:sz w:val="24"/>
          <w:szCs w:val="24"/>
          <w:highlight w:val="none"/>
          <w:lang w:eastAsia="zh-CN"/>
        </w:rPr>
        <w:t>、标注“★ ”的“必须配套的附属设备设施”“售后服务要求”须提供承诺函加盖投标人公章（格式自拟）。标注“★ ”的“其他商务要求”须在商务应答表中响应或提供承诺函</w:t>
      </w:r>
      <w:r>
        <w:rPr>
          <w:rFonts w:hint="eastAsia" w:ascii="宋体" w:hAnsi="宋体" w:eastAsia="宋体" w:cs="宋体"/>
          <w:b w:val="0"/>
          <w:bCs w:val="0"/>
          <w:color w:val="auto"/>
          <w:spacing w:val="-5"/>
          <w:sz w:val="24"/>
          <w:szCs w:val="24"/>
          <w:highlight w:val="none"/>
        </w:rPr>
        <w:t>。</w:t>
      </w:r>
    </w:p>
    <w:p w14:paraId="4FF02E33">
      <w:pPr>
        <w:rPr>
          <w:rFonts w:hint="default"/>
          <w:lang w:val="en-US" w:eastAsia="zh-CN"/>
        </w:rPr>
      </w:pPr>
    </w:p>
    <w:p w14:paraId="11E9551B">
      <w:pPr>
        <w:numPr>
          <w:ilvl w:val="0"/>
          <w:numId w:val="1"/>
        </w:numPr>
        <w:spacing w:line="360" w:lineRule="auto"/>
        <w:rPr>
          <w:rFonts w:hint="eastAsia"/>
          <w:b/>
          <w:bCs/>
          <w:sz w:val="24"/>
          <w:szCs w:val="32"/>
          <w:lang w:val="en-US" w:eastAsia="zh-CN"/>
        </w:rPr>
      </w:pPr>
      <w:r>
        <w:rPr>
          <w:rFonts w:hint="eastAsia"/>
          <w:b/>
          <w:bCs/>
          <w:sz w:val="24"/>
          <w:szCs w:val="32"/>
          <w:lang w:val="en-US" w:eastAsia="zh-CN"/>
        </w:rPr>
        <w:t>项目概况</w:t>
      </w:r>
    </w:p>
    <w:p w14:paraId="16B2B38A">
      <w:pPr>
        <w:numPr>
          <w:ilvl w:val="0"/>
          <w:numId w:val="0"/>
        </w:numPr>
        <w:spacing w:line="360" w:lineRule="auto"/>
        <w:rPr>
          <w:rFonts w:hint="default"/>
          <w:sz w:val="24"/>
          <w:szCs w:val="32"/>
          <w:lang w:val="en-US" w:eastAsia="zh-CN"/>
        </w:rPr>
      </w:pPr>
      <w:r>
        <w:rPr>
          <w:rFonts w:hint="default"/>
          <w:sz w:val="24"/>
          <w:szCs w:val="32"/>
          <w:lang w:val="en-US" w:eastAsia="zh-CN"/>
        </w:rPr>
        <w:t xml:space="preserve"> 2026年医用设备集中采购（九）项目共14台设备，采购包1麻醉机（一）6台、采购包2麻醉机（二）8台。</w:t>
      </w:r>
    </w:p>
    <w:p w14:paraId="51D0C4D7">
      <w:pPr>
        <w:spacing w:line="360" w:lineRule="auto"/>
        <w:jc w:val="center"/>
        <w:outlineLvl w:val="1"/>
        <w:rPr>
          <w:rFonts w:hint="eastAsia" w:ascii="宋体" w:hAnsi="宋体" w:eastAsia="宋体" w:cs="宋体"/>
          <w:b/>
          <w:bCs/>
          <w:color w:val="auto"/>
          <w:sz w:val="28"/>
          <w:szCs w:val="28"/>
          <w:highlight w:val="none"/>
        </w:rPr>
      </w:pPr>
      <w:bookmarkStart w:id="0" w:name="_Toc995"/>
      <w:bookmarkStart w:id="1" w:name="_Toc29082"/>
      <w:bookmarkStart w:id="2" w:name="_Toc17649"/>
      <w:bookmarkStart w:id="3" w:name="_Toc17027"/>
      <w:r>
        <w:rPr>
          <w:rFonts w:hint="eastAsia" w:ascii="宋体" w:hAnsi="宋体" w:eastAsia="宋体" w:cs="宋体"/>
          <w:b/>
          <w:bCs/>
          <w:color w:val="auto"/>
          <w:sz w:val="28"/>
          <w:szCs w:val="28"/>
          <w:highlight w:val="none"/>
        </w:rPr>
        <w:t>采购</w:t>
      </w:r>
      <w:r>
        <w:rPr>
          <w:rFonts w:hint="eastAsia" w:ascii="宋体" w:hAnsi="宋体" w:eastAsia="宋体" w:cs="宋体"/>
          <w:b/>
          <w:bCs/>
          <w:color w:val="auto"/>
          <w:sz w:val="28"/>
          <w:szCs w:val="28"/>
          <w:highlight w:val="none"/>
          <w:lang w:val="en-US" w:eastAsia="zh-CN"/>
        </w:rPr>
        <w:t>一览</w:t>
      </w:r>
      <w:r>
        <w:rPr>
          <w:rFonts w:hint="eastAsia" w:ascii="宋体" w:hAnsi="宋体" w:eastAsia="宋体" w:cs="宋体"/>
          <w:b/>
          <w:bCs/>
          <w:color w:val="auto"/>
          <w:sz w:val="28"/>
          <w:szCs w:val="28"/>
          <w:highlight w:val="none"/>
        </w:rPr>
        <w:t>表</w:t>
      </w:r>
      <w:bookmarkEnd w:id="0"/>
      <w:bookmarkEnd w:id="1"/>
      <w:bookmarkEnd w:id="2"/>
      <w:bookmarkEnd w:id="3"/>
    </w:p>
    <w:tbl>
      <w:tblPr>
        <w:tblStyle w:val="4"/>
        <w:tblW w:w="8421" w:type="dxa"/>
        <w:tblInd w:w="0" w:type="dxa"/>
        <w:tblLayout w:type="fixed"/>
        <w:tblCellMar>
          <w:top w:w="15" w:type="dxa"/>
          <w:left w:w="15" w:type="dxa"/>
          <w:bottom w:w="15" w:type="dxa"/>
          <w:right w:w="15" w:type="dxa"/>
        </w:tblCellMar>
      </w:tblPr>
      <w:tblGrid>
        <w:gridCol w:w="1146"/>
        <w:gridCol w:w="1440"/>
        <w:gridCol w:w="434"/>
        <w:gridCol w:w="369"/>
        <w:gridCol w:w="1492"/>
        <w:gridCol w:w="1260"/>
        <w:gridCol w:w="1410"/>
        <w:gridCol w:w="870"/>
      </w:tblGrid>
      <w:tr w14:paraId="6005B583">
        <w:tblPrEx>
          <w:tblCellMar>
            <w:top w:w="15" w:type="dxa"/>
            <w:left w:w="15" w:type="dxa"/>
            <w:bottom w:w="15" w:type="dxa"/>
            <w:right w:w="15" w:type="dxa"/>
          </w:tblCellMar>
        </w:tblPrEx>
        <w:trPr>
          <w:trHeight w:val="286" w:hRule="atLeast"/>
        </w:trPr>
        <w:tc>
          <w:tcPr>
            <w:tcW w:w="1146" w:type="dxa"/>
            <w:tcBorders>
              <w:top w:val="single" w:color="000000" w:sz="4" w:space="0"/>
              <w:left w:val="single" w:color="000000" w:sz="4" w:space="0"/>
              <w:bottom w:val="single" w:color="000000" w:sz="4" w:space="0"/>
              <w:right w:val="single" w:color="000000" w:sz="4" w:space="0"/>
            </w:tcBorders>
            <w:vAlign w:val="center"/>
          </w:tcPr>
          <w:p w14:paraId="0AAA47D0">
            <w:pPr>
              <w:widowControl/>
              <w:spacing w:line="360" w:lineRule="auto"/>
              <w:jc w:val="center"/>
              <w:textAlignment w:val="center"/>
              <w:outlineLvl w:val="9"/>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采购包号</w:t>
            </w:r>
          </w:p>
        </w:tc>
        <w:tc>
          <w:tcPr>
            <w:tcW w:w="1440" w:type="dxa"/>
            <w:tcBorders>
              <w:top w:val="single" w:color="000000" w:sz="4" w:space="0"/>
              <w:left w:val="single" w:color="000000" w:sz="4" w:space="0"/>
              <w:bottom w:val="single" w:color="000000" w:sz="4" w:space="0"/>
              <w:right w:val="single" w:color="000000" w:sz="4" w:space="0"/>
            </w:tcBorders>
            <w:vAlign w:val="center"/>
          </w:tcPr>
          <w:p w14:paraId="3741E534">
            <w:pPr>
              <w:widowControl/>
              <w:spacing w:line="360" w:lineRule="auto"/>
              <w:jc w:val="center"/>
              <w:textAlignment w:val="center"/>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设备名称</w:t>
            </w:r>
          </w:p>
        </w:tc>
        <w:tc>
          <w:tcPr>
            <w:tcW w:w="434" w:type="dxa"/>
            <w:tcBorders>
              <w:top w:val="single" w:color="000000" w:sz="4" w:space="0"/>
              <w:left w:val="single" w:color="000000" w:sz="4" w:space="0"/>
              <w:bottom w:val="single" w:color="000000" w:sz="4" w:space="0"/>
              <w:right w:val="single" w:color="000000" w:sz="4" w:space="0"/>
            </w:tcBorders>
            <w:vAlign w:val="center"/>
          </w:tcPr>
          <w:p w14:paraId="77B5DF04">
            <w:pPr>
              <w:widowControl/>
              <w:spacing w:line="360" w:lineRule="auto"/>
              <w:jc w:val="center"/>
              <w:textAlignment w:val="center"/>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单位</w:t>
            </w:r>
          </w:p>
        </w:tc>
        <w:tc>
          <w:tcPr>
            <w:tcW w:w="369" w:type="dxa"/>
            <w:tcBorders>
              <w:top w:val="single" w:color="000000" w:sz="4" w:space="0"/>
              <w:left w:val="single" w:color="000000" w:sz="4" w:space="0"/>
              <w:bottom w:val="single" w:color="000000" w:sz="4" w:space="0"/>
              <w:right w:val="single" w:color="000000" w:sz="4" w:space="0"/>
            </w:tcBorders>
            <w:vAlign w:val="center"/>
          </w:tcPr>
          <w:p w14:paraId="6769E306">
            <w:pPr>
              <w:widowControl/>
              <w:spacing w:line="360" w:lineRule="auto"/>
              <w:jc w:val="center"/>
              <w:textAlignment w:val="center"/>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数量</w:t>
            </w:r>
          </w:p>
        </w:tc>
        <w:tc>
          <w:tcPr>
            <w:tcW w:w="1492" w:type="dxa"/>
            <w:tcBorders>
              <w:top w:val="single" w:color="000000" w:sz="4" w:space="0"/>
              <w:left w:val="single" w:color="000000" w:sz="4" w:space="0"/>
              <w:bottom w:val="single" w:color="000000" w:sz="4" w:space="0"/>
              <w:right w:val="single" w:color="000000" w:sz="4" w:space="0"/>
            </w:tcBorders>
            <w:vAlign w:val="center"/>
          </w:tcPr>
          <w:p w14:paraId="16D6FB88">
            <w:pPr>
              <w:widowControl/>
              <w:spacing w:line="360" w:lineRule="auto"/>
              <w:jc w:val="center"/>
              <w:textAlignment w:val="center"/>
              <w:outlineLvl w:val="9"/>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单价最高限价（万元）</w:t>
            </w:r>
          </w:p>
        </w:tc>
        <w:tc>
          <w:tcPr>
            <w:tcW w:w="1260" w:type="dxa"/>
            <w:tcBorders>
              <w:top w:val="single" w:color="000000" w:sz="4" w:space="0"/>
              <w:left w:val="single" w:color="000000" w:sz="4" w:space="0"/>
              <w:bottom w:val="single" w:color="000000" w:sz="4" w:space="0"/>
              <w:right w:val="single" w:color="000000" w:sz="4" w:space="0"/>
            </w:tcBorders>
            <w:vAlign w:val="center"/>
          </w:tcPr>
          <w:p w14:paraId="76EC30D5">
            <w:pPr>
              <w:widowControl/>
              <w:spacing w:line="360" w:lineRule="auto"/>
              <w:jc w:val="center"/>
              <w:textAlignment w:val="center"/>
              <w:outlineLvl w:val="9"/>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标包最高限价（万元）</w:t>
            </w:r>
          </w:p>
        </w:tc>
        <w:tc>
          <w:tcPr>
            <w:tcW w:w="1410" w:type="dxa"/>
            <w:tcBorders>
              <w:top w:val="single" w:color="000000" w:sz="4" w:space="0"/>
              <w:left w:val="single" w:color="000000" w:sz="4" w:space="0"/>
              <w:bottom w:val="single" w:color="000000" w:sz="4" w:space="0"/>
              <w:right w:val="single" w:color="000000" w:sz="4" w:space="0"/>
            </w:tcBorders>
            <w:vAlign w:val="center"/>
          </w:tcPr>
          <w:p w14:paraId="48519407">
            <w:pPr>
              <w:widowControl/>
              <w:spacing w:line="360" w:lineRule="auto"/>
              <w:jc w:val="center"/>
              <w:textAlignment w:val="center"/>
              <w:outlineLvl w:val="9"/>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是否接受进口产品投标</w:t>
            </w:r>
          </w:p>
        </w:tc>
        <w:tc>
          <w:tcPr>
            <w:tcW w:w="870" w:type="dxa"/>
            <w:tcBorders>
              <w:top w:val="single" w:color="000000" w:sz="4" w:space="0"/>
              <w:left w:val="single" w:color="000000" w:sz="4" w:space="0"/>
              <w:bottom w:val="single" w:color="000000" w:sz="4" w:space="0"/>
              <w:right w:val="single" w:color="000000" w:sz="4" w:space="0"/>
            </w:tcBorders>
            <w:vAlign w:val="center"/>
          </w:tcPr>
          <w:p w14:paraId="7F20E050">
            <w:pPr>
              <w:widowControl/>
              <w:spacing w:line="360" w:lineRule="auto"/>
              <w:jc w:val="center"/>
              <w:textAlignment w:val="center"/>
              <w:outlineLvl w:val="9"/>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是否核心产品</w:t>
            </w:r>
          </w:p>
        </w:tc>
      </w:tr>
      <w:tr w14:paraId="6F1731BA">
        <w:tblPrEx>
          <w:tblCellMar>
            <w:top w:w="15" w:type="dxa"/>
            <w:left w:w="15" w:type="dxa"/>
            <w:bottom w:w="15" w:type="dxa"/>
            <w:right w:w="15" w:type="dxa"/>
          </w:tblCellMar>
        </w:tblPrEx>
        <w:trPr>
          <w:trHeight w:val="286" w:hRule="atLeast"/>
        </w:trPr>
        <w:tc>
          <w:tcPr>
            <w:tcW w:w="1146" w:type="dxa"/>
            <w:tcBorders>
              <w:top w:val="single" w:color="000000" w:sz="4" w:space="0"/>
              <w:left w:val="single" w:color="000000" w:sz="4" w:space="0"/>
              <w:bottom w:val="single" w:color="000000" w:sz="4" w:space="0"/>
              <w:right w:val="single" w:color="000000" w:sz="4" w:space="0"/>
            </w:tcBorders>
            <w:vAlign w:val="center"/>
          </w:tcPr>
          <w:p w14:paraId="5B64CD3E">
            <w:pPr>
              <w:widowControl/>
              <w:spacing w:line="360" w:lineRule="auto"/>
              <w:jc w:val="center"/>
              <w:textAlignment w:val="center"/>
              <w:outlineLvl w:val="9"/>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采购包1</w:t>
            </w:r>
          </w:p>
        </w:tc>
        <w:tc>
          <w:tcPr>
            <w:tcW w:w="1440" w:type="dxa"/>
            <w:tcBorders>
              <w:top w:val="single" w:color="000000" w:sz="4" w:space="0"/>
              <w:left w:val="single" w:color="000000" w:sz="4" w:space="0"/>
              <w:bottom w:val="single" w:color="000000" w:sz="4" w:space="0"/>
              <w:right w:val="single" w:color="000000" w:sz="4" w:space="0"/>
            </w:tcBorders>
            <w:vAlign w:val="center"/>
          </w:tcPr>
          <w:p w14:paraId="31C8B19B">
            <w:pPr>
              <w:widowControl/>
              <w:spacing w:line="360" w:lineRule="auto"/>
              <w:jc w:val="center"/>
              <w:textAlignment w:val="center"/>
              <w:outlineLvl w:val="9"/>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麻醉机（一）</w:t>
            </w:r>
          </w:p>
        </w:tc>
        <w:tc>
          <w:tcPr>
            <w:tcW w:w="434" w:type="dxa"/>
            <w:tcBorders>
              <w:top w:val="single" w:color="000000" w:sz="4" w:space="0"/>
              <w:left w:val="single" w:color="000000" w:sz="4" w:space="0"/>
              <w:bottom w:val="single" w:color="000000" w:sz="4" w:space="0"/>
              <w:right w:val="single" w:color="000000" w:sz="4" w:space="0"/>
            </w:tcBorders>
            <w:vAlign w:val="center"/>
          </w:tcPr>
          <w:p w14:paraId="02028D9E">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369" w:type="dxa"/>
            <w:tcBorders>
              <w:top w:val="single" w:color="000000" w:sz="4" w:space="0"/>
              <w:left w:val="single" w:color="000000" w:sz="4" w:space="0"/>
              <w:bottom w:val="single" w:color="000000" w:sz="4" w:space="0"/>
              <w:right w:val="single" w:color="000000" w:sz="4" w:space="0"/>
            </w:tcBorders>
            <w:vAlign w:val="center"/>
          </w:tcPr>
          <w:p w14:paraId="1BC4D686">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color w:val="auto"/>
                <w:kern w:val="0"/>
                <w:sz w:val="21"/>
                <w:szCs w:val="21"/>
                <w:highlight w:val="none"/>
                <w:u w:val="none"/>
                <w:lang w:val="en-US" w:eastAsia="zh-CN" w:bidi="ar"/>
              </w:rPr>
              <w:t>6</w:t>
            </w:r>
          </w:p>
        </w:tc>
        <w:tc>
          <w:tcPr>
            <w:tcW w:w="1492" w:type="dxa"/>
            <w:tcBorders>
              <w:top w:val="single" w:color="000000" w:sz="4" w:space="0"/>
              <w:left w:val="single" w:color="000000" w:sz="4" w:space="0"/>
              <w:bottom w:val="single" w:color="000000" w:sz="4" w:space="0"/>
              <w:right w:val="single" w:color="000000" w:sz="4" w:space="0"/>
            </w:tcBorders>
            <w:vAlign w:val="center"/>
          </w:tcPr>
          <w:p w14:paraId="6DCB127D">
            <w:pPr>
              <w:keepNext w:val="0"/>
              <w:keepLines w:val="0"/>
              <w:widowControl/>
              <w:suppressLineNumbers w:val="0"/>
              <w:jc w:val="center"/>
              <w:textAlignment w:val="center"/>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i w:val="0"/>
                <w:color w:val="auto"/>
                <w:kern w:val="0"/>
                <w:sz w:val="21"/>
                <w:szCs w:val="21"/>
                <w:highlight w:val="none"/>
                <w:u w:val="none"/>
                <w:lang w:val="en-US" w:eastAsia="zh-CN" w:bidi="ar"/>
              </w:rPr>
              <w:t>20.48</w:t>
            </w:r>
          </w:p>
        </w:tc>
        <w:tc>
          <w:tcPr>
            <w:tcW w:w="1260" w:type="dxa"/>
            <w:tcBorders>
              <w:top w:val="single" w:color="000000" w:sz="4" w:space="0"/>
              <w:left w:val="single" w:color="000000" w:sz="4" w:space="0"/>
              <w:bottom w:val="single" w:color="000000" w:sz="4" w:space="0"/>
              <w:right w:val="single" w:color="000000" w:sz="4" w:space="0"/>
            </w:tcBorders>
            <w:vAlign w:val="center"/>
          </w:tcPr>
          <w:p w14:paraId="5B39E9D1">
            <w:pPr>
              <w:keepNext w:val="0"/>
              <w:keepLines w:val="0"/>
              <w:widowControl/>
              <w:suppressLineNumbers w:val="0"/>
              <w:jc w:val="center"/>
              <w:textAlignment w:val="center"/>
              <w:rPr>
                <w:rFonts w:hint="default" w:ascii="宋体" w:hAnsi="宋体" w:eastAsia="宋体" w:cs="宋体"/>
                <w:color w:val="auto"/>
                <w:kern w:val="0"/>
                <w:sz w:val="21"/>
                <w:szCs w:val="21"/>
                <w:highlight w:val="none"/>
                <w:lang w:val="en-US" w:bidi="ar"/>
              </w:rPr>
            </w:pPr>
            <w:r>
              <w:rPr>
                <w:rFonts w:hint="eastAsia" w:ascii="宋体" w:hAnsi="宋体" w:eastAsia="宋体" w:cs="宋体"/>
                <w:i w:val="0"/>
                <w:color w:val="auto"/>
                <w:kern w:val="0"/>
                <w:sz w:val="21"/>
                <w:szCs w:val="21"/>
                <w:highlight w:val="none"/>
                <w:u w:val="none"/>
                <w:lang w:val="en-US" w:eastAsia="zh-CN" w:bidi="ar"/>
              </w:rPr>
              <w:t>122.88</w:t>
            </w:r>
          </w:p>
        </w:tc>
        <w:tc>
          <w:tcPr>
            <w:tcW w:w="1410" w:type="dxa"/>
            <w:tcBorders>
              <w:top w:val="single" w:color="000000" w:sz="4" w:space="0"/>
              <w:left w:val="single" w:color="000000" w:sz="4" w:space="0"/>
              <w:bottom w:val="single" w:color="000000" w:sz="4" w:space="0"/>
              <w:right w:val="single" w:color="000000" w:sz="4" w:space="0"/>
            </w:tcBorders>
            <w:vAlign w:val="center"/>
          </w:tcPr>
          <w:p w14:paraId="09FB5ECF">
            <w:pPr>
              <w:keepNext w:val="0"/>
              <w:keepLines w:val="0"/>
              <w:widowControl/>
              <w:suppressLineNumbers w:val="0"/>
              <w:jc w:val="center"/>
              <w:textAlignment w:val="center"/>
              <w:rPr>
                <w:rFonts w:hint="eastAsia" w:ascii="宋体" w:hAnsi="宋体" w:eastAsia="宋体" w:cs="宋体"/>
                <w:color w:val="auto"/>
                <w:kern w:val="0"/>
                <w:sz w:val="21"/>
                <w:szCs w:val="21"/>
                <w:highlight w:val="none"/>
                <w:lang w:bidi="ar"/>
              </w:rPr>
            </w:pPr>
            <w:r>
              <w:rPr>
                <w:rFonts w:hint="eastAsia" w:ascii="宋体" w:hAnsi="宋体" w:eastAsia="宋体" w:cs="宋体"/>
                <w:i w:val="0"/>
                <w:color w:val="auto"/>
                <w:kern w:val="0"/>
                <w:sz w:val="21"/>
                <w:szCs w:val="21"/>
                <w:highlight w:val="none"/>
                <w:u w:val="none"/>
                <w:lang w:val="en-US" w:eastAsia="zh-CN" w:bidi="ar"/>
              </w:rPr>
              <w:t>不接受</w:t>
            </w:r>
          </w:p>
        </w:tc>
        <w:tc>
          <w:tcPr>
            <w:tcW w:w="870" w:type="dxa"/>
            <w:tcBorders>
              <w:top w:val="single" w:color="000000" w:sz="4" w:space="0"/>
              <w:left w:val="single" w:color="000000" w:sz="4" w:space="0"/>
              <w:bottom w:val="single" w:color="000000" w:sz="4" w:space="0"/>
              <w:right w:val="single" w:color="000000" w:sz="4" w:space="0"/>
            </w:tcBorders>
            <w:vAlign w:val="center"/>
          </w:tcPr>
          <w:p w14:paraId="1525BF93">
            <w:pPr>
              <w:widowControl/>
              <w:spacing w:line="360" w:lineRule="auto"/>
              <w:jc w:val="center"/>
              <w:textAlignment w:val="center"/>
              <w:outlineLvl w:val="9"/>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是</w:t>
            </w:r>
          </w:p>
        </w:tc>
      </w:tr>
      <w:tr w14:paraId="7E5E30D8">
        <w:tblPrEx>
          <w:tblCellMar>
            <w:top w:w="15" w:type="dxa"/>
            <w:left w:w="15" w:type="dxa"/>
            <w:bottom w:w="15" w:type="dxa"/>
            <w:right w:w="15" w:type="dxa"/>
          </w:tblCellMar>
        </w:tblPrEx>
        <w:trPr>
          <w:trHeight w:val="286" w:hRule="atLeast"/>
        </w:trPr>
        <w:tc>
          <w:tcPr>
            <w:tcW w:w="1146" w:type="dxa"/>
            <w:tcBorders>
              <w:top w:val="single" w:color="000000" w:sz="4" w:space="0"/>
              <w:left w:val="single" w:color="000000" w:sz="4" w:space="0"/>
              <w:bottom w:val="single" w:color="000000" w:sz="4" w:space="0"/>
              <w:right w:val="single" w:color="000000" w:sz="4" w:space="0"/>
            </w:tcBorders>
            <w:vAlign w:val="center"/>
          </w:tcPr>
          <w:p w14:paraId="46BC020E">
            <w:pPr>
              <w:widowControl/>
              <w:spacing w:line="360" w:lineRule="auto"/>
              <w:jc w:val="center"/>
              <w:textAlignment w:val="center"/>
              <w:outlineLvl w:val="9"/>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采购包2</w:t>
            </w:r>
          </w:p>
        </w:tc>
        <w:tc>
          <w:tcPr>
            <w:tcW w:w="1440" w:type="dxa"/>
            <w:tcBorders>
              <w:top w:val="single" w:color="000000" w:sz="4" w:space="0"/>
              <w:left w:val="single" w:color="000000" w:sz="4" w:space="0"/>
              <w:bottom w:val="single" w:color="000000" w:sz="4" w:space="0"/>
              <w:right w:val="single" w:color="000000" w:sz="4" w:space="0"/>
            </w:tcBorders>
            <w:vAlign w:val="center"/>
          </w:tcPr>
          <w:p w14:paraId="06449881">
            <w:pPr>
              <w:widowControl/>
              <w:spacing w:line="360" w:lineRule="auto"/>
              <w:jc w:val="center"/>
              <w:textAlignment w:val="center"/>
              <w:outlineLvl w:val="9"/>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麻醉机（二）</w:t>
            </w:r>
          </w:p>
        </w:tc>
        <w:tc>
          <w:tcPr>
            <w:tcW w:w="434" w:type="dxa"/>
            <w:tcBorders>
              <w:top w:val="single" w:color="000000" w:sz="4" w:space="0"/>
              <w:left w:val="single" w:color="000000" w:sz="4" w:space="0"/>
              <w:bottom w:val="single" w:color="000000" w:sz="4" w:space="0"/>
              <w:right w:val="single" w:color="000000" w:sz="4" w:space="0"/>
            </w:tcBorders>
            <w:vAlign w:val="center"/>
          </w:tcPr>
          <w:p w14:paraId="36B6D283">
            <w:pPr>
              <w:keepNext w:val="0"/>
              <w:keepLines w:val="0"/>
              <w:widowControl/>
              <w:suppressLineNumbers w:val="0"/>
              <w:jc w:val="center"/>
              <w:textAlignment w:val="center"/>
              <w:rPr>
                <w:rFonts w:hint="default"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台</w:t>
            </w:r>
          </w:p>
        </w:tc>
        <w:tc>
          <w:tcPr>
            <w:tcW w:w="369" w:type="dxa"/>
            <w:tcBorders>
              <w:top w:val="single" w:color="000000" w:sz="4" w:space="0"/>
              <w:left w:val="single" w:color="000000" w:sz="4" w:space="0"/>
              <w:bottom w:val="single" w:color="000000" w:sz="4" w:space="0"/>
              <w:right w:val="single" w:color="000000" w:sz="4" w:space="0"/>
            </w:tcBorders>
            <w:vAlign w:val="center"/>
          </w:tcPr>
          <w:p w14:paraId="0632A009">
            <w:pPr>
              <w:keepNext w:val="0"/>
              <w:keepLines w:val="0"/>
              <w:widowControl/>
              <w:suppressLineNumbers w:val="0"/>
              <w:jc w:val="center"/>
              <w:textAlignment w:val="center"/>
              <w:rPr>
                <w:rFonts w:hint="default"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8</w:t>
            </w:r>
          </w:p>
        </w:tc>
        <w:tc>
          <w:tcPr>
            <w:tcW w:w="1492" w:type="dxa"/>
            <w:tcBorders>
              <w:top w:val="single" w:color="000000" w:sz="4" w:space="0"/>
              <w:left w:val="single" w:color="000000" w:sz="4" w:space="0"/>
              <w:bottom w:val="single" w:color="000000" w:sz="4" w:space="0"/>
              <w:right w:val="single" w:color="000000" w:sz="4" w:space="0"/>
            </w:tcBorders>
            <w:vAlign w:val="center"/>
          </w:tcPr>
          <w:p w14:paraId="50CB855F">
            <w:pPr>
              <w:keepNext w:val="0"/>
              <w:keepLines w:val="0"/>
              <w:widowControl/>
              <w:suppressLineNumbers w:val="0"/>
              <w:jc w:val="center"/>
              <w:textAlignment w:val="center"/>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i w:val="0"/>
                <w:color w:val="auto"/>
                <w:kern w:val="0"/>
                <w:sz w:val="21"/>
                <w:szCs w:val="21"/>
                <w:highlight w:val="none"/>
                <w:u w:val="none"/>
                <w:lang w:val="en-US" w:eastAsia="zh-CN" w:bidi="ar"/>
              </w:rPr>
              <w:t>45</w:t>
            </w:r>
          </w:p>
        </w:tc>
        <w:tc>
          <w:tcPr>
            <w:tcW w:w="1260" w:type="dxa"/>
            <w:tcBorders>
              <w:top w:val="single" w:color="000000" w:sz="4" w:space="0"/>
              <w:left w:val="single" w:color="000000" w:sz="4" w:space="0"/>
              <w:bottom w:val="single" w:color="000000" w:sz="4" w:space="0"/>
              <w:right w:val="single" w:color="000000" w:sz="4" w:space="0"/>
            </w:tcBorders>
            <w:vAlign w:val="center"/>
          </w:tcPr>
          <w:p w14:paraId="13F6BC82">
            <w:pPr>
              <w:keepNext w:val="0"/>
              <w:keepLines w:val="0"/>
              <w:widowControl/>
              <w:suppressLineNumbers w:val="0"/>
              <w:jc w:val="center"/>
              <w:textAlignment w:val="center"/>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i w:val="0"/>
                <w:color w:val="auto"/>
                <w:kern w:val="0"/>
                <w:sz w:val="21"/>
                <w:szCs w:val="21"/>
                <w:highlight w:val="none"/>
                <w:u w:val="none"/>
                <w:lang w:val="en-US" w:eastAsia="zh-CN" w:bidi="ar"/>
              </w:rPr>
              <w:t>360</w:t>
            </w:r>
          </w:p>
        </w:tc>
        <w:tc>
          <w:tcPr>
            <w:tcW w:w="1410" w:type="dxa"/>
            <w:tcBorders>
              <w:top w:val="single" w:color="000000" w:sz="4" w:space="0"/>
              <w:left w:val="single" w:color="000000" w:sz="4" w:space="0"/>
              <w:bottom w:val="single" w:color="000000" w:sz="4" w:space="0"/>
              <w:right w:val="single" w:color="000000" w:sz="4" w:space="0"/>
            </w:tcBorders>
            <w:vAlign w:val="center"/>
          </w:tcPr>
          <w:p w14:paraId="71AC2326">
            <w:pPr>
              <w:keepNext w:val="0"/>
              <w:keepLines w:val="0"/>
              <w:widowControl/>
              <w:suppressLineNumbers w:val="0"/>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color w:val="auto"/>
                <w:kern w:val="0"/>
                <w:sz w:val="21"/>
                <w:szCs w:val="21"/>
                <w:highlight w:val="none"/>
                <w:u w:val="none"/>
                <w:lang w:val="en-US" w:eastAsia="zh-CN" w:bidi="ar"/>
              </w:rPr>
              <w:t>不接受</w:t>
            </w:r>
          </w:p>
        </w:tc>
        <w:tc>
          <w:tcPr>
            <w:tcW w:w="870" w:type="dxa"/>
            <w:tcBorders>
              <w:top w:val="single" w:color="000000" w:sz="4" w:space="0"/>
              <w:left w:val="single" w:color="000000" w:sz="4" w:space="0"/>
              <w:bottom w:val="single" w:color="000000" w:sz="4" w:space="0"/>
              <w:right w:val="single" w:color="000000" w:sz="4" w:space="0"/>
            </w:tcBorders>
            <w:vAlign w:val="center"/>
          </w:tcPr>
          <w:p w14:paraId="69513BDE">
            <w:pPr>
              <w:widowControl/>
              <w:spacing w:line="360" w:lineRule="auto"/>
              <w:jc w:val="center"/>
              <w:textAlignment w:val="center"/>
              <w:outlineLvl w:val="9"/>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是</w:t>
            </w:r>
          </w:p>
        </w:tc>
      </w:tr>
    </w:tbl>
    <w:p w14:paraId="62FA45D8">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p>
    <w:p w14:paraId="47C5B0A0">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lang w:val="en-US" w:eastAsia="zh-CN"/>
        </w:rPr>
        <w:t>价格</w:t>
      </w:r>
      <w:r>
        <w:rPr>
          <w:rStyle w:val="7"/>
          <w:rFonts w:hint="eastAsia" w:ascii="宋体" w:hAnsi="宋体" w:eastAsia="宋体" w:cs="宋体"/>
          <w:color w:val="auto"/>
          <w:sz w:val="24"/>
          <w:szCs w:val="24"/>
        </w:rPr>
        <w:t>包括主件及零部件的供应、配置、运输、设计制造及安装（</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方指定地点）、调试、培训、备品备件、售后服务等所有含税费用。</w:t>
      </w:r>
    </w:p>
    <w:p w14:paraId="3ADC3525">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1.</w:t>
      </w:r>
      <w:r>
        <w:rPr>
          <w:rStyle w:val="7"/>
          <w:rFonts w:hint="eastAsia" w:ascii="宋体" w:hAnsi="宋体" w:eastAsia="宋体" w:cs="宋体"/>
          <w:color w:val="auto"/>
          <w:sz w:val="24"/>
          <w:szCs w:val="24"/>
        </w:rPr>
        <w:t>本合同约定的价款，除非另有特别说明，已经包含下列项目含税费用：</w:t>
      </w:r>
    </w:p>
    <w:p w14:paraId="3D71A3EC">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1.1 </w:t>
      </w:r>
      <w:r>
        <w:rPr>
          <w:rStyle w:val="7"/>
          <w:rFonts w:hint="eastAsia" w:ascii="宋体" w:hAnsi="宋体" w:eastAsia="宋体" w:cs="宋体"/>
          <w:color w:val="auto"/>
          <w:sz w:val="24"/>
          <w:szCs w:val="24"/>
        </w:rPr>
        <w:t>货物主体和配件、备品备件、硬件软件、包装、专用工具的费用；</w:t>
      </w:r>
    </w:p>
    <w:p w14:paraId="114D2824">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1.2 </w:t>
      </w:r>
      <w:r>
        <w:rPr>
          <w:rStyle w:val="7"/>
          <w:rFonts w:hint="eastAsia" w:ascii="宋体" w:hAnsi="宋体" w:eastAsia="宋体" w:cs="宋体"/>
          <w:color w:val="auto"/>
          <w:sz w:val="24"/>
          <w:szCs w:val="24"/>
        </w:rPr>
        <w:t>安装/调试/检验、培训、技术服务和其他相关服务费用；</w:t>
      </w:r>
    </w:p>
    <w:p w14:paraId="2863BE88">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1.3 </w:t>
      </w:r>
      <w:r>
        <w:rPr>
          <w:rStyle w:val="7"/>
          <w:rFonts w:hint="eastAsia" w:ascii="宋体" w:hAnsi="宋体" w:eastAsia="宋体" w:cs="宋体"/>
          <w:color w:val="auto"/>
          <w:sz w:val="24"/>
          <w:szCs w:val="24"/>
        </w:rPr>
        <w:t>进出口手续费用（如有）；</w:t>
      </w:r>
    </w:p>
    <w:p w14:paraId="4B680B5A">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1.4 </w:t>
      </w:r>
      <w:r>
        <w:rPr>
          <w:rStyle w:val="7"/>
          <w:rFonts w:hint="eastAsia" w:ascii="宋体" w:hAnsi="宋体" w:eastAsia="宋体" w:cs="宋体"/>
          <w:color w:val="auto"/>
          <w:sz w:val="24"/>
          <w:szCs w:val="24"/>
        </w:rPr>
        <w:t>运输到指定交货地点的运费、保险费用等。</w:t>
      </w:r>
    </w:p>
    <w:p w14:paraId="172295B1">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除非另有明确约定，甲方</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lang w:val="en-US" w:eastAsia="zh-CN"/>
        </w:rPr>
        <w:t>丙方</w:t>
      </w:r>
      <w:r>
        <w:rPr>
          <w:rStyle w:val="7"/>
          <w:rFonts w:hint="eastAsia" w:ascii="宋体" w:hAnsi="宋体" w:eastAsia="宋体" w:cs="宋体"/>
          <w:color w:val="auto"/>
          <w:sz w:val="24"/>
          <w:szCs w:val="24"/>
        </w:rPr>
        <w:t>无需就本次购买向乙方支付其他费用。</w:t>
      </w:r>
    </w:p>
    <w:p w14:paraId="4E968111">
      <w:pPr>
        <w:keepNext w:val="0"/>
        <w:keepLines w:val="0"/>
        <w:pageBreakBefore w:val="0"/>
        <w:kinsoku/>
        <w:wordWrap/>
        <w:overflowPunct/>
        <w:topLinePunct w:val="0"/>
        <w:autoSpaceDE/>
        <w:autoSpaceDN/>
        <w:bidi w:val="0"/>
        <w:adjustRightInd/>
        <w:snapToGrid w:val="0"/>
        <w:spacing w:line="336" w:lineRule="auto"/>
        <w:ind w:firstLine="470" w:firstLineChars="196"/>
        <w:rPr>
          <w:rFonts w:hint="default"/>
          <w:sz w:val="24"/>
          <w:szCs w:val="32"/>
          <w:lang w:val="en-US" w:eastAsia="zh-CN"/>
        </w:rPr>
      </w:pPr>
      <w:r>
        <w:rPr>
          <w:rStyle w:val="7"/>
          <w:rFonts w:hint="eastAsia" w:ascii="宋体" w:hAnsi="宋体" w:cs="宋体"/>
          <w:color w:val="auto"/>
          <w:sz w:val="24"/>
          <w:szCs w:val="24"/>
          <w:lang w:val="en-US" w:eastAsia="zh-CN"/>
        </w:rPr>
        <w:t>2.</w:t>
      </w:r>
      <w:r>
        <w:rPr>
          <w:rStyle w:val="7"/>
          <w:rFonts w:hint="eastAsia" w:ascii="宋体" w:hAnsi="宋体" w:eastAsia="宋体" w:cs="宋体"/>
          <w:color w:val="auto"/>
          <w:sz w:val="24"/>
          <w:szCs w:val="24"/>
        </w:rPr>
        <w:t>各方确认：合同约定价款不因劳务、市场设备价格、政策变化</w:t>
      </w:r>
      <w:r>
        <w:rPr>
          <w:rStyle w:val="7"/>
          <w:rFonts w:hint="eastAsia" w:ascii="宋体" w:hAnsi="宋体" w:cs="宋体"/>
          <w:color w:val="auto"/>
          <w:sz w:val="24"/>
          <w:szCs w:val="24"/>
          <w:lang w:val="en-US" w:eastAsia="zh-CN"/>
        </w:rPr>
        <w:t>等因素</w:t>
      </w:r>
      <w:r>
        <w:rPr>
          <w:rStyle w:val="7"/>
          <w:rFonts w:hint="eastAsia" w:ascii="宋体" w:hAnsi="宋体" w:eastAsia="宋体" w:cs="宋体"/>
          <w:color w:val="auto"/>
          <w:sz w:val="24"/>
          <w:szCs w:val="24"/>
        </w:rPr>
        <w:t>而调整。</w:t>
      </w:r>
    </w:p>
    <w:p w14:paraId="39767731">
      <w:pPr>
        <w:numPr>
          <w:ilvl w:val="0"/>
          <w:numId w:val="1"/>
        </w:numPr>
        <w:spacing w:line="360" w:lineRule="auto"/>
        <w:rPr>
          <w:rFonts w:hint="eastAsia"/>
          <w:b/>
          <w:bCs/>
          <w:sz w:val="24"/>
          <w:szCs w:val="32"/>
          <w:lang w:val="en-US" w:eastAsia="zh-CN"/>
        </w:rPr>
      </w:pPr>
      <w:r>
        <w:rPr>
          <w:rFonts w:hint="eastAsia"/>
          <w:b/>
          <w:bCs/>
          <w:sz w:val="24"/>
          <w:szCs w:val="32"/>
          <w:lang w:val="en-US" w:eastAsia="zh-CN"/>
        </w:rPr>
        <w:t>技术及商务要求（以“★”标示的内容为不允许负偏离的实质性要求）</w:t>
      </w:r>
    </w:p>
    <w:p w14:paraId="1430DBAE">
      <w:pPr>
        <w:numPr>
          <w:ilvl w:val="0"/>
          <w:numId w:val="0"/>
        </w:numPr>
        <w:spacing w:line="360" w:lineRule="auto"/>
        <w:ind w:leftChars="0"/>
        <w:rPr>
          <w:rFonts w:hint="eastAsia"/>
          <w:sz w:val="24"/>
          <w:szCs w:val="32"/>
          <w:lang w:val="en-US" w:eastAsia="zh-CN"/>
        </w:rPr>
      </w:pPr>
      <w:r>
        <w:rPr>
          <w:rFonts w:hint="eastAsia"/>
          <w:sz w:val="24"/>
          <w:szCs w:val="32"/>
          <w:lang w:val="en-US" w:eastAsia="zh-CN"/>
        </w:rPr>
        <w:t>1、采购包1：麻醉机（一）</w:t>
      </w:r>
    </w:p>
    <w:tbl>
      <w:tblPr>
        <w:tblStyle w:val="4"/>
        <w:tblW w:w="831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06"/>
        <w:gridCol w:w="7205"/>
      </w:tblGrid>
      <w:tr w14:paraId="035D9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CB37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A2F7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技术和性能参数</w:t>
            </w:r>
          </w:p>
        </w:tc>
      </w:tr>
      <w:tr w14:paraId="6A7D5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9EC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7B57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技术参数</w:t>
            </w:r>
          </w:p>
        </w:tc>
      </w:tr>
      <w:tr w14:paraId="65F8F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9E0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8888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适用于成人、儿童</w:t>
            </w:r>
          </w:p>
        </w:tc>
      </w:tr>
      <w:tr w14:paraId="71DC2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A73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497E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具有手动通气模式：触摸屏或呼吸机故障时，可直接切换到手动通气，在保留新鲜气体和麻药持续输送的同时还能继续气体和通气的监测。</w:t>
            </w:r>
          </w:p>
        </w:tc>
      </w:tr>
      <w:tr w14:paraId="784C0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D5A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2F82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气体输送系统</w:t>
            </w:r>
          </w:p>
        </w:tc>
      </w:tr>
      <w:tr w14:paraId="4D545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8E5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AD9F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高精度机械控制氧气、空气气体混合器和浮子流量计。</w:t>
            </w:r>
          </w:p>
        </w:tc>
      </w:tr>
      <w:tr w14:paraId="1C47D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FEC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1.3.2</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C15F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可分别设置每种新鲜气体的流量，新鲜气体流量的设置范围：Air：最小值≥0L/min且最大值≤10L/min</w:t>
            </w:r>
          </w:p>
        </w:tc>
      </w:tr>
      <w:tr w14:paraId="62599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7B2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1.3.3</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0A01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Style w:val="8"/>
                <w:lang w:val="en-US" w:eastAsia="zh-CN" w:bidi="ar"/>
              </w:rPr>
              <w:t>笑氧保护装置，确保笑气（N</w:t>
            </w:r>
            <w:r>
              <w:rPr>
                <w:rStyle w:val="9"/>
                <w:lang w:val="en-US" w:eastAsia="zh-CN" w:bidi="ar"/>
              </w:rPr>
              <w:t>2</w:t>
            </w:r>
            <w:r>
              <w:rPr>
                <w:rStyle w:val="8"/>
                <w:lang w:val="en-US" w:eastAsia="zh-CN" w:bidi="ar"/>
              </w:rPr>
              <w:t>O）作为载气时，当氧气供应不足时，会限制N</w:t>
            </w:r>
            <w:r>
              <w:rPr>
                <w:rStyle w:val="9"/>
                <w:lang w:val="en-US" w:eastAsia="zh-CN" w:bidi="ar"/>
              </w:rPr>
              <w:t>2</w:t>
            </w:r>
            <w:r>
              <w:rPr>
                <w:rStyle w:val="8"/>
                <w:lang w:val="en-US" w:eastAsia="zh-CN" w:bidi="ar"/>
              </w:rPr>
              <w:t>O的输送，使得新鲜气体的氧浓度≥21%。</w:t>
            </w:r>
          </w:p>
        </w:tc>
      </w:tr>
      <w:tr w14:paraId="3990B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11B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8C31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麻醉呼吸机</w:t>
            </w:r>
          </w:p>
        </w:tc>
      </w:tr>
      <w:tr w14:paraId="5F686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232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2264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通气模式：手动、容量控制模式、压力控制模式、待机 SIMV通气模式</w:t>
            </w:r>
          </w:p>
        </w:tc>
      </w:tr>
      <w:tr w14:paraId="41E70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1D6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F343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容量控制模式下潮气量设定范围：最小值≤15ml且最大值≥1500ml。</w:t>
            </w:r>
          </w:p>
        </w:tc>
      </w:tr>
      <w:tr w14:paraId="442B6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285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FEAD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Style w:val="8"/>
                <w:lang w:val="en-US" w:eastAsia="zh-CN" w:bidi="ar"/>
              </w:rPr>
              <w:t>吸气压力Pinsp:最小值≤5cmH</w:t>
            </w:r>
            <w:r>
              <w:rPr>
                <w:rStyle w:val="9"/>
                <w:lang w:val="en-US" w:eastAsia="zh-CN" w:bidi="ar"/>
              </w:rPr>
              <w:t>2</w:t>
            </w:r>
            <w:r>
              <w:rPr>
                <w:rStyle w:val="8"/>
                <w:lang w:val="en-US" w:eastAsia="zh-CN" w:bidi="ar"/>
              </w:rPr>
              <w:t>O且最大值≥70cmH</w:t>
            </w:r>
            <w:r>
              <w:rPr>
                <w:rStyle w:val="9"/>
                <w:lang w:val="en-US" w:eastAsia="zh-CN" w:bidi="ar"/>
              </w:rPr>
              <w:t>2</w:t>
            </w:r>
            <w:r>
              <w:rPr>
                <w:rStyle w:val="8"/>
                <w:lang w:val="en-US" w:eastAsia="zh-CN" w:bidi="ar"/>
              </w:rPr>
              <w:t>O（压力模式下）。</w:t>
            </w:r>
          </w:p>
        </w:tc>
      </w:tr>
      <w:tr w14:paraId="6D943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C04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1.4.4</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A89C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Style w:val="8"/>
                <w:lang w:val="en-US" w:eastAsia="zh-CN" w:bidi="ar"/>
              </w:rPr>
              <w:t>压力限制Plimit：最小值≤10cmH</w:t>
            </w:r>
            <w:r>
              <w:rPr>
                <w:rStyle w:val="9"/>
                <w:lang w:val="en-US" w:eastAsia="zh-CN" w:bidi="ar"/>
              </w:rPr>
              <w:t>2</w:t>
            </w:r>
            <w:r>
              <w:rPr>
                <w:rStyle w:val="8"/>
                <w:lang w:val="en-US" w:eastAsia="zh-CN" w:bidi="ar"/>
              </w:rPr>
              <w:t>O且最大值≥80cmH</w:t>
            </w:r>
            <w:r>
              <w:rPr>
                <w:rStyle w:val="9"/>
                <w:lang w:val="en-US" w:eastAsia="zh-CN" w:bidi="ar"/>
              </w:rPr>
              <w:t>2</w:t>
            </w:r>
            <w:r>
              <w:rPr>
                <w:rStyle w:val="8"/>
                <w:lang w:val="en-US" w:eastAsia="zh-CN" w:bidi="ar"/>
              </w:rPr>
              <w:t>O。</w:t>
            </w:r>
          </w:p>
        </w:tc>
      </w:tr>
      <w:tr w14:paraId="4C064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47A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EBD5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Style w:val="8"/>
                <w:lang w:val="en-US" w:eastAsia="zh-CN" w:bidi="ar"/>
              </w:rPr>
              <w:t>压力支持Psupp：关，最小值≤3cmH</w:t>
            </w:r>
            <w:r>
              <w:rPr>
                <w:rStyle w:val="9"/>
                <w:lang w:val="en-US" w:eastAsia="zh-CN" w:bidi="ar"/>
              </w:rPr>
              <w:t>2</w:t>
            </w:r>
            <w:r>
              <w:rPr>
                <w:rStyle w:val="8"/>
                <w:lang w:val="en-US" w:eastAsia="zh-CN" w:bidi="ar"/>
              </w:rPr>
              <w:t>O且最大值≥60cmH</w:t>
            </w:r>
            <w:r>
              <w:rPr>
                <w:rStyle w:val="9"/>
                <w:lang w:val="en-US" w:eastAsia="zh-CN" w:bidi="ar"/>
              </w:rPr>
              <w:t>2</w:t>
            </w:r>
            <w:r>
              <w:rPr>
                <w:rStyle w:val="8"/>
                <w:lang w:val="en-US" w:eastAsia="zh-CN" w:bidi="ar"/>
              </w:rPr>
              <w:t>O。</w:t>
            </w:r>
          </w:p>
        </w:tc>
      </w:tr>
      <w:tr w14:paraId="25D75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C82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647C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Style w:val="8"/>
                <w:lang w:val="en-US" w:eastAsia="zh-CN" w:bidi="ar"/>
              </w:rPr>
              <w:t>呼气末正压PEEP：关，最小值≤3cmH</w:t>
            </w:r>
            <w:r>
              <w:rPr>
                <w:rStyle w:val="9"/>
                <w:lang w:val="en-US" w:eastAsia="zh-CN" w:bidi="ar"/>
              </w:rPr>
              <w:t>2</w:t>
            </w:r>
            <w:r>
              <w:rPr>
                <w:rStyle w:val="8"/>
                <w:lang w:val="en-US" w:eastAsia="zh-CN" w:bidi="ar"/>
              </w:rPr>
              <w:t>O且最大值≥30cmH</w:t>
            </w:r>
            <w:r>
              <w:rPr>
                <w:rStyle w:val="9"/>
                <w:lang w:val="en-US" w:eastAsia="zh-CN" w:bidi="ar"/>
              </w:rPr>
              <w:t>2</w:t>
            </w:r>
            <w:r>
              <w:rPr>
                <w:rStyle w:val="8"/>
                <w:lang w:val="en-US" w:eastAsia="zh-CN" w:bidi="ar"/>
              </w:rPr>
              <w:t>O。</w:t>
            </w:r>
          </w:p>
        </w:tc>
      </w:tr>
      <w:tr w14:paraId="7F023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2B1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A265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呼吸频率：最小值≤4次/分且最大值≥100次/分。</w:t>
            </w:r>
          </w:p>
        </w:tc>
      </w:tr>
      <w:tr w14:paraId="071B5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8ED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8A2C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吸气时间：最小值≤0.2秒且最大值≥5秒。</w:t>
            </w:r>
          </w:p>
        </w:tc>
      </w:tr>
      <w:tr w14:paraId="759D2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69E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9402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最大吸气流速：≥120L/min。</w:t>
            </w:r>
          </w:p>
        </w:tc>
      </w:tr>
      <w:tr w14:paraId="3A5FC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974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1.4.10</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7271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流量触发:最小值≤0.5L/min且最大值≥15L/min。</w:t>
            </w:r>
          </w:p>
        </w:tc>
      </w:tr>
      <w:tr w14:paraId="6DEB8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DF2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1.4.11</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2120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压力上升时间Slope：最小值≤0秒且最大值≥2秒。</w:t>
            </w:r>
          </w:p>
        </w:tc>
      </w:tr>
      <w:tr w14:paraId="6C143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60E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1.4.12</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9E70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压力支持模式下自主呼吸的吸气终止标准：最小值≤5%且最大值≥60%。</w:t>
            </w:r>
          </w:p>
        </w:tc>
      </w:tr>
      <w:tr w14:paraId="2F306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D82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F3E8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呼吸回路</w:t>
            </w:r>
          </w:p>
        </w:tc>
      </w:tr>
      <w:tr w14:paraId="6203F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E45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1.5.1</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B585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呼吸系统总容量：≥2.5升</w:t>
            </w:r>
          </w:p>
        </w:tc>
      </w:tr>
      <w:tr w14:paraId="31025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70E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7BA1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一体化的回路主动加热系统（可关闭），防止呼吸回路积水。</w:t>
            </w:r>
          </w:p>
        </w:tc>
      </w:tr>
      <w:tr w14:paraId="16212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815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1.5.3</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92AB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回路内置于麻醉机内，节约空间，组件少，拆装无需工具。</w:t>
            </w:r>
          </w:p>
        </w:tc>
      </w:tr>
      <w:tr w14:paraId="30FDF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2FC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38E8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Style w:val="8"/>
                <w:lang w:val="en-US" w:eastAsia="zh-CN" w:bidi="ar"/>
              </w:rPr>
              <w:t>手动和机械通气切换装置为触摸模式或手动模式皆可，APL阀调节范围：打开，最小值≤5cmH</w:t>
            </w:r>
            <w:r>
              <w:rPr>
                <w:rStyle w:val="9"/>
                <w:lang w:val="en-US" w:eastAsia="zh-CN" w:bidi="ar"/>
              </w:rPr>
              <w:t>2</w:t>
            </w:r>
            <w:r>
              <w:rPr>
                <w:rStyle w:val="8"/>
                <w:lang w:val="en-US" w:eastAsia="zh-CN" w:bidi="ar"/>
              </w:rPr>
              <w:t>O且最大值≥70cmH</w:t>
            </w:r>
            <w:r>
              <w:rPr>
                <w:rStyle w:val="9"/>
                <w:lang w:val="en-US" w:eastAsia="zh-CN" w:bidi="ar"/>
              </w:rPr>
              <w:t>2</w:t>
            </w:r>
            <w:r>
              <w:rPr>
                <w:rStyle w:val="8"/>
                <w:lang w:val="en-US" w:eastAsia="zh-CN" w:bidi="ar"/>
              </w:rPr>
              <w:t>O 。</w:t>
            </w:r>
          </w:p>
        </w:tc>
      </w:tr>
      <w:tr w14:paraId="5F001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801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CE29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Style w:val="8"/>
                <w:lang w:val="en-US" w:eastAsia="zh-CN" w:bidi="ar"/>
              </w:rPr>
              <w:t>CO</w:t>
            </w:r>
            <w:r>
              <w:rPr>
                <w:rStyle w:val="9"/>
                <w:lang w:val="en-US" w:eastAsia="zh-CN" w:bidi="ar"/>
              </w:rPr>
              <w:t>2</w:t>
            </w:r>
            <w:r>
              <w:rPr>
                <w:rStyle w:val="8"/>
                <w:lang w:val="en-US" w:eastAsia="zh-CN" w:bidi="ar"/>
              </w:rPr>
              <w:t>吸收罐容量≤2升。</w:t>
            </w:r>
          </w:p>
        </w:tc>
      </w:tr>
      <w:tr w14:paraId="2C05C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147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FE06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具有主动式麻醉废气排放装置（AGSS），可监测负压吸引的状态（过高，合适，过低），具有采样气体排放接口便于使用第三方气体监测设备。</w:t>
            </w:r>
          </w:p>
        </w:tc>
      </w:tr>
      <w:tr w14:paraId="2BB82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01C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48EF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麻醉气体挥发罐</w:t>
            </w:r>
          </w:p>
        </w:tc>
      </w:tr>
      <w:tr w14:paraId="2AF25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CCD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5759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挥发罐与麻醉机主机为同一厂家生产。</w:t>
            </w:r>
          </w:p>
        </w:tc>
      </w:tr>
      <w:tr w14:paraId="5BC3C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72E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1.6.2</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1F21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具有≥1个七氟醚挥发罐</w:t>
            </w:r>
          </w:p>
        </w:tc>
      </w:tr>
      <w:tr w14:paraId="0D4D7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F25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A84E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监测和报警</w:t>
            </w:r>
          </w:p>
        </w:tc>
      </w:tr>
      <w:tr w14:paraId="7C231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D5C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1.7.1</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0FE8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≥10英寸彩色触摸屏</w:t>
            </w:r>
          </w:p>
        </w:tc>
      </w:tr>
      <w:tr w14:paraId="44809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C8B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F4A8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全自动的开机自检，用户可选择全或部分自检功能。</w:t>
            </w:r>
          </w:p>
        </w:tc>
      </w:tr>
      <w:tr w14:paraId="50E05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A96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FF89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实时显示≥2道波形。具有表格趋势功能</w:t>
            </w:r>
          </w:p>
        </w:tc>
      </w:tr>
      <w:tr w14:paraId="5235B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57A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CFD1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日志中最多可保存≥500个条目，关机后再开机或出现电源故障后，日志中的条目仍然保留不会被删除。</w:t>
            </w:r>
          </w:p>
        </w:tc>
      </w:tr>
      <w:tr w14:paraId="4171F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557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1.7.5</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5767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通气监测参数：分钟通气量（MV）和潮气量（VT和ΔVT）；呼吸频率；气道压（峰压、平台压、平均压、PEEP）。</w:t>
            </w:r>
          </w:p>
        </w:tc>
      </w:tr>
      <w:tr w14:paraId="59ED2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221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1.7.6</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03B6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一体化的氧浓度监测：O2传感器；氧浓度监测范围：最小值≤21Vol%且最大值≥100Vol%。</w:t>
            </w:r>
          </w:p>
        </w:tc>
      </w:tr>
      <w:tr w14:paraId="6395D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08F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1.7.7</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5746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报警参数：氧浓度、潮气量、分钟通气量、窒息报警、气道压力报警等。</w:t>
            </w:r>
          </w:p>
        </w:tc>
      </w:tr>
      <w:tr w14:paraId="40281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2BB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1.7.8</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C0CD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自动设置报警限值功能：可一键自动调节所有报警的设置限值。</w:t>
            </w:r>
          </w:p>
        </w:tc>
      </w:tr>
      <w:tr w14:paraId="55C05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118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1.7.9</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9B2D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具有心脏旁路模式，用于在使用体外循环机时抑制相应报警。</w:t>
            </w:r>
          </w:p>
        </w:tc>
      </w:tr>
      <w:tr w14:paraId="6B385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1EB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1FEF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内置后备电池持续时间≥120min</w:t>
            </w:r>
          </w:p>
        </w:tc>
      </w:tr>
      <w:tr w14:paraId="3D873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824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AF07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接口：RS232≥1个，USB≥1个</w:t>
            </w:r>
          </w:p>
        </w:tc>
      </w:tr>
      <w:tr w14:paraId="1DB6C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3C2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232F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快速充氧范围25-75L/min</w:t>
            </w:r>
          </w:p>
        </w:tc>
      </w:tr>
      <w:tr w14:paraId="110DB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414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29BB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具有肺保护工具：支持两种复张手法（单周期和多周期）</w:t>
            </w:r>
          </w:p>
        </w:tc>
      </w:tr>
      <w:tr w14:paraId="6E2E1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528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34B8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具有回路整体加温功能，保证回路不受积水影响，保证流量传感器精准及向病人提供温暖气体，避免对呼吸道的刺激。</w:t>
            </w:r>
          </w:p>
        </w:tc>
      </w:tr>
      <w:tr w14:paraId="207BC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954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DA75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气动或电动呼吸机，全中文操作和显示。</w:t>
            </w:r>
          </w:p>
        </w:tc>
      </w:tr>
      <w:tr w14:paraId="19CBA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4D7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2C04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可升级压力-容积环（P-V）、压力-流量环（P-F）、容积-流量环（V-F）。</w:t>
            </w:r>
          </w:p>
        </w:tc>
      </w:tr>
      <w:tr w14:paraId="75F82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8B9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A51B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必须配套的附属设备设施</w:t>
            </w:r>
          </w:p>
        </w:tc>
      </w:tr>
      <w:tr w14:paraId="35D95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ECC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7D25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主机1台</w:t>
            </w:r>
          </w:p>
        </w:tc>
      </w:tr>
      <w:tr w14:paraId="68863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731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0007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国标电源线 1根</w:t>
            </w:r>
          </w:p>
        </w:tc>
      </w:tr>
      <w:tr w14:paraId="4B93C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C2C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99ED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氧气嘴接头1个</w:t>
            </w:r>
          </w:p>
        </w:tc>
      </w:tr>
      <w:tr w14:paraId="3AAA7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856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742B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氧气气嘴螺母1个</w:t>
            </w:r>
          </w:p>
        </w:tc>
      </w:tr>
      <w:tr w14:paraId="73FC6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A75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CFA1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一次性成人波纹管套件(管路内径22mm)1套</w:t>
            </w:r>
          </w:p>
        </w:tc>
      </w:tr>
      <w:tr w14:paraId="57AB9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1E1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2011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一次性小儿波纹管套件(管路内径15mm)1套</w:t>
            </w:r>
          </w:p>
        </w:tc>
      </w:tr>
      <w:tr w14:paraId="07816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0D1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6921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可充气成人麻醉面罩1个</w:t>
            </w:r>
          </w:p>
        </w:tc>
      </w:tr>
      <w:tr w14:paraId="47EBA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A8A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4783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可充气小儿麻醉面罩1个</w:t>
            </w:r>
          </w:p>
        </w:tc>
      </w:tr>
      <w:tr w14:paraId="14B22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453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B4CF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国标氧气软管1根</w:t>
            </w:r>
          </w:p>
        </w:tc>
      </w:tr>
      <w:tr w14:paraId="26648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EC2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DB95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国标氧气插头1个</w:t>
            </w:r>
          </w:p>
        </w:tc>
      </w:tr>
      <w:tr w14:paraId="7CE85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538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2.11</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DE4B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蜗杆传动软管夹1个</w:t>
            </w:r>
          </w:p>
        </w:tc>
      </w:tr>
      <w:tr w14:paraId="1FA90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732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2.12</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E0E1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吸/呼气流量传感器组件 2套</w:t>
            </w:r>
          </w:p>
        </w:tc>
      </w:tr>
      <w:tr w14:paraId="4ED6C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426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F2EC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呼末二氧化碳监测模块 1个</w:t>
            </w:r>
          </w:p>
        </w:tc>
      </w:tr>
      <w:tr w14:paraId="3DA39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516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2509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七氟醚蒸发器 1个</w:t>
            </w:r>
          </w:p>
        </w:tc>
      </w:tr>
      <w:tr w14:paraId="22543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E81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C605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钠石灰吸收罐 1个</w:t>
            </w:r>
          </w:p>
        </w:tc>
      </w:tr>
      <w:tr w14:paraId="0CE5A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CAC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202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麻醉深度监测模块 1个</w:t>
            </w:r>
          </w:p>
        </w:tc>
      </w:tr>
      <w:tr w14:paraId="6B2EC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E72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2A50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售后服务要求</w:t>
            </w:r>
          </w:p>
        </w:tc>
      </w:tr>
      <w:tr w14:paraId="3C07C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A7F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DBAA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整机全免费保修期（无免责条款的整机所有部件、配件、配套附属设备）≥36个月（自验收合格双方签字之日起计算），终身维修。保修期内一年至少提供四次巡检并提供完整巡检及维护维修记录。免费保修期内遇有故障停机，每停机1天，免费保修期将顺延5天。停机期间提供备用机。</w:t>
            </w:r>
          </w:p>
        </w:tc>
      </w:tr>
      <w:tr w14:paraId="19A89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500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C6D9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维修响应速度：1小时内响应并作出维修方案决定；如2小时内无法通过电话解决问题，维修人员必须在接到故障报告后24小时内到达医院，不管是否节假日。</w:t>
            </w:r>
          </w:p>
        </w:tc>
      </w:tr>
      <w:tr w14:paraId="4CA15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51E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C97F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保修期内的开机率，保证开机率≥95%（按工作日计算）</w:t>
            </w:r>
          </w:p>
        </w:tc>
      </w:tr>
      <w:tr w14:paraId="2EA3D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1BD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9CDD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提供备件送达期限：＜4天。设备停产后的备件供应：保证十年。</w:t>
            </w:r>
          </w:p>
        </w:tc>
      </w:tr>
      <w:tr w14:paraId="2C2D2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FF0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296C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设备使用年限≥8年</w:t>
            </w:r>
          </w:p>
        </w:tc>
      </w:tr>
      <w:tr w14:paraId="3A231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23C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3543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在货物到达使用单位后，卖方应在7天内派工程技术人员到达现场，在买方技术人员在场的情况下开箱清点货物，组织安装调试，并承担因此发生的一切费用。</w:t>
            </w:r>
          </w:p>
        </w:tc>
      </w:tr>
      <w:tr w14:paraId="39405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BC2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947A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软件终身免费升级。</w:t>
            </w:r>
          </w:p>
        </w:tc>
      </w:tr>
      <w:tr w14:paraId="35FE4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64B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23BF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现场培训：厂家应提供现场技术培训，保证使用人员正常操作设备各种功能以及维修维护人员的技术培训。网络培训：具有专用的网址或公众号，在线提供高级临床应用直播及产品操作指导。</w:t>
            </w:r>
          </w:p>
        </w:tc>
      </w:tr>
      <w:tr w14:paraId="681A4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174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7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86B4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若设备需链接医院网络信息系统，供应商应负责设备（含软件及相关服务）与使用医院网络端口链接的相关安装及费用。</w:t>
            </w:r>
          </w:p>
        </w:tc>
      </w:tr>
    </w:tbl>
    <w:p w14:paraId="77DBF6D5">
      <w:pPr>
        <w:numPr>
          <w:ilvl w:val="0"/>
          <w:numId w:val="0"/>
        </w:numPr>
        <w:spacing w:line="360" w:lineRule="auto"/>
        <w:ind w:leftChars="0"/>
        <w:rPr>
          <w:rFonts w:hint="eastAsia"/>
          <w:sz w:val="24"/>
          <w:szCs w:val="32"/>
          <w:lang w:val="en-US" w:eastAsia="zh-CN"/>
        </w:rPr>
      </w:pPr>
    </w:p>
    <w:p w14:paraId="46CC71E2">
      <w:pPr>
        <w:numPr>
          <w:ilvl w:val="0"/>
          <w:numId w:val="2"/>
        </w:numPr>
        <w:spacing w:line="360" w:lineRule="auto"/>
        <w:ind w:leftChars="0"/>
        <w:rPr>
          <w:rFonts w:hint="eastAsia"/>
          <w:sz w:val="24"/>
          <w:szCs w:val="32"/>
          <w:lang w:val="en-US" w:eastAsia="zh-CN"/>
        </w:rPr>
      </w:pPr>
      <w:r>
        <w:rPr>
          <w:rFonts w:hint="eastAsia"/>
          <w:sz w:val="24"/>
          <w:szCs w:val="32"/>
          <w:lang w:val="en-US" w:eastAsia="zh-CN"/>
        </w:rPr>
        <w:t>采购包2：麻醉机（二）</w:t>
      </w:r>
    </w:p>
    <w:tbl>
      <w:tblPr>
        <w:tblStyle w:val="4"/>
        <w:tblW w:w="832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9"/>
        <w:gridCol w:w="7167"/>
      </w:tblGrid>
      <w:tr w14:paraId="0B72E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A2FD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A6E1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技术和性能参数</w:t>
            </w:r>
          </w:p>
        </w:tc>
      </w:tr>
      <w:tr w14:paraId="7578F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79C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B58F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技术参数</w:t>
            </w:r>
          </w:p>
        </w:tc>
      </w:tr>
      <w:tr w14:paraId="75FA9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5B9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BA07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适用于成人、儿童和新生儿。</w:t>
            </w:r>
          </w:p>
        </w:tc>
      </w:tr>
      <w:tr w14:paraId="20B77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FCB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7ADE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气供</w:t>
            </w:r>
          </w:p>
        </w:tc>
      </w:tr>
      <w:tr w14:paraId="38AF2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16A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0468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2种气源（氧气、空气），所有供气压力可电子监测。</w:t>
            </w:r>
          </w:p>
        </w:tc>
      </w:tr>
      <w:tr w14:paraId="7B2E7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9D8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A4C6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氧气，空气的中央供气压力范围：最小值≥2.7kPa且最大值≤7kPa × 100</w:t>
            </w:r>
          </w:p>
        </w:tc>
      </w:tr>
      <w:tr w14:paraId="26621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963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37EC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新鲜气体输送</w:t>
            </w:r>
          </w:p>
        </w:tc>
      </w:tr>
      <w:tr w14:paraId="5AA4F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84D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C3C8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新鲜气体混合器：电子流量监测带数值显示和虚拟流量计。</w:t>
            </w:r>
          </w:p>
        </w:tc>
      </w:tr>
      <w:tr w14:paraId="28B19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851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519C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新鲜气体流量：0–15升/分 （O2，Air）。</w:t>
            </w:r>
          </w:p>
        </w:tc>
      </w:tr>
      <w:tr w14:paraId="05A92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4D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E7DA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新鲜气体O2浓度：21-100 Vol%。</w:t>
            </w:r>
          </w:p>
        </w:tc>
      </w:tr>
      <w:tr w14:paraId="2C185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66F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1.3.4</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D2B4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快速充氧：25-75升/分。</w:t>
            </w:r>
          </w:p>
        </w:tc>
      </w:tr>
      <w:tr w14:paraId="406A2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24F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CEDB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w:t>
            </w:r>
          </w:p>
        </w:tc>
      </w:tr>
      <w:tr w14:paraId="5E1CB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BE6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C068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气模式：手动控制/自主呼吸（Man/Spon）、容量控制（VC-CMV）、压力控制（PC-CMV）、容控同步间歇指令通气（VC-SIMV）、压控同步间歇指令通气（PC-SIMV）、压力支持（PSV）、持续气道正压模式（CPAP）、暂停模式、心脏旁路模式、压力控制容量保证模式（PCV-VG）。</w:t>
            </w:r>
          </w:p>
        </w:tc>
      </w:tr>
      <w:tr w14:paraId="086C1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75E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9CBE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吸气时间（Ti）：最小值≤0.2且最大值≥5秒</w:t>
            </w:r>
          </w:p>
        </w:tc>
      </w:tr>
      <w:tr w14:paraId="7DB94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5C2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5D2A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容控潮气量（VT）：最小值≤10且最大值≥1500毫升</w:t>
            </w:r>
          </w:p>
        </w:tc>
      </w:tr>
      <w:tr w14:paraId="2DD2C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CFC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17EF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触发（Trigger）：最小值≤0.3且最大值≥15升/分</w:t>
            </w:r>
          </w:p>
        </w:tc>
      </w:tr>
      <w:tr w14:paraId="4B2A9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DB4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74C6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吸气流速（Flow）：最低≤1升/分，最高 ≥180升/分。</w:t>
            </w:r>
          </w:p>
        </w:tc>
      </w:tr>
      <w:tr w14:paraId="13F24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616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889E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呼吸系统</w:t>
            </w:r>
          </w:p>
        </w:tc>
      </w:tr>
      <w:tr w14:paraId="46FBD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B04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26AE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带加热的呼吸系统适用于低微流量麻醉，拆装无需工具，优化的设计便于高效地消毒灭菌处理。</w:t>
            </w:r>
          </w:p>
        </w:tc>
      </w:tr>
      <w:tr w14:paraId="30F04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D6A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694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钠石灰罐容量：≥1.5升。</w:t>
            </w:r>
          </w:p>
        </w:tc>
      </w:tr>
      <w:tr w14:paraId="1EBE0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984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5C87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麻醉气体挥发罐</w:t>
            </w:r>
          </w:p>
        </w:tc>
      </w:tr>
      <w:tr w14:paraId="76A48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404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9A67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挥发罐与麻醉机主机为同一厂家生产。</w:t>
            </w:r>
          </w:p>
        </w:tc>
      </w:tr>
      <w:tr w14:paraId="7C558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A79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5CA5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单罐位，加药量≥300毫升。</w:t>
            </w:r>
          </w:p>
        </w:tc>
      </w:tr>
      <w:tr w14:paraId="69768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ECE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0072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具有≥1个七氟醚挥发罐</w:t>
            </w:r>
          </w:p>
        </w:tc>
      </w:tr>
      <w:tr w14:paraId="5BB1D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055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CE53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只需出厂一次定标，终身免维护。</w:t>
            </w:r>
          </w:p>
        </w:tc>
      </w:tr>
      <w:tr w14:paraId="5A2D7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BDA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ACD6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具有低/微流量麻醉对挥发罐精确度的要求，流量补偿范围最小值≤0.2且最大值≥10L/min</w:t>
            </w:r>
          </w:p>
        </w:tc>
      </w:tr>
      <w:tr w14:paraId="66D14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248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F83A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监测系统和显示</w:t>
            </w:r>
          </w:p>
        </w:tc>
      </w:tr>
      <w:tr w14:paraId="19DC6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28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52AB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屏幕：≥15英寸触摸屏，可配置屏幕内容，智能报警管理。</w:t>
            </w:r>
          </w:p>
        </w:tc>
      </w:tr>
      <w:tr w14:paraId="5EFAC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002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D5B7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屏幕根据设备配置可同时显示2道实时的波形包括：CO2，O2和麻药的浓度，气道压力，吸气和呼吸流速；可显示O2，AIR的虚拟流量计， 表格趋势图，快捷切换3种屏幕布局。</w:t>
            </w:r>
          </w:p>
        </w:tc>
      </w:tr>
      <w:tr w14:paraId="6B08E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33D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BD21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设备状态显示屏：带液晶显示屏的前面板，可显示气道压力，电池和供气（中央供气+气瓶）的状态。</w:t>
            </w:r>
          </w:p>
        </w:tc>
      </w:tr>
      <w:tr w14:paraId="30819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887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9A46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通气监测： 分钟通气量（MV）和潮气量（VT和ΔVT）；呼吸频率；吸气峰压（PIP），平台压（Pplat），平均压（Pmean），  PEEP；动态顺应性（Cdyn）， 阻力（R），弹性（E），用于指示内部呼吸系统压力的外部气道压力表。</w:t>
            </w:r>
          </w:p>
        </w:tc>
      </w:tr>
      <w:tr w14:paraId="631B5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6D5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0395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顺磁氧传感器，非消耗性，无需更换。</w:t>
            </w:r>
          </w:p>
        </w:tc>
      </w:tr>
      <w:tr w14:paraId="41643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608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5EB7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气体监测</w:t>
            </w:r>
          </w:p>
        </w:tc>
      </w:tr>
      <w:tr w14:paraId="15BF5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CE0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586C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可监测O2，CO2和≥四种麻药</w:t>
            </w:r>
          </w:p>
        </w:tc>
      </w:tr>
      <w:tr w14:paraId="4BC64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84FE9">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1.8.2</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3512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自动自检时包含了是否输送真实O2的检测。</w:t>
            </w:r>
          </w:p>
        </w:tc>
      </w:tr>
      <w:tr w14:paraId="0E32A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DE2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93DD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安全功能</w:t>
            </w:r>
          </w:p>
        </w:tc>
      </w:tr>
      <w:tr w14:paraId="59BC5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35E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CCE6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一体化的设备检查列表和设备每日准备的逐步图示指导说明。</w:t>
            </w:r>
          </w:p>
        </w:tc>
      </w:tr>
      <w:tr w14:paraId="12E7B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C8F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F91B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甚至在关机的情况下，也能进行手动/自主通气并能输送O2，AIR和麻药（紧急启动）。</w:t>
            </w:r>
          </w:p>
        </w:tc>
      </w:tr>
      <w:tr w14:paraId="14BC1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0CB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1A14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通过后备手动模式能直接切换到手动通气并能保留气体和通气的监测；O2，AIR和麻药也能持续输送。</w:t>
            </w:r>
          </w:p>
        </w:tc>
      </w:tr>
      <w:tr w14:paraId="0CCBA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5AB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D07E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具有肺保护工具：支持两种复张手法—单周期和多周期，支持定时膨肺功能</w:t>
            </w:r>
          </w:p>
        </w:tc>
      </w:tr>
      <w:tr w14:paraId="4F8BD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52A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6F83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具有回路整体加温功能，保证回路不受积水影响，保证流量传感器精准及向病人提供温暖气体，避免对呼吸道的刺激</w:t>
            </w:r>
          </w:p>
        </w:tc>
      </w:tr>
      <w:tr w14:paraId="64E1E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B7E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434C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气动或电动呼吸机，全中文操作和显示</w:t>
            </w:r>
          </w:p>
        </w:tc>
      </w:tr>
      <w:tr w14:paraId="14469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9E0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FBCB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麻醉监护仪</w:t>
            </w:r>
          </w:p>
        </w:tc>
      </w:tr>
      <w:tr w14:paraId="069E0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715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4B14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监护功能</w:t>
            </w:r>
          </w:p>
        </w:tc>
      </w:tr>
      <w:tr w14:paraId="7DEAA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2B1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EAFD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彩色触摸屏≥15英寸，显示通道≥10通道，屏幕亮度可自动调节</w:t>
            </w:r>
          </w:p>
        </w:tc>
      </w:tr>
      <w:tr w14:paraId="5962F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EF5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1.13.1.2</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57E8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可内置高能锂电池，工作时间≥2小时</w:t>
            </w:r>
          </w:p>
        </w:tc>
      </w:tr>
      <w:tr w14:paraId="17E27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58D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1.13.1.3</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8E80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具有≥2个USB接口，支持连接存储介质、鼠标、键盘、条码扫描枪等USB设备</w:t>
            </w:r>
          </w:p>
        </w:tc>
      </w:tr>
      <w:tr w14:paraId="12478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BBF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1.13.1.4</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2B43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基本功能模块支持心电，呼吸，心率，无创血压，血氧饱和度，脉搏，双通道体温和双通道有创血压的同时监测</w:t>
            </w:r>
          </w:p>
        </w:tc>
      </w:tr>
      <w:tr w14:paraId="4DC84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BD9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1.13.1.5</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D5E2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支持3/5导心电监测，提供抗电刀心电电缆保证心电监护在手术环境中的抗干扰能力</w:t>
            </w:r>
          </w:p>
        </w:tc>
      </w:tr>
      <w:tr w14:paraId="36165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521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1.13.1.6</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910B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支持房颤心律失常分析功能，具有≥16种实时心律失常分析</w:t>
            </w:r>
          </w:p>
        </w:tc>
      </w:tr>
      <w:tr w14:paraId="25E26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43C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1.13.1.7</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F3A7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支持≥4通道心电进行多导心电分析</w:t>
            </w:r>
          </w:p>
        </w:tc>
      </w:tr>
      <w:tr w14:paraId="68E2D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EDA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1.13.1.8</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0D8A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无创血压适用于成人，小儿和新生儿</w:t>
            </w:r>
          </w:p>
        </w:tc>
      </w:tr>
      <w:tr w14:paraId="0F1F4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2B1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1.13.1.9</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00CE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无创血压提供手动、自动间隔、连续、序列四种测量模式</w:t>
            </w:r>
          </w:p>
        </w:tc>
      </w:tr>
      <w:tr w14:paraId="566AB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8FC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1.13.1.10</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874C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血氧监测适用于成人，儿童和新生儿</w:t>
            </w:r>
          </w:p>
        </w:tc>
      </w:tr>
      <w:tr w14:paraId="13FA0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0AF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1.13.1.11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C5F6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提供灌注指数(PI)的监测</w:t>
            </w:r>
          </w:p>
        </w:tc>
      </w:tr>
      <w:tr w14:paraId="28C4C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07F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1.13.1.12</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60B0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具有指套式血氧探头，支持浸泡清洁与消毒，防水等级IPx7</w:t>
            </w:r>
          </w:p>
        </w:tc>
      </w:tr>
      <w:tr w14:paraId="3F64A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5DB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1.13.1.13</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BDA1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支持双通道有创压IBP监测，支持升级多达4通道有创压监测</w:t>
            </w:r>
          </w:p>
        </w:tc>
      </w:tr>
      <w:tr w14:paraId="50C32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3AB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1.13.1.14</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39B1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有创压监测适用于成人，儿童和新生儿</w:t>
            </w:r>
          </w:p>
        </w:tc>
      </w:tr>
      <w:tr w14:paraId="1A029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F71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1.13.1.15</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F440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提供肺动脉锲压(PAWP)的监测和PPV参数监测</w:t>
            </w:r>
          </w:p>
        </w:tc>
      </w:tr>
      <w:tr w14:paraId="23CF4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C88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1.13.1.16</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DC11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支持升级EtCO2监测模块，采用旁流技术，支持升级顺磁氧监测技术进行氧气监测，水槽要求易用快速更换</w:t>
            </w:r>
          </w:p>
        </w:tc>
      </w:tr>
      <w:tr w14:paraId="4F27E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2F1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1.13.1.17</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0A3D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支持升级模块，与主流呼吸机品牌的呼吸机相连，实现呼吸机设备的信息在监护仪上显示、存储、记录、打印或者用于参与计算。</w:t>
            </w:r>
          </w:p>
        </w:tc>
      </w:tr>
      <w:tr w14:paraId="16A23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0F7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1.13.1.18</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50B3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热稀释法或无创阻抗法，可通过监测桡动脉压力提供连续心排量(CCO),</w:t>
            </w:r>
          </w:p>
        </w:tc>
      </w:tr>
      <w:tr w14:paraId="0FDF7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68E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1.13.1.19</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6DC8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支持升级麻醉深度BIS或脑电麻醉深度指数ESI,实现患者麻醉深度监测</w:t>
            </w:r>
          </w:p>
        </w:tc>
      </w:tr>
      <w:tr w14:paraId="69ACC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2CE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1.13.2</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C7D1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系统功能</w:t>
            </w:r>
          </w:p>
        </w:tc>
      </w:tr>
      <w:tr w14:paraId="3A7A8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5AA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1.13.2.1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F721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具有图形化报警指示功能，看报警信息更容易</w:t>
            </w:r>
          </w:p>
        </w:tc>
      </w:tr>
      <w:tr w14:paraId="3D78C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BB8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1.13.2.2</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5A06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标配具备血液动力学，药物计算，氧合计算，通气计算和肾功能计算功能</w:t>
            </w:r>
          </w:p>
        </w:tc>
      </w:tr>
      <w:tr w14:paraId="60360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94F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1.13.2.3</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D934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支持≥120小时趋势表和趋势图回顾</w:t>
            </w:r>
          </w:p>
        </w:tc>
      </w:tr>
      <w:tr w14:paraId="351D3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853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1.13.2.4</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DF6B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支持≥200条事件回顾。每条报警事件至少能够存储32秒三道相关波形，以及报警触发时所有测量参数值</w:t>
            </w:r>
          </w:p>
        </w:tc>
      </w:tr>
      <w:tr w14:paraId="57441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78E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1.13.2.5</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9916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具备≥72小时全息波形的存储与回顾功能</w:t>
            </w:r>
          </w:p>
        </w:tc>
      </w:tr>
      <w:tr w14:paraId="5C2AE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6B4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1.13.2.6</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333D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支持≥96小时ST波形片段的存储与回顾</w:t>
            </w:r>
          </w:p>
        </w:tc>
      </w:tr>
      <w:tr w14:paraId="3B741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2FE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1.13.2.7</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BB02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患者离开科室，监护仪状态由接收患者到解除患者后，患者数据不删除，支持在监护仪回顾历史病人数据</w:t>
            </w:r>
          </w:p>
        </w:tc>
      </w:tr>
      <w:tr w14:paraId="05E3E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428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B3ED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必须配套的附属设备设施</w:t>
            </w:r>
          </w:p>
        </w:tc>
      </w:tr>
      <w:tr w14:paraId="51C86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33E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FBE0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麻醉机监护仪1台及配套模块（2个有创模块，1个CO2检测模块，1个BIS模块）</w:t>
            </w:r>
          </w:p>
        </w:tc>
      </w:tr>
      <w:tr w14:paraId="38A71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4DE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5A07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触屏主机 1台</w:t>
            </w:r>
          </w:p>
        </w:tc>
      </w:tr>
      <w:tr w14:paraId="6EAA6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3E1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5FC9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触摸屏参数模块 1套</w:t>
            </w:r>
          </w:p>
        </w:tc>
      </w:tr>
      <w:tr w14:paraId="4A081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C2A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CD46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电源线 1根</w:t>
            </w:r>
          </w:p>
        </w:tc>
      </w:tr>
      <w:tr w14:paraId="24172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55E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E9A0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吸/呼气流量传感器组件 2套</w:t>
            </w:r>
          </w:p>
        </w:tc>
      </w:tr>
      <w:tr w14:paraId="6B8DB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55E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45CC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呼末二氧化碳监测模块 1个</w:t>
            </w:r>
          </w:p>
        </w:tc>
      </w:tr>
      <w:tr w14:paraId="09802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86D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A425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心电电极10片装 1套</w:t>
            </w:r>
          </w:p>
        </w:tc>
      </w:tr>
      <w:tr w14:paraId="322F8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EEB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1F44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血氧主电缆 1根</w:t>
            </w:r>
          </w:p>
        </w:tc>
      </w:tr>
      <w:tr w14:paraId="09B96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4E3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D30C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成人、儿童、新生儿指夹式血氧探头 各1套</w:t>
            </w:r>
          </w:p>
        </w:tc>
      </w:tr>
      <w:tr w14:paraId="08B3E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832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3BDB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无创血压导气管 1根</w:t>
            </w:r>
          </w:p>
        </w:tc>
      </w:tr>
      <w:tr w14:paraId="24CBC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DEE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6CE9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成人、儿童、新生儿血压袖套 各1套</w:t>
            </w:r>
          </w:p>
        </w:tc>
      </w:tr>
      <w:tr w14:paraId="76EC4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9B3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EF96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麻醉气体监测模块 1个</w:t>
            </w:r>
          </w:p>
        </w:tc>
      </w:tr>
      <w:tr w14:paraId="28E19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54B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0BAC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麻醉深度监测模块 1个</w:t>
            </w:r>
          </w:p>
        </w:tc>
      </w:tr>
      <w:tr w14:paraId="086D1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0CC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DDDE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肌松监测模块 1个</w:t>
            </w:r>
          </w:p>
        </w:tc>
      </w:tr>
      <w:tr w14:paraId="3AAEA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197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2.15</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7A3D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rSO2组织氧饱和度 1个</w:t>
            </w:r>
          </w:p>
        </w:tc>
      </w:tr>
      <w:tr w14:paraId="0E2AC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54C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D88A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售后服务要求</w:t>
            </w:r>
          </w:p>
        </w:tc>
      </w:tr>
      <w:tr w14:paraId="4361A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1A8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D419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整机全免费保修期（无免责条款的整机所有部件、配件、配套附属设备）≥60个月（自验收合格双方签字之日起计算），终身维修。保修期内一年至少提供四次巡检并提供完整巡检及维护维修记录。免费保修期内遇有故障停机，每停机1天，免费保修期将顺延5天。停机期间提供备用机。</w:t>
            </w:r>
          </w:p>
        </w:tc>
      </w:tr>
      <w:tr w14:paraId="44CCE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ECF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84B6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维修响应速度：1小时内响应并作出维修方案决定；如2小时内无法通过电话解决问题，维修人员必须在接到故障报告后24小时内到达医院，不管是否节假日。</w:t>
            </w:r>
          </w:p>
        </w:tc>
      </w:tr>
      <w:tr w14:paraId="08045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9F3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76C4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保修期内的开机率，保证开机率≥95%（按工作日计算）</w:t>
            </w:r>
          </w:p>
        </w:tc>
      </w:tr>
      <w:tr w14:paraId="1985D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8B3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C667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提供备件送达期限：＜4天。设备停产后的备件供应：保证十年。</w:t>
            </w:r>
          </w:p>
        </w:tc>
      </w:tr>
      <w:tr w14:paraId="13F2D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38C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0C10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设备使用年限≥8年</w:t>
            </w:r>
          </w:p>
        </w:tc>
      </w:tr>
      <w:tr w14:paraId="22787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9A8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3804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在货物到达使用单位后，卖方应在7天内派工程技术人员到达现场，在买方技术人员在场的情况下开箱清点货物，组织安装调试，并承担因此发生的一切费用。</w:t>
            </w:r>
          </w:p>
        </w:tc>
      </w:tr>
      <w:tr w14:paraId="7AEA8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875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EAC9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软件终身免费升级。</w:t>
            </w:r>
          </w:p>
        </w:tc>
      </w:tr>
      <w:tr w14:paraId="18724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87B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0AC3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现场培训：厂家应提供现场技术培训，保证使用人员正常操作设备各种功能以及维修维护人员的技术培训。网络培训：具有专用的网址或公众号，在线提供高级临床应用直播及产品操作指导。</w:t>
            </w:r>
          </w:p>
        </w:tc>
      </w:tr>
      <w:tr w14:paraId="06DF7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052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7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6BB0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若设备需链接医院网络信息系统，供应商应负责设备（含软件及相关服务）与使用医院网络端口链接的相关安装及费用。</w:t>
            </w:r>
          </w:p>
        </w:tc>
      </w:tr>
    </w:tbl>
    <w:p w14:paraId="7E7F57C6">
      <w:pPr>
        <w:numPr>
          <w:ilvl w:val="0"/>
          <w:numId w:val="0"/>
        </w:numPr>
        <w:spacing w:line="360" w:lineRule="auto"/>
        <w:rPr>
          <w:rFonts w:hint="default"/>
          <w:sz w:val="24"/>
          <w:szCs w:val="32"/>
          <w:lang w:val="en-US" w:eastAsia="zh-CN"/>
        </w:rPr>
      </w:pPr>
    </w:p>
    <w:p w14:paraId="3D71C15D">
      <w:pPr>
        <w:numPr>
          <w:ilvl w:val="0"/>
          <w:numId w:val="0"/>
        </w:numPr>
        <w:spacing w:line="360" w:lineRule="auto"/>
        <w:ind w:leftChars="0"/>
        <w:rPr>
          <w:rFonts w:hint="eastAsia"/>
          <w:b/>
          <w:bCs/>
          <w:sz w:val="24"/>
          <w:szCs w:val="32"/>
          <w:lang w:val="en-US" w:eastAsia="zh-CN"/>
        </w:rPr>
      </w:pPr>
      <w:r>
        <w:rPr>
          <w:rFonts w:hint="eastAsia"/>
          <w:b/>
          <w:bCs/>
          <w:sz w:val="24"/>
          <w:szCs w:val="32"/>
          <w:lang w:val="en-US" w:eastAsia="zh-CN"/>
        </w:rPr>
        <w:t>★三、其他商务要求</w:t>
      </w:r>
    </w:p>
    <w:p w14:paraId="606DB3CB">
      <w:pPr>
        <w:keepNext w:val="0"/>
        <w:keepLines w:val="0"/>
        <w:pageBreakBefore w:val="0"/>
        <w:numPr>
          <w:ilvl w:val="0"/>
          <w:numId w:val="3"/>
        </w:numPr>
        <w:kinsoku/>
        <w:wordWrap/>
        <w:overflowPunct/>
        <w:topLinePunct w:val="0"/>
        <w:autoSpaceDE/>
        <w:autoSpaceDN/>
        <w:bidi w:val="0"/>
        <w:adjustRightInd/>
        <w:snapToGrid w:val="0"/>
        <w:spacing w:line="336" w:lineRule="auto"/>
        <w:rPr>
          <w:rStyle w:val="7"/>
          <w:rFonts w:hint="eastAsia" w:ascii="宋体" w:hAnsi="宋体" w:cs="宋体"/>
          <w:color w:val="auto"/>
          <w:sz w:val="24"/>
          <w:szCs w:val="24"/>
          <w:lang w:val="en-US" w:eastAsia="zh-CN"/>
        </w:rPr>
      </w:pPr>
      <w:r>
        <w:rPr>
          <w:rStyle w:val="7"/>
          <w:rFonts w:hint="eastAsia" w:ascii="宋体" w:hAnsi="宋体" w:cs="宋体"/>
          <w:color w:val="auto"/>
          <w:sz w:val="24"/>
          <w:szCs w:val="24"/>
          <w:lang w:val="en-US" w:eastAsia="zh-CN"/>
        </w:rPr>
        <w:t>交货时间和地点</w:t>
      </w:r>
    </w:p>
    <w:p w14:paraId="250BBEEF">
      <w:pPr>
        <w:bidi w:val="0"/>
        <w:spacing w:line="360" w:lineRule="auto"/>
        <w:rPr>
          <w:rFonts w:hint="default"/>
          <w:sz w:val="24"/>
          <w:szCs w:val="21"/>
          <w:lang w:val="en-US" w:eastAsia="zh-CN"/>
        </w:rPr>
      </w:pPr>
      <w:r>
        <w:rPr>
          <w:rFonts w:hint="eastAsia"/>
          <w:sz w:val="24"/>
          <w:szCs w:val="21"/>
          <w:lang w:val="en-US" w:eastAsia="zh-CN"/>
        </w:rPr>
        <w:t>1.1</w:t>
      </w:r>
      <w:r>
        <w:rPr>
          <w:rFonts w:hint="default"/>
          <w:sz w:val="24"/>
          <w:szCs w:val="21"/>
          <w:lang w:val="en-US" w:eastAsia="zh-CN"/>
        </w:rPr>
        <w:t>交货时间：</w:t>
      </w:r>
    </w:p>
    <w:p w14:paraId="011A1A59">
      <w:pPr>
        <w:bidi w:val="0"/>
        <w:spacing w:line="360" w:lineRule="auto"/>
        <w:rPr>
          <w:rFonts w:hint="default"/>
          <w:sz w:val="24"/>
          <w:szCs w:val="21"/>
          <w:lang w:val="en-US" w:eastAsia="zh-CN"/>
        </w:rPr>
      </w:pPr>
      <w:r>
        <w:rPr>
          <w:rFonts w:hint="default"/>
          <w:sz w:val="24"/>
          <w:szCs w:val="21"/>
          <w:lang w:val="en-US" w:eastAsia="zh-CN"/>
        </w:rPr>
        <w:t>采购包1：</w:t>
      </w:r>
    </w:p>
    <w:p w14:paraId="369580C1">
      <w:pPr>
        <w:bidi w:val="0"/>
        <w:spacing w:line="360" w:lineRule="auto"/>
        <w:rPr>
          <w:rFonts w:hint="default"/>
          <w:sz w:val="24"/>
          <w:szCs w:val="21"/>
          <w:lang w:val="en-US" w:eastAsia="zh-CN"/>
        </w:rPr>
      </w:pPr>
      <w:r>
        <w:rPr>
          <w:rFonts w:hint="default"/>
          <w:sz w:val="24"/>
          <w:szCs w:val="21"/>
          <w:lang w:val="en-US" w:eastAsia="zh-CN"/>
        </w:rPr>
        <w:t>合同签订后15日内交付合同标的物设备。</w:t>
      </w:r>
    </w:p>
    <w:p w14:paraId="7D678C8C">
      <w:pPr>
        <w:bidi w:val="0"/>
        <w:spacing w:line="360" w:lineRule="auto"/>
        <w:rPr>
          <w:rFonts w:hint="default"/>
          <w:sz w:val="24"/>
          <w:szCs w:val="21"/>
          <w:lang w:val="en-US" w:eastAsia="zh-CN"/>
        </w:rPr>
      </w:pPr>
      <w:r>
        <w:rPr>
          <w:rFonts w:hint="default"/>
          <w:sz w:val="24"/>
          <w:szCs w:val="21"/>
          <w:lang w:val="en-US" w:eastAsia="zh-CN"/>
        </w:rPr>
        <w:t>采购包2：</w:t>
      </w:r>
    </w:p>
    <w:p w14:paraId="4B8DA608">
      <w:pPr>
        <w:bidi w:val="0"/>
        <w:spacing w:line="360" w:lineRule="auto"/>
        <w:rPr>
          <w:rFonts w:hint="default"/>
          <w:sz w:val="24"/>
          <w:szCs w:val="21"/>
          <w:lang w:val="en-US" w:eastAsia="zh-CN"/>
        </w:rPr>
      </w:pPr>
      <w:r>
        <w:rPr>
          <w:rFonts w:hint="default"/>
          <w:sz w:val="24"/>
          <w:szCs w:val="21"/>
          <w:lang w:val="en-US" w:eastAsia="zh-CN"/>
        </w:rPr>
        <w:t>合同签订后15日内交付合同标的物设备。</w:t>
      </w:r>
    </w:p>
    <w:p w14:paraId="132FABE8">
      <w:pPr>
        <w:bidi w:val="0"/>
        <w:spacing w:line="360" w:lineRule="auto"/>
        <w:rPr>
          <w:rFonts w:hint="default"/>
          <w:sz w:val="24"/>
          <w:szCs w:val="21"/>
          <w:lang w:val="en-US" w:eastAsia="zh-CN"/>
        </w:rPr>
      </w:pPr>
      <w:r>
        <w:rPr>
          <w:rFonts w:hint="eastAsia"/>
          <w:sz w:val="24"/>
          <w:szCs w:val="21"/>
          <w:lang w:val="en-US" w:eastAsia="zh-CN"/>
        </w:rPr>
        <w:t>1.2</w:t>
      </w:r>
      <w:r>
        <w:rPr>
          <w:rFonts w:hint="default"/>
          <w:sz w:val="24"/>
          <w:szCs w:val="21"/>
          <w:lang w:val="en-US" w:eastAsia="zh-CN"/>
        </w:rPr>
        <w:t>交货地点：丙方指定地点。</w:t>
      </w:r>
    </w:p>
    <w:p w14:paraId="7490F525">
      <w:pPr>
        <w:bidi w:val="0"/>
        <w:spacing w:line="360" w:lineRule="auto"/>
        <w:rPr>
          <w:rFonts w:hint="eastAsia" w:cs="Times New Roman"/>
          <w:sz w:val="24"/>
          <w:szCs w:val="21"/>
          <w:lang w:val="en-US" w:eastAsia="zh-CN"/>
        </w:rPr>
      </w:pPr>
      <w:r>
        <w:rPr>
          <w:rFonts w:hint="eastAsia" w:cs="Times New Roman"/>
          <w:sz w:val="24"/>
          <w:szCs w:val="21"/>
          <w:lang w:val="en-US" w:eastAsia="zh-CN"/>
        </w:rPr>
        <w:t>2.货物质量</w:t>
      </w:r>
    </w:p>
    <w:p w14:paraId="2CF2C43B">
      <w:pPr>
        <w:bidi w:val="0"/>
        <w:spacing w:line="360" w:lineRule="auto"/>
        <w:rPr>
          <w:rFonts w:hint="eastAsia" w:cs="Times New Roman"/>
          <w:sz w:val="24"/>
          <w:szCs w:val="21"/>
          <w:lang w:val="en-US" w:eastAsia="zh-CN"/>
        </w:rPr>
      </w:pPr>
      <w:r>
        <w:rPr>
          <w:rFonts w:hint="eastAsia" w:cs="Times New Roman"/>
          <w:sz w:val="24"/>
          <w:szCs w:val="21"/>
          <w:lang w:val="en-US" w:eastAsia="zh-CN"/>
        </w:rPr>
        <w:t>2.1</w:t>
      </w:r>
      <w:r>
        <w:rPr>
          <w:rFonts w:hint="default" w:cs="Times New Roman"/>
          <w:sz w:val="24"/>
          <w:szCs w:val="21"/>
          <w:lang w:val="en-US" w:eastAsia="zh-CN"/>
        </w:rPr>
        <w:t xml:space="preserve"> </w:t>
      </w:r>
      <w:r>
        <w:rPr>
          <w:rFonts w:hint="eastAsia" w:cs="Times New Roman"/>
          <w:sz w:val="24"/>
          <w:szCs w:val="21"/>
          <w:lang w:val="en-US" w:eastAsia="zh-CN"/>
        </w:rPr>
        <w:t>该设备同时应符合下列标准：</w:t>
      </w:r>
    </w:p>
    <w:p w14:paraId="1006F4E9">
      <w:pPr>
        <w:bidi w:val="0"/>
        <w:spacing w:line="360" w:lineRule="auto"/>
        <w:rPr>
          <w:rFonts w:hint="eastAsia" w:cs="Times New Roman"/>
          <w:sz w:val="24"/>
          <w:szCs w:val="21"/>
          <w:lang w:val="en-US" w:eastAsia="zh-CN"/>
        </w:rPr>
      </w:pPr>
      <w:r>
        <w:rPr>
          <w:rFonts w:hint="eastAsia" w:cs="Times New Roman"/>
          <w:sz w:val="24"/>
          <w:szCs w:val="21"/>
          <w:lang w:val="en-US" w:eastAsia="zh-CN"/>
        </w:rPr>
        <w:t>2</w:t>
      </w:r>
      <w:r>
        <w:rPr>
          <w:rFonts w:hint="default" w:cs="Times New Roman"/>
          <w:sz w:val="24"/>
          <w:szCs w:val="21"/>
          <w:lang w:val="en-US" w:eastAsia="zh-CN"/>
        </w:rPr>
        <w:t xml:space="preserve">.1.1 </w:t>
      </w:r>
      <w:r>
        <w:rPr>
          <w:rFonts w:hint="eastAsia" w:cs="Times New Roman"/>
          <w:sz w:val="24"/>
          <w:szCs w:val="21"/>
          <w:lang w:val="en-US" w:eastAsia="zh-CN"/>
        </w:rPr>
        <w:t>该设备所适用的国家标准（强制性或推荐性标准）、行业标准、地方标准。无论设备的生产地如何，上述标准系指该设备使用地的相关标准。</w:t>
      </w:r>
    </w:p>
    <w:p w14:paraId="422D3B59">
      <w:pPr>
        <w:bidi w:val="0"/>
        <w:spacing w:line="360" w:lineRule="auto"/>
        <w:rPr>
          <w:rFonts w:hint="eastAsia" w:cs="Times New Roman"/>
          <w:sz w:val="24"/>
          <w:szCs w:val="21"/>
          <w:lang w:val="en-US" w:eastAsia="zh-CN"/>
        </w:rPr>
      </w:pPr>
      <w:r>
        <w:rPr>
          <w:rFonts w:hint="eastAsia" w:cs="Times New Roman"/>
          <w:sz w:val="24"/>
          <w:szCs w:val="21"/>
          <w:lang w:val="en-US" w:eastAsia="zh-CN"/>
        </w:rPr>
        <w:t>2</w:t>
      </w:r>
      <w:r>
        <w:rPr>
          <w:rFonts w:hint="default" w:cs="Times New Roman"/>
          <w:sz w:val="24"/>
          <w:szCs w:val="21"/>
          <w:lang w:val="en-US" w:eastAsia="zh-CN"/>
        </w:rPr>
        <w:t xml:space="preserve">.1.2 </w:t>
      </w:r>
      <w:r>
        <w:rPr>
          <w:rFonts w:hint="eastAsia" w:cs="Times New Roman"/>
          <w:sz w:val="24"/>
          <w:szCs w:val="21"/>
          <w:lang w:val="en-US" w:eastAsia="zh-CN"/>
        </w:rPr>
        <w:t>设备生产企业的标准。</w:t>
      </w:r>
    </w:p>
    <w:p w14:paraId="7DE57E06">
      <w:pPr>
        <w:bidi w:val="0"/>
        <w:spacing w:line="360" w:lineRule="auto"/>
        <w:rPr>
          <w:rFonts w:hint="eastAsia" w:cs="Times New Roman"/>
          <w:sz w:val="24"/>
          <w:szCs w:val="21"/>
          <w:lang w:val="en-US" w:eastAsia="zh-CN"/>
        </w:rPr>
      </w:pPr>
      <w:r>
        <w:rPr>
          <w:rFonts w:hint="eastAsia" w:cs="Times New Roman"/>
          <w:sz w:val="24"/>
          <w:szCs w:val="21"/>
          <w:lang w:val="en-US" w:eastAsia="zh-CN"/>
        </w:rPr>
        <w:t>2</w:t>
      </w:r>
      <w:r>
        <w:rPr>
          <w:rFonts w:hint="default" w:cs="Times New Roman"/>
          <w:sz w:val="24"/>
          <w:szCs w:val="21"/>
          <w:lang w:val="en-US" w:eastAsia="zh-CN"/>
        </w:rPr>
        <w:t xml:space="preserve">.1.3 </w:t>
      </w:r>
      <w:r>
        <w:rPr>
          <w:rFonts w:hint="eastAsia" w:cs="Times New Roman"/>
          <w:sz w:val="24"/>
          <w:szCs w:val="21"/>
          <w:lang w:val="en-US" w:eastAsia="zh-CN"/>
        </w:rPr>
        <w:t>乙方所提供的产品说明书或相关说明文档中所列明的标准。</w:t>
      </w:r>
    </w:p>
    <w:p w14:paraId="64FCACD7">
      <w:pPr>
        <w:bidi w:val="0"/>
        <w:spacing w:line="360" w:lineRule="auto"/>
        <w:rPr>
          <w:rFonts w:hint="eastAsia" w:cs="Times New Roman"/>
          <w:sz w:val="24"/>
          <w:szCs w:val="21"/>
          <w:lang w:val="en-US" w:eastAsia="zh-CN"/>
        </w:rPr>
      </w:pPr>
      <w:r>
        <w:rPr>
          <w:rFonts w:hint="eastAsia" w:cs="Times New Roman"/>
          <w:sz w:val="24"/>
          <w:szCs w:val="21"/>
          <w:lang w:val="en-US" w:eastAsia="zh-CN"/>
        </w:rPr>
        <w:t>2</w:t>
      </w:r>
      <w:r>
        <w:rPr>
          <w:rFonts w:hint="default" w:cs="Times New Roman"/>
          <w:sz w:val="24"/>
          <w:szCs w:val="21"/>
          <w:lang w:val="en-US" w:eastAsia="zh-CN"/>
        </w:rPr>
        <w:t xml:space="preserve">.1.4 </w:t>
      </w:r>
      <w:r>
        <w:rPr>
          <w:rFonts w:hint="eastAsia" w:cs="Times New Roman"/>
          <w:sz w:val="24"/>
          <w:szCs w:val="21"/>
          <w:lang w:val="en-US" w:eastAsia="zh-CN"/>
        </w:rPr>
        <w:t>多项标准不一致的，按最高的标准执行；虽有上述标准，但双方对质量有特别要求的，应按特别要求执行。 </w:t>
      </w:r>
    </w:p>
    <w:p w14:paraId="49CA7B24">
      <w:pPr>
        <w:bidi w:val="0"/>
        <w:spacing w:line="360" w:lineRule="auto"/>
        <w:rPr>
          <w:rFonts w:hint="eastAsia" w:cs="Times New Roman"/>
          <w:sz w:val="24"/>
          <w:szCs w:val="21"/>
          <w:lang w:val="en-US" w:eastAsia="zh-CN"/>
        </w:rPr>
      </w:pPr>
      <w:r>
        <w:rPr>
          <w:rFonts w:hint="eastAsia" w:cs="Times New Roman"/>
          <w:sz w:val="24"/>
          <w:szCs w:val="21"/>
          <w:lang w:val="en-US" w:eastAsia="zh-CN"/>
        </w:rPr>
        <w:t>2.2乙方保证其出售的设备是原厂生产的、全新的、未使用过的（包括零部件），生产日期应在自合同签署之日往前推算6个月内，符合原厂质量检测标准（以说明书为准）。</w:t>
      </w:r>
    </w:p>
    <w:p w14:paraId="533713A2">
      <w:pPr>
        <w:bidi w:val="0"/>
        <w:spacing w:line="360" w:lineRule="auto"/>
        <w:rPr>
          <w:rFonts w:hint="eastAsia" w:cs="Times New Roman"/>
          <w:sz w:val="24"/>
          <w:szCs w:val="21"/>
          <w:lang w:val="en-US" w:eastAsia="zh-CN"/>
        </w:rPr>
      </w:pPr>
      <w:r>
        <w:rPr>
          <w:rFonts w:hint="eastAsia" w:cs="Times New Roman"/>
          <w:sz w:val="24"/>
          <w:szCs w:val="21"/>
          <w:lang w:val="en-US" w:eastAsia="zh-CN"/>
        </w:rPr>
        <w:t>3.配套材料</w:t>
      </w:r>
    </w:p>
    <w:p w14:paraId="065C6E19">
      <w:pPr>
        <w:bidi w:val="0"/>
        <w:spacing w:line="360" w:lineRule="auto"/>
        <w:rPr>
          <w:rFonts w:hint="eastAsia" w:cs="Times New Roman"/>
          <w:sz w:val="24"/>
          <w:szCs w:val="21"/>
          <w:lang w:val="en-US" w:eastAsia="zh-CN"/>
        </w:rPr>
      </w:pPr>
      <w:r>
        <w:rPr>
          <w:rFonts w:hint="eastAsia" w:cs="Times New Roman"/>
          <w:sz w:val="24"/>
          <w:szCs w:val="21"/>
          <w:lang w:val="en-US" w:eastAsia="zh-CN"/>
        </w:rPr>
        <w:t>3.1</w:t>
      </w:r>
      <w:r>
        <w:rPr>
          <w:rFonts w:hint="default" w:cs="Times New Roman"/>
          <w:sz w:val="24"/>
          <w:szCs w:val="21"/>
          <w:lang w:val="en-US" w:eastAsia="zh-CN"/>
        </w:rPr>
        <w:t xml:space="preserve"> </w:t>
      </w:r>
      <w:r>
        <w:rPr>
          <w:rFonts w:hint="eastAsia" w:cs="Times New Roman"/>
          <w:sz w:val="24"/>
          <w:szCs w:val="21"/>
          <w:lang w:val="en-US" w:eastAsia="zh-CN"/>
        </w:rPr>
        <w:t>乙方交货时应同时提交设备的下列配套材料：</w:t>
      </w:r>
    </w:p>
    <w:p w14:paraId="4D311D12">
      <w:pPr>
        <w:bidi w:val="0"/>
        <w:spacing w:line="360" w:lineRule="auto"/>
        <w:rPr>
          <w:rFonts w:hint="eastAsia" w:cs="Times New Roman"/>
          <w:sz w:val="24"/>
          <w:szCs w:val="21"/>
          <w:lang w:val="en-US" w:eastAsia="zh-CN"/>
        </w:rPr>
      </w:pPr>
      <w:r>
        <w:rPr>
          <w:rFonts w:hint="eastAsia" w:cs="Times New Roman"/>
          <w:sz w:val="24"/>
          <w:szCs w:val="21"/>
          <w:lang w:val="en-US" w:eastAsia="zh-CN"/>
        </w:rPr>
        <w:t>3</w:t>
      </w:r>
      <w:r>
        <w:rPr>
          <w:rFonts w:hint="default" w:cs="Times New Roman"/>
          <w:sz w:val="24"/>
          <w:szCs w:val="21"/>
          <w:lang w:val="en-US" w:eastAsia="zh-CN"/>
        </w:rPr>
        <w:t xml:space="preserve">.1.1 </w:t>
      </w:r>
      <w:r>
        <w:rPr>
          <w:rFonts w:hint="eastAsia" w:cs="Times New Roman"/>
          <w:sz w:val="24"/>
          <w:szCs w:val="21"/>
          <w:lang w:val="en-US" w:eastAsia="zh-CN"/>
        </w:rPr>
        <w:t>原厂出厂证明</w:t>
      </w:r>
    </w:p>
    <w:p w14:paraId="3B10A4DD">
      <w:pPr>
        <w:bidi w:val="0"/>
        <w:spacing w:line="360" w:lineRule="auto"/>
        <w:rPr>
          <w:rFonts w:hint="eastAsia" w:cs="Times New Roman"/>
          <w:sz w:val="24"/>
          <w:szCs w:val="21"/>
          <w:lang w:val="en-US" w:eastAsia="zh-CN"/>
        </w:rPr>
      </w:pPr>
      <w:r>
        <w:rPr>
          <w:rFonts w:hint="eastAsia" w:cs="Times New Roman"/>
          <w:sz w:val="24"/>
          <w:szCs w:val="21"/>
          <w:lang w:val="en-US" w:eastAsia="zh-CN"/>
        </w:rPr>
        <w:t>3</w:t>
      </w:r>
      <w:r>
        <w:rPr>
          <w:rFonts w:hint="default" w:cs="Times New Roman"/>
          <w:sz w:val="24"/>
          <w:szCs w:val="21"/>
          <w:lang w:val="en-US" w:eastAsia="zh-CN"/>
        </w:rPr>
        <w:t xml:space="preserve">.1.2 </w:t>
      </w:r>
      <w:r>
        <w:rPr>
          <w:rFonts w:hint="eastAsia" w:cs="Times New Roman"/>
          <w:sz w:val="24"/>
          <w:szCs w:val="21"/>
          <w:lang w:val="en-US" w:eastAsia="zh-CN"/>
        </w:rPr>
        <w:t>产品合格证书</w:t>
      </w:r>
    </w:p>
    <w:p w14:paraId="1C3E6920">
      <w:pPr>
        <w:bidi w:val="0"/>
        <w:spacing w:line="360" w:lineRule="auto"/>
        <w:rPr>
          <w:rFonts w:hint="eastAsia" w:cs="Times New Roman"/>
          <w:sz w:val="24"/>
          <w:szCs w:val="21"/>
          <w:lang w:val="en-US" w:eastAsia="zh-CN"/>
        </w:rPr>
      </w:pPr>
      <w:r>
        <w:rPr>
          <w:rFonts w:hint="eastAsia" w:cs="Times New Roman"/>
          <w:sz w:val="24"/>
          <w:szCs w:val="21"/>
          <w:lang w:val="en-US" w:eastAsia="zh-CN"/>
        </w:rPr>
        <w:t>3</w:t>
      </w:r>
      <w:r>
        <w:rPr>
          <w:rFonts w:hint="default" w:cs="Times New Roman"/>
          <w:sz w:val="24"/>
          <w:szCs w:val="21"/>
          <w:lang w:val="en-US" w:eastAsia="zh-CN"/>
        </w:rPr>
        <w:t xml:space="preserve">.1.3 </w:t>
      </w:r>
      <w:r>
        <w:rPr>
          <w:rFonts w:hint="eastAsia" w:cs="Times New Roman"/>
          <w:sz w:val="24"/>
          <w:szCs w:val="21"/>
          <w:lang w:val="en-US" w:eastAsia="zh-CN"/>
        </w:rPr>
        <w:t>保修单</w:t>
      </w:r>
    </w:p>
    <w:p w14:paraId="3579800D">
      <w:pPr>
        <w:bidi w:val="0"/>
        <w:spacing w:line="360" w:lineRule="auto"/>
        <w:rPr>
          <w:rFonts w:hint="eastAsia" w:cs="Times New Roman"/>
          <w:sz w:val="24"/>
          <w:szCs w:val="21"/>
          <w:lang w:val="en-US" w:eastAsia="zh-CN"/>
        </w:rPr>
      </w:pPr>
      <w:r>
        <w:rPr>
          <w:rFonts w:hint="eastAsia" w:cs="Times New Roman"/>
          <w:sz w:val="24"/>
          <w:szCs w:val="21"/>
          <w:lang w:val="en-US" w:eastAsia="zh-CN"/>
        </w:rPr>
        <w:t>3</w:t>
      </w:r>
      <w:r>
        <w:rPr>
          <w:rFonts w:hint="default" w:cs="Times New Roman"/>
          <w:sz w:val="24"/>
          <w:szCs w:val="21"/>
          <w:lang w:val="en-US" w:eastAsia="zh-CN"/>
        </w:rPr>
        <w:t xml:space="preserve">.1.4 </w:t>
      </w:r>
      <w:r>
        <w:rPr>
          <w:rFonts w:hint="eastAsia" w:cs="Times New Roman"/>
          <w:sz w:val="24"/>
          <w:szCs w:val="21"/>
          <w:lang w:val="en-US" w:eastAsia="zh-CN"/>
        </w:rPr>
        <w:t>使用与维护说明书（中文版）</w:t>
      </w:r>
    </w:p>
    <w:p w14:paraId="46EB2BD6">
      <w:pPr>
        <w:bidi w:val="0"/>
        <w:spacing w:line="360" w:lineRule="auto"/>
        <w:rPr>
          <w:rFonts w:hint="eastAsia" w:cs="Times New Roman"/>
          <w:sz w:val="24"/>
          <w:szCs w:val="21"/>
          <w:lang w:val="en-US" w:eastAsia="zh-CN"/>
        </w:rPr>
      </w:pPr>
      <w:r>
        <w:rPr>
          <w:rFonts w:hint="eastAsia" w:cs="Times New Roman"/>
          <w:sz w:val="24"/>
          <w:szCs w:val="21"/>
          <w:lang w:val="en-US" w:eastAsia="zh-CN"/>
        </w:rPr>
        <w:t>3</w:t>
      </w:r>
      <w:r>
        <w:rPr>
          <w:rFonts w:hint="default" w:cs="Times New Roman"/>
          <w:sz w:val="24"/>
          <w:szCs w:val="21"/>
          <w:lang w:val="en-US" w:eastAsia="zh-CN"/>
        </w:rPr>
        <w:t xml:space="preserve">.1.5 </w:t>
      </w:r>
      <w:r>
        <w:rPr>
          <w:rFonts w:hint="eastAsia" w:cs="Times New Roman"/>
          <w:sz w:val="24"/>
          <w:szCs w:val="21"/>
          <w:lang w:val="en-US" w:eastAsia="zh-CN"/>
        </w:rPr>
        <w:t>设备物料清单</w:t>
      </w:r>
    </w:p>
    <w:p w14:paraId="17050853">
      <w:pPr>
        <w:bidi w:val="0"/>
        <w:spacing w:line="360" w:lineRule="auto"/>
        <w:rPr>
          <w:rFonts w:hint="eastAsia" w:cs="Times New Roman"/>
          <w:sz w:val="24"/>
          <w:szCs w:val="21"/>
          <w:lang w:val="en-US" w:eastAsia="zh-CN"/>
        </w:rPr>
      </w:pPr>
      <w:r>
        <w:rPr>
          <w:rFonts w:hint="eastAsia" w:cs="Times New Roman"/>
          <w:sz w:val="24"/>
          <w:szCs w:val="21"/>
          <w:lang w:val="en-US" w:eastAsia="zh-CN"/>
        </w:rPr>
        <w:t>3</w:t>
      </w:r>
      <w:r>
        <w:rPr>
          <w:rFonts w:hint="default" w:cs="Times New Roman"/>
          <w:sz w:val="24"/>
          <w:szCs w:val="21"/>
          <w:lang w:val="en-US" w:eastAsia="zh-CN"/>
        </w:rPr>
        <w:t xml:space="preserve">.1.6 </w:t>
      </w:r>
      <w:r>
        <w:rPr>
          <w:rFonts w:hint="eastAsia" w:cs="Times New Roman"/>
          <w:sz w:val="24"/>
          <w:szCs w:val="21"/>
          <w:lang w:val="en-US" w:eastAsia="zh-CN"/>
        </w:rPr>
        <w:t>其他应当具备的随附单证。</w:t>
      </w:r>
    </w:p>
    <w:p w14:paraId="169E4FBC">
      <w:pPr>
        <w:bidi w:val="0"/>
        <w:spacing w:line="360" w:lineRule="auto"/>
        <w:rPr>
          <w:rFonts w:hint="eastAsia" w:cs="Times New Roman"/>
          <w:sz w:val="24"/>
          <w:szCs w:val="21"/>
          <w:lang w:val="en-US" w:eastAsia="zh-CN"/>
        </w:rPr>
      </w:pPr>
      <w:r>
        <w:rPr>
          <w:rFonts w:hint="eastAsia" w:cs="Times New Roman"/>
          <w:sz w:val="24"/>
          <w:szCs w:val="21"/>
          <w:lang w:val="en-US" w:eastAsia="zh-CN"/>
        </w:rPr>
        <w:t>3</w:t>
      </w:r>
      <w:r>
        <w:rPr>
          <w:rFonts w:hint="default" w:cs="Times New Roman"/>
          <w:sz w:val="24"/>
          <w:szCs w:val="21"/>
          <w:lang w:val="en-US" w:eastAsia="zh-CN"/>
        </w:rPr>
        <w:t xml:space="preserve">.1.7 </w:t>
      </w:r>
      <w:r>
        <w:rPr>
          <w:rFonts w:hint="eastAsia" w:cs="Times New Roman"/>
          <w:sz w:val="24"/>
          <w:szCs w:val="21"/>
          <w:lang w:val="en-US" w:eastAsia="zh-CN"/>
        </w:rPr>
        <w:t>若产品为进口产品，还应当附有产品的装箱单、报关单、产品进出口检疫书等有关文件。</w:t>
      </w:r>
    </w:p>
    <w:p w14:paraId="1598F6FE">
      <w:pPr>
        <w:bidi w:val="0"/>
        <w:spacing w:line="360" w:lineRule="auto"/>
        <w:rPr>
          <w:rFonts w:hint="eastAsia" w:cs="Times New Roman"/>
          <w:sz w:val="24"/>
          <w:szCs w:val="21"/>
          <w:lang w:val="en-US" w:eastAsia="zh-CN"/>
        </w:rPr>
      </w:pPr>
      <w:r>
        <w:rPr>
          <w:rFonts w:hint="eastAsia" w:cs="Times New Roman"/>
          <w:sz w:val="24"/>
          <w:szCs w:val="21"/>
          <w:lang w:val="en-US" w:eastAsia="zh-CN"/>
        </w:rPr>
        <w:t>3</w:t>
      </w:r>
      <w:r>
        <w:rPr>
          <w:rFonts w:hint="default" w:cs="Times New Roman"/>
          <w:sz w:val="24"/>
          <w:szCs w:val="21"/>
          <w:lang w:val="en-US" w:eastAsia="zh-CN"/>
        </w:rPr>
        <w:t xml:space="preserve">.1.8 </w:t>
      </w:r>
      <w:r>
        <w:rPr>
          <w:rFonts w:hint="eastAsia" w:cs="Times New Roman"/>
          <w:sz w:val="24"/>
          <w:szCs w:val="21"/>
          <w:lang w:val="en-US" w:eastAsia="zh-CN"/>
        </w:rPr>
        <w:t>配套材料应用防水袋包装并放在设备包装中，并在设备安装调试完成之后移交丙方。</w:t>
      </w:r>
    </w:p>
    <w:p w14:paraId="0A127140">
      <w:pPr>
        <w:bidi w:val="0"/>
        <w:spacing w:line="360" w:lineRule="auto"/>
        <w:rPr>
          <w:rFonts w:hint="eastAsia" w:cs="Times New Roman"/>
          <w:sz w:val="24"/>
          <w:szCs w:val="21"/>
          <w:lang w:val="en-US" w:eastAsia="zh-CN"/>
        </w:rPr>
      </w:pPr>
      <w:bookmarkStart w:id="4" w:name="_Toc1786"/>
      <w:bookmarkStart w:id="5" w:name="_Toc24072"/>
      <w:bookmarkStart w:id="6" w:name="_Toc17996"/>
      <w:r>
        <w:rPr>
          <w:rFonts w:hint="eastAsia" w:cs="Times New Roman"/>
          <w:sz w:val="24"/>
          <w:szCs w:val="21"/>
          <w:lang w:val="en-US" w:eastAsia="zh-CN"/>
        </w:rPr>
        <w:t>4.安装验收</w:t>
      </w:r>
      <w:bookmarkEnd w:id="4"/>
      <w:bookmarkEnd w:id="5"/>
      <w:bookmarkEnd w:id="6"/>
    </w:p>
    <w:p w14:paraId="5DE370D1">
      <w:pPr>
        <w:bidi w:val="0"/>
        <w:spacing w:line="360" w:lineRule="auto"/>
        <w:ind w:firstLine="480" w:firstLineChars="200"/>
        <w:rPr>
          <w:rFonts w:hint="eastAsia" w:cs="Times New Roman"/>
          <w:sz w:val="24"/>
          <w:szCs w:val="21"/>
          <w:lang w:val="en-US" w:eastAsia="zh-CN"/>
        </w:rPr>
      </w:pPr>
      <w:r>
        <w:rPr>
          <w:rFonts w:hint="eastAsia" w:cs="Times New Roman"/>
          <w:sz w:val="24"/>
          <w:szCs w:val="21"/>
          <w:lang w:val="en-US" w:eastAsia="zh-CN"/>
        </w:rPr>
        <w:t>安装调试完毕后，丙方根据招投标文件和产品说明书的功能配置、技术参数等进行检验、试用。乙方应向丙方提供要求的验收资料，丙方应在收到完整的验收资料后，在验收报告上签字盖章。</w:t>
      </w:r>
    </w:p>
    <w:p w14:paraId="42DDF39A">
      <w:pPr>
        <w:bidi w:val="0"/>
        <w:spacing w:line="360" w:lineRule="auto"/>
        <w:rPr>
          <w:rFonts w:hint="eastAsia" w:cs="Times New Roman"/>
          <w:sz w:val="24"/>
          <w:szCs w:val="21"/>
          <w:lang w:val="en-US" w:eastAsia="zh-CN"/>
        </w:rPr>
      </w:pPr>
      <w:bookmarkStart w:id="7" w:name="_Toc18989"/>
      <w:bookmarkStart w:id="8" w:name="_Toc11006"/>
      <w:bookmarkStart w:id="9" w:name="_Toc12405"/>
      <w:r>
        <w:rPr>
          <w:rFonts w:hint="eastAsia" w:cs="Times New Roman"/>
          <w:sz w:val="24"/>
          <w:szCs w:val="21"/>
          <w:lang w:val="en-US" w:eastAsia="zh-CN"/>
        </w:rPr>
        <w:t>5.设备使用观察期</w:t>
      </w:r>
      <w:bookmarkEnd w:id="7"/>
      <w:bookmarkEnd w:id="8"/>
      <w:bookmarkEnd w:id="9"/>
    </w:p>
    <w:p w14:paraId="2491F9C7">
      <w:pPr>
        <w:bidi w:val="0"/>
        <w:spacing w:line="360" w:lineRule="auto"/>
        <w:ind w:firstLine="480" w:firstLineChars="200"/>
        <w:rPr>
          <w:rFonts w:hint="eastAsia" w:cs="Times New Roman"/>
          <w:sz w:val="24"/>
          <w:szCs w:val="21"/>
          <w:lang w:val="en-US" w:eastAsia="zh-CN"/>
        </w:rPr>
      </w:pPr>
      <w:r>
        <w:rPr>
          <w:rFonts w:hint="eastAsia" w:cs="Times New Roman"/>
          <w:sz w:val="24"/>
          <w:szCs w:val="21"/>
          <w:lang w:val="en-US" w:eastAsia="zh-CN"/>
        </w:rPr>
        <w:t>乙、丙双方约定为从设备安装调试并通过验收合格之日起 60 日为设备使用观察期。</w:t>
      </w:r>
    </w:p>
    <w:p w14:paraId="47F718B3">
      <w:pPr>
        <w:bidi w:val="0"/>
        <w:spacing w:line="360" w:lineRule="auto"/>
        <w:rPr>
          <w:rFonts w:hint="eastAsia" w:cs="Times New Roman"/>
          <w:sz w:val="24"/>
          <w:szCs w:val="21"/>
          <w:lang w:val="en-US" w:eastAsia="zh-CN"/>
        </w:rPr>
      </w:pPr>
      <w:r>
        <w:rPr>
          <w:rFonts w:hint="eastAsia" w:cs="Times New Roman"/>
          <w:sz w:val="24"/>
          <w:szCs w:val="21"/>
          <w:lang w:val="en-US" w:eastAsia="zh-CN"/>
        </w:rPr>
        <w:t>6.付款方式</w:t>
      </w:r>
    </w:p>
    <w:p w14:paraId="2459C62D">
      <w:pPr>
        <w:bidi w:val="0"/>
        <w:spacing w:line="360" w:lineRule="auto"/>
        <w:ind w:firstLine="480" w:firstLineChars="200"/>
        <w:rPr>
          <w:rFonts w:hint="default" w:cs="Times New Roman"/>
          <w:sz w:val="24"/>
          <w:szCs w:val="21"/>
          <w:lang w:val="en-US" w:eastAsia="zh-CN"/>
        </w:rPr>
      </w:pPr>
      <w:r>
        <w:rPr>
          <w:rFonts w:hint="eastAsia" w:cs="Times New Roman"/>
          <w:sz w:val="24"/>
          <w:szCs w:val="21"/>
          <w:lang w:val="en-US" w:eastAsia="zh-CN"/>
        </w:rPr>
        <w:t>（1）合同签订后，设备到货且乙方提供有效的合同总价款的80%税务发票及丙方签字盖章的到货单等相关材料，甲方收到完整版材料后 7工作日内向乙方支付合同总价款的80%；设备通过最终验收合格后，乙方向丙方提交有效的合同总价款的20%税务发票、设备使用说明书、维修手册、合格证、保修单和安装验收报告等全部材料，且提交合同总价款5%的银行保函原件（期限为设备保修期限届满后三个月）（如付款单位为甲方，则需提供有效的合同总价款的20%税务发票丙方签字盖章的验收报告，其余相关材料交付丙方），丙方（甲方）收到完整版材料后7个工作日内向乙方支付合同总价款的20%。（如使用单位为省级医疗机构则全部由甲方付款。）</w:t>
      </w:r>
    </w:p>
    <w:p w14:paraId="38EFBC1C">
      <w:pPr>
        <w:bidi w:val="0"/>
        <w:spacing w:line="360" w:lineRule="auto"/>
        <w:ind w:firstLine="480" w:firstLineChars="200"/>
        <w:rPr>
          <w:rFonts w:hint="eastAsia" w:cs="Times New Roman"/>
          <w:sz w:val="24"/>
          <w:szCs w:val="21"/>
          <w:lang w:val="en-US" w:eastAsia="zh-CN"/>
        </w:rPr>
      </w:pPr>
      <w:r>
        <w:rPr>
          <w:rFonts w:hint="eastAsia" w:cs="Times New Roman"/>
          <w:sz w:val="24"/>
          <w:szCs w:val="21"/>
          <w:lang w:val="en-US" w:eastAsia="zh-CN"/>
        </w:rPr>
        <w:t>（2）设备自保修期限届满后1</w:t>
      </w:r>
      <w:bookmarkStart w:id="10" w:name="_GoBack"/>
      <w:bookmarkEnd w:id="10"/>
      <w:r>
        <w:rPr>
          <w:rFonts w:hint="eastAsia" w:cs="Times New Roman"/>
          <w:sz w:val="24"/>
          <w:szCs w:val="21"/>
          <w:lang w:val="en-US" w:eastAsia="zh-CN"/>
        </w:rPr>
        <w:t>0日内，经甲方或丙方确认乙方所提供设备无任何产品质量、售后问题，甲方或丙方将合同总价款5%的银行保函原件退还给乙方。</w:t>
      </w:r>
    </w:p>
    <w:p w14:paraId="31BACF02">
      <w:pPr>
        <w:bidi w:val="0"/>
        <w:spacing w:line="360" w:lineRule="auto"/>
        <w:ind w:firstLine="480" w:firstLineChars="200"/>
        <w:rPr>
          <w:rStyle w:val="7"/>
          <w:rFonts w:hint="eastAsia" w:ascii="宋体" w:hAnsi="宋体" w:eastAsia="宋体" w:cs="宋体"/>
          <w:color w:val="auto"/>
          <w:sz w:val="24"/>
          <w:szCs w:val="24"/>
          <w:highlight w:val="none"/>
        </w:rPr>
      </w:pPr>
      <w:r>
        <w:rPr>
          <w:rFonts w:hint="eastAsia" w:cs="Times New Roman"/>
          <w:sz w:val="24"/>
          <w:szCs w:val="21"/>
          <w:lang w:val="en-US" w:eastAsia="zh-CN"/>
        </w:rPr>
        <w:t>（3）见票付款，乙方应于付款前，按照甲方或丙方要求，</w:t>
      </w:r>
      <w:r>
        <w:rPr>
          <w:rFonts w:hint="eastAsia" w:ascii="宋体" w:hAnsi="宋体" w:eastAsia="宋体" w:cs="宋体"/>
          <w:color w:val="auto"/>
          <w:sz w:val="24"/>
          <w:szCs w:val="24"/>
          <w:highlight w:val="none"/>
          <w:lang w:eastAsia="zh-CN"/>
        </w:rPr>
        <w:t>提供正规的税务发票</w:t>
      </w:r>
      <w:r>
        <w:rPr>
          <w:rFonts w:hint="eastAsia" w:cs="Times New Roman"/>
          <w:sz w:val="24"/>
          <w:szCs w:val="21"/>
          <w:lang w:val="en-US" w:eastAsia="zh-CN"/>
        </w:rPr>
        <w:t>，付款单位收到发票后支付相应款项。乙方未提供发票的，付款单位有权暂时不予支付款项，且无需承担相应的违约责任。</w:t>
      </w:r>
    </w:p>
    <w:p w14:paraId="012D27E9">
      <w:pPr>
        <w:numPr>
          <w:ilvl w:val="0"/>
          <w:numId w:val="0"/>
        </w:numPr>
        <w:spacing w:line="360" w:lineRule="auto"/>
        <w:ind w:leftChars="0"/>
        <w:rPr>
          <w:rFonts w:hint="default"/>
          <w:b/>
          <w:bCs/>
          <w:sz w:val="24"/>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7B6E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460D44">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2460D44">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1C3D7"/>
    <w:multiLevelType w:val="singleLevel"/>
    <w:tmpl w:val="AFD1C3D7"/>
    <w:lvl w:ilvl="0" w:tentative="0">
      <w:start w:val="1"/>
      <w:numFmt w:val="decimal"/>
      <w:lvlText w:val="%1."/>
      <w:lvlJc w:val="left"/>
      <w:pPr>
        <w:tabs>
          <w:tab w:val="left" w:pos="312"/>
        </w:tabs>
      </w:pPr>
    </w:lvl>
  </w:abstractNum>
  <w:abstractNum w:abstractNumId="1">
    <w:nsid w:val="2CFCCE30"/>
    <w:multiLevelType w:val="singleLevel"/>
    <w:tmpl w:val="2CFCCE30"/>
    <w:lvl w:ilvl="0" w:tentative="0">
      <w:start w:val="1"/>
      <w:numFmt w:val="chineseCounting"/>
      <w:suff w:val="nothing"/>
      <w:lvlText w:val="%1、"/>
      <w:lvlJc w:val="left"/>
      <w:rPr>
        <w:rFonts w:hint="eastAsia"/>
      </w:rPr>
    </w:lvl>
  </w:abstractNum>
  <w:abstractNum w:abstractNumId="2">
    <w:nsid w:val="7C4B6E00"/>
    <w:multiLevelType w:val="singleLevel"/>
    <w:tmpl w:val="7C4B6E00"/>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024144"/>
    <w:rsid w:val="0E873C02"/>
    <w:rsid w:val="10F96AF0"/>
    <w:rsid w:val="169F02DA"/>
    <w:rsid w:val="192F4936"/>
    <w:rsid w:val="26145EA0"/>
    <w:rsid w:val="27E41823"/>
    <w:rsid w:val="3CCB088B"/>
    <w:rsid w:val="56CA5260"/>
    <w:rsid w:val="5F182096"/>
    <w:rsid w:val="657515D1"/>
    <w:rsid w:val="65871CFF"/>
    <w:rsid w:val="79FE0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character" w:customStyle="1" w:styleId="7">
    <w:name w:val="NormalCharacter"/>
    <w:semiHidden/>
    <w:qFormat/>
    <w:uiPriority w:val="99"/>
  </w:style>
  <w:style w:type="character" w:customStyle="1" w:styleId="8">
    <w:name w:val="font21"/>
    <w:basedOn w:val="5"/>
    <w:qFormat/>
    <w:uiPriority w:val="0"/>
    <w:rPr>
      <w:rFonts w:hint="eastAsia" w:ascii="宋体" w:hAnsi="宋体" w:eastAsia="宋体" w:cs="宋体"/>
      <w:color w:val="000000"/>
      <w:sz w:val="22"/>
      <w:szCs w:val="22"/>
      <w:u w:val="none"/>
    </w:rPr>
  </w:style>
  <w:style w:type="character" w:customStyle="1" w:styleId="9">
    <w:name w:val="font31"/>
    <w:basedOn w:val="5"/>
    <w:qFormat/>
    <w:uiPriority w:val="0"/>
    <w:rPr>
      <w:rFonts w:hint="eastAsia" w:ascii="宋体" w:hAnsi="宋体" w:eastAsia="宋体" w:cs="宋体"/>
      <w:color w:val="000000"/>
      <w:sz w:val="22"/>
      <w:szCs w:val="22"/>
      <w:u w:val="none"/>
      <w:vertAlign w:val="sub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2156</Words>
  <Characters>2543</Characters>
  <Lines>0</Lines>
  <Paragraphs>0</Paragraphs>
  <TotalTime>17</TotalTime>
  <ScaleCrop>false</ScaleCrop>
  <LinksUpToDate>false</LinksUpToDate>
  <CharactersWithSpaces>2557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2026-06-08T06:34:00Z</dcterms:created>
  <dc:creator>adm</dc:creator>
  <cp:lastModifiedBy>WH</cp:lastModifiedBy>
  <dcterms:modified xsi:type="dcterms:W3CDTF">2026-07-22T01:04:58Z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eyJoZGlkIjoiZTI2MTM2YWU0MjIwZjhmNjFiYzlhNTgwNjliOGQ1YTUiLCJ1c2VySWQiOiIyNjQ1MTI4NDMifQ==</vt:lpwstr>
  </property>
  <property fmtid="{D5CDD505-2E9C-101B-9397-08002B2CF9AE}" pid="4" name="ICV">
    <vt:lpwstr>FEF98D899A474E76B4A0E045D4E7B433_12</vt:lpwstr>
  </property>
</Properties>
</file>