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9FDE3">
      <w:pPr>
        <w:pStyle w:val="13"/>
        <w:jc w:val="right"/>
        <w:rPr>
          <w:rFonts w:hint="eastAsia" w:ascii="宋体" w:hAnsi="宋体" w:eastAsia="宋体" w:cs="宋体"/>
          <w:b/>
          <w:bCs/>
          <w:sz w:val="28"/>
          <w:szCs w:val="28"/>
          <w:highlight w:val="none"/>
          <w:lang w:eastAsia="zh-CN"/>
        </w:rPr>
      </w:pPr>
      <w:r>
        <w:rPr>
          <w:rFonts w:hint="eastAsia" w:ascii="宋体" w:hAnsi="宋体" w:cs="宋体"/>
          <w:b/>
          <w:bCs/>
          <w:sz w:val="32"/>
          <w:szCs w:val="32"/>
          <w:highlight w:val="none"/>
          <w:lang w:eastAsia="zh-CN"/>
        </w:rPr>
        <w:t>项目编号： YNZC2026-C3-01974-HCYZ-0017</w:t>
      </w:r>
    </w:p>
    <w:p w14:paraId="34C98199">
      <w:pPr>
        <w:pStyle w:val="13"/>
        <w:rPr>
          <w:rFonts w:hint="eastAsia" w:ascii="宋体" w:hAnsi="宋体" w:cs="宋体"/>
          <w:highlight w:val="none"/>
        </w:rPr>
      </w:pPr>
    </w:p>
    <w:p w14:paraId="7B98FB56">
      <w:pPr>
        <w:pStyle w:val="16"/>
        <w:ind w:left="0" w:leftChars="0" w:firstLine="0" w:firstLineChars="0"/>
        <w:rPr>
          <w:rFonts w:hint="eastAsia"/>
          <w:highlight w:val="none"/>
        </w:rPr>
      </w:pPr>
    </w:p>
    <w:p w14:paraId="33468988">
      <w:pPr>
        <w:pStyle w:val="13"/>
        <w:jc w:val="center"/>
        <w:rPr>
          <w:rFonts w:hint="eastAsia" w:ascii="宋体" w:hAnsi="宋体" w:cs="宋体"/>
          <w:sz w:val="60"/>
          <w:szCs w:val="60"/>
          <w:highlight w:val="none"/>
        </w:rPr>
      </w:pPr>
      <w:r>
        <w:rPr>
          <w:rFonts w:hint="eastAsia" w:ascii="宋体" w:hAnsi="宋体" w:cs="宋体"/>
          <w:b/>
          <w:bCs/>
          <w:sz w:val="60"/>
          <w:szCs w:val="60"/>
          <w:highlight w:val="none"/>
          <w:lang w:eastAsia="zh-CN"/>
        </w:rPr>
        <w:t>云南省自然资源厅采矿用地复垦修复系统升级改造2025年项目</w:t>
      </w:r>
    </w:p>
    <w:p w14:paraId="100B7324">
      <w:pPr>
        <w:pStyle w:val="32"/>
        <w:ind w:left="0" w:leftChars="0" w:firstLine="0" w:firstLineChars="0"/>
        <w:rPr>
          <w:rFonts w:hint="eastAsia"/>
          <w:highlight w:val="none"/>
        </w:rPr>
      </w:pPr>
    </w:p>
    <w:p w14:paraId="676763BA">
      <w:pPr>
        <w:pStyle w:val="32"/>
        <w:ind w:left="0" w:leftChars="0" w:firstLine="0" w:firstLineChars="0"/>
        <w:rPr>
          <w:rFonts w:hint="eastAsia"/>
          <w:highlight w:val="none"/>
        </w:rPr>
      </w:pPr>
    </w:p>
    <w:p w14:paraId="7F1F96CF">
      <w:pPr>
        <w:jc w:val="center"/>
        <w:rPr>
          <w:rFonts w:hint="eastAsia" w:ascii="宋体" w:hAnsi="宋体" w:cs="宋体"/>
          <w:b/>
          <w:bCs/>
          <w:sz w:val="96"/>
          <w:szCs w:val="96"/>
          <w:highlight w:val="none"/>
        </w:rPr>
      </w:pPr>
      <w:r>
        <w:rPr>
          <w:rFonts w:hint="eastAsia" w:ascii="宋体" w:hAnsi="宋体" w:cs="宋体"/>
          <w:b/>
          <w:bCs/>
          <w:sz w:val="96"/>
          <w:szCs w:val="96"/>
          <w:highlight w:val="none"/>
        </w:rPr>
        <w:t>竞争性磋商文件</w:t>
      </w:r>
    </w:p>
    <w:p w14:paraId="24344C21">
      <w:pPr>
        <w:pStyle w:val="13"/>
        <w:rPr>
          <w:rFonts w:hint="eastAsia" w:ascii="宋体" w:hAnsi="宋体" w:cs="宋体"/>
          <w:b/>
          <w:sz w:val="36"/>
          <w:szCs w:val="36"/>
          <w:highlight w:val="none"/>
        </w:rPr>
      </w:pPr>
    </w:p>
    <w:p w14:paraId="4448A24A">
      <w:pPr>
        <w:pStyle w:val="13"/>
        <w:rPr>
          <w:rFonts w:hint="eastAsia" w:ascii="宋体" w:hAnsi="宋体" w:cs="宋体"/>
          <w:b/>
          <w:sz w:val="36"/>
          <w:szCs w:val="36"/>
          <w:highlight w:val="none"/>
        </w:rPr>
      </w:pPr>
    </w:p>
    <w:p w14:paraId="73563E29">
      <w:pPr>
        <w:pStyle w:val="13"/>
        <w:rPr>
          <w:rFonts w:hint="eastAsia" w:ascii="宋体" w:hAnsi="宋体" w:cs="宋体"/>
          <w:b/>
          <w:sz w:val="36"/>
          <w:szCs w:val="36"/>
          <w:highlight w:val="none"/>
        </w:rPr>
      </w:pPr>
    </w:p>
    <w:p w14:paraId="4FAD18A0">
      <w:pPr>
        <w:pStyle w:val="13"/>
        <w:rPr>
          <w:rFonts w:hint="eastAsia" w:ascii="宋体" w:hAnsi="宋体" w:cs="宋体"/>
          <w:b/>
          <w:sz w:val="36"/>
          <w:szCs w:val="36"/>
          <w:highlight w:val="none"/>
        </w:rPr>
      </w:pPr>
    </w:p>
    <w:p w14:paraId="419940D8">
      <w:pPr>
        <w:pStyle w:val="13"/>
        <w:rPr>
          <w:rFonts w:hint="eastAsia" w:ascii="宋体" w:hAnsi="宋体" w:cs="宋体"/>
          <w:b/>
          <w:sz w:val="36"/>
          <w:szCs w:val="36"/>
          <w:highlight w:val="none"/>
        </w:rPr>
      </w:pPr>
    </w:p>
    <w:p w14:paraId="13C897D0">
      <w:pPr>
        <w:pStyle w:val="13"/>
        <w:rPr>
          <w:rFonts w:hint="eastAsia" w:ascii="宋体" w:hAnsi="宋体" w:cs="宋体"/>
          <w:b/>
          <w:sz w:val="36"/>
          <w:szCs w:val="36"/>
          <w:highlight w:val="none"/>
        </w:rPr>
      </w:pPr>
    </w:p>
    <w:p w14:paraId="01BF8771">
      <w:pPr>
        <w:pStyle w:val="13"/>
        <w:rPr>
          <w:rFonts w:hint="eastAsia" w:ascii="宋体" w:hAnsi="宋体" w:eastAsia="宋体" w:cs="宋体"/>
          <w:b/>
          <w:sz w:val="36"/>
          <w:szCs w:val="36"/>
          <w:highlight w:val="none"/>
        </w:rPr>
      </w:pPr>
    </w:p>
    <w:p w14:paraId="654A2997">
      <w:pPr>
        <w:pStyle w:val="13"/>
        <w:rPr>
          <w:rFonts w:hint="eastAsia" w:ascii="宋体" w:hAnsi="宋体" w:eastAsia="宋体" w:cs="宋体"/>
          <w:b/>
          <w:sz w:val="36"/>
          <w:szCs w:val="36"/>
          <w:highlight w:val="none"/>
        </w:rPr>
      </w:pPr>
    </w:p>
    <w:p w14:paraId="0820A3EC">
      <w:pPr>
        <w:pStyle w:val="13"/>
        <w:spacing w:line="480" w:lineRule="auto"/>
        <w:ind w:firstLine="1084" w:firstLineChars="300"/>
        <w:rPr>
          <w:rFonts w:hint="eastAsia" w:ascii="宋体" w:hAnsi="宋体" w:eastAsia="宋体" w:cs="宋体"/>
          <w:b/>
          <w:sz w:val="36"/>
          <w:szCs w:val="36"/>
          <w:highlight w:val="none"/>
          <w:u w:val="single"/>
          <w:lang w:eastAsia="zh-CN"/>
        </w:rPr>
      </w:pPr>
      <w:r>
        <w:rPr>
          <w:rFonts w:hint="eastAsia" w:ascii="宋体" w:hAnsi="宋体" w:cs="宋体"/>
          <w:b/>
          <w:sz w:val="36"/>
          <w:szCs w:val="36"/>
          <w:highlight w:val="none"/>
        </w:rPr>
        <w:t>采   购   人：</w:t>
      </w:r>
      <w:r>
        <w:rPr>
          <w:rFonts w:hint="eastAsia" w:ascii="宋体" w:hAnsi="宋体" w:cs="宋体"/>
          <w:b/>
          <w:sz w:val="36"/>
          <w:szCs w:val="36"/>
          <w:highlight w:val="none"/>
          <w:lang w:eastAsia="zh-CN"/>
        </w:rPr>
        <w:t>云南省自然资源厅国土资源信息中心</w:t>
      </w:r>
    </w:p>
    <w:p w14:paraId="0F54D06B">
      <w:pPr>
        <w:pStyle w:val="13"/>
        <w:spacing w:line="480" w:lineRule="auto"/>
        <w:ind w:firstLine="1084" w:firstLineChars="300"/>
        <w:rPr>
          <w:rFonts w:hint="eastAsia" w:ascii="宋体" w:hAnsi="宋体" w:eastAsia="宋体" w:cs="宋体"/>
          <w:b/>
          <w:sz w:val="36"/>
          <w:szCs w:val="36"/>
          <w:highlight w:val="none"/>
          <w:u w:val="single"/>
          <w:lang w:eastAsia="zh-CN"/>
        </w:rPr>
      </w:pPr>
      <w:r>
        <w:rPr>
          <w:rFonts w:hint="eastAsia" w:ascii="宋体" w:hAnsi="宋体" w:cs="宋体"/>
          <w:b/>
          <w:sz w:val="36"/>
          <w:szCs w:val="36"/>
          <w:highlight w:val="none"/>
        </w:rPr>
        <w:t>采购代理机构：</w:t>
      </w:r>
      <w:r>
        <w:rPr>
          <w:rFonts w:hint="eastAsia" w:ascii="宋体" w:hAnsi="宋体" w:cs="宋体"/>
          <w:b/>
          <w:sz w:val="36"/>
          <w:szCs w:val="36"/>
          <w:highlight w:val="none"/>
          <w:lang w:eastAsia="zh-CN"/>
        </w:rPr>
        <w:t>华城云筑工程咨询管理(云南)有限公司</w:t>
      </w:r>
    </w:p>
    <w:p w14:paraId="5C936E84">
      <w:pPr>
        <w:pStyle w:val="13"/>
        <w:spacing w:line="480" w:lineRule="auto"/>
        <w:ind w:firstLine="1084" w:firstLineChars="300"/>
        <w:rPr>
          <w:rFonts w:hint="eastAsia" w:ascii="宋体" w:hAnsi="宋体" w:cs="宋体"/>
          <w:b/>
          <w:sz w:val="36"/>
          <w:szCs w:val="36"/>
          <w:highlight w:val="none"/>
          <w:lang w:eastAsia="zh-CN"/>
        </w:rPr>
      </w:pPr>
      <w:r>
        <w:rPr>
          <w:rFonts w:hint="eastAsia" w:ascii="宋体" w:hAnsi="宋体" w:cs="宋体"/>
          <w:b/>
          <w:sz w:val="36"/>
          <w:szCs w:val="36"/>
          <w:highlight w:val="none"/>
        </w:rPr>
        <w:t>日        期：</w:t>
      </w:r>
      <w:r>
        <w:rPr>
          <w:rFonts w:hint="eastAsia" w:ascii="宋体" w:hAnsi="宋体" w:cs="宋体"/>
          <w:b/>
          <w:sz w:val="36"/>
          <w:szCs w:val="36"/>
          <w:highlight w:val="none"/>
          <w:lang w:eastAsia="zh-CN"/>
        </w:rPr>
        <w:t>2026年</w:t>
      </w:r>
      <w:r>
        <w:rPr>
          <w:rFonts w:hint="eastAsia" w:ascii="宋体" w:hAnsi="宋体" w:cs="宋体"/>
          <w:b/>
          <w:sz w:val="36"/>
          <w:szCs w:val="36"/>
          <w:highlight w:val="none"/>
          <w:lang w:val="en-US" w:eastAsia="zh-CN"/>
        </w:rPr>
        <w:t>4</w:t>
      </w:r>
      <w:r>
        <w:rPr>
          <w:rFonts w:hint="eastAsia" w:ascii="宋体" w:hAnsi="宋体" w:cs="宋体"/>
          <w:b/>
          <w:sz w:val="36"/>
          <w:szCs w:val="36"/>
          <w:highlight w:val="none"/>
          <w:lang w:eastAsia="zh-CN"/>
        </w:rPr>
        <w:t>月</w:t>
      </w:r>
    </w:p>
    <w:p w14:paraId="5A8149AA">
      <w:pPr>
        <w:pStyle w:val="16"/>
        <w:rPr>
          <w:rFonts w:hint="eastAsia" w:ascii="宋体" w:hAnsi="宋体" w:cs="宋体"/>
          <w:b/>
          <w:sz w:val="36"/>
          <w:szCs w:val="36"/>
          <w:highlight w:val="none"/>
          <w:lang w:eastAsia="zh-CN"/>
        </w:rPr>
      </w:pPr>
    </w:p>
    <w:p w14:paraId="67D8A6D4">
      <w:pPr>
        <w:rPr>
          <w:rFonts w:hint="eastAsia"/>
          <w:lang w:eastAsia="zh-CN"/>
        </w:rPr>
        <w:sectPr>
          <w:headerReference r:id="rId3" w:type="default"/>
          <w:pgSz w:w="11906" w:h="16838"/>
          <w:pgMar w:top="1440" w:right="1083" w:bottom="1440" w:left="1083" w:header="720" w:footer="720" w:gutter="0"/>
          <w:pgNumType w:fmt="decimal"/>
          <w:cols w:space="720" w:num="1"/>
          <w:titlePg/>
          <w:docGrid w:type="lines" w:linePitch="317" w:charSpace="0"/>
        </w:sectPr>
      </w:pPr>
    </w:p>
    <w:p w14:paraId="1B821B2A">
      <w:pPr>
        <w:jc w:val="center"/>
        <w:rPr>
          <w:rFonts w:hint="eastAsia" w:ascii="宋体" w:hAnsi="宋体" w:cs="宋体"/>
          <w:b/>
          <w:bCs/>
          <w:sz w:val="44"/>
          <w:szCs w:val="44"/>
          <w:highlight w:val="none"/>
        </w:rPr>
      </w:pPr>
      <w:r>
        <w:rPr>
          <w:rFonts w:hint="eastAsia" w:ascii="宋体" w:hAnsi="宋体" w:cs="宋体"/>
          <w:b/>
          <w:bCs/>
          <w:sz w:val="44"/>
          <w:szCs w:val="44"/>
          <w:highlight w:val="none"/>
        </w:rPr>
        <w:t>目  录</w:t>
      </w:r>
    </w:p>
    <w:p w14:paraId="068AE5A9">
      <w:pPr>
        <w:pStyle w:val="23"/>
        <w:tabs>
          <w:tab w:val="right" w:leader="dot" w:pos="9740"/>
        </w:tabs>
      </w:pPr>
      <w:bookmarkStart w:id="0" w:name="_Toc25108"/>
      <w:bookmarkEnd w:id="0"/>
      <w:bookmarkStart w:id="1" w:name="_Toc29067"/>
      <w:bookmarkEnd w:id="1"/>
      <w:r>
        <w:rPr>
          <w:rFonts w:ascii="宋体" w:hAnsi="宋体" w:cs="宋体"/>
          <w:b w:val="0"/>
          <w:bCs w:val="0"/>
          <w:caps w:val="0"/>
          <w:sz w:val="22"/>
          <w:szCs w:val="22"/>
          <w:highlight w:val="none"/>
        </w:rPr>
        <w:fldChar w:fldCharType="begin"/>
      </w:r>
      <w:r>
        <w:rPr>
          <w:rFonts w:ascii="宋体" w:hAnsi="宋体" w:cs="宋体"/>
          <w:b w:val="0"/>
          <w:bCs w:val="0"/>
          <w:caps w:val="0"/>
          <w:sz w:val="22"/>
          <w:szCs w:val="22"/>
          <w:highlight w:val="none"/>
        </w:rPr>
        <w:instrText xml:space="preserve"> </w:instrText>
      </w:r>
      <w:r>
        <w:rPr>
          <w:rFonts w:hint="eastAsia" w:ascii="宋体" w:hAnsi="宋体" w:cs="宋体"/>
          <w:b w:val="0"/>
          <w:bCs w:val="0"/>
          <w:caps w:val="0"/>
          <w:sz w:val="22"/>
          <w:szCs w:val="22"/>
          <w:highlight w:val="none"/>
        </w:rPr>
        <w:instrText xml:space="preserve">TOC \o "1-3" \h \z \u</w:instrText>
      </w:r>
      <w:r>
        <w:rPr>
          <w:rFonts w:ascii="宋体" w:hAnsi="宋体" w:cs="宋体"/>
          <w:b w:val="0"/>
          <w:bCs w:val="0"/>
          <w:caps w:val="0"/>
          <w:sz w:val="22"/>
          <w:szCs w:val="22"/>
          <w:highlight w:val="none"/>
        </w:rPr>
        <w:instrText xml:space="preserve"> </w:instrText>
      </w:r>
      <w:r>
        <w:rPr>
          <w:rFonts w:ascii="宋体" w:hAnsi="宋体" w:cs="宋体"/>
          <w:b w:val="0"/>
          <w:bCs w:val="0"/>
          <w:caps w:val="0"/>
          <w:sz w:val="22"/>
          <w:szCs w:val="22"/>
          <w:highlight w:val="none"/>
        </w:rPr>
        <w:fldChar w:fldCharType="separate"/>
      </w:r>
      <w:r>
        <w:rPr>
          <w:rFonts w:ascii="宋体" w:hAnsi="宋体" w:cs="宋体"/>
          <w:bCs w:val="0"/>
          <w:caps w:val="0"/>
          <w:szCs w:val="22"/>
          <w:highlight w:val="none"/>
        </w:rPr>
        <w:fldChar w:fldCharType="begin"/>
      </w:r>
      <w:r>
        <w:rPr>
          <w:rFonts w:ascii="宋体" w:hAnsi="宋体" w:cs="宋体"/>
          <w:bCs w:val="0"/>
          <w:caps w:val="0"/>
          <w:szCs w:val="22"/>
          <w:highlight w:val="none"/>
        </w:rPr>
        <w:instrText xml:space="preserve"> HYPERLINK \l _Toc882 </w:instrText>
      </w:r>
      <w:r>
        <w:rPr>
          <w:rFonts w:ascii="宋体" w:hAnsi="宋体" w:cs="宋体"/>
          <w:bCs w:val="0"/>
          <w:caps w:val="0"/>
          <w:szCs w:val="22"/>
          <w:highlight w:val="none"/>
        </w:rPr>
        <w:fldChar w:fldCharType="separate"/>
      </w:r>
      <w:r>
        <w:rPr>
          <w:rFonts w:hint="eastAsia" w:ascii="宋体" w:hAnsi="宋体" w:cs="宋体"/>
          <w:highlight w:val="none"/>
        </w:rPr>
        <w:t>第一章 竞争性磋商公告</w:t>
      </w:r>
      <w:r>
        <w:tab/>
      </w:r>
      <w:r>
        <w:fldChar w:fldCharType="begin"/>
      </w:r>
      <w:r>
        <w:instrText xml:space="preserve"> PAGEREF _Toc882 \h </w:instrText>
      </w:r>
      <w:r>
        <w:fldChar w:fldCharType="separate"/>
      </w:r>
      <w:r>
        <w:t>2</w:t>
      </w:r>
      <w:r>
        <w:fldChar w:fldCharType="end"/>
      </w:r>
      <w:r>
        <w:rPr>
          <w:rFonts w:ascii="宋体" w:hAnsi="宋体" w:cs="宋体"/>
          <w:bCs w:val="0"/>
          <w:caps w:val="0"/>
          <w:szCs w:val="22"/>
          <w:highlight w:val="none"/>
        </w:rPr>
        <w:fldChar w:fldCharType="end"/>
      </w:r>
    </w:p>
    <w:p w14:paraId="53BD4239">
      <w:pPr>
        <w:pStyle w:val="23"/>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_Toc18080 </w:instrText>
      </w:r>
      <w:r>
        <w:rPr>
          <w:rFonts w:ascii="宋体" w:hAnsi="宋体" w:cs="宋体"/>
          <w:bCs/>
          <w:caps/>
          <w:szCs w:val="22"/>
          <w:highlight w:val="none"/>
        </w:rPr>
        <w:fldChar w:fldCharType="separate"/>
      </w:r>
      <w:r>
        <w:rPr>
          <w:rFonts w:hint="eastAsia" w:ascii="宋体" w:hAnsi="宋体" w:cs="宋体"/>
          <w:bCs/>
          <w:highlight w:val="none"/>
        </w:rPr>
        <w:t>第二章 供应商须知</w:t>
      </w:r>
      <w:r>
        <w:tab/>
      </w:r>
      <w:r>
        <w:fldChar w:fldCharType="begin"/>
      </w:r>
      <w:r>
        <w:instrText xml:space="preserve"> PAGEREF _Toc18080 \h </w:instrText>
      </w:r>
      <w:r>
        <w:fldChar w:fldCharType="separate"/>
      </w:r>
      <w:r>
        <w:t>7</w:t>
      </w:r>
      <w:r>
        <w:fldChar w:fldCharType="end"/>
      </w:r>
      <w:r>
        <w:rPr>
          <w:rFonts w:ascii="宋体" w:hAnsi="宋体" w:cs="宋体"/>
          <w:bCs/>
          <w:caps/>
          <w:szCs w:val="22"/>
          <w:highlight w:val="none"/>
        </w:rPr>
        <w:fldChar w:fldCharType="end"/>
      </w:r>
    </w:p>
    <w:p w14:paraId="5B5A93FA">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_Toc227 </w:instrText>
      </w:r>
      <w:r>
        <w:rPr>
          <w:rFonts w:ascii="宋体" w:hAnsi="宋体" w:cs="宋体"/>
          <w:bCs/>
          <w:caps/>
          <w:szCs w:val="22"/>
          <w:highlight w:val="none"/>
        </w:rPr>
        <w:fldChar w:fldCharType="separate"/>
      </w:r>
      <w:r>
        <w:rPr>
          <w:rFonts w:hint="eastAsia" w:ascii="宋体" w:hAnsi="宋体" w:eastAsia="宋体" w:cs="宋体"/>
          <w:szCs w:val="28"/>
          <w:highlight w:val="none"/>
        </w:rPr>
        <w:t>供应商须知前附表</w:t>
      </w:r>
      <w:r>
        <w:tab/>
      </w:r>
      <w:r>
        <w:fldChar w:fldCharType="begin"/>
      </w:r>
      <w:r>
        <w:instrText xml:space="preserve"> PAGEREF _Toc227 \h </w:instrText>
      </w:r>
      <w:r>
        <w:fldChar w:fldCharType="separate"/>
      </w:r>
      <w:r>
        <w:t>7</w:t>
      </w:r>
      <w:r>
        <w:fldChar w:fldCharType="end"/>
      </w:r>
      <w:r>
        <w:rPr>
          <w:rFonts w:ascii="宋体" w:hAnsi="宋体" w:cs="宋体"/>
          <w:bCs/>
          <w:caps/>
          <w:szCs w:val="22"/>
          <w:highlight w:val="none"/>
        </w:rPr>
        <w:fldChar w:fldCharType="end"/>
      </w:r>
    </w:p>
    <w:p w14:paraId="2778B27E">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_Toc3680 </w:instrText>
      </w:r>
      <w:r>
        <w:rPr>
          <w:rFonts w:ascii="宋体" w:hAnsi="宋体" w:cs="宋体"/>
          <w:bCs/>
          <w:caps/>
          <w:szCs w:val="22"/>
          <w:highlight w:val="none"/>
        </w:rPr>
        <w:fldChar w:fldCharType="separate"/>
      </w:r>
      <w:r>
        <w:rPr>
          <w:rFonts w:hint="eastAsia" w:ascii="宋体" w:hAnsi="宋体" w:eastAsia="宋体" w:cs="宋体"/>
          <w:bCs/>
          <w:szCs w:val="28"/>
          <w:highlight w:val="none"/>
        </w:rPr>
        <w:t>1.总则</w:t>
      </w:r>
      <w:r>
        <w:tab/>
      </w:r>
      <w:r>
        <w:fldChar w:fldCharType="begin"/>
      </w:r>
      <w:r>
        <w:instrText xml:space="preserve"> PAGEREF _Toc3680 \h </w:instrText>
      </w:r>
      <w:r>
        <w:fldChar w:fldCharType="separate"/>
      </w:r>
      <w:r>
        <w:t>13</w:t>
      </w:r>
      <w:r>
        <w:fldChar w:fldCharType="end"/>
      </w:r>
      <w:r>
        <w:rPr>
          <w:rFonts w:ascii="宋体" w:hAnsi="宋体" w:cs="宋体"/>
          <w:bCs/>
          <w:caps/>
          <w:szCs w:val="22"/>
          <w:highlight w:val="none"/>
        </w:rPr>
        <w:fldChar w:fldCharType="end"/>
      </w:r>
    </w:p>
    <w:p w14:paraId="7C802734">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_Toc6666 </w:instrText>
      </w:r>
      <w:r>
        <w:rPr>
          <w:rFonts w:ascii="宋体" w:hAnsi="宋体" w:cs="宋体"/>
          <w:bCs/>
          <w:caps/>
          <w:szCs w:val="22"/>
          <w:highlight w:val="none"/>
        </w:rPr>
        <w:fldChar w:fldCharType="separate"/>
      </w:r>
      <w:r>
        <w:rPr>
          <w:rFonts w:hint="eastAsia" w:ascii="宋体" w:hAnsi="宋体" w:eastAsia="宋体" w:cs="宋体"/>
          <w:szCs w:val="28"/>
          <w:highlight w:val="none"/>
        </w:rPr>
        <w:t>2.竞争性磋商文件</w:t>
      </w:r>
      <w:r>
        <w:tab/>
      </w:r>
      <w:r>
        <w:fldChar w:fldCharType="begin"/>
      </w:r>
      <w:r>
        <w:instrText xml:space="preserve"> PAGEREF _Toc6666 \h </w:instrText>
      </w:r>
      <w:r>
        <w:fldChar w:fldCharType="separate"/>
      </w:r>
      <w:r>
        <w:t>14</w:t>
      </w:r>
      <w:r>
        <w:fldChar w:fldCharType="end"/>
      </w:r>
      <w:r>
        <w:rPr>
          <w:rFonts w:ascii="宋体" w:hAnsi="宋体" w:cs="宋体"/>
          <w:bCs/>
          <w:caps/>
          <w:szCs w:val="22"/>
          <w:highlight w:val="none"/>
        </w:rPr>
        <w:fldChar w:fldCharType="end"/>
      </w:r>
    </w:p>
    <w:p w14:paraId="2264DAF0">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_Toc24541 </w:instrText>
      </w:r>
      <w:r>
        <w:rPr>
          <w:rFonts w:ascii="宋体" w:hAnsi="宋体" w:cs="宋体"/>
          <w:bCs/>
          <w:caps/>
          <w:szCs w:val="22"/>
          <w:highlight w:val="none"/>
        </w:rPr>
        <w:fldChar w:fldCharType="separate"/>
      </w:r>
      <w:r>
        <w:rPr>
          <w:rFonts w:hint="eastAsia" w:ascii="宋体" w:hAnsi="宋体" w:eastAsia="宋体" w:cs="宋体"/>
          <w:szCs w:val="28"/>
          <w:highlight w:val="none"/>
        </w:rPr>
        <w:t>3.响应文件</w:t>
      </w:r>
      <w:r>
        <w:tab/>
      </w:r>
      <w:r>
        <w:fldChar w:fldCharType="begin"/>
      </w:r>
      <w:r>
        <w:instrText xml:space="preserve"> PAGEREF _Toc24541 \h </w:instrText>
      </w:r>
      <w:r>
        <w:fldChar w:fldCharType="separate"/>
      </w:r>
      <w:r>
        <w:t>15</w:t>
      </w:r>
      <w:r>
        <w:fldChar w:fldCharType="end"/>
      </w:r>
      <w:r>
        <w:rPr>
          <w:rFonts w:ascii="宋体" w:hAnsi="宋体" w:cs="宋体"/>
          <w:bCs/>
          <w:caps/>
          <w:szCs w:val="22"/>
          <w:highlight w:val="none"/>
        </w:rPr>
        <w:fldChar w:fldCharType="end"/>
      </w:r>
    </w:p>
    <w:p w14:paraId="3BE24631">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_Toc1119 </w:instrText>
      </w:r>
      <w:r>
        <w:rPr>
          <w:rFonts w:ascii="宋体" w:hAnsi="宋体" w:cs="宋体"/>
          <w:bCs/>
          <w:caps/>
          <w:szCs w:val="22"/>
          <w:highlight w:val="none"/>
        </w:rPr>
        <w:fldChar w:fldCharType="separate"/>
      </w:r>
      <w:r>
        <w:rPr>
          <w:rFonts w:hint="eastAsia" w:ascii="宋体" w:hAnsi="宋体" w:eastAsia="宋体" w:cs="宋体"/>
          <w:szCs w:val="28"/>
          <w:highlight w:val="none"/>
        </w:rPr>
        <w:t>4.磋商</w:t>
      </w:r>
      <w:r>
        <w:tab/>
      </w:r>
      <w:r>
        <w:fldChar w:fldCharType="begin"/>
      </w:r>
      <w:r>
        <w:instrText xml:space="preserve"> PAGEREF _Toc1119 \h </w:instrText>
      </w:r>
      <w:r>
        <w:fldChar w:fldCharType="separate"/>
      </w:r>
      <w:r>
        <w:t>16</w:t>
      </w:r>
      <w:r>
        <w:fldChar w:fldCharType="end"/>
      </w:r>
      <w:r>
        <w:rPr>
          <w:rFonts w:ascii="宋体" w:hAnsi="宋体" w:cs="宋体"/>
          <w:bCs/>
          <w:caps/>
          <w:szCs w:val="22"/>
          <w:highlight w:val="none"/>
        </w:rPr>
        <w:fldChar w:fldCharType="end"/>
      </w:r>
    </w:p>
    <w:p w14:paraId="23366C22">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_Toc25495 </w:instrText>
      </w:r>
      <w:r>
        <w:rPr>
          <w:rFonts w:ascii="宋体" w:hAnsi="宋体" w:cs="宋体"/>
          <w:bCs/>
          <w:caps/>
          <w:szCs w:val="22"/>
          <w:highlight w:val="none"/>
        </w:rPr>
        <w:fldChar w:fldCharType="separate"/>
      </w:r>
      <w:r>
        <w:rPr>
          <w:rFonts w:hint="eastAsia" w:ascii="宋体" w:hAnsi="宋体" w:eastAsia="宋体" w:cs="宋体"/>
          <w:szCs w:val="28"/>
          <w:highlight w:val="none"/>
        </w:rPr>
        <w:t>5.开启</w:t>
      </w:r>
      <w:r>
        <w:tab/>
      </w:r>
      <w:r>
        <w:fldChar w:fldCharType="begin"/>
      </w:r>
      <w:r>
        <w:instrText xml:space="preserve"> PAGEREF _Toc25495 \h </w:instrText>
      </w:r>
      <w:r>
        <w:fldChar w:fldCharType="separate"/>
      </w:r>
      <w:r>
        <w:t>17</w:t>
      </w:r>
      <w:r>
        <w:fldChar w:fldCharType="end"/>
      </w:r>
      <w:r>
        <w:rPr>
          <w:rFonts w:ascii="宋体" w:hAnsi="宋体" w:cs="宋体"/>
          <w:bCs/>
          <w:caps/>
          <w:szCs w:val="22"/>
          <w:highlight w:val="none"/>
        </w:rPr>
        <w:fldChar w:fldCharType="end"/>
      </w:r>
    </w:p>
    <w:p w14:paraId="517C4BC4">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_Toc5032 </w:instrText>
      </w:r>
      <w:r>
        <w:rPr>
          <w:rFonts w:ascii="宋体" w:hAnsi="宋体" w:cs="宋体"/>
          <w:bCs/>
          <w:caps/>
          <w:szCs w:val="22"/>
          <w:highlight w:val="none"/>
        </w:rPr>
        <w:fldChar w:fldCharType="separate"/>
      </w:r>
      <w:r>
        <w:rPr>
          <w:rFonts w:hint="eastAsia" w:ascii="宋体" w:hAnsi="宋体" w:eastAsia="宋体" w:cs="宋体"/>
          <w:szCs w:val="28"/>
          <w:highlight w:val="none"/>
        </w:rPr>
        <w:t>6.评审</w:t>
      </w:r>
      <w:r>
        <w:tab/>
      </w:r>
      <w:r>
        <w:fldChar w:fldCharType="begin"/>
      </w:r>
      <w:r>
        <w:instrText xml:space="preserve"> PAGEREF _Toc5032 \h </w:instrText>
      </w:r>
      <w:r>
        <w:fldChar w:fldCharType="separate"/>
      </w:r>
      <w:r>
        <w:t>17</w:t>
      </w:r>
      <w:r>
        <w:fldChar w:fldCharType="end"/>
      </w:r>
      <w:r>
        <w:rPr>
          <w:rFonts w:ascii="宋体" w:hAnsi="宋体" w:cs="宋体"/>
          <w:bCs/>
          <w:caps/>
          <w:szCs w:val="22"/>
          <w:highlight w:val="none"/>
        </w:rPr>
        <w:fldChar w:fldCharType="end"/>
      </w:r>
    </w:p>
    <w:p w14:paraId="3DB7B199">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_Toc15987 </w:instrText>
      </w:r>
      <w:r>
        <w:rPr>
          <w:rFonts w:ascii="宋体" w:hAnsi="宋体" w:cs="宋体"/>
          <w:bCs/>
          <w:caps/>
          <w:szCs w:val="22"/>
          <w:highlight w:val="none"/>
        </w:rPr>
        <w:fldChar w:fldCharType="separate"/>
      </w:r>
      <w:r>
        <w:rPr>
          <w:rFonts w:hint="eastAsia" w:ascii="宋体" w:hAnsi="宋体" w:eastAsia="宋体" w:cs="宋体"/>
          <w:szCs w:val="28"/>
          <w:highlight w:val="none"/>
        </w:rPr>
        <w:t>7.成交和合同</w:t>
      </w:r>
      <w:r>
        <w:tab/>
      </w:r>
      <w:r>
        <w:fldChar w:fldCharType="begin"/>
      </w:r>
      <w:r>
        <w:instrText xml:space="preserve"> PAGEREF _Toc15987 \h </w:instrText>
      </w:r>
      <w:r>
        <w:fldChar w:fldCharType="separate"/>
      </w:r>
      <w:r>
        <w:t>18</w:t>
      </w:r>
      <w:r>
        <w:fldChar w:fldCharType="end"/>
      </w:r>
      <w:r>
        <w:rPr>
          <w:rFonts w:ascii="宋体" w:hAnsi="宋体" w:cs="宋体"/>
          <w:bCs/>
          <w:caps/>
          <w:szCs w:val="22"/>
          <w:highlight w:val="none"/>
        </w:rPr>
        <w:fldChar w:fldCharType="end"/>
      </w:r>
    </w:p>
    <w:p w14:paraId="4AE016EF">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_Toc24712 </w:instrText>
      </w:r>
      <w:r>
        <w:rPr>
          <w:rFonts w:ascii="宋体" w:hAnsi="宋体" w:cs="宋体"/>
          <w:bCs/>
          <w:caps/>
          <w:szCs w:val="22"/>
          <w:highlight w:val="none"/>
        </w:rPr>
        <w:fldChar w:fldCharType="separate"/>
      </w:r>
      <w:r>
        <w:rPr>
          <w:rFonts w:hint="eastAsia" w:ascii="宋体" w:hAnsi="宋体" w:eastAsia="宋体" w:cs="宋体"/>
          <w:bCs/>
          <w:szCs w:val="28"/>
          <w:highlight w:val="none"/>
        </w:rPr>
        <w:t>8.询问与答复</w:t>
      </w:r>
      <w:r>
        <w:tab/>
      </w:r>
      <w:r>
        <w:fldChar w:fldCharType="begin"/>
      </w:r>
      <w:r>
        <w:instrText xml:space="preserve"> PAGEREF _Toc24712 \h </w:instrText>
      </w:r>
      <w:r>
        <w:fldChar w:fldCharType="separate"/>
      </w:r>
      <w:r>
        <w:t>18</w:t>
      </w:r>
      <w:r>
        <w:fldChar w:fldCharType="end"/>
      </w:r>
      <w:r>
        <w:rPr>
          <w:rFonts w:ascii="宋体" w:hAnsi="宋体" w:cs="宋体"/>
          <w:bCs/>
          <w:caps/>
          <w:szCs w:val="22"/>
          <w:highlight w:val="none"/>
        </w:rPr>
        <w:fldChar w:fldCharType="end"/>
      </w:r>
    </w:p>
    <w:p w14:paraId="7A990627">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_Toc22680 </w:instrText>
      </w:r>
      <w:r>
        <w:rPr>
          <w:rFonts w:ascii="宋体" w:hAnsi="宋体" w:cs="宋体"/>
          <w:bCs/>
          <w:caps/>
          <w:szCs w:val="22"/>
          <w:highlight w:val="none"/>
        </w:rPr>
        <w:fldChar w:fldCharType="separate"/>
      </w:r>
      <w:r>
        <w:rPr>
          <w:rFonts w:hint="eastAsia" w:ascii="宋体" w:hAnsi="宋体" w:eastAsia="宋体" w:cs="宋体"/>
          <w:szCs w:val="28"/>
          <w:highlight w:val="none"/>
        </w:rPr>
        <w:t>9.质疑</w:t>
      </w:r>
      <w:r>
        <w:rPr>
          <w:rFonts w:hint="eastAsia" w:ascii="宋体" w:hAnsi="宋体" w:eastAsia="宋体" w:cs="宋体"/>
          <w:szCs w:val="28"/>
          <w:highlight w:val="none"/>
          <w:lang w:val="en-US" w:eastAsia="zh-CN"/>
        </w:rPr>
        <w:t>接受、回复</w:t>
      </w:r>
      <w:r>
        <w:tab/>
      </w:r>
      <w:r>
        <w:fldChar w:fldCharType="begin"/>
      </w:r>
      <w:r>
        <w:instrText xml:space="preserve"> PAGEREF _Toc22680 \h </w:instrText>
      </w:r>
      <w:r>
        <w:fldChar w:fldCharType="separate"/>
      </w:r>
      <w:r>
        <w:t>19</w:t>
      </w:r>
      <w:r>
        <w:fldChar w:fldCharType="end"/>
      </w:r>
      <w:r>
        <w:rPr>
          <w:rFonts w:ascii="宋体" w:hAnsi="宋体" w:cs="宋体"/>
          <w:bCs/>
          <w:caps/>
          <w:szCs w:val="22"/>
          <w:highlight w:val="none"/>
        </w:rPr>
        <w:fldChar w:fldCharType="end"/>
      </w:r>
    </w:p>
    <w:p w14:paraId="1BCBB830">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_Toc17515 </w:instrText>
      </w:r>
      <w:r>
        <w:rPr>
          <w:rFonts w:ascii="宋体" w:hAnsi="宋体" w:cs="宋体"/>
          <w:bCs/>
          <w:caps/>
          <w:szCs w:val="22"/>
          <w:highlight w:val="none"/>
        </w:rPr>
        <w:fldChar w:fldCharType="separate"/>
      </w:r>
      <w:r>
        <w:rPr>
          <w:rFonts w:hint="eastAsia" w:ascii="宋体" w:hAnsi="宋体" w:eastAsia="宋体"/>
          <w:szCs w:val="28"/>
          <w:highlight w:val="none"/>
        </w:rPr>
        <w:t>10.纪律和监督</w:t>
      </w:r>
      <w:r>
        <w:tab/>
      </w:r>
      <w:r>
        <w:fldChar w:fldCharType="begin"/>
      </w:r>
      <w:r>
        <w:instrText xml:space="preserve"> PAGEREF _Toc17515 \h </w:instrText>
      </w:r>
      <w:r>
        <w:fldChar w:fldCharType="separate"/>
      </w:r>
      <w:r>
        <w:t>19</w:t>
      </w:r>
      <w:r>
        <w:fldChar w:fldCharType="end"/>
      </w:r>
      <w:r>
        <w:rPr>
          <w:rFonts w:ascii="宋体" w:hAnsi="宋体" w:cs="宋体"/>
          <w:bCs/>
          <w:caps/>
          <w:szCs w:val="22"/>
          <w:highlight w:val="none"/>
        </w:rPr>
        <w:fldChar w:fldCharType="end"/>
      </w:r>
    </w:p>
    <w:p w14:paraId="0BDDD0F3">
      <w:pPr>
        <w:pStyle w:val="2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_Toc30746 </w:instrText>
      </w:r>
      <w:r>
        <w:rPr>
          <w:rFonts w:ascii="宋体" w:hAnsi="宋体" w:cs="宋体"/>
          <w:bCs/>
          <w:caps/>
          <w:szCs w:val="22"/>
          <w:highlight w:val="none"/>
        </w:rPr>
        <w:fldChar w:fldCharType="separate"/>
      </w:r>
      <w:r>
        <w:rPr>
          <w:rFonts w:hint="eastAsia" w:ascii="宋体" w:hAnsi="宋体" w:eastAsia="宋体" w:cs="宋体"/>
          <w:szCs w:val="28"/>
          <w:highlight w:val="none"/>
        </w:rPr>
        <w:t>1</w:t>
      </w:r>
      <w:r>
        <w:rPr>
          <w:rFonts w:hint="eastAsia" w:ascii="宋体" w:hAnsi="宋体" w:eastAsia="宋体" w:cs="宋体"/>
          <w:szCs w:val="28"/>
          <w:highlight w:val="none"/>
          <w:lang w:val="en-US" w:eastAsia="zh-CN"/>
        </w:rPr>
        <w:t>1</w:t>
      </w:r>
      <w:r>
        <w:rPr>
          <w:rFonts w:hint="eastAsia" w:ascii="宋体" w:hAnsi="宋体" w:eastAsia="宋体" w:cs="宋体"/>
          <w:szCs w:val="28"/>
          <w:highlight w:val="none"/>
        </w:rPr>
        <w:t>.需要补充的其他内容</w:t>
      </w:r>
      <w:r>
        <w:tab/>
      </w:r>
      <w:r>
        <w:fldChar w:fldCharType="begin"/>
      </w:r>
      <w:r>
        <w:instrText xml:space="preserve"> PAGEREF _Toc30746 \h </w:instrText>
      </w:r>
      <w:r>
        <w:fldChar w:fldCharType="separate"/>
      </w:r>
      <w:r>
        <w:t>20</w:t>
      </w:r>
      <w:r>
        <w:fldChar w:fldCharType="end"/>
      </w:r>
      <w:r>
        <w:rPr>
          <w:rFonts w:ascii="宋体" w:hAnsi="宋体" w:cs="宋体"/>
          <w:bCs/>
          <w:caps/>
          <w:szCs w:val="22"/>
          <w:highlight w:val="none"/>
        </w:rPr>
        <w:fldChar w:fldCharType="end"/>
      </w:r>
    </w:p>
    <w:p w14:paraId="6B078386">
      <w:pPr>
        <w:pStyle w:val="23"/>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_Toc24072 </w:instrText>
      </w:r>
      <w:r>
        <w:rPr>
          <w:rFonts w:ascii="宋体" w:hAnsi="宋体" w:cs="宋体"/>
          <w:bCs/>
          <w:caps/>
          <w:szCs w:val="22"/>
          <w:highlight w:val="none"/>
        </w:rPr>
        <w:fldChar w:fldCharType="separate"/>
      </w:r>
      <w:r>
        <w:rPr>
          <w:rFonts w:hint="eastAsia" w:ascii="宋体" w:hAnsi="宋体" w:cs="宋体"/>
          <w:highlight w:val="none"/>
        </w:rPr>
        <w:t>第三章 评审方法（综合评分法）</w:t>
      </w:r>
      <w:r>
        <w:tab/>
      </w:r>
      <w:r>
        <w:fldChar w:fldCharType="begin"/>
      </w:r>
      <w:r>
        <w:instrText xml:space="preserve"> PAGEREF _Toc24072 \h </w:instrText>
      </w:r>
      <w:r>
        <w:fldChar w:fldCharType="separate"/>
      </w:r>
      <w:r>
        <w:t>21</w:t>
      </w:r>
      <w:r>
        <w:fldChar w:fldCharType="end"/>
      </w:r>
      <w:r>
        <w:rPr>
          <w:rFonts w:ascii="宋体" w:hAnsi="宋体" w:cs="宋体"/>
          <w:bCs/>
          <w:caps/>
          <w:szCs w:val="22"/>
          <w:highlight w:val="none"/>
        </w:rPr>
        <w:fldChar w:fldCharType="end"/>
      </w:r>
    </w:p>
    <w:p w14:paraId="001B2FB8">
      <w:pPr>
        <w:pStyle w:val="23"/>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_Toc13821 </w:instrText>
      </w:r>
      <w:r>
        <w:rPr>
          <w:rFonts w:ascii="宋体" w:hAnsi="宋体" w:cs="宋体"/>
          <w:bCs/>
          <w:caps/>
          <w:szCs w:val="22"/>
          <w:highlight w:val="none"/>
        </w:rPr>
        <w:fldChar w:fldCharType="separate"/>
      </w:r>
      <w:r>
        <w:rPr>
          <w:rFonts w:hint="eastAsia" w:ascii="宋体" w:hAnsi="宋体"/>
          <w:i w:val="0"/>
          <w:iCs w:val="0"/>
          <w:highlight w:val="none"/>
        </w:rPr>
        <w:t xml:space="preserve">第四章 </w:t>
      </w:r>
      <w:r>
        <w:rPr>
          <w:rFonts w:hint="eastAsia" w:ascii="宋体" w:hAnsi="宋体"/>
          <w:i w:val="0"/>
          <w:iCs w:val="0"/>
          <w:highlight w:val="none"/>
          <w:lang w:eastAsia="zh-CN"/>
        </w:rPr>
        <w:t>合同草案条款及格式</w:t>
      </w:r>
      <w:r>
        <w:tab/>
      </w:r>
      <w:r>
        <w:fldChar w:fldCharType="begin"/>
      </w:r>
      <w:r>
        <w:instrText xml:space="preserve"> PAGEREF _Toc13821 \h </w:instrText>
      </w:r>
      <w:r>
        <w:fldChar w:fldCharType="separate"/>
      </w:r>
      <w:r>
        <w:t>32</w:t>
      </w:r>
      <w:r>
        <w:fldChar w:fldCharType="end"/>
      </w:r>
      <w:r>
        <w:rPr>
          <w:rFonts w:ascii="宋体" w:hAnsi="宋体" w:cs="宋体"/>
          <w:bCs/>
          <w:caps/>
          <w:szCs w:val="22"/>
          <w:highlight w:val="none"/>
        </w:rPr>
        <w:fldChar w:fldCharType="end"/>
      </w:r>
    </w:p>
    <w:p w14:paraId="07847CEB">
      <w:pPr>
        <w:pStyle w:val="23"/>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_Toc17421 </w:instrText>
      </w:r>
      <w:r>
        <w:rPr>
          <w:rFonts w:ascii="宋体" w:hAnsi="宋体" w:cs="宋体"/>
          <w:bCs/>
          <w:caps/>
          <w:szCs w:val="22"/>
          <w:highlight w:val="none"/>
        </w:rPr>
        <w:fldChar w:fldCharType="separate"/>
      </w:r>
      <w:r>
        <w:rPr>
          <w:rFonts w:hint="eastAsia" w:ascii="宋体" w:hAnsi="宋体" w:cs="宋体"/>
          <w:lang w:val="en-US" w:eastAsia="zh-CN"/>
        </w:rPr>
        <w:t xml:space="preserve">第五章 </w:t>
      </w:r>
      <w:r>
        <w:rPr>
          <w:rFonts w:hint="eastAsia" w:ascii="宋体" w:hAnsi="宋体" w:cs="宋体"/>
          <w:highlight w:val="none"/>
          <w:lang w:val="en-US" w:eastAsia="zh-CN"/>
        </w:rPr>
        <w:t>采购需求</w:t>
      </w:r>
      <w:r>
        <w:tab/>
      </w:r>
      <w:r>
        <w:fldChar w:fldCharType="begin"/>
      </w:r>
      <w:r>
        <w:instrText xml:space="preserve"> PAGEREF _Toc17421 \h </w:instrText>
      </w:r>
      <w:r>
        <w:fldChar w:fldCharType="separate"/>
      </w:r>
      <w:r>
        <w:t>47</w:t>
      </w:r>
      <w:r>
        <w:fldChar w:fldCharType="end"/>
      </w:r>
      <w:r>
        <w:rPr>
          <w:rFonts w:ascii="宋体" w:hAnsi="宋体" w:cs="宋体"/>
          <w:bCs/>
          <w:caps/>
          <w:szCs w:val="22"/>
          <w:highlight w:val="none"/>
        </w:rPr>
        <w:fldChar w:fldCharType="end"/>
      </w:r>
    </w:p>
    <w:p w14:paraId="415B54F0">
      <w:pPr>
        <w:pStyle w:val="23"/>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_Toc3802 </w:instrText>
      </w:r>
      <w:r>
        <w:rPr>
          <w:rFonts w:ascii="宋体" w:hAnsi="宋体" w:cs="宋体"/>
          <w:bCs/>
          <w:caps/>
          <w:szCs w:val="22"/>
          <w:highlight w:val="none"/>
        </w:rPr>
        <w:fldChar w:fldCharType="separate"/>
      </w:r>
      <w:r>
        <w:rPr>
          <w:rFonts w:hint="eastAsia" w:ascii="宋体" w:hAnsi="宋体" w:cs="宋体"/>
          <w:highlight w:val="none"/>
        </w:rPr>
        <w:t>第六章 响应文件格式</w:t>
      </w:r>
      <w:r>
        <w:tab/>
      </w:r>
      <w:r>
        <w:fldChar w:fldCharType="begin"/>
      </w:r>
      <w:r>
        <w:instrText xml:space="preserve"> PAGEREF _Toc3802 \h </w:instrText>
      </w:r>
      <w:r>
        <w:fldChar w:fldCharType="separate"/>
      </w:r>
      <w:r>
        <w:t>52</w:t>
      </w:r>
      <w:r>
        <w:fldChar w:fldCharType="end"/>
      </w:r>
      <w:r>
        <w:rPr>
          <w:rFonts w:ascii="宋体" w:hAnsi="宋体" w:cs="宋体"/>
          <w:bCs/>
          <w:caps/>
          <w:szCs w:val="22"/>
          <w:highlight w:val="none"/>
        </w:rPr>
        <w:fldChar w:fldCharType="end"/>
      </w:r>
    </w:p>
    <w:p w14:paraId="59576F73">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_Toc16403 </w:instrText>
      </w:r>
      <w:r>
        <w:rPr>
          <w:rFonts w:ascii="宋体" w:hAnsi="宋体" w:cs="宋体"/>
          <w:bCs/>
          <w:caps/>
          <w:szCs w:val="22"/>
          <w:highlight w:val="none"/>
        </w:rPr>
        <w:fldChar w:fldCharType="separate"/>
      </w:r>
      <w:r>
        <w:rPr>
          <w:rFonts w:hint="eastAsia" w:ascii="宋体" w:hAnsi="宋体" w:eastAsia="宋体" w:cs="宋体"/>
          <w:bCs/>
          <w:szCs w:val="28"/>
          <w:highlight w:val="none"/>
        </w:rPr>
        <w:t>初次报价表</w:t>
      </w:r>
      <w:r>
        <w:tab/>
      </w:r>
      <w:r>
        <w:fldChar w:fldCharType="begin"/>
      </w:r>
      <w:r>
        <w:instrText xml:space="preserve"> PAGEREF _Toc16403 \h </w:instrText>
      </w:r>
      <w:r>
        <w:fldChar w:fldCharType="separate"/>
      </w:r>
      <w:r>
        <w:t>53</w:t>
      </w:r>
      <w:r>
        <w:fldChar w:fldCharType="end"/>
      </w:r>
      <w:r>
        <w:rPr>
          <w:rFonts w:ascii="宋体" w:hAnsi="宋体" w:cs="宋体"/>
          <w:bCs/>
          <w:caps/>
          <w:szCs w:val="22"/>
          <w:highlight w:val="none"/>
        </w:rPr>
        <w:fldChar w:fldCharType="end"/>
      </w:r>
    </w:p>
    <w:p w14:paraId="0A4A760B">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_Toc15659 </w:instrText>
      </w:r>
      <w:r>
        <w:rPr>
          <w:rFonts w:ascii="宋体" w:hAnsi="宋体" w:cs="宋体"/>
          <w:bCs/>
          <w:caps/>
          <w:szCs w:val="22"/>
          <w:highlight w:val="none"/>
        </w:rPr>
        <w:fldChar w:fldCharType="separate"/>
      </w:r>
      <w:r>
        <w:rPr>
          <w:rFonts w:hint="eastAsia" w:ascii="宋体" w:hAnsi="宋体" w:cs="宋体"/>
          <w:bCs/>
          <w:szCs w:val="44"/>
          <w:highlight w:val="none"/>
        </w:rPr>
        <w:t>资格审查部分</w:t>
      </w:r>
      <w:r>
        <w:tab/>
      </w:r>
      <w:r>
        <w:fldChar w:fldCharType="begin"/>
      </w:r>
      <w:r>
        <w:instrText xml:space="preserve"> PAGEREF _Toc15659 \h </w:instrText>
      </w:r>
      <w:r>
        <w:fldChar w:fldCharType="separate"/>
      </w:r>
      <w:r>
        <w:t>54</w:t>
      </w:r>
      <w:r>
        <w:fldChar w:fldCharType="end"/>
      </w:r>
      <w:r>
        <w:rPr>
          <w:rFonts w:ascii="宋体" w:hAnsi="宋体" w:cs="宋体"/>
          <w:bCs/>
          <w:caps/>
          <w:szCs w:val="22"/>
          <w:highlight w:val="none"/>
        </w:rPr>
        <w:fldChar w:fldCharType="end"/>
      </w:r>
    </w:p>
    <w:p w14:paraId="41257426">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_Toc27845 </w:instrText>
      </w:r>
      <w:r>
        <w:rPr>
          <w:rFonts w:ascii="宋体" w:hAnsi="宋体" w:cs="宋体"/>
          <w:bCs/>
          <w:caps/>
          <w:szCs w:val="22"/>
          <w:highlight w:val="none"/>
        </w:rPr>
        <w:fldChar w:fldCharType="separate"/>
      </w:r>
      <w:r>
        <w:rPr>
          <w:rFonts w:hint="eastAsia" w:ascii="宋体" w:hAnsi="宋体" w:cs="宋体"/>
          <w:bCs/>
          <w:szCs w:val="44"/>
          <w:highlight w:val="none"/>
          <w:lang w:val="en-US" w:eastAsia="zh-CN"/>
        </w:rPr>
        <w:t>商务技术</w:t>
      </w:r>
      <w:r>
        <w:rPr>
          <w:rFonts w:hint="eastAsia" w:ascii="宋体" w:hAnsi="宋体" w:cs="宋体"/>
          <w:bCs/>
          <w:szCs w:val="44"/>
          <w:highlight w:val="none"/>
        </w:rPr>
        <w:t>部分</w:t>
      </w:r>
      <w:r>
        <w:tab/>
      </w:r>
      <w:r>
        <w:fldChar w:fldCharType="begin"/>
      </w:r>
      <w:r>
        <w:instrText xml:space="preserve"> PAGEREF _Toc27845 \h </w:instrText>
      </w:r>
      <w:r>
        <w:fldChar w:fldCharType="separate"/>
      </w:r>
      <w:r>
        <w:t>58</w:t>
      </w:r>
      <w:r>
        <w:fldChar w:fldCharType="end"/>
      </w:r>
      <w:r>
        <w:rPr>
          <w:rFonts w:ascii="宋体" w:hAnsi="宋体" w:cs="宋体"/>
          <w:bCs/>
          <w:caps/>
          <w:szCs w:val="22"/>
          <w:highlight w:val="none"/>
        </w:rPr>
        <w:fldChar w:fldCharType="end"/>
      </w:r>
    </w:p>
    <w:p w14:paraId="13297057">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_Toc7617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一</w:t>
      </w:r>
      <w:r>
        <w:rPr>
          <w:rFonts w:hint="eastAsia" w:ascii="宋体" w:hAnsi="宋体" w:eastAsia="宋体" w:cs="宋体"/>
          <w:bCs/>
          <w:szCs w:val="28"/>
          <w:highlight w:val="none"/>
          <w:lang w:val="en-US" w:eastAsia="zh-CN"/>
        </w:rPr>
        <w:t>、磋商函</w:t>
      </w:r>
      <w:r>
        <w:tab/>
      </w:r>
      <w:r>
        <w:fldChar w:fldCharType="begin"/>
      </w:r>
      <w:r>
        <w:instrText xml:space="preserve"> PAGEREF _Toc7617 \h </w:instrText>
      </w:r>
      <w:r>
        <w:fldChar w:fldCharType="separate"/>
      </w:r>
      <w:r>
        <w:t>59</w:t>
      </w:r>
      <w:r>
        <w:fldChar w:fldCharType="end"/>
      </w:r>
      <w:r>
        <w:rPr>
          <w:rFonts w:ascii="宋体" w:hAnsi="宋体" w:cs="宋体"/>
          <w:bCs/>
          <w:caps/>
          <w:szCs w:val="22"/>
          <w:highlight w:val="none"/>
        </w:rPr>
        <w:fldChar w:fldCharType="end"/>
      </w:r>
    </w:p>
    <w:p w14:paraId="701F75DB">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_Toc28194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二</w:t>
      </w:r>
      <w:r>
        <w:rPr>
          <w:rFonts w:hint="eastAsia" w:ascii="宋体" w:hAnsi="宋体" w:eastAsia="宋体" w:cs="宋体"/>
          <w:bCs/>
          <w:szCs w:val="28"/>
          <w:highlight w:val="none"/>
          <w:lang w:val="en-US" w:eastAsia="zh-CN"/>
        </w:rPr>
        <w:t>、</w:t>
      </w:r>
      <w:r>
        <w:rPr>
          <w:rFonts w:hint="eastAsia" w:ascii="宋体" w:hAnsi="宋体" w:cs="宋体"/>
          <w:bCs/>
          <w:szCs w:val="28"/>
          <w:highlight w:val="none"/>
          <w:lang w:val="en-US" w:eastAsia="zh-CN"/>
        </w:rPr>
        <w:t>法定代表人（单位负责人）</w:t>
      </w:r>
      <w:r>
        <w:rPr>
          <w:rFonts w:hint="eastAsia" w:ascii="宋体" w:hAnsi="宋体" w:eastAsia="宋体" w:cs="宋体"/>
          <w:bCs/>
          <w:szCs w:val="28"/>
          <w:highlight w:val="none"/>
          <w:lang w:val="en-US" w:eastAsia="zh-CN"/>
        </w:rPr>
        <w:t>身份证明书</w:t>
      </w:r>
      <w:r>
        <w:tab/>
      </w:r>
      <w:r>
        <w:fldChar w:fldCharType="begin"/>
      </w:r>
      <w:r>
        <w:instrText xml:space="preserve"> PAGEREF _Toc28194 \h </w:instrText>
      </w:r>
      <w:r>
        <w:fldChar w:fldCharType="separate"/>
      </w:r>
      <w:r>
        <w:t>60</w:t>
      </w:r>
      <w:r>
        <w:fldChar w:fldCharType="end"/>
      </w:r>
      <w:r>
        <w:rPr>
          <w:rFonts w:ascii="宋体" w:hAnsi="宋体" w:cs="宋体"/>
          <w:bCs/>
          <w:caps/>
          <w:szCs w:val="22"/>
          <w:highlight w:val="none"/>
        </w:rPr>
        <w:fldChar w:fldCharType="end"/>
      </w:r>
    </w:p>
    <w:p w14:paraId="438BA1B4">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_Toc10991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三</w:t>
      </w:r>
      <w:r>
        <w:rPr>
          <w:rFonts w:hint="eastAsia" w:ascii="宋体" w:hAnsi="宋体" w:eastAsia="宋体" w:cs="宋体"/>
          <w:bCs/>
          <w:szCs w:val="28"/>
          <w:highlight w:val="none"/>
          <w:lang w:val="en-US" w:eastAsia="zh-CN"/>
        </w:rPr>
        <w:t>、授权委托书</w:t>
      </w:r>
      <w:r>
        <w:tab/>
      </w:r>
      <w:r>
        <w:fldChar w:fldCharType="begin"/>
      </w:r>
      <w:r>
        <w:instrText xml:space="preserve"> PAGEREF _Toc10991 \h </w:instrText>
      </w:r>
      <w:r>
        <w:fldChar w:fldCharType="separate"/>
      </w:r>
      <w:r>
        <w:t>61</w:t>
      </w:r>
      <w:r>
        <w:fldChar w:fldCharType="end"/>
      </w:r>
      <w:r>
        <w:rPr>
          <w:rFonts w:ascii="宋体" w:hAnsi="宋体" w:cs="宋体"/>
          <w:bCs/>
          <w:caps/>
          <w:szCs w:val="22"/>
          <w:highlight w:val="none"/>
        </w:rPr>
        <w:fldChar w:fldCharType="end"/>
      </w:r>
    </w:p>
    <w:p w14:paraId="4701364D">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_Toc8937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四</w:t>
      </w:r>
      <w:r>
        <w:rPr>
          <w:rFonts w:hint="eastAsia" w:ascii="宋体" w:hAnsi="宋体" w:eastAsia="宋体" w:cs="宋体"/>
          <w:bCs/>
          <w:szCs w:val="28"/>
          <w:highlight w:val="none"/>
          <w:lang w:val="en-US" w:eastAsia="zh-CN"/>
        </w:rPr>
        <w:t>、供应商基本情况表</w:t>
      </w:r>
      <w:r>
        <w:tab/>
      </w:r>
      <w:r>
        <w:fldChar w:fldCharType="begin"/>
      </w:r>
      <w:r>
        <w:instrText xml:space="preserve"> PAGEREF _Toc8937 \h </w:instrText>
      </w:r>
      <w:r>
        <w:fldChar w:fldCharType="separate"/>
      </w:r>
      <w:r>
        <w:t>62</w:t>
      </w:r>
      <w:r>
        <w:fldChar w:fldCharType="end"/>
      </w:r>
      <w:r>
        <w:rPr>
          <w:rFonts w:ascii="宋体" w:hAnsi="宋体" w:cs="宋体"/>
          <w:bCs/>
          <w:caps/>
          <w:szCs w:val="22"/>
          <w:highlight w:val="none"/>
        </w:rPr>
        <w:fldChar w:fldCharType="end"/>
      </w:r>
    </w:p>
    <w:p w14:paraId="53E796F6">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_Toc18254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五、</w:t>
      </w:r>
      <w:r>
        <w:rPr>
          <w:rFonts w:hint="eastAsia" w:ascii="宋体" w:hAnsi="宋体" w:eastAsia="宋体" w:cs="宋体"/>
          <w:bCs/>
          <w:szCs w:val="28"/>
          <w:highlight w:val="none"/>
          <w:lang w:val="en-US" w:eastAsia="zh-CN"/>
        </w:rPr>
        <w:t>商务</w:t>
      </w:r>
      <w:r>
        <w:rPr>
          <w:rFonts w:hint="eastAsia" w:ascii="宋体" w:hAnsi="宋体" w:cs="宋体"/>
          <w:bCs/>
          <w:szCs w:val="28"/>
          <w:highlight w:val="none"/>
          <w:lang w:val="en-US" w:eastAsia="zh-CN"/>
        </w:rPr>
        <w:t>条款</w:t>
      </w:r>
      <w:r>
        <w:rPr>
          <w:rFonts w:hint="eastAsia" w:ascii="宋体" w:hAnsi="宋体" w:eastAsia="宋体" w:cs="宋体"/>
          <w:bCs/>
          <w:szCs w:val="28"/>
          <w:highlight w:val="none"/>
          <w:lang w:val="en-US" w:eastAsia="zh-CN"/>
        </w:rPr>
        <w:t>偏离表</w:t>
      </w:r>
      <w:r>
        <w:tab/>
      </w:r>
      <w:r>
        <w:fldChar w:fldCharType="begin"/>
      </w:r>
      <w:r>
        <w:instrText xml:space="preserve"> PAGEREF _Toc18254 \h </w:instrText>
      </w:r>
      <w:r>
        <w:fldChar w:fldCharType="separate"/>
      </w:r>
      <w:r>
        <w:t>63</w:t>
      </w:r>
      <w:r>
        <w:fldChar w:fldCharType="end"/>
      </w:r>
      <w:r>
        <w:rPr>
          <w:rFonts w:ascii="宋体" w:hAnsi="宋体" w:cs="宋体"/>
          <w:bCs/>
          <w:caps/>
          <w:szCs w:val="22"/>
          <w:highlight w:val="none"/>
        </w:rPr>
        <w:fldChar w:fldCharType="end"/>
      </w:r>
    </w:p>
    <w:p w14:paraId="7A8C31E9">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_Toc11990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六、项目需求分析及重难点分析</w:t>
      </w:r>
      <w:r>
        <w:tab/>
      </w:r>
      <w:r>
        <w:fldChar w:fldCharType="begin"/>
      </w:r>
      <w:r>
        <w:instrText xml:space="preserve"> PAGEREF _Toc11990 \h </w:instrText>
      </w:r>
      <w:r>
        <w:fldChar w:fldCharType="separate"/>
      </w:r>
      <w:r>
        <w:t>64</w:t>
      </w:r>
      <w:r>
        <w:fldChar w:fldCharType="end"/>
      </w:r>
      <w:r>
        <w:rPr>
          <w:rFonts w:ascii="宋体" w:hAnsi="宋体" w:cs="宋体"/>
          <w:bCs/>
          <w:caps/>
          <w:szCs w:val="22"/>
          <w:highlight w:val="none"/>
        </w:rPr>
        <w:fldChar w:fldCharType="end"/>
      </w:r>
    </w:p>
    <w:p w14:paraId="06D4E944">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_Toc19719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七、技术方案</w:t>
      </w:r>
      <w:r>
        <w:tab/>
      </w:r>
      <w:r>
        <w:fldChar w:fldCharType="begin"/>
      </w:r>
      <w:r>
        <w:instrText xml:space="preserve"> PAGEREF _Toc19719 \h </w:instrText>
      </w:r>
      <w:r>
        <w:fldChar w:fldCharType="separate"/>
      </w:r>
      <w:r>
        <w:t>64</w:t>
      </w:r>
      <w:r>
        <w:fldChar w:fldCharType="end"/>
      </w:r>
      <w:r>
        <w:rPr>
          <w:rFonts w:ascii="宋体" w:hAnsi="宋体" w:cs="宋体"/>
          <w:bCs/>
          <w:caps/>
          <w:szCs w:val="22"/>
          <w:highlight w:val="none"/>
        </w:rPr>
        <w:fldChar w:fldCharType="end"/>
      </w:r>
    </w:p>
    <w:p w14:paraId="4CDA575F">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_Toc15179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八、项目实施计划</w:t>
      </w:r>
      <w:r>
        <w:tab/>
      </w:r>
      <w:r>
        <w:fldChar w:fldCharType="begin"/>
      </w:r>
      <w:r>
        <w:instrText xml:space="preserve"> PAGEREF _Toc15179 \h </w:instrText>
      </w:r>
      <w:r>
        <w:fldChar w:fldCharType="separate"/>
      </w:r>
      <w:r>
        <w:t>64</w:t>
      </w:r>
      <w:r>
        <w:fldChar w:fldCharType="end"/>
      </w:r>
      <w:r>
        <w:rPr>
          <w:rFonts w:ascii="宋体" w:hAnsi="宋体" w:cs="宋体"/>
          <w:bCs/>
          <w:caps/>
          <w:szCs w:val="22"/>
          <w:highlight w:val="none"/>
        </w:rPr>
        <w:fldChar w:fldCharType="end"/>
      </w:r>
    </w:p>
    <w:p w14:paraId="303717CC">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_Toc103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九、质量保证措施及违约责任</w:t>
      </w:r>
      <w:r>
        <w:tab/>
      </w:r>
      <w:r>
        <w:fldChar w:fldCharType="begin"/>
      </w:r>
      <w:r>
        <w:instrText xml:space="preserve"> PAGEREF _Toc103 \h </w:instrText>
      </w:r>
      <w:r>
        <w:fldChar w:fldCharType="separate"/>
      </w:r>
      <w:r>
        <w:t>64</w:t>
      </w:r>
      <w:r>
        <w:fldChar w:fldCharType="end"/>
      </w:r>
      <w:r>
        <w:rPr>
          <w:rFonts w:ascii="宋体" w:hAnsi="宋体" w:cs="宋体"/>
          <w:bCs/>
          <w:caps/>
          <w:szCs w:val="22"/>
          <w:highlight w:val="none"/>
        </w:rPr>
        <w:fldChar w:fldCharType="end"/>
      </w:r>
    </w:p>
    <w:p w14:paraId="48C13D22">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_Toc522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十、保密方案</w:t>
      </w:r>
      <w:r>
        <w:tab/>
      </w:r>
      <w:r>
        <w:fldChar w:fldCharType="begin"/>
      </w:r>
      <w:r>
        <w:instrText xml:space="preserve"> PAGEREF _Toc522 \h </w:instrText>
      </w:r>
      <w:r>
        <w:fldChar w:fldCharType="separate"/>
      </w:r>
      <w:r>
        <w:t>64</w:t>
      </w:r>
      <w:r>
        <w:fldChar w:fldCharType="end"/>
      </w:r>
      <w:r>
        <w:rPr>
          <w:rFonts w:ascii="宋体" w:hAnsi="宋体" w:cs="宋体"/>
          <w:bCs/>
          <w:caps/>
          <w:szCs w:val="22"/>
          <w:highlight w:val="none"/>
        </w:rPr>
        <w:fldChar w:fldCharType="end"/>
      </w:r>
    </w:p>
    <w:p w14:paraId="73253ACF">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_Toc18477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十一、项目配备人员</w:t>
      </w:r>
      <w:r>
        <w:tab/>
      </w:r>
      <w:r>
        <w:fldChar w:fldCharType="begin"/>
      </w:r>
      <w:r>
        <w:instrText xml:space="preserve"> PAGEREF _Toc18477 \h </w:instrText>
      </w:r>
      <w:r>
        <w:fldChar w:fldCharType="separate"/>
      </w:r>
      <w:r>
        <w:t>64</w:t>
      </w:r>
      <w:r>
        <w:fldChar w:fldCharType="end"/>
      </w:r>
      <w:r>
        <w:rPr>
          <w:rFonts w:ascii="宋体" w:hAnsi="宋体" w:cs="宋体"/>
          <w:bCs/>
          <w:caps/>
          <w:szCs w:val="22"/>
          <w:highlight w:val="none"/>
        </w:rPr>
        <w:fldChar w:fldCharType="end"/>
      </w:r>
    </w:p>
    <w:p w14:paraId="619DDD67">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_Toc6864 </w:instrText>
      </w:r>
      <w:r>
        <w:rPr>
          <w:rFonts w:ascii="宋体" w:hAnsi="宋体" w:cs="宋体"/>
          <w:bCs/>
          <w:caps/>
          <w:szCs w:val="22"/>
          <w:highlight w:val="none"/>
        </w:rPr>
        <w:fldChar w:fldCharType="separate"/>
      </w:r>
      <w:r>
        <w:rPr>
          <w:rFonts w:hint="eastAsia" w:ascii="宋体" w:hAnsi="宋体" w:eastAsia="宋体" w:cs="宋体"/>
          <w:bCs/>
          <w:szCs w:val="28"/>
          <w:highlight w:val="none"/>
          <w:lang w:val="en-US" w:eastAsia="zh-CN"/>
        </w:rPr>
        <w:t>十二、售后服务方案</w:t>
      </w:r>
      <w:r>
        <w:tab/>
      </w:r>
      <w:r>
        <w:fldChar w:fldCharType="begin"/>
      </w:r>
      <w:r>
        <w:instrText xml:space="preserve"> PAGEREF _Toc6864 \h </w:instrText>
      </w:r>
      <w:r>
        <w:fldChar w:fldCharType="separate"/>
      </w:r>
      <w:r>
        <w:t>64</w:t>
      </w:r>
      <w:r>
        <w:fldChar w:fldCharType="end"/>
      </w:r>
      <w:r>
        <w:rPr>
          <w:rFonts w:ascii="宋体" w:hAnsi="宋体" w:cs="宋体"/>
          <w:bCs/>
          <w:caps/>
          <w:szCs w:val="22"/>
          <w:highlight w:val="none"/>
        </w:rPr>
        <w:fldChar w:fldCharType="end"/>
      </w:r>
    </w:p>
    <w:p w14:paraId="1A299CC0">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_Toc24882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十三、供应商管理能力及技术能力</w:t>
      </w:r>
      <w:r>
        <w:tab/>
      </w:r>
      <w:r>
        <w:fldChar w:fldCharType="begin"/>
      </w:r>
      <w:r>
        <w:instrText xml:space="preserve"> PAGEREF _Toc24882 \h </w:instrText>
      </w:r>
      <w:r>
        <w:fldChar w:fldCharType="separate"/>
      </w:r>
      <w:r>
        <w:t>64</w:t>
      </w:r>
      <w:r>
        <w:fldChar w:fldCharType="end"/>
      </w:r>
      <w:r>
        <w:rPr>
          <w:rFonts w:ascii="宋体" w:hAnsi="宋体" w:cs="宋体"/>
          <w:bCs/>
          <w:caps/>
          <w:szCs w:val="22"/>
          <w:highlight w:val="none"/>
        </w:rPr>
        <w:fldChar w:fldCharType="end"/>
      </w:r>
    </w:p>
    <w:p w14:paraId="463395C4">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_Toc2782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十四、类似项目情况表</w:t>
      </w:r>
      <w:r>
        <w:tab/>
      </w:r>
      <w:r>
        <w:fldChar w:fldCharType="begin"/>
      </w:r>
      <w:r>
        <w:instrText xml:space="preserve"> PAGEREF _Toc2782 \h </w:instrText>
      </w:r>
      <w:r>
        <w:fldChar w:fldCharType="separate"/>
      </w:r>
      <w:r>
        <w:t>65</w:t>
      </w:r>
      <w:r>
        <w:fldChar w:fldCharType="end"/>
      </w:r>
      <w:r>
        <w:rPr>
          <w:rFonts w:ascii="宋体" w:hAnsi="宋体" w:cs="宋体"/>
          <w:bCs/>
          <w:caps/>
          <w:szCs w:val="22"/>
          <w:highlight w:val="none"/>
        </w:rPr>
        <w:fldChar w:fldCharType="end"/>
      </w:r>
    </w:p>
    <w:p w14:paraId="7A172E53">
      <w:pPr>
        <w:pStyle w:val="17"/>
        <w:tabs>
          <w:tab w:val="right" w:leader="dot" w:pos="9740"/>
        </w:tabs>
      </w:pPr>
      <w:r>
        <w:rPr>
          <w:rFonts w:ascii="宋体" w:hAnsi="宋体" w:cs="宋体"/>
          <w:bCs/>
          <w:caps/>
          <w:szCs w:val="22"/>
          <w:highlight w:val="none"/>
        </w:rPr>
        <w:fldChar w:fldCharType="begin"/>
      </w:r>
      <w:r>
        <w:rPr>
          <w:rFonts w:ascii="宋体" w:hAnsi="宋体" w:cs="宋体"/>
          <w:bCs/>
          <w:caps/>
          <w:szCs w:val="22"/>
          <w:highlight w:val="none"/>
        </w:rPr>
        <w:instrText xml:space="preserve"> HYPERLINK \l _Toc12372 </w:instrText>
      </w:r>
      <w:r>
        <w:rPr>
          <w:rFonts w:ascii="宋体" w:hAnsi="宋体" w:cs="宋体"/>
          <w:bCs/>
          <w:caps/>
          <w:szCs w:val="22"/>
          <w:highlight w:val="none"/>
        </w:rPr>
        <w:fldChar w:fldCharType="separate"/>
      </w:r>
      <w:r>
        <w:rPr>
          <w:rFonts w:hint="eastAsia" w:ascii="宋体" w:hAnsi="宋体" w:cs="宋体"/>
          <w:bCs/>
          <w:szCs w:val="28"/>
          <w:highlight w:val="none"/>
          <w:lang w:val="en-US" w:eastAsia="zh-CN"/>
        </w:rPr>
        <w:t>十三、其他资料</w:t>
      </w:r>
      <w:r>
        <w:tab/>
      </w:r>
      <w:r>
        <w:fldChar w:fldCharType="begin"/>
      </w:r>
      <w:r>
        <w:instrText xml:space="preserve"> PAGEREF _Toc12372 \h </w:instrText>
      </w:r>
      <w:r>
        <w:fldChar w:fldCharType="separate"/>
      </w:r>
      <w:r>
        <w:t>66</w:t>
      </w:r>
      <w:r>
        <w:fldChar w:fldCharType="end"/>
      </w:r>
      <w:r>
        <w:rPr>
          <w:rFonts w:ascii="宋体" w:hAnsi="宋体" w:cs="宋体"/>
          <w:bCs/>
          <w:caps/>
          <w:szCs w:val="22"/>
          <w:highlight w:val="none"/>
        </w:rPr>
        <w:fldChar w:fldCharType="end"/>
      </w:r>
    </w:p>
    <w:p w14:paraId="5FA1A4BC">
      <w:pPr>
        <w:spacing w:before="120" w:line="440" w:lineRule="exact"/>
        <w:ind w:firstLine="420" w:firstLineChars="200"/>
        <w:jc w:val="both"/>
        <w:rPr>
          <w:rFonts w:hint="eastAsia"/>
          <w:b/>
          <w:bCs/>
          <w:highlight w:val="none"/>
        </w:rPr>
        <w:sectPr>
          <w:footerReference r:id="rId5" w:type="first"/>
          <w:footerReference r:id="rId4" w:type="default"/>
          <w:pgSz w:w="11906" w:h="16838"/>
          <w:pgMar w:top="1440" w:right="1083" w:bottom="1440" w:left="1083" w:header="720" w:footer="720" w:gutter="0"/>
          <w:pgNumType w:fmt="decimal" w:start="1"/>
          <w:cols w:space="720" w:num="1"/>
          <w:docGrid w:type="lines" w:linePitch="317" w:charSpace="0"/>
        </w:sectPr>
      </w:pPr>
      <w:r>
        <w:rPr>
          <w:rFonts w:ascii="宋体" w:hAnsi="宋体" w:cs="宋体"/>
          <w:bCs/>
          <w:caps/>
          <w:szCs w:val="22"/>
          <w:highlight w:val="none"/>
        </w:rPr>
        <w:fldChar w:fldCharType="end"/>
      </w:r>
      <w:bookmarkStart w:id="2" w:name="_Toc24776"/>
    </w:p>
    <w:p w14:paraId="466F4BFB">
      <w:pPr>
        <w:pStyle w:val="2"/>
        <w:spacing w:before="0" w:after="0" w:line="360" w:lineRule="auto"/>
        <w:jc w:val="center"/>
        <w:rPr>
          <w:rFonts w:hint="eastAsia" w:ascii="宋体" w:hAnsi="宋体" w:cs="宋体"/>
          <w:highlight w:val="none"/>
        </w:rPr>
      </w:pPr>
      <w:bookmarkStart w:id="3" w:name="_Toc3896271"/>
      <w:bookmarkStart w:id="4" w:name="_Toc882"/>
      <w:r>
        <w:rPr>
          <w:rFonts w:hint="eastAsia" w:ascii="宋体" w:hAnsi="宋体" w:cs="宋体"/>
          <w:highlight w:val="none"/>
        </w:rPr>
        <w:t>第一章 竞争性磋商公告</w:t>
      </w:r>
      <w:bookmarkEnd w:id="2"/>
      <w:bookmarkEnd w:id="3"/>
      <w:bookmarkEnd w:id="4"/>
    </w:p>
    <w:p w14:paraId="23C75D93">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cs="宋体"/>
          <w:b/>
          <w:sz w:val="40"/>
          <w:szCs w:val="40"/>
          <w:highlight w:val="none"/>
          <w:lang w:eastAsia="zh-CN"/>
        </w:rPr>
      </w:pPr>
      <w:bookmarkStart w:id="5" w:name="_Hlk36153870"/>
      <w:r>
        <w:rPr>
          <w:rFonts w:hint="eastAsia" w:ascii="宋体" w:hAnsi="宋体" w:cs="宋体"/>
          <w:b/>
          <w:sz w:val="40"/>
          <w:szCs w:val="40"/>
          <w:highlight w:val="none"/>
          <w:lang w:eastAsia="zh-CN"/>
        </w:rPr>
        <w:t>云南省自然资源厅采矿用地复垦修复系统升级改造2025年项目</w:t>
      </w:r>
    </w:p>
    <w:p w14:paraId="33A9D936">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cs="宋体"/>
          <w:sz w:val="40"/>
          <w:szCs w:val="40"/>
          <w:highlight w:val="none"/>
        </w:rPr>
      </w:pPr>
      <w:r>
        <w:rPr>
          <w:rFonts w:hint="eastAsia" w:ascii="宋体" w:hAnsi="宋体" w:cs="宋体"/>
          <w:b/>
          <w:sz w:val="40"/>
          <w:szCs w:val="40"/>
          <w:highlight w:val="none"/>
        </w:rPr>
        <w:t>竞争性磋商公告</w:t>
      </w:r>
    </w:p>
    <w:bookmarkEnd w:id="5"/>
    <w:p w14:paraId="1B233314">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宋体" w:hAnsi="宋体" w:cs="宋体"/>
          <w:b/>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eastAsia="zh-CN"/>
        </w:rPr>
        <w:t>项目编号： YNZC2026-C3-01974-HCYZ-0017</w:t>
      </w:r>
      <w:r>
        <w:rPr>
          <w:rFonts w:hint="eastAsia" w:ascii="宋体" w:hAnsi="宋体" w:cs="宋体"/>
          <w:b/>
          <w:sz w:val="28"/>
          <w:szCs w:val="28"/>
          <w:highlight w:val="none"/>
        </w:rPr>
        <w:t>）</w:t>
      </w:r>
    </w:p>
    <w:tbl>
      <w:tblPr>
        <w:tblStyle w:val="33"/>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6"/>
      </w:tblGrid>
      <w:tr w14:paraId="57AC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6" w:type="dxa"/>
            <w:vAlign w:val="top"/>
          </w:tcPr>
          <w:p w14:paraId="76BC1EA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项目概况</w:t>
            </w:r>
          </w:p>
          <w:p w14:paraId="6A5CCDC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u w:val="none"/>
                <w:lang w:eastAsia="zh-CN" w:bidi="ar"/>
              </w:rPr>
              <w:t>云南省自然资源厅采矿用地复垦修复系统升级改造2025年项目</w:t>
            </w:r>
            <w:r>
              <w:rPr>
                <w:rFonts w:hint="eastAsia" w:ascii="宋体" w:hAnsi="宋体" w:cs="宋体"/>
                <w:color w:val="000000"/>
                <w:sz w:val="24"/>
                <w:szCs w:val="24"/>
                <w:highlight w:val="none"/>
                <w:lang w:bidi="ar"/>
              </w:rPr>
              <w:t>的潜在供应商应在</w:t>
            </w:r>
            <w:r>
              <w:rPr>
                <w:rFonts w:hint="eastAsia" w:ascii="宋体" w:hAnsi="宋体" w:cs="宋体"/>
                <w:sz w:val="24"/>
                <w:szCs w:val="24"/>
                <w:highlight w:val="none"/>
                <w:u w:val="none"/>
                <w:lang w:eastAsia="zh-CN"/>
              </w:rPr>
              <w:t>云南省政府采购电子交易平台（政采云https://www.zcygov.cn/）</w:t>
            </w:r>
            <w:r>
              <w:rPr>
                <w:rFonts w:hint="eastAsia" w:ascii="宋体" w:hAnsi="宋体" w:cs="宋体"/>
                <w:sz w:val="24"/>
                <w:szCs w:val="24"/>
                <w:highlight w:val="none"/>
                <w:u w:val="none"/>
                <w:lang w:val="en-US" w:eastAsia="zh-CN"/>
              </w:rPr>
              <w:t>获取</w:t>
            </w:r>
            <w:r>
              <w:rPr>
                <w:rFonts w:hint="eastAsia" w:ascii="宋体" w:hAnsi="宋体" w:cs="宋体"/>
                <w:color w:val="000000"/>
                <w:sz w:val="24"/>
                <w:szCs w:val="24"/>
                <w:highlight w:val="none"/>
                <w:lang w:bidi="ar"/>
              </w:rPr>
              <w:t>采购文件，并于</w:t>
            </w:r>
            <w:r>
              <w:rPr>
                <w:rFonts w:hint="eastAsia" w:ascii="宋体" w:hAnsi="宋体" w:cs="宋体"/>
                <w:sz w:val="24"/>
                <w:szCs w:val="24"/>
                <w:highlight w:val="none"/>
                <w:lang w:eastAsia="zh-CN"/>
              </w:rPr>
              <w:t>2026年4月16日14:30</w:t>
            </w:r>
            <w:r>
              <w:rPr>
                <w:rFonts w:hint="eastAsia" w:ascii="宋体" w:hAnsi="宋体" w:cs="宋体"/>
                <w:color w:val="000000"/>
                <w:sz w:val="24"/>
                <w:szCs w:val="24"/>
                <w:highlight w:val="none"/>
                <w:lang w:bidi="ar"/>
              </w:rPr>
              <w:t>（北京时间）前提交响应文件。</w:t>
            </w:r>
          </w:p>
        </w:tc>
      </w:tr>
    </w:tbl>
    <w:p w14:paraId="14B71E6B">
      <w:pPr>
        <w:keepNext w:val="0"/>
        <w:keepLines w:val="0"/>
        <w:pageBreakBefore w:val="0"/>
        <w:widowControl/>
        <w:numPr>
          <w:ilvl w:val="0"/>
          <w:numId w:val="2"/>
        </w:numPr>
        <w:kinsoku/>
        <w:wordWrap/>
        <w:overflowPunct/>
        <w:topLinePunct w:val="0"/>
        <w:autoSpaceDE/>
        <w:autoSpaceDN/>
        <w:bidi w:val="0"/>
        <w:adjustRightInd/>
        <w:snapToGrid/>
        <w:spacing w:line="460" w:lineRule="exact"/>
        <w:ind w:firstLine="0" w:firstLineChars="0"/>
        <w:textAlignment w:val="auto"/>
        <w:rPr>
          <w:rFonts w:hint="eastAsia" w:ascii="宋体" w:hAnsi="宋体" w:cs="宋体"/>
          <w:b/>
          <w:bCs/>
          <w:color w:val="000000"/>
          <w:sz w:val="24"/>
          <w:szCs w:val="24"/>
          <w:highlight w:val="none"/>
          <w:lang w:bidi="ar"/>
        </w:rPr>
      </w:pPr>
      <w:bookmarkStart w:id="6" w:name="_Toc32031"/>
      <w:bookmarkEnd w:id="6"/>
      <w:bookmarkStart w:id="7" w:name="_Toc29108"/>
      <w:bookmarkEnd w:id="7"/>
      <w:bookmarkStart w:id="8" w:name="_Toc14391"/>
      <w:bookmarkEnd w:id="8"/>
      <w:bookmarkStart w:id="9" w:name="_Toc16942"/>
      <w:bookmarkEnd w:id="9"/>
      <w:bookmarkStart w:id="10" w:name="_Toc35393629"/>
      <w:bookmarkStart w:id="11" w:name="_Toc17585"/>
      <w:bookmarkStart w:id="12" w:name="_Hlk36153912"/>
      <w:bookmarkStart w:id="13" w:name="_Toc35393798"/>
      <w:bookmarkStart w:id="14" w:name="_Toc28359089"/>
      <w:bookmarkStart w:id="15" w:name="_Toc28359012"/>
      <w:bookmarkStart w:id="16" w:name="_Toc18212"/>
      <w:bookmarkStart w:id="17" w:name="_Toc3896280"/>
      <w:r>
        <w:rPr>
          <w:rFonts w:hint="eastAsia" w:ascii="宋体" w:hAnsi="宋体" w:cs="宋体"/>
          <w:b/>
          <w:bCs/>
          <w:color w:val="000000"/>
          <w:sz w:val="24"/>
          <w:szCs w:val="24"/>
          <w:highlight w:val="none"/>
          <w:lang w:bidi="ar"/>
        </w:rPr>
        <w:t>项目基本情况</w:t>
      </w:r>
    </w:p>
    <w:p w14:paraId="53E2074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项目编号： YNZC2026-C3-01974-HCYZ-0017</w:t>
      </w:r>
    </w:p>
    <w:p w14:paraId="6F0A6B97">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000000"/>
          <w:sz w:val="24"/>
          <w:szCs w:val="24"/>
          <w:highlight w:val="none"/>
          <w:lang w:eastAsia="zh-CN" w:bidi="ar"/>
        </w:rPr>
      </w:pPr>
      <w:r>
        <w:rPr>
          <w:rFonts w:hint="eastAsia" w:ascii="宋体" w:hAnsi="宋体" w:cs="宋体"/>
          <w:sz w:val="24"/>
          <w:szCs w:val="24"/>
          <w:highlight w:val="none"/>
        </w:rPr>
        <w:t>项目名称：</w:t>
      </w:r>
      <w:r>
        <w:rPr>
          <w:rFonts w:hint="eastAsia" w:ascii="宋体" w:hAnsi="宋体" w:cs="宋体"/>
          <w:color w:val="000000"/>
          <w:sz w:val="24"/>
          <w:szCs w:val="24"/>
          <w:highlight w:val="none"/>
          <w:lang w:eastAsia="zh-CN" w:bidi="ar"/>
        </w:rPr>
        <w:t>云南省自然资源厅采矿用地复垦修复系统升级改造2025年项目</w:t>
      </w:r>
    </w:p>
    <w:p w14:paraId="0DB8D2D1">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采购方式：竞争性磋商</w:t>
      </w:r>
    </w:p>
    <w:p w14:paraId="317DFB30">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预算金额：75.00万元</w:t>
      </w:r>
    </w:p>
    <w:p w14:paraId="14BA1618">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highlight w:val="none"/>
          <w:lang w:val="en-US" w:eastAsia="zh-CN"/>
        </w:rPr>
      </w:pPr>
      <w:r>
        <w:rPr>
          <w:rFonts w:hint="eastAsia" w:ascii="宋体" w:hAnsi="宋体" w:cs="宋体"/>
          <w:color w:val="auto"/>
          <w:kern w:val="0"/>
          <w:sz w:val="24"/>
          <w:highlight w:val="none"/>
          <w:lang w:val="en-US" w:eastAsia="zh-CN"/>
        </w:rPr>
        <w:t>最高限价：75.00万元</w:t>
      </w:r>
    </w:p>
    <w:p w14:paraId="44AF9FEB">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eastAsia="宋体"/>
          <w:highlight w:val="none"/>
          <w:lang w:eastAsia="zh-CN"/>
        </w:rPr>
      </w:pPr>
      <w:r>
        <w:rPr>
          <w:rFonts w:hint="eastAsia" w:ascii="宋体" w:hAnsi="宋体" w:cs="宋体"/>
          <w:kern w:val="0"/>
          <w:sz w:val="24"/>
          <w:highlight w:val="none"/>
        </w:rPr>
        <w:t>采购需求：按照《自然资源部办公厅关于推进存量采矿用地复垦修复验收信息化建设的通知》和《云南省自然资源厅关于有序开展存量采矿用地复垦修复腾退指标工作的通知》等文件要求，顺应自然资源部和云南省自然资源厅关于存量采矿用地复垦修复验收的信息化建设部署，开展云南省采矿用地复垦修复系统建设，支撑全省存量采矿用地项目从立项审批到实施再到验收全流程信息化管理，同时构建云南省生态修复土地复垦腾退指标库，为管理部门提供及时、准确的数据支持。</w:t>
      </w:r>
    </w:p>
    <w:p w14:paraId="47016339">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合同履行期限：自合同签订之日起12个月内完成所有工作内容。</w:t>
      </w:r>
    </w:p>
    <w:p w14:paraId="2652A1D7">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本项目</w:t>
      </w:r>
      <w:r>
        <w:rPr>
          <w:rFonts w:hint="eastAsia" w:ascii="宋体" w:hAnsi="宋体" w:cs="宋体"/>
          <w:sz w:val="24"/>
          <w:highlight w:val="none"/>
          <w:lang w:val="en-US" w:eastAsia="zh-CN"/>
        </w:rPr>
        <w:t>不</w:t>
      </w:r>
      <w:r>
        <w:rPr>
          <w:rFonts w:hint="eastAsia" w:ascii="宋体" w:hAnsi="宋体" w:cs="宋体"/>
          <w:sz w:val="24"/>
          <w:highlight w:val="none"/>
        </w:rPr>
        <w:t>接受联合体</w:t>
      </w:r>
      <w:r>
        <w:rPr>
          <w:rFonts w:hint="eastAsia" w:ascii="宋体" w:hAnsi="宋体" w:cs="宋体"/>
          <w:sz w:val="24"/>
          <w:highlight w:val="none"/>
          <w:lang w:val="en-US" w:eastAsia="zh-CN"/>
        </w:rPr>
        <w:t>磋商</w:t>
      </w:r>
      <w:r>
        <w:rPr>
          <w:rFonts w:hint="eastAsia" w:ascii="宋体" w:hAnsi="宋体" w:cs="宋体"/>
          <w:sz w:val="24"/>
          <w:highlight w:val="none"/>
        </w:rPr>
        <w:t>。</w:t>
      </w:r>
    </w:p>
    <w:p w14:paraId="047900B0">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cs="宋体"/>
          <w:b/>
          <w:bCs/>
          <w:sz w:val="24"/>
          <w:szCs w:val="24"/>
          <w:highlight w:val="none"/>
        </w:rPr>
      </w:pPr>
      <w:r>
        <w:rPr>
          <w:rFonts w:hint="eastAsia" w:ascii="宋体" w:hAnsi="宋体" w:cs="宋体"/>
          <w:b/>
          <w:bCs/>
          <w:color w:val="000000"/>
          <w:sz w:val="24"/>
          <w:szCs w:val="24"/>
          <w:highlight w:val="none"/>
          <w:lang w:bidi="ar"/>
        </w:rPr>
        <w:t>二、申请人的资格要求</w:t>
      </w:r>
    </w:p>
    <w:p w14:paraId="64727C9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1.满足《中华人民共和国政府采购法》第二十二条规定：</w:t>
      </w:r>
    </w:p>
    <w:p w14:paraId="46FB146F">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1.1具有独立承担民事责任的能力，提供法人或者其他组织的营业执照等证明文件（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分公司参与磋商的，还须提供总公司出具的授权书；同一家公司的总公司和下属的不同分公司不能同时参与同一项目磋商。</w:t>
      </w:r>
    </w:p>
    <w:p w14:paraId="51DAD06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1.2供应商具有良好的商业信誉和健全的财务会计制度，须提供相关证明材料，内容可为以下四者之一：1）2023年度至今任意一年度经审计的审计报告及财务报表，财务报表包括“四表一注”，即资产负债表、利润表、现金流量表、所有者权益变动表及其附注，根据《关于加强审计报告查验工作的通知》（财会〔2023〕15号）规定，在2022年10月以后出具的审计报告须在注册会计师行业统一监管平台（网址：http://acc.mof.gov.cn）取得赋码，未取得赋码的财务报告视为无效（注：非营利性单位或者社会团体或者其他机关事业单位以符合财务会计制度为准）；2）自响应文件提交截止时间前三个月内基本开户银行出具的资信证明；3）财政部门认可的政府采购专业担保机构出具的投标担保函，须同时提供专业担保机构经财政部门认可的证明文件；4）成立未满一年或成立至今未产生经营活动的供应商提供自成立至今的财务报表或财务情况说明。</w:t>
      </w:r>
    </w:p>
    <w:p w14:paraId="11D392E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1.3具有履行合同所必需的设备和专业技术能力，提供证明材料或书面声明。</w:t>
      </w:r>
    </w:p>
    <w:p w14:paraId="60DF468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1.4具有依法缴纳税收和社会保障资金的良好记录，提供</w:t>
      </w:r>
      <w:r>
        <w:rPr>
          <w:rFonts w:hint="eastAsia" w:ascii="宋体" w:hAnsi="宋体" w:cs="宋体"/>
          <w:sz w:val="24"/>
          <w:szCs w:val="24"/>
          <w:highlight w:val="none"/>
          <w:lang w:val="en-US" w:eastAsia="zh-CN"/>
        </w:rPr>
        <w:t>2025年6月至今任意一个月</w:t>
      </w:r>
      <w:r>
        <w:rPr>
          <w:rFonts w:hint="default" w:ascii="宋体" w:hAnsi="宋体" w:cs="宋体"/>
          <w:sz w:val="24"/>
          <w:szCs w:val="24"/>
          <w:highlight w:val="none"/>
          <w:lang w:val="en-US" w:eastAsia="zh-CN"/>
        </w:rPr>
        <w:t>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p>
    <w:p w14:paraId="26C205B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1.5参加政府采购活动前三年内，在经营活动中没有重大违法记录，提供参加本次政府采购活动前三年内在经营活动中没有重大违法记录的书面声明。</w:t>
      </w:r>
    </w:p>
    <w:p w14:paraId="279FB83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1.6法律、行政法规规定的其他条件。</w:t>
      </w:r>
    </w:p>
    <w:p w14:paraId="4E8F6287">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DBBF95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1.6.2供应商应在“中国执行信息公开网”网站（zxgk.court.gov.cn）未被列入失信被执行人记录，在“信用中国”网站</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www.creditchina.gov.cn</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未被列入重大税收违法失信主体，在“中国政府采购网”网站</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www.ccgp.gov.cn</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没有政府采购严重违法失信行为记录（递交响应文件截止时间后由采购人或采购代理机构查询并截图保存，提交磋商小组审核）。</w:t>
      </w:r>
    </w:p>
    <w:p w14:paraId="7290814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2.落实政府采购政策需满足的资格要求：</w:t>
      </w:r>
    </w:p>
    <w:p w14:paraId="41BAE51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default" w:ascii="宋体" w:hAnsi="宋体" w:cs="宋体"/>
          <w:color w:val="000000" w:themeColor="text1"/>
          <w:sz w:val="24"/>
          <w:szCs w:val="24"/>
          <w:highlight w:val="none"/>
          <w:lang w:val="en-US" w:eastAsia="zh-CN"/>
          <w14:textFill>
            <w14:solidFill>
              <w14:schemeClr w14:val="tx1"/>
            </w14:solidFill>
          </w14:textFill>
        </w:rPr>
        <w:t>本项目非专门面向中小企业采购的项目。扶持中小企业政策：评审时对符合《关于印发中小企业划型标准规定的通知》（工信部联企业〔2011〕300号）及《统计上大中小微型企业划分办法（2017）》规定条件的软件和信息技术服务业行业的小型和微型企业产品（服务）享受10%的价格折扣。监狱企业和残疾人福利性单位视同小型、微型企业。</w:t>
      </w:r>
    </w:p>
    <w:p w14:paraId="5F928D2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2.2</w:t>
      </w:r>
      <w:r>
        <w:rPr>
          <w:rFonts w:hint="default" w:ascii="宋体" w:hAnsi="宋体" w:cs="宋体"/>
          <w:color w:val="000000" w:themeColor="text1"/>
          <w:sz w:val="24"/>
          <w:szCs w:val="24"/>
          <w:highlight w:val="none"/>
          <w:lang w:val="en-US" w:eastAsia="zh-CN"/>
          <w14:textFill>
            <w14:solidFill>
              <w14:schemeClr w14:val="tx1"/>
            </w14:solidFill>
          </w14:textFill>
        </w:rPr>
        <w:t>落实政府采购政策需满足的要求：《政府采购促进中小企业发展管理办法》（财库〔2020〕46号）、《财政部司法部关于政府采购支持监狱企业发展有关问题的通知》（财库〔2014〕68号）、《三部门联合发布关于促进残疾人就业政府采购政策的通知》（财库〔2017〕141号）及《中华人民共和国政府采购法》、《中华人民共和国政府采购法实施条例》、《政府采购货物和服务招标投标管理办法》（财政部令第87号）等有关法律、法规和规章的规定。</w:t>
      </w:r>
    </w:p>
    <w:p w14:paraId="1D817F4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3.本项目的特定资格要求：</w:t>
      </w:r>
    </w:p>
    <w:p w14:paraId="4FF5163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3.1单位负责人为同一人或者存在直接控股、管理关系的不同</w:t>
      </w:r>
      <w:r>
        <w:rPr>
          <w:rFonts w:hint="eastAsia" w:ascii="宋体" w:hAnsi="宋体" w:cs="宋体"/>
          <w:sz w:val="24"/>
          <w:szCs w:val="24"/>
          <w:highlight w:val="none"/>
          <w:lang w:val="en-US" w:eastAsia="zh-CN"/>
        </w:rPr>
        <w:t>供应商</w:t>
      </w:r>
      <w:r>
        <w:rPr>
          <w:rFonts w:hint="default" w:ascii="宋体" w:hAnsi="宋体" w:cs="宋体"/>
          <w:sz w:val="24"/>
          <w:szCs w:val="24"/>
          <w:highlight w:val="none"/>
          <w:lang w:val="en-US" w:eastAsia="zh-CN"/>
        </w:rPr>
        <w:t>，不得参加同一合同项下的政府采购活动，为本项目提供整体设计、规范编制或者项目管理、监理、检测等服务的</w:t>
      </w:r>
      <w:r>
        <w:rPr>
          <w:rFonts w:hint="eastAsia" w:ascii="宋体" w:hAnsi="宋体" w:cs="宋体"/>
          <w:sz w:val="24"/>
          <w:szCs w:val="24"/>
          <w:highlight w:val="none"/>
          <w:lang w:val="en-US" w:eastAsia="zh-CN"/>
        </w:rPr>
        <w:t>供应商</w:t>
      </w:r>
      <w:r>
        <w:rPr>
          <w:rFonts w:hint="default" w:ascii="宋体" w:hAnsi="宋体" w:cs="宋体"/>
          <w:sz w:val="24"/>
          <w:szCs w:val="24"/>
          <w:highlight w:val="none"/>
          <w:lang w:val="en-US" w:eastAsia="zh-CN"/>
        </w:rPr>
        <w:t>，不得再参加本次采购活动（提供承诺函）；</w:t>
      </w:r>
    </w:p>
    <w:p w14:paraId="04BEC82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2供应商</w:t>
      </w:r>
      <w:r>
        <w:rPr>
          <w:rFonts w:hint="default" w:ascii="宋体" w:hAnsi="宋体" w:cs="宋体"/>
          <w:sz w:val="24"/>
          <w:szCs w:val="24"/>
          <w:highlight w:val="none"/>
          <w:lang w:val="en-US" w:eastAsia="zh-CN"/>
        </w:rPr>
        <w:t>承诺在近三年内经营活动中公司及法定代表人无行贿犯罪记录（提供承诺函）；</w:t>
      </w:r>
    </w:p>
    <w:p w14:paraId="5E28A1EF">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3</w:t>
      </w:r>
      <w:r>
        <w:rPr>
          <w:rFonts w:hint="default" w:ascii="宋体" w:hAnsi="宋体" w:cs="宋体"/>
          <w:sz w:val="24"/>
          <w:szCs w:val="24"/>
          <w:highlight w:val="none"/>
          <w:lang w:val="en-US" w:eastAsia="zh-CN"/>
        </w:rPr>
        <w:t>本项目不接受联合体。</w:t>
      </w:r>
    </w:p>
    <w:p w14:paraId="0E1C34F4">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三、获取采购文件</w:t>
      </w:r>
    </w:p>
    <w:p w14:paraId="5D6721C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sz w:val="24"/>
          <w:szCs w:val="24"/>
          <w:highlight w:val="none"/>
        </w:rPr>
        <w:t>时间：</w:t>
      </w:r>
      <w:r>
        <w:rPr>
          <w:rFonts w:hint="eastAsia" w:ascii="宋体" w:hAnsi="宋体"/>
          <w:sz w:val="24"/>
          <w:szCs w:val="24"/>
          <w:highlight w:val="none"/>
          <w:lang w:val="en-US" w:eastAsia="zh-CN"/>
        </w:rPr>
        <w:t>2026年4月30日6:00至2026年5月11日23:59</w:t>
      </w:r>
      <w:r>
        <w:rPr>
          <w:rFonts w:hint="eastAsia" w:ascii="宋体" w:hAnsi="宋体"/>
          <w:sz w:val="24"/>
          <w:szCs w:val="24"/>
          <w:highlight w:val="none"/>
          <w:lang w:val="en-US" w:eastAsia="zh-CN"/>
        </w:rPr>
        <w:t>，每天上午6:00至12:00，下午12:00</w:t>
      </w:r>
      <w:r>
        <w:rPr>
          <w:rFonts w:hint="eastAsia" w:ascii="宋体" w:hAnsi="宋体" w:eastAsia="宋体" w:cs="宋体"/>
          <w:sz w:val="24"/>
          <w:szCs w:val="24"/>
          <w:highlight w:val="none"/>
          <w:lang w:val="en-US" w:eastAsia="zh-CN" w:bidi="ar-SA"/>
        </w:rPr>
        <w:t>至</w:t>
      </w:r>
      <w:r>
        <w:rPr>
          <w:rFonts w:hint="eastAsia" w:ascii="宋体" w:hAnsi="宋体" w:cs="宋体"/>
          <w:sz w:val="24"/>
          <w:szCs w:val="24"/>
          <w:highlight w:val="none"/>
          <w:lang w:val="en-US" w:eastAsia="zh-CN" w:bidi="ar-SA"/>
        </w:rPr>
        <w:t>23:59</w:t>
      </w:r>
      <w:r>
        <w:rPr>
          <w:rFonts w:hint="eastAsia" w:ascii="宋体" w:hAnsi="宋体" w:eastAsia="宋体" w:cs="宋体"/>
          <w:sz w:val="24"/>
          <w:szCs w:val="24"/>
          <w:highlight w:val="none"/>
          <w:lang w:val="en-US" w:eastAsia="zh-CN" w:bidi="ar-SA"/>
        </w:rPr>
        <w:t>（北京时间，法定节假日除外）</w:t>
      </w:r>
    </w:p>
    <w:p w14:paraId="79F2985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地点：</w:t>
      </w:r>
      <w:r>
        <w:rPr>
          <w:rFonts w:hint="eastAsia" w:ascii="宋体" w:hAnsi="宋体" w:cs="宋体"/>
          <w:sz w:val="24"/>
          <w:szCs w:val="24"/>
          <w:highlight w:val="none"/>
          <w:lang w:val="en-US" w:eastAsia="zh-CN" w:bidi="ar-SA"/>
        </w:rPr>
        <w:t>云南省政府采购电子交易平台（政采云https://www.zcygov.cn/）</w:t>
      </w:r>
    </w:p>
    <w:p w14:paraId="328B59E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方式：1.凡有意参加</w:t>
      </w:r>
      <w:r>
        <w:rPr>
          <w:rFonts w:hint="eastAsia" w:ascii="宋体" w:hAnsi="宋体" w:cs="宋体"/>
          <w:sz w:val="24"/>
          <w:szCs w:val="24"/>
          <w:highlight w:val="none"/>
          <w:lang w:val="en-US" w:eastAsia="zh-CN" w:bidi="ar-SA"/>
        </w:rPr>
        <w:t>磋商</w:t>
      </w:r>
      <w:r>
        <w:rPr>
          <w:rFonts w:hint="eastAsia" w:ascii="宋体" w:hAnsi="宋体" w:eastAsia="宋体" w:cs="宋体"/>
          <w:sz w:val="24"/>
          <w:szCs w:val="24"/>
          <w:highlight w:val="none"/>
          <w:lang w:val="en-US" w:eastAsia="zh-CN" w:bidi="ar-SA"/>
        </w:rPr>
        <w:t>者，须持与云南省政府采购电子交易平台（政采云）兼容的数字证书（CA），在平台绑定后，线上获取采购文件及其它采购资料。CA申领链接：https://middle.zcygov.cn/ca/apply/list?_app_=zcy.sys</w:t>
      </w:r>
    </w:p>
    <w:p w14:paraId="30C3A92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2.按上述要求获取文件的供应商视为合法获取了本项目采购文件，具备本项目的</w:t>
      </w:r>
      <w:r>
        <w:rPr>
          <w:rFonts w:hint="eastAsia" w:ascii="宋体" w:hAnsi="宋体" w:cs="宋体"/>
          <w:sz w:val="24"/>
          <w:szCs w:val="24"/>
          <w:highlight w:val="none"/>
          <w:lang w:val="en-US" w:eastAsia="zh-CN" w:bidi="ar-SA"/>
        </w:rPr>
        <w:t>磋商</w:t>
      </w:r>
      <w:r>
        <w:rPr>
          <w:rFonts w:hint="eastAsia" w:ascii="宋体" w:hAnsi="宋体" w:eastAsia="宋体" w:cs="宋体"/>
          <w:sz w:val="24"/>
          <w:szCs w:val="24"/>
          <w:highlight w:val="none"/>
          <w:lang w:val="en-US" w:eastAsia="zh-CN" w:bidi="ar-SA"/>
        </w:rPr>
        <w:t>资格。</w:t>
      </w:r>
    </w:p>
    <w:p w14:paraId="6CE6BAA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售价：0元。</w:t>
      </w:r>
    </w:p>
    <w:p w14:paraId="401F8915">
      <w:pPr>
        <w:keepNext w:val="0"/>
        <w:keepLines w:val="0"/>
        <w:pageBreakBefore w:val="0"/>
        <w:kinsoku/>
        <w:wordWrap/>
        <w:overflowPunct/>
        <w:topLinePunct w:val="0"/>
        <w:autoSpaceDE/>
        <w:autoSpaceDN/>
        <w:bidi w:val="0"/>
        <w:adjustRightInd/>
        <w:snapToGrid/>
        <w:spacing w:line="460" w:lineRule="exact"/>
        <w:textAlignment w:val="auto"/>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四、响应文件提交</w:t>
      </w:r>
    </w:p>
    <w:p w14:paraId="55D5DF1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截止时间：</w:t>
      </w:r>
      <w:r>
        <w:rPr>
          <w:rFonts w:hint="eastAsia" w:ascii="宋体" w:hAnsi="宋体" w:cs="宋体"/>
          <w:sz w:val="24"/>
          <w:szCs w:val="24"/>
          <w:highlight w:val="none"/>
          <w:lang w:eastAsia="zh-CN"/>
        </w:rPr>
        <w:t>2026年</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月</w:t>
      </w:r>
      <w:r>
        <w:rPr>
          <w:rFonts w:hint="eastAsia" w:ascii="宋体" w:hAnsi="宋体" w:cs="宋体"/>
          <w:sz w:val="24"/>
          <w:szCs w:val="24"/>
          <w:highlight w:val="none"/>
          <w:lang w:val="en-US" w:eastAsia="zh-CN"/>
        </w:rPr>
        <w:t>15</w:t>
      </w:r>
      <w:r>
        <w:rPr>
          <w:rFonts w:hint="eastAsia" w:ascii="宋体" w:hAnsi="宋体" w:cs="宋体"/>
          <w:sz w:val="24"/>
          <w:szCs w:val="24"/>
          <w:highlight w:val="none"/>
          <w:lang w:eastAsia="zh-CN"/>
        </w:rPr>
        <w:t>日14:30</w:t>
      </w:r>
      <w:r>
        <w:rPr>
          <w:rFonts w:hint="eastAsia" w:ascii="宋体" w:hAnsi="宋体" w:cs="宋体"/>
          <w:sz w:val="24"/>
          <w:szCs w:val="24"/>
          <w:highlight w:val="none"/>
        </w:rPr>
        <w:t>。</w:t>
      </w:r>
    </w:p>
    <w:p w14:paraId="586FAD8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szCs w:val="24"/>
          <w:highlight w:val="none"/>
        </w:rPr>
        <w:t>地点：</w:t>
      </w:r>
      <w:r>
        <w:rPr>
          <w:rFonts w:hint="eastAsia" w:ascii="宋体" w:hAnsi="宋体" w:cs="宋体"/>
          <w:sz w:val="24"/>
          <w:highlight w:val="none"/>
          <w:lang w:val="en-US" w:eastAsia="zh-CN"/>
        </w:rPr>
        <w:t>供应商</w:t>
      </w:r>
      <w:r>
        <w:rPr>
          <w:rFonts w:hint="eastAsia" w:ascii="宋体" w:hAnsi="宋体" w:cs="宋体"/>
          <w:sz w:val="24"/>
          <w:highlight w:val="none"/>
          <w:lang w:eastAsia="zh-CN"/>
        </w:rPr>
        <w:t>应按照本项目</w:t>
      </w:r>
      <w:r>
        <w:rPr>
          <w:rFonts w:hint="eastAsia" w:ascii="宋体" w:hAnsi="宋体" w:cs="宋体"/>
          <w:sz w:val="24"/>
          <w:highlight w:val="none"/>
          <w:lang w:val="en-US" w:eastAsia="zh-CN"/>
        </w:rPr>
        <w:t>采购</w:t>
      </w:r>
      <w:r>
        <w:rPr>
          <w:rFonts w:hint="eastAsia" w:ascii="宋体" w:hAnsi="宋体" w:cs="宋体"/>
          <w:sz w:val="24"/>
          <w:highlight w:val="none"/>
          <w:lang w:eastAsia="zh-CN"/>
        </w:rPr>
        <w:t>文件和“政采云”平台的要求编制、加密后在</w:t>
      </w:r>
      <w:r>
        <w:rPr>
          <w:rFonts w:hint="eastAsia" w:ascii="宋体" w:hAnsi="宋体" w:cs="宋体"/>
          <w:sz w:val="24"/>
          <w:highlight w:val="none"/>
          <w:lang w:val="en-US" w:eastAsia="zh-CN"/>
        </w:rPr>
        <w:t>响应</w:t>
      </w:r>
      <w:r>
        <w:rPr>
          <w:rFonts w:hint="eastAsia" w:ascii="宋体" w:hAnsi="宋体" w:cs="宋体"/>
          <w:sz w:val="24"/>
          <w:highlight w:val="none"/>
          <w:lang w:eastAsia="zh-CN"/>
        </w:rPr>
        <w:t>文件提交截止时间前上传至“政采云”平台，</w:t>
      </w:r>
      <w:r>
        <w:rPr>
          <w:rFonts w:hint="eastAsia" w:ascii="宋体" w:hAnsi="宋体" w:cs="宋体"/>
          <w:sz w:val="24"/>
          <w:highlight w:val="none"/>
          <w:lang w:val="en-US" w:eastAsia="zh-CN"/>
        </w:rPr>
        <w:t>响应</w:t>
      </w:r>
      <w:r>
        <w:rPr>
          <w:rFonts w:hint="eastAsia" w:ascii="宋体" w:hAnsi="宋体" w:cs="宋体"/>
          <w:sz w:val="24"/>
          <w:highlight w:val="none"/>
          <w:lang w:eastAsia="zh-CN"/>
        </w:rPr>
        <w:t>文件提交截止时间前未完成</w:t>
      </w:r>
      <w:r>
        <w:rPr>
          <w:rFonts w:hint="eastAsia" w:ascii="宋体" w:hAnsi="宋体" w:cs="宋体"/>
          <w:sz w:val="24"/>
          <w:highlight w:val="none"/>
          <w:lang w:val="en-US" w:eastAsia="zh-CN"/>
        </w:rPr>
        <w:t>响应</w:t>
      </w:r>
      <w:r>
        <w:rPr>
          <w:rFonts w:hint="eastAsia" w:ascii="宋体" w:hAnsi="宋体" w:cs="宋体"/>
          <w:sz w:val="24"/>
          <w:highlight w:val="none"/>
          <w:lang w:eastAsia="zh-CN"/>
        </w:rPr>
        <w:t>文件上传的，视为撤回</w:t>
      </w:r>
      <w:r>
        <w:rPr>
          <w:rFonts w:hint="eastAsia" w:ascii="宋体" w:hAnsi="宋体" w:cs="宋体"/>
          <w:sz w:val="24"/>
          <w:highlight w:val="none"/>
          <w:lang w:val="en-US" w:eastAsia="zh-CN"/>
        </w:rPr>
        <w:t>响应</w:t>
      </w:r>
      <w:r>
        <w:rPr>
          <w:rFonts w:hint="eastAsia" w:ascii="宋体" w:hAnsi="宋体" w:cs="宋体"/>
          <w:sz w:val="24"/>
          <w:highlight w:val="none"/>
          <w:lang w:eastAsia="zh-CN"/>
        </w:rPr>
        <w:t>文件。</w:t>
      </w:r>
      <w:r>
        <w:rPr>
          <w:rFonts w:hint="eastAsia" w:ascii="宋体" w:hAnsi="宋体" w:cs="宋体"/>
          <w:sz w:val="24"/>
          <w:highlight w:val="none"/>
          <w:lang w:val="en-US" w:eastAsia="zh-CN"/>
        </w:rPr>
        <w:t>供应商</w:t>
      </w:r>
      <w:r>
        <w:rPr>
          <w:rFonts w:hint="eastAsia" w:ascii="宋体" w:hAnsi="宋体" w:cs="宋体"/>
          <w:sz w:val="24"/>
          <w:highlight w:val="none"/>
          <w:lang w:eastAsia="zh-CN"/>
        </w:rPr>
        <w:t>在“政采云”平台提交电子版</w:t>
      </w:r>
      <w:r>
        <w:rPr>
          <w:rFonts w:hint="eastAsia" w:ascii="宋体" w:hAnsi="宋体" w:cs="宋体"/>
          <w:sz w:val="24"/>
          <w:highlight w:val="none"/>
          <w:lang w:val="en-US" w:eastAsia="zh-CN"/>
        </w:rPr>
        <w:t>响应</w:t>
      </w:r>
      <w:r>
        <w:rPr>
          <w:rFonts w:hint="eastAsia" w:ascii="宋体" w:hAnsi="宋体" w:cs="宋体"/>
          <w:sz w:val="24"/>
          <w:highlight w:val="none"/>
          <w:lang w:eastAsia="zh-CN"/>
        </w:rPr>
        <w:t>文件时，请填写参加远程采购活动经办人联系方式。</w:t>
      </w:r>
    </w:p>
    <w:p w14:paraId="4A36D981">
      <w:pPr>
        <w:keepNext w:val="0"/>
        <w:keepLines w:val="0"/>
        <w:pageBreakBefore w:val="0"/>
        <w:kinsoku/>
        <w:wordWrap/>
        <w:overflowPunct/>
        <w:topLinePunct w:val="0"/>
        <w:autoSpaceDE/>
        <w:autoSpaceDN/>
        <w:bidi w:val="0"/>
        <w:adjustRightInd/>
        <w:snapToGrid/>
        <w:spacing w:line="460" w:lineRule="exact"/>
        <w:textAlignment w:val="auto"/>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五、开启</w:t>
      </w:r>
    </w:p>
    <w:p w14:paraId="13E93F1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时间：</w:t>
      </w:r>
      <w:r>
        <w:rPr>
          <w:rFonts w:hint="eastAsia" w:ascii="宋体" w:hAnsi="宋体" w:cs="宋体"/>
          <w:sz w:val="24"/>
          <w:szCs w:val="24"/>
          <w:highlight w:val="none"/>
          <w:lang w:eastAsia="zh-CN"/>
        </w:rPr>
        <w:t>2026年</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月</w:t>
      </w:r>
      <w:r>
        <w:rPr>
          <w:rFonts w:hint="eastAsia" w:ascii="宋体" w:hAnsi="宋体" w:cs="宋体"/>
          <w:sz w:val="24"/>
          <w:szCs w:val="24"/>
          <w:highlight w:val="none"/>
          <w:lang w:val="en-US" w:eastAsia="zh-CN"/>
        </w:rPr>
        <w:t>15</w:t>
      </w:r>
      <w:r>
        <w:rPr>
          <w:rFonts w:hint="eastAsia" w:ascii="宋体" w:hAnsi="宋体" w:cs="宋体"/>
          <w:sz w:val="24"/>
          <w:szCs w:val="24"/>
          <w:highlight w:val="none"/>
          <w:lang w:eastAsia="zh-CN"/>
        </w:rPr>
        <w:t>日14:30</w:t>
      </w:r>
      <w:r>
        <w:rPr>
          <w:rFonts w:hint="eastAsia" w:ascii="宋体" w:hAnsi="宋体" w:cs="宋体"/>
          <w:sz w:val="24"/>
          <w:szCs w:val="24"/>
          <w:highlight w:val="none"/>
        </w:rPr>
        <w:t>。</w:t>
      </w:r>
    </w:p>
    <w:p w14:paraId="1E55B9E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eastAsia="宋体"/>
          <w:highlight w:val="none"/>
          <w:lang w:eastAsia="zh-CN"/>
        </w:rPr>
      </w:pPr>
      <w:r>
        <w:rPr>
          <w:rFonts w:hint="eastAsia" w:ascii="宋体" w:hAnsi="宋体" w:cs="宋体"/>
          <w:sz w:val="24"/>
          <w:szCs w:val="24"/>
          <w:highlight w:val="none"/>
        </w:rPr>
        <w:t>地点：</w:t>
      </w:r>
      <w:r>
        <w:rPr>
          <w:rFonts w:hint="eastAsia" w:ascii="宋体" w:hAnsi="宋体" w:cs="宋体"/>
          <w:sz w:val="24"/>
          <w:highlight w:val="none"/>
          <w:lang w:eastAsia="zh-CN"/>
        </w:rPr>
        <w:t>“政采云”平台开标大厅</w:t>
      </w:r>
    </w:p>
    <w:p w14:paraId="6F0BB31B">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六、公告期限</w:t>
      </w:r>
    </w:p>
    <w:p w14:paraId="4D4F41E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2C625F16">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b/>
          <w:bCs/>
          <w:color w:val="000000"/>
          <w:sz w:val="24"/>
          <w:szCs w:val="24"/>
          <w:highlight w:val="none"/>
          <w:lang w:bidi="ar"/>
        </w:rPr>
        <w:t>七、其他补充事宜</w:t>
      </w:r>
    </w:p>
    <w:p w14:paraId="32A7E96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1.开标方式：网上开标</w:t>
      </w:r>
    </w:p>
    <w:p w14:paraId="6EDA685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2.是否需要缴纳投标保证金：否</w:t>
      </w:r>
    </w:p>
    <w:p w14:paraId="4610B01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3.其他：</w:t>
      </w:r>
    </w:p>
    <w:p w14:paraId="5FB9AE2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3.1本次采购公告在云南省政府采购网上发布。请各位供应商在递交投标（响应）文件前随时查看，以获取最新的消息。</w:t>
      </w:r>
    </w:p>
    <w:p w14:paraId="310C1EB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3EA47F9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3.3本项目执行政府采购促进中小企业发展、支持监狱企业、促进残疾人就业、强制采购和优先采购节能、环保产品等政府采购政策。</w:t>
      </w:r>
    </w:p>
    <w:p w14:paraId="147D8922">
      <w:pPr>
        <w:ind w:firstLine="420"/>
        <w:rPr>
          <w:rFonts w:hint="eastAsia" w:ascii="宋体" w:hAnsi="宋体" w:cs="宋体"/>
          <w:b/>
          <w:bCs/>
          <w:color w:val="FF0000"/>
          <w:kern w:val="0"/>
          <w:sz w:val="22"/>
          <w:szCs w:val="22"/>
        </w:rPr>
      </w:pPr>
      <w:r>
        <w:rPr>
          <w:rFonts w:hint="eastAsia" w:ascii="宋体" w:hAnsi="宋体" w:cs="宋体"/>
          <w:b/>
          <w:bCs/>
          <w:color w:val="FF0000"/>
          <w:kern w:val="0"/>
          <w:sz w:val="22"/>
          <w:szCs w:val="22"/>
          <w:lang w:val="en-US" w:eastAsia="zh-CN"/>
        </w:rPr>
        <w:t>3.4</w:t>
      </w:r>
      <w:r>
        <w:rPr>
          <w:rFonts w:hint="eastAsia" w:ascii="宋体" w:hAnsi="宋体" w:cs="宋体"/>
          <w:b/>
          <w:bCs/>
          <w:color w:val="FF0000"/>
          <w:kern w:val="0"/>
          <w:sz w:val="22"/>
          <w:szCs w:val="22"/>
        </w:rPr>
        <w:t>重要提醒</w:t>
      </w:r>
    </w:p>
    <w:p w14:paraId="04261EB7">
      <w:pPr>
        <w:ind w:firstLine="420"/>
        <w:rPr>
          <w:rFonts w:hint="eastAsia" w:ascii="宋体" w:hAnsi="宋体" w:cs="宋体"/>
          <w:b/>
          <w:bCs/>
          <w:color w:val="FF0000"/>
          <w:kern w:val="0"/>
          <w:sz w:val="22"/>
          <w:szCs w:val="22"/>
        </w:rPr>
      </w:pPr>
      <w:r>
        <w:rPr>
          <w:rFonts w:hint="eastAsia" w:ascii="宋体" w:hAnsi="宋体" w:cs="宋体"/>
          <w:b/>
          <w:bCs/>
          <w:color w:val="FF0000"/>
          <w:kern w:val="0"/>
          <w:sz w:val="22"/>
          <w:szCs w:val="22"/>
        </w:rPr>
        <w:t>请各投标人在系统上传投标文件时，仔细</w:t>
      </w:r>
      <w:r>
        <w:rPr>
          <w:rFonts w:hint="eastAsia" w:ascii="宋体" w:hAnsi="宋体" w:cs="宋体"/>
          <w:b/>
          <w:bCs/>
          <w:color w:val="FF0000"/>
          <w:kern w:val="0"/>
          <w:sz w:val="22"/>
          <w:szCs w:val="22"/>
          <w:lang w:val="en-US" w:eastAsia="zh-CN"/>
        </w:rPr>
        <w:t>检查</w:t>
      </w:r>
      <w:r>
        <w:rPr>
          <w:rFonts w:hint="eastAsia" w:ascii="宋体" w:hAnsi="宋体" w:cs="宋体"/>
          <w:b/>
          <w:bCs/>
          <w:color w:val="FF0000"/>
          <w:kern w:val="0"/>
          <w:sz w:val="22"/>
          <w:szCs w:val="22"/>
        </w:rPr>
        <w:t>所上传的文件是否完整，如有缺漏自行负责。</w:t>
      </w:r>
    </w:p>
    <w:p w14:paraId="180952FE">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八、凡对本次采购提出询问，请按以下方式联系</w:t>
      </w:r>
    </w:p>
    <w:p w14:paraId="51914E9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1.采购人信息</w:t>
      </w:r>
    </w:p>
    <w:p w14:paraId="2E5B00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i w:val="0"/>
          <w:iCs w:val="0"/>
          <w:color w:val="000000"/>
          <w:sz w:val="24"/>
          <w:szCs w:val="24"/>
          <w:highlight w:val="none"/>
          <w:u w:val="none"/>
          <w:lang w:val="en-US" w:eastAsia="zh-CN"/>
        </w:rPr>
      </w:pPr>
      <w:r>
        <w:rPr>
          <w:rFonts w:hint="default" w:ascii="宋体" w:hAnsi="宋体" w:eastAsia="宋体" w:cs="宋体"/>
          <w:i w:val="0"/>
          <w:iCs w:val="0"/>
          <w:color w:val="000000"/>
          <w:sz w:val="24"/>
          <w:szCs w:val="24"/>
          <w:highlight w:val="none"/>
          <w:u w:val="none"/>
          <w:lang w:val="en-US" w:eastAsia="zh-CN"/>
        </w:rPr>
        <w:t>名 称：云南省自然资源厅国土资源信息中心</w:t>
      </w:r>
    </w:p>
    <w:p w14:paraId="369F761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i w:val="0"/>
          <w:iCs w:val="0"/>
          <w:color w:val="000000"/>
          <w:sz w:val="24"/>
          <w:szCs w:val="24"/>
          <w:highlight w:val="none"/>
          <w:u w:val="none"/>
          <w:lang w:val="en-US" w:eastAsia="zh-CN"/>
        </w:rPr>
      </w:pPr>
      <w:r>
        <w:rPr>
          <w:rFonts w:hint="default" w:ascii="宋体" w:hAnsi="宋体" w:eastAsia="宋体" w:cs="宋体"/>
          <w:i w:val="0"/>
          <w:iCs w:val="0"/>
          <w:color w:val="000000"/>
          <w:sz w:val="24"/>
          <w:szCs w:val="24"/>
          <w:highlight w:val="none"/>
          <w:u w:val="none"/>
          <w:lang w:val="en-US" w:eastAsia="zh-CN"/>
        </w:rPr>
        <w:t>地 址：云南省昆明市盘龙区北京路1018号</w:t>
      </w:r>
    </w:p>
    <w:p w14:paraId="30267F0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i w:val="0"/>
          <w:iCs w:val="0"/>
          <w:color w:val="000000"/>
          <w:sz w:val="24"/>
          <w:szCs w:val="24"/>
          <w:highlight w:val="none"/>
          <w:u w:val="none"/>
          <w:lang w:val="en-US" w:eastAsia="zh-CN"/>
        </w:rPr>
      </w:pPr>
      <w:r>
        <w:rPr>
          <w:rFonts w:hint="default" w:ascii="宋体" w:hAnsi="宋体" w:eastAsia="宋体" w:cs="宋体"/>
          <w:i w:val="0"/>
          <w:iCs w:val="0"/>
          <w:color w:val="000000"/>
          <w:sz w:val="24"/>
          <w:szCs w:val="24"/>
          <w:highlight w:val="none"/>
          <w:u w:val="none"/>
          <w:lang w:val="en-US" w:eastAsia="zh-CN"/>
        </w:rPr>
        <w:t>联系方式：0871-65747356</w:t>
      </w:r>
    </w:p>
    <w:p w14:paraId="7BC2C1F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2.采购代理机构信息</w:t>
      </w:r>
    </w:p>
    <w:p w14:paraId="3307367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名称：华城云筑工程咨询管理(云南)有限公司</w:t>
      </w:r>
    </w:p>
    <w:p w14:paraId="4C3DC15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地　址：云南省昆明市盘龙区金辰街道办事处云波社区居委</w:t>
      </w:r>
      <w:bookmarkStart w:id="278" w:name="_GoBack"/>
      <w:bookmarkEnd w:id="278"/>
      <w:r>
        <w:rPr>
          <w:rFonts w:hint="eastAsia" w:ascii="宋体" w:hAnsi="宋体" w:eastAsia="宋体" w:cs="宋体"/>
          <w:i w:val="0"/>
          <w:iCs w:val="0"/>
          <w:color w:val="000000"/>
          <w:sz w:val="24"/>
          <w:szCs w:val="24"/>
          <w:highlight w:val="none"/>
          <w:u w:val="none"/>
          <w:lang w:val="en-US" w:eastAsia="zh-CN"/>
        </w:rPr>
        <w:t>会大唐国际写字楼18楼1801号</w:t>
      </w:r>
    </w:p>
    <w:p w14:paraId="7D7C6E7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联系方式：刘朝霞、周文静、王明慧、刘永剑、何榕18088018984、0871-65306370</w:t>
      </w:r>
    </w:p>
    <w:p w14:paraId="7AA073A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3.项目联系方式</w:t>
      </w:r>
    </w:p>
    <w:p w14:paraId="1AB830E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项目联系人：刘朝霞、周文静、王明慧、刘永剑、何榕</w:t>
      </w:r>
    </w:p>
    <w:p w14:paraId="3C7CB6E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电话：</w:t>
      </w:r>
      <w:bookmarkEnd w:id="10"/>
      <w:bookmarkEnd w:id="11"/>
      <w:bookmarkEnd w:id="12"/>
      <w:bookmarkEnd w:id="13"/>
      <w:bookmarkEnd w:id="14"/>
      <w:bookmarkEnd w:id="15"/>
      <w:r>
        <w:rPr>
          <w:rFonts w:hint="eastAsia" w:ascii="宋体" w:hAnsi="宋体" w:eastAsia="宋体" w:cs="宋体"/>
          <w:i w:val="0"/>
          <w:iCs w:val="0"/>
          <w:color w:val="000000"/>
          <w:sz w:val="24"/>
          <w:szCs w:val="24"/>
          <w:highlight w:val="none"/>
          <w:u w:val="none"/>
          <w:lang w:val="en-US" w:eastAsia="zh-CN"/>
        </w:rPr>
        <w:t>18088018984、0871-65306370</w:t>
      </w:r>
    </w:p>
    <w:p w14:paraId="2A25981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br w:type="page"/>
      </w:r>
    </w:p>
    <w:p w14:paraId="29BC5163">
      <w:pPr>
        <w:pStyle w:val="2"/>
        <w:spacing w:before="0" w:after="0" w:line="360" w:lineRule="auto"/>
        <w:jc w:val="center"/>
        <w:rPr>
          <w:rStyle w:val="57"/>
          <w:rFonts w:hint="eastAsia" w:ascii="宋体" w:hAnsi="宋体" w:cs="宋体"/>
          <w:b/>
          <w:bCs/>
          <w:highlight w:val="none"/>
        </w:rPr>
      </w:pPr>
      <w:bookmarkStart w:id="18" w:name="_Toc18080"/>
      <w:r>
        <w:rPr>
          <w:rStyle w:val="57"/>
          <w:rFonts w:hint="eastAsia" w:ascii="宋体" w:hAnsi="宋体" w:cs="宋体"/>
          <w:b/>
          <w:bCs/>
          <w:highlight w:val="none"/>
        </w:rPr>
        <w:t>第二章 供应商须知</w:t>
      </w:r>
      <w:bookmarkEnd w:id="16"/>
      <w:bookmarkEnd w:id="17"/>
      <w:bookmarkEnd w:id="18"/>
    </w:p>
    <w:p w14:paraId="16225C27">
      <w:pPr>
        <w:pStyle w:val="3"/>
        <w:spacing w:before="0" w:after="0" w:line="360" w:lineRule="auto"/>
        <w:ind w:firstLine="420"/>
        <w:jc w:val="center"/>
        <w:rPr>
          <w:rFonts w:hint="eastAsia" w:ascii="宋体" w:hAnsi="宋体" w:eastAsia="宋体" w:cs="宋体"/>
          <w:sz w:val="28"/>
          <w:szCs w:val="28"/>
          <w:highlight w:val="none"/>
        </w:rPr>
      </w:pPr>
      <w:bookmarkStart w:id="19" w:name="_Toc13590"/>
      <w:bookmarkEnd w:id="19"/>
      <w:bookmarkStart w:id="20" w:name="_Toc21714"/>
      <w:bookmarkEnd w:id="20"/>
      <w:bookmarkStart w:id="21" w:name="_Toc3896281"/>
      <w:bookmarkStart w:id="22" w:name="_Toc26144"/>
      <w:bookmarkStart w:id="23" w:name="_Toc227"/>
      <w:r>
        <w:rPr>
          <w:rFonts w:hint="eastAsia" w:ascii="宋体" w:hAnsi="宋体" w:eastAsia="宋体" w:cs="宋体"/>
          <w:sz w:val="28"/>
          <w:szCs w:val="28"/>
          <w:highlight w:val="none"/>
        </w:rPr>
        <w:t>供应商须知前附表</w:t>
      </w:r>
      <w:bookmarkEnd w:id="21"/>
      <w:bookmarkEnd w:id="22"/>
      <w:bookmarkEnd w:id="23"/>
    </w:p>
    <w:tbl>
      <w:tblPr>
        <w:tblStyle w:val="3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2050"/>
        <w:gridCol w:w="6211"/>
      </w:tblGrid>
      <w:tr w14:paraId="7D54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378" w:type="dxa"/>
            <w:vAlign w:val="center"/>
          </w:tcPr>
          <w:p w14:paraId="726B354E">
            <w:pPr>
              <w:keepNext w:val="0"/>
              <w:keepLines w:val="0"/>
              <w:pageBreakBefore w:val="0"/>
              <w:widowControl w:val="0"/>
              <w:kinsoku/>
              <w:wordWrap/>
              <w:overflowPunct/>
              <w:bidi w:val="0"/>
              <w:adjustRightInd/>
              <w:snapToGrid/>
              <w:spacing w:line="460" w:lineRule="exact"/>
              <w:ind w:left="210" w:leftChars="100"/>
              <w:jc w:val="center"/>
              <w:textAlignment w:val="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条款号</w:t>
            </w:r>
          </w:p>
        </w:tc>
        <w:tc>
          <w:tcPr>
            <w:tcW w:w="2050" w:type="dxa"/>
            <w:vAlign w:val="bottom"/>
          </w:tcPr>
          <w:p w14:paraId="07BDD578">
            <w:pPr>
              <w:keepNext w:val="0"/>
              <w:keepLines w:val="0"/>
              <w:pageBreakBefore w:val="0"/>
              <w:widowControl w:val="0"/>
              <w:kinsoku/>
              <w:wordWrap/>
              <w:overflowPunct/>
              <w:bidi w:val="0"/>
              <w:adjustRightInd/>
              <w:snapToGrid/>
              <w:spacing w:line="460" w:lineRule="exact"/>
              <w:ind w:left="210" w:leftChars="100"/>
              <w:jc w:val="center"/>
              <w:textAlignment w:val="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条款名称</w:t>
            </w:r>
          </w:p>
        </w:tc>
        <w:tc>
          <w:tcPr>
            <w:tcW w:w="6211" w:type="dxa"/>
            <w:vAlign w:val="bottom"/>
          </w:tcPr>
          <w:p w14:paraId="4A5BD547">
            <w:pPr>
              <w:keepNext w:val="0"/>
              <w:keepLines w:val="0"/>
              <w:pageBreakBefore w:val="0"/>
              <w:widowControl w:val="0"/>
              <w:kinsoku/>
              <w:wordWrap/>
              <w:overflowPunct/>
              <w:bidi w:val="0"/>
              <w:adjustRightInd/>
              <w:snapToGrid/>
              <w:spacing w:line="460" w:lineRule="exact"/>
              <w:ind w:left="210" w:leftChars="100"/>
              <w:jc w:val="center"/>
              <w:textAlignment w:val="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编列内容</w:t>
            </w:r>
          </w:p>
        </w:tc>
      </w:tr>
      <w:tr w14:paraId="63BC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405639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1.1.2</w:t>
            </w:r>
          </w:p>
        </w:tc>
        <w:tc>
          <w:tcPr>
            <w:tcW w:w="2050" w:type="dxa"/>
            <w:vAlign w:val="center"/>
          </w:tcPr>
          <w:p w14:paraId="0DBBA72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采购人</w:t>
            </w:r>
          </w:p>
        </w:tc>
        <w:tc>
          <w:tcPr>
            <w:tcW w:w="6211" w:type="dxa"/>
            <w:vAlign w:val="center"/>
          </w:tcPr>
          <w:p w14:paraId="56BD8166">
            <w:pPr>
              <w:keepNext w:val="0"/>
              <w:keepLines w:val="0"/>
              <w:pageBreakBefore w:val="0"/>
              <w:kinsoku/>
              <w:wordWrap/>
              <w:overflowPunct/>
              <w:topLinePunct w:val="0"/>
              <w:autoSpaceDE/>
              <w:autoSpaceDN/>
              <w:bidi w:val="0"/>
              <w:spacing w:line="470" w:lineRule="exact"/>
              <w:ind w:firstLine="0" w:firstLineChars="0"/>
              <w:textAlignment w:val="auto"/>
              <w:rPr>
                <w:rFonts w:hint="default" w:ascii="宋体" w:hAnsi="宋体" w:eastAsia="宋体" w:cs="宋体"/>
                <w:kern w:val="2"/>
                <w:sz w:val="24"/>
                <w:szCs w:val="24"/>
                <w:highlight w:val="none"/>
                <w:lang w:val="en-US" w:eastAsia="zh-CN"/>
              </w:rPr>
            </w:pPr>
            <w:r>
              <w:rPr>
                <w:rFonts w:hint="eastAsia" w:ascii="Times New Roman" w:hAnsi="Times New Roman" w:eastAsia="宋体" w:cs="Times New Roman"/>
                <w:szCs w:val="21"/>
                <w:highlight w:val="none"/>
                <w:lang w:eastAsia="zh-CN"/>
              </w:rPr>
              <w:t>云南省自然资源厅国土资源信息中心</w:t>
            </w:r>
          </w:p>
        </w:tc>
      </w:tr>
      <w:tr w14:paraId="691FB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FCB533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1.1.3</w:t>
            </w:r>
          </w:p>
        </w:tc>
        <w:tc>
          <w:tcPr>
            <w:tcW w:w="2050" w:type="dxa"/>
            <w:vAlign w:val="center"/>
          </w:tcPr>
          <w:p w14:paraId="032E82EC">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采购代理机构</w:t>
            </w:r>
          </w:p>
        </w:tc>
        <w:tc>
          <w:tcPr>
            <w:tcW w:w="6211" w:type="dxa"/>
            <w:vAlign w:val="center"/>
          </w:tcPr>
          <w:p w14:paraId="62E9AF39">
            <w:pPr>
              <w:keepNext w:val="0"/>
              <w:keepLines w:val="0"/>
              <w:pageBreakBefore w:val="0"/>
              <w:kinsoku/>
              <w:wordWrap/>
              <w:overflowPunct/>
              <w:topLinePunct w:val="0"/>
              <w:autoSpaceDE/>
              <w:autoSpaceDN/>
              <w:bidi w:val="0"/>
              <w:spacing w:line="470" w:lineRule="exact"/>
              <w:ind w:firstLine="0" w:firstLineChars="0"/>
              <w:textAlignment w:val="auto"/>
              <w:rPr>
                <w:rFonts w:hint="eastAsia" w:ascii="宋体" w:hAnsi="宋体" w:eastAsia="宋体" w:cs="宋体"/>
                <w:kern w:val="2"/>
                <w:sz w:val="24"/>
                <w:szCs w:val="24"/>
                <w:highlight w:val="none"/>
              </w:rPr>
            </w:pPr>
            <w:r>
              <w:rPr>
                <w:rFonts w:hint="eastAsia" w:ascii="Times New Roman" w:hAnsi="Times New Roman" w:cs="Times New Roman"/>
                <w:szCs w:val="21"/>
                <w:highlight w:val="none"/>
                <w:lang w:eastAsia="zh-CN"/>
              </w:rPr>
              <w:t>华城云筑工程咨询管理(云南)有限公司</w:t>
            </w:r>
          </w:p>
        </w:tc>
      </w:tr>
      <w:tr w14:paraId="4A64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DF4E4A2">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1.1.4</w:t>
            </w:r>
          </w:p>
        </w:tc>
        <w:tc>
          <w:tcPr>
            <w:tcW w:w="2050" w:type="dxa"/>
            <w:vAlign w:val="center"/>
          </w:tcPr>
          <w:p w14:paraId="39F7B49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项目名称</w:t>
            </w:r>
          </w:p>
        </w:tc>
        <w:tc>
          <w:tcPr>
            <w:tcW w:w="6211" w:type="dxa"/>
            <w:vAlign w:val="center"/>
          </w:tcPr>
          <w:p w14:paraId="24E108ED">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eastAsia="zh-CN"/>
              </w:rPr>
              <w:t>云南省自然资源厅采矿用地复垦修复系统升级改造2025年项目</w:t>
            </w:r>
          </w:p>
        </w:tc>
      </w:tr>
      <w:tr w14:paraId="0A2B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014FEF26">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1.2.1</w:t>
            </w:r>
          </w:p>
        </w:tc>
        <w:tc>
          <w:tcPr>
            <w:tcW w:w="2050" w:type="dxa"/>
            <w:vAlign w:val="center"/>
          </w:tcPr>
          <w:p w14:paraId="4B07E817">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资金落实情况</w:t>
            </w:r>
          </w:p>
        </w:tc>
        <w:tc>
          <w:tcPr>
            <w:tcW w:w="6211" w:type="dxa"/>
            <w:vAlign w:val="center"/>
          </w:tcPr>
          <w:p w14:paraId="3F883047">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已落实</w:t>
            </w:r>
          </w:p>
        </w:tc>
      </w:tr>
      <w:tr w14:paraId="264E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6DCF19F1">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1.2.</w:t>
            </w:r>
            <w:r>
              <w:rPr>
                <w:rFonts w:hint="eastAsia" w:ascii="宋体" w:hAnsi="宋体" w:cs="宋体"/>
                <w:kern w:val="2"/>
                <w:sz w:val="24"/>
                <w:szCs w:val="24"/>
                <w:highlight w:val="none"/>
                <w:lang w:val="en-US" w:eastAsia="zh-CN"/>
              </w:rPr>
              <w:t>2</w:t>
            </w:r>
          </w:p>
        </w:tc>
        <w:tc>
          <w:tcPr>
            <w:tcW w:w="2050" w:type="dxa"/>
            <w:vAlign w:val="center"/>
          </w:tcPr>
          <w:p w14:paraId="7866BFD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i w:val="0"/>
                <w:iCs w:val="0"/>
                <w:kern w:val="2"/>
                <w:sz w:val="24"/>
                <w:szCs w:val="24"/>
                <w:highlight w:val="none"/>
              </w:rPr>
              <w:t>项目预算金额</w:t>
            </w:r>
          </w:p>
        </w:tc>
        <w:tc>
          <w:tcPr>
            <w:tcW w:w="6211" w:type="dxa"/>
            <w:vAlign w:val="center"/>
          </w:tcPr>
          <w:p w14:paraId="3225BBF1">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cs="宋体"/>
                <w:color w:val="auto"/>
                <w:kern w:val="0"/>
                <w:sz w:val="24"/>
                <w:highlight w:val="none"/>
                <w:lang w:val="en-US" w:eastAsia="zh-CN"/>
              </w:rPr>
              <w:t>75.00万元</w:t>
            </w:r>
          </w:p>
        </w:tc>
      </w:tr>
      <w:tr w14:paraId="60B3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9D058D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1.2.</w:t>
            </w:r>
            <w:r>
              <w:rPr>
                <w:rFonts w:hint="eastAsia" w:ascii="宋体" w:hAnsi="宋体" w:cs="宋体"/>
                <w:kern w:val="2"/>
                <w:sz w:val="24"/>
                <w:szCs w:val="24"/>
                <w:highlight w:val="none"/>
                <w:lang w:val="en-US" w:eastAsia="zh-CN"/>
              </w:rPr>
              <w:t>3</w:t>
            </w:r>
          </w:p>
        </w:tc>
        <w:tc>
          <w:tcPr>
            <w:tcW w:w="2050" w:type="dxa"/>
            <w:vAlign w:val="center"/>
          </w:tcPr>
          <w:p w14:paraId="1D535865">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i w:val="0"/>
                <w:iCs w:val="0"/>
                <w:color w:val="auto"/>
                <w:sz w:val="24"/>
                <w:szCs w:val="24"/>
                <w:highlight w:val="none"/>
              </w:rPr>
              <w:t>最高限价</w:t>
            </w:r>
          </w:p>
        </w:tc>
        <w:tc>
          <w:tcPr>
            <w:tcW w:w="6211" w:type="dxa"/>
            <w:vAlign w:val="center"/>
          </w:tcPr>
          <w:p w14:paraId="1419B994">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lang w:val="en-US" w:eastAsia="zh-CN"/>
              </w:rPr>
            </w:pPr>
            <w:r>
              <w:rPr>
                <w:rFonts w:hint="eastAsia" w:ascii="宋体" w:hAnsi="宋体" w:cs="宋体"/>
                <w:color w:val="auto"/>
                <w:kern w:val="0"/>
                <w:sz w:val="24"/>
                <w:highlight w:val="none"/>
                <w:lang w:val="en-US" w:eastAsia="zh-CN"/>
              </w:rPr>
              <w:t>75.00万元</w:t>
            </w:r>
          </w:p>
        </w:tc>
      </w:tr>
      <w:tr w14:paraId="201C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0F07537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1.3.1</w:t>
            </w:r>
          </w:p>
        </w:tc>
        <w:tc>
          <w:tcPr>
            <w:tcW w:w="2050" w:type="dxa"/>
            <w:vAlign w:val="center"/>
          </w:tcPr>
          <w:p w14:paraId="2989D537">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cs="宋体"/>
                <w:kern w:val="2"/>
                <w:sz w:val="24"/>
                <w:szCs w:val="24"/>
                <w:highlight w:val="none"/>
                <w:lang w:eastAsia="zh-CN"/>
              </w:rPr>
              <w:t>服务内容</w:t>
            </w:r>
          </w:p>
        </w:tc>
        <w:tc>
          <w:tcPr>
            <w:tcW w:w="6211" w:type="dxa"/>
            <w:vAlign w:val="center"/>
          </w:tcPr>
          <w:p w14:paraId="3F95A0CD">
            <w:pPr>
              <w:keepNext w:val="0"/>
              <w:keepLines w:val="0"/>
              <w:pageBreakBefore w:val="0"/>
              <w:widowControl w:val="0"/>
              <w:kinsoku/>
              <w:wordWrap/>
              <w:overflowPunct/>
              <w:bidi w:val="0"/>
              <w:adjustRightInd/>
              <w:snapToGrid/>
              <w:spacing w:line="460" w:lineRule="exact"/>
              <w:jc w:val="both"/>
              <w:textAlignment w:val="auto"/>
              <w:rPr>
                <w:rFonts w:hint="default" w:ascii="宋体" w:hAnsi="宋体" w:eastAsia="宋体" w:cs="宋体"/>
                <w:kern w:val="2"/>
                <w:sz w:val="24"/>
                <w:szCs w:val="24"/>
                <w:highlight w:val="none"/>
                <w:lang w:val="en-US"/>
              </w:rPr>
            </w:pPr>
            <w:r>
              <w:rPr>
                <w:rFonts w:hint="eastAsia" w:ascii="宋体" w:hAnsi="宋体" w:cs="宋体"/>
                <w:kern w:val="0"/>
                <w:sz w:val="24"/>
                <w:highlight w:val="none"/>
                <w:lang w:val="en-US" w:eastAsia="zh-CN"/>
              </w:rPr>
              <w:t>详见第五章《采购需求》的具体内容</w:t>
            </w:r>
          </w:p>
        </w:tc>
      </w:tr>
      <w:tr w14:paraId="5DB9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53458A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1.3.2</w:t>
            </w:r>
          </w:p>
        </w:tc>
        <w:tc>
          <w:tcPr>
            <w:tcW w:w="2050" w:type="dxa"/>
            <w:vAlign w:val="center"/>
          </w:tcPr>
          <w:p w14:paraId="5F50F798">
            <w:pPr>
              <w:keepNext w:val="0"/>
              <w:keepLines w:val="0"/>
              <w:pageBreakBefore w:val="0"/>
              <w:widowControl w:val="0"/>
              <w:kinsoku/>
              <w:wordWrap/>
              <w:overflowPunct/>
              <w:bidi w:val="0"/>
              <w:adjustRightInd/>
              <w:snapToGrid/>
              <w:spacing w:line="460" w:lineRule="exact"/>
              <w:jc w:val="center"/>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合同履行期限</w:t>
            </w:r>
          </w:p>
        </w:tc>
        <w:tc>
          <w:tcPr>
            <w:tcW w:w="6211" w:type="dxa"/>
            <w:vAlign w:val="top"/>
          </w:tcPr>
          <w:p w14:paraId="3593526E">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自合同签订之日起12个月内完成所有工作内容。</w:t>
            </w:r>
          </w:p>
        </w:tc>
      </w:tr>
      <w:tr w14:paraId="6BA4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2E620B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1.3.3</w:t>
            </w:r>
          </w:p>
        </w:tc>
        <w:tc>
          <w:tcPr>
            <w:tcW w:w="2050" w:type="dxa"/>
            <w:vAlign w:val="center"/>
          </w:tcPr>
          <w:p w14:paraId="507C5784">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服务地点</w:t>
            </w:r>
          </w:p>
        </w:tc>
        <w:tc>
          <w:tcPr>
            <w:tcW w:w="6211" w:type="dxa"/>
            <w:vAlign w:val="bottom"/>
          </w:tcPr>
          <w:p w14:paraId="7EDF5DE1">
            <w:pPr>
              <w:keepNext w:val="0"/>
              <w:keepLines w:val="0"/>
              <w:pageBreakBefore w:val="0"/>
              <w:widowControl w:val="0"/>
              <w:kinsoku/>
              <w:wordWrap/>
              <w:overflowPunct/>
              <w:bidi w:val="0"/>
              <w:adjustRightInd/>
              <w:snapToGrid/>
              <w:spacing w:line="460" w:lineRule="exact"/>
              <w:jc w:val="both"/>
              <w:textAlignment w:val="auto"/>
              <w:rPr>
                <w:rFonts w:hint="default" w:ascii="宋体" w:hAnsi="宋体" w:cs="宋体"/>
                <w:sz w:val="24"/>
                <w:highlight w:val="none"/>
                <w:lang w:val="en-US" w:eastAsia="zh-CN"/>
              </w:rPr>
            </w:pPr>
            <w:r>
              <w:rPr>
                <w:rFonts w:hint="eastAsia" w:ascii="宋体" w:hAnsi="宋体" w:cs="宋体"/>
                <w:sz w:val="24"/>
                <w:highlight w:val="none"/>
                <w:lang w:val="en-US" w:eastAsia="zh-CN"/>
              </w:rPr>
              <w:t>采购人指定地点。</w:t>
            </w:r>
          </w:p>
        </w:tc>
      </w:tr>
      <w:tr w14:paraId="1CDA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E1DD0A2">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color w:val="auto"/>
                <w:kern w:val="2"/>
                <w:sz w:val="24"/>
                <w:szCs w:val="24"/>
                <w:highlight w:val="none"/>
              </w:rPr>
              <w:t>1.3.4</w:t>
            </w:r>
          </w:p>
        </w:tc>
        <w:tc>
          <w:tcPr>
            <w:tcW w:w="2050" w:type="dxa"/>
            <w:vAlign w:val="center"/>
          </w:tcPr>
          <w:p w14:paraId="4F38992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color w:val="auto"/>
                <w:kern w:val="2"/>
                <w:sz w:val="24"/>
                <w:szCs w:val="24"/>
                <w:highlight w:val="none"/>
              </w:rPr>
              <w:t>质量</w:t>
            </w:r>
            <w:r>
              <w:rPr>
                <w:rFonts w:hint="eastAsia" w:ascii="宋体" w:hAnsi="宋体" w:cs="宋体"/>
                <w:color w:val="auto"/>
                <w:kern w:val="2"/>
                <w:sz w:val="24"/>
                <w:szCs w:val="24"/>
                <w:highlight w:val="none"/>
                <w:lang w:val="en-US" w:eastAsia="zh-CN"/>
              </w:rPr>
              <w:t>标准</w:t>
            </w:r>
          </w:p>
        </w:tc>
        <w:tc>
          <w:tcPr>
            <w:tcW w:w="6211" w:type="dxa"/>
            <w:vAlign w:val="bottom"/>
          </w:tcPr>
          <w:p w14:paraId="0092C6E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cs="宋体"/>
                <w:kern w:val="2"/>
                <w:sz w:val="24"/>
                <w:szCs w:val="24"/>
                <w:highlight w:val="none"/>
                <w:lang w:val="en-US" w:eastAsia="zh-CN"/>
              </w:rPr>
            </w:pPr>
            <w:r>
              <w:rPr>
                <w:rFonts w:hint="eastAsia" w:ascii="宋体" w:hAnsi="宋体" w:cs="宋体"/>
                <w:kern w:val="2"/>
                <w:sz w:val="24"/>
                <w:szCs w:val="24"/>
                <w:highlight w:val="none"/>
                <w:lang w:val="en-US" w:eastAsia="zh-CN"/>
              </w:rPr>
              <w:t>按照本采购需求中“（二）采购标的需执行的国家相关标准、行业标准、地方标准或者其他标准、规范”等相关技术规范执行</w:t>
            </w:r>
          </w:p>
        </w:tc>
      </w:tr>
      <w:tr w14:paraId="5F69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2B785B8">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1.4.1</w:t>
            </w:r>
          </w:p>
        </w:tc>
        <w:tc>
          <w:tcPr>
            <w:tcW w:w="2050" w:type="dxa"/>
            <w:vAlign w:val="center"/>
          </w:tcPr>
          <w:p w14:paraId="2A8DD78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供应商资格条件</w:t>
            </w:r>
          </w:p>
        </w:tc>
        <w:tc>
          <w:tcPr>
            <w:tcW w:w="6211" w:type="dxa"/>
            <w:vAlign w:val="center"/>
          </w:tcPr>
          <w:p w14:paraId="1A30E1C4">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color w:val="auto"/>
                <w:kern w:val="2"/>
                <w:sz w:val="24"/>
                <w:szCs w:val="24"/>
                <w:highlight w:val="none"/>
              </w:rPr>
              <w:t>见“第一章 竞争性磋商公告</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二、申请人的资格要求”</w:t>
            </w:r>
          </w:p>
        </w:tc>
      </w:tr>
      <w:tr w14:paraId="5B11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 w:type="dxa"/>
            <w:vAlign w:val="center"/>
          </w:tcPr>
          <w:p w14:paraId="60118A7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1.4.2</w:t>
            </w:r>
          </w:p>
        </w:tc>
        <w:tc>
          <w:tcPr>
            <w:tcW w:w="2050" w:type="dxa"/>
            <w:vAlign w:val="center"/>
          </w:tcPr>
          <w:p w14:paraId="6F4850CA">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是否接受联合体磋商</w:t>
            </w:r>
          </w:p>
        </w:tc>
        <w:tc>
          <w:tcPr>
            <w:tcW w:w="6211" w:type="dxa"/>
            <w:vAlign w:val="center"/>
          </w:tcPr>
          <w:p w14:paraId="7D276347">
            <w:pPr>
              <w:keepNext w:val="0"/>
              <w:keepLines w:val="0"/>
              <w:pageBreakBefore w:val="0"/>
              <w:widowControl w:val="0"/>
              <w:kinsoku/>
              <w:wordWrap/>
              <w:overflowPunct/>
              <w:bidi w:val="0"/>
              <w:adjustRightInd/>
              <w:snapToGrid/>
              <w:spacing w:line="460" w:lineRule="exact"/>
              <w:jc w:val="left"/>
              <w:textAlignment w:val="auto"/>
              <w:rPr>
                <w:rFonts w:hint="eastAsia" w:ascii="宋体" w:hAnsi="宋体" w:eastAsia="宋体" w:cs="宋体"/>
                <w:highlight w:val="none"/>
              </w:rPr>
            </w:pPr>
            <w:r>
              <w:rPr>
                <w:rFonts w:hint="eastAsia" w:ascii="宋体" w:hAnsi="宋体" w:eastAsia="宋体" w:cs="宋体"/>
                <w:sz w:val="24"/>
                <w:szCs w:val="24"/>
                <w:highlight w:val="none"/>
              </w:rPr>
              <w:t>不接受</w:t>
            </w:r>
          </w:p>
        </w:tc>
      </w:tr>
      <w:tr w14:paraId="33BA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F9700C8">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1.9.1</w:t>
            </w:r>
          </w:p>
        </w:tc>
        <w:tc>
          <w:tcPr>
            <w:tcW w:w="2050" w:type="dxa"/>
            <w:vAlign w:val="center"/>
          </w:tcPr>
          <w:p w14:paraId="11D1F38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现场考察</w:t>
            </w:r>
          </w:p>
        </w:tc>
        <w:tc>
          <w:tcPr>
            <w:tcW w:w="6211" w:type="dxa"/>
            <w:vAlign w:val="center"/>
          </w:tcPr>
          <w:p w14:paraId="6371CD0D">
            <w:pPr>
              <w:pStyle w:val="12"/>
              <w:keepNext w:val="0"/>
              <w:keepLines w:val="0"/>
              <w:pageBreakBefore w:val="0"/>
              <w:widowControl w:val="0"/>
              <w:kinsoku/>
              <w:wordWrap/>
              <w:overflowPunct/>
              <w:topLine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highlight w:val="none"/>
              </w:rPr>
              <w:t>不组织</w:t>
            </w:r>
          </w:p>
        </w:tc>
      </w:tr>
      <w:tr w14:paraId="7652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A88675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1.10</w:t>
            </w:r>
          </w:p>
          <w:p w14:paraId="0A89731E">
            <w:pPr>
              <w:pStyle w:val="8"/>
              <w:keepNext w:val="0"/>
              <w:keepLines w:val="0"/>
              <w:pageBreakBefore w:val="0"/>
              <w:kinsoku/>
              <w:wordWrap/>
              <w:overflowPunct/>
              <w:bidi w:val="0"/>
              <w:adjustRightInd/>
              <w:snapToGrid/>
              <w:spacing w:line="460" w:lineRule="exact"/>
              <w:ind w:left="0" w:leftChars="0" w:firstLine="0" w:firstLineChars="0"/>
              <w:jc w:val="center"/>
              <w:textAlignment w:val="auto"/>
              <w:rPr>
                <w:rFonts w:hint="eastAsia" w:ascii="宋体" w:hAnsi="宋体" w:eastAsia="宋体" w:cs="宋体"/>
                <w:highlight w:val="none"/>
                <w:lang w:val="en-US" w:eastAsia="zh-CN"/>
              </w:rPr>
            </w:pPr>
            <w:r>
              <w:rPr>
                <w:rFonts w:hint="eastAsia" w:ascii="宋体" w:hAnsi="宋体" w:eastAsia="宋体" w:cs="宋体"/>
                <w:b/>
                <w:bCs w:val="0"/>
                <w:kern w:val="2"/>
                <w:sz w:val="24"/>
                <w:szCs w:val="24"/>
                <w:highlight w:val="none"/>
                <w:lang w:val="en-US" w:eastAsia="zh-CN"/>
              </w:rPr>
              <w:t>3.5.2</w:t>
            </w:r>
          </w:p>
        </w:tc>
        <w:tc>
          <w:tcPr>
            <w:tcW w:w="2050" w:type="dxa"/>
            <w:vAlign w:val="center"/>
          </w:tcPr>
          <w:p w14:paraId="63BA1E4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b/>
                <w:bCs w:val="0"/>
                <w:kern w:val="2"/>
                <w:sz w:val="24"/>
                <w:szCs w:val="24"/>
                <w:highlight w:val="none"/>
                <w:lang w:val="en-US" w:eastAsia="zh-CN"/>
              </w:rPr>
            </w:pPr>
            <w:r>
              <w:rPr>
                <w:rFonts w:hint="eastAsia" w:ascii="宋体" w:hAnsi="宋体" w:eastAsia="宋体" w:cs="宋体"/>
                <w:b/>
                <w:bCs w:val="0"/>
                <w:kern w:val="2"/>
                <w:sz w:val="24"/>
                <w:szCs w:val="24"/>
                <w:highlight w:val="none"/>
                <w:lang w:val="en-US" w:eastAsia="zh-CN"/>
              </w:rPr>
              <w:t>不允许偏离的实质性要求和条件</w:t>
            </w:r>
          </w:p>
        </w:tc>
        <w:tc>
          <w:tcPr>
            <w:tcW w:w="6211" w:type="dxa"/>
            <w:vAlign w:val="center"/>
          </w:tcPr>
          <w:p w14:paraId="13AEC1F2">
            <w:pPr>
              <w:pStyle w:val="13"/>
              <w:keepNext w:val="0"/>
              <w:keepLines w:val="0"/>
              <w:pageBreakBefore w:val="0"/>
              <w:kinsoku/>
              <w:wordWrap/>
              <w:overflowPunct/>
              <w:bidi w:val="0"/>
              <w:adjustRightInd/>
              <w:snapToGrid/>
              <w:spacing w:line="460" w:lineRule="exact"/>
              <w:textAlignment w:val="auto"/>
              <w:rPr>
                <w:rFonts w:hint="default"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资格要求和符合性审查不允许负偏离</w:t>
            </w:r>
          </w:p>
        </w:tc>
      </w:tr>
      <w:tr w14:paraId="2E12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2983EC77">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2.1</w:t>
            </w:r>
          </w:p>
        </w:tc>
        <w:tc>
          <w:tcPr>
            <w:tcW w:w="2050" w:type="dxa"/>
            <w:vAlign w:val="center"/>
          </w:tcPr>
          <w:p w14:paraId="15290C06">
            <w:pPr>
              <w:pStyle w:val="63"/>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构成竞争性磋商文件的其他资料</w:t>
            </w:r>
          </w:p>
        </w:tc>
        <w:tc>
          <w:tcPr>
            <w:tcW w:w="6211" w:type="dxa"/>
            <w:vAlign w:val="center"/>
          </w:tcPr>
          <w:p w14:paraId="7C4D0131">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澄清、修改等内容</w:t>
            </w:r>
          </w:p>
        </w:tc>
      </w:tr>
      <w:tr w14:paraId="27D6C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D08DB54">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2.2.2</w:t>
            </w:r>
          </w:p>
        </w:tc>
        <w:tc>
          <w:tcPr>
            <w:tcW w:w="2050" w:type="dxa"/>
            <w:vAlign w:val="center"/>
          </w:tcPr>
          <w:p w14:paraId="389D55D1">
            <w:pPr>
              <w:pStyle w:val="63"/>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竞争性磋商文件澄清发出的形式</w:t>
            </w:r>
          </w:p>
        </w:tc>
        <w:tc>
          <w:tcPr>
            <w:tcW w:w="6211" w:type="dxa"/>
            <w:vAlign w:val="center"/>
          </w:tcPr>
          <w:p w14:paraId="1768FE6D">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在公告发布媒介上发布澄清公告</w:t>
            </w:r>
          </w:p>
        </w:tc>
      </w:tr>
      <w:tr w14:paraId="229B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8BF3A99">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2.2.3</w:t>
            </w:r>
          </w:p>
        </w:tc>
        <w:tc>
          <w:tcPr>
            <w:tcW w:w="2050" w:type="dxa"/>
            <w:vAlign w:val="center"/>
          </w:tcPr>
          <w:p w14:paraId="7EDA2E5A">
            <w:pPr>
              <w:pStyle w:val="63"/>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供应商确认收到竞争性磋商文件澄清</w:t>
            </w:r>
          </w:p>
        </w:tc>
        <w:tc>
          <w:tcPr>
            <w:tcW w:w="6211" w:type="dxa"/>
            <w:vAlign w:val="center"/>
          </w:tcPr>
          <w:p w14:paraId="041C1824">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时间：24小时内</w:t>
            </w:r>
          </w:p>
          <w:p w14:paraId="7010575F">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形式：盖章确认后，以电子邮件形式向采购代理机构发送扫描件。</w:t>
            </w:r>
          </w:p>
          <w:p w14:paraId="293D1B43">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电子邮箱：</w:t>
            </w:r>
            <w:r>
              <w:rPr>
                <w:rFonts w:hint="eastAsia" w:ascii="宋体" w:hAnsi="宋体" w:cs="宋体"/>
                <w:kern w:val="2"/>
                <w:sz w:val="24"/>
                <w:szCs w:val="24"/>
                <w:highlight w:val="none"/>
                <w:u w:val="none"/>
                <w:lang w:val="en-US" w:eastAsia="zh-CN"/>
              </w:rPr>
              <w:t>512089024@</w:t>
            </w:r>
            <w:r>
              <w:rPr>
                <w:rFonts w:hint="eastAsia" w:ascii="宋体" w:hAnsi="宋体" w:eastAsia="宋体" w:cs="宋体"/>
                <w:kern w:val="2"/>
                <w:sz w:val="24"/>
                <w:szCs w:val="24"/>
                <w:highlight w:val="none"/>
              </w:rPr>
              <w:t>@qq.com</w:t>
            </w:r>
          </w:p>
        </w:tc>
      </w:tr>
      <w:tr w14:paraId="0E912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2DA5A82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2.3.1</w:t>
            </w:r>
          </w:p>
        </w:tc>
        <w:tc>
          <w:tcPr>
            <w:tcW w:w="2050" w:type="dxa"/>
            <w:vAlign w:val="center"/>
          </w:tcPr>
          <w:p w14:paraId="72A70187">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竞争性磋商文件修改发出的形式</w:t>
            </w:r>
          </w:p>
        </w:tc>
        <w:tc>
          <w:tcPr>
            <w:tcW w:w="6211" w:type="dxa"/>
            <w:vAlign w:val="center"/>
          </w:tcPr>
          <w:p w14:paraId="6297ADF0">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在公告发布媒介上发布澄清公告</w:t>
            </w:r>
          </w:p>
        </w:tc>
      </w:tr>
      <w:tr w14:paraId="5F41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064AB0AD">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2.3.2</w:t>
            </w:r>
          </w:p>
        </w:tc>
        <w:tc>
          <w:tcPr>
            <w:tcW w:w="2050" w:type="dxa"/>
            <w:vAlign w:val="center"/>
          </w:tcPr>
          <w:p w14:paraId="782FE8D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供应商确认收到竞争性磋商文件修改</w:t>
            </w:r>
          </w:p>
        </w:tc>
        <w:tc>
          <w:tcPr>
            <w:tcW w:w="6211" w:type="dxa"/>
            <w:vAlign w:val="center"/>
          </w:tcPr>
          <w:p w14:paraId="3D56AF5E">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时间：24小时内</w:t>
            </w:r>
          </w:p>
          <w:p w14:paraId="2372E492">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形式：盖章确认后，以电子邮件形式向采购代理机构发送扫描件。</w:t>
            </w:r>
          </w:p>
          <w:p w14:paraId="4BEDCCE2">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电子邮箱：</w:t>
            </w:r>
            <w:r>
              <w:rPr>
                <w:rFonts w:hint="eastAsia" w:ascii="宋体" w:hAnsi="宋体" w:eastAsia="宋体" w:cs="宋体"/>
                <w:kern w:val="2"/>
                <w:sz w:val="24"/>
                <w:szCs w:val="24"/>
                <w:highlight w:val="none"/>
              </w:rPr>
              <w:fldChar w:fldCharType="begin"/>
            </w:r>
            <w:r>
              <w:rPr>
                <w:rFonts w:hint="eastAsia" w:ascii="宋体" w:hAnsi="宋体" w:eastAsia="宋体" w:cs="宋体"/>
                <w:kern w:val="2"/>
                <w:sz w:val="24"/>
                <w:szCs w:val="24"/>
                <w:highlight w:val="none"/>
              </w:rPr>
              <w:instrText xml:space="preserve"> HYPERLINK "mailto:ynlhjs@qq.com" </w:instrText>
            </w:r>
            <w:r>
              <w:rPr>
                <w:rFonts w:hint="eastAsia" w:ascii="宋体" w:hAnsi="宋体" w:eastAsia="宋体" w:cs="宋体"/>
                <w:kern w:val="2"/>
                <w:sz w:val="24"/>
                <w:szCs w:val="24"/>
                <w:highlight w:val="none"/>
              </w:rPr>
              <w:fldChar w:fldCharType="separate"/>
            </w:r>
            <w:r>
              <w:rPr>
                <w:rFonts w:hint="eastAsia" w:ascii="宋体" w:hAnsi="宋体" w:cs="宋体"/>
                <w:kern w:val="2"/>
                <w:sz w:val="24"/>
                <w:szCs w:val="24"/>
                <w:highlight w:val="none"/>
                <w:lang w:val="en-US" w:eastAsia="zh-CN"/>
              </w:rPr>
              <w:t>512089024</w:t>
            </w:r>
            <w:r>
              <w:rPr>
                <w:rFonts w:hint="eastAsia" w:ascii="宋体" w:hAnsi="宋体" w:eastAsia="宋体" w:cs="宋体"/>
                <w:kern w:val="2"/>
                <w:sz w:val="24"/>
                <w:szCs w:val="24"/>
                <w:highlight w:val="none"/>
              </w:rPr>
              <w:t>@qq.com</w:t>
            </w:r>
            <w:r>
              <w:rPr>
                <w:rFonts w:hint="eastAsia" w:ascii="宋体" w:hAnsi="宋体" w:eastAsia="宋体" w:cs="宋体"/>
                <w:kern w:val="2"/>
                <w:sz w:val="24"/>
                <w:szCs w:val="24"/>
                <w:highlight w:val="none"/>
              </w:rPr>
              <w:fldChar w:fldCharType="end"/>
            </w:r>
          </w:p>
        </w:tc>
      </w:tr>
      <w:tr w14:paraId="12B59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E7A1741">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3.2.3</w:t>
            </w:r>
          </w:p>
        </w:tc>
        <w:tc>
          <w:tcPr>
            <w:tcW w:w="2050" w:type="dxa"/>
            <w:vAlign w:val="center"/>
          </w:tcPr>
          <w:p w14:paraId="2EC067D2">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磋商报价的其他要求</w:t>
            </w:r>
          </w:p>
        </w:tc>
        <w:tc>
          <w:tcPr>
            <w:tcW w:w="6211" w:type="dxa"/>
            <w:vAlign w:val="center"/>
          </w:tcPr>
          <w:p w14:paraId="2EE539F0">
            <w:pPr>
              <w:pStyle w:val="65"/>
              <w:keepNext w:val="0"/>
              <w:keepLines w:val="0"/>
              <w:pageBreakBefore w:val="0"/>
              <w:numPr>
                <w:ilvl w:val="0"/>
                <w:numId w:val="0"/>
              </w:numPr>
              <w:kinsoku/>
              <w:wordWrap/>
              <w:overflowPunct/>
              <w:bidi w:val="0"/>
              <w:adjustRightInd/>
              <w:snapToGrid/>
              <w:spacing w:line="460" w:lineRule="exact"/>
              <w:ind w:leftChars="0"/>
              <w:textAlignment w:val="auto"/>
              <w:rPr>
                <w:rFonts w:hint="eastAsia" w:ascii="宋体" w:hAnsi="宋体" w:eastAsia="宋体" w:cs="宋体"/>
                <w:sz w:val="24"/>
                <w:szCs w:val="24"/>
                <w:highlight w:val="none"/>
              </w:rPr>
            </w:pPr>
            <w:r>
              <w:rPr>
                <w:rFonts w:hint="eastAsia" w:hAnsi="宋体" w:cs="宋体"/>
                <w:sz w:val="24"/>
                <w:szCs w:val="24"/>
                <w:highlight w:val="none"/>
                <w:lang w:eastAsia="zh-CN"/>
              </w:rPr>
              <w:t>（</w:t>
            </w:r>
            <w:r>
              <w:rPr>
                <w:rFonts w:hint="eastAsia" w:hAnsi="宋体" w:cs="宋体"/>
                <w:sz w:val="24"/>
                <w:szCs w:val="24"/>
                <w:highlight w:val="none"/>
                <w:lang w:val="en-US" w:eastAsia="zh-CN"/>
              </w:rPr>
              <w:t>1</w:t>
            </w:r>
            <w:r>
              <w:rPr>
                <w:rFonts w:hint="eastAsia" w:hAnsi="宋体" w:cs="宋体"/>
                <w:sz w:val="24"/>
                <w:szCs w:val="24"/>
                <w:highlight w:val="none"/>
                <w:lang w:eastAsia="zh-CN"/>
              </w:rPr>
              <w:t>）</w:t>
            </w:r>
            <w:r>
              <w:rPr>
                <w:rFonts w:hint="eastAsia" w:ascii="宋体" w:hAnsi="宋体" w:eastAsia="宋体" w:cs="宋体"/>
                <w:sz w:val="24"/>
                <w:szCs w:val="24"/>
                <w:highlight w:val="none"/>
              </w:rPr>
              <w:t>本次磋商报价为综合报价，报价应为人民币含税价（元），包括服务成本价格（含利润）、保险、</w:t>
            </w:r>
            <w:r>
              <w:rPr>
                <w:rFonts w:hint="eastAsia" w:ascii="宋体" w:hAnsi="宋体" w:eastAsia="宋体" w:cs="宋体"/>
                <w:sz w:val="24"/>
                <w:szCs w:val="24"/>
                <w:highlight w:val="none"/>
                <w:lang w:val="en-US" w:eastAsia="zh-CN"/>
              </w:rPr>
              <w:t>税收、成交服务费</w:t>
            </w:r>
            <w:r>
              <w:rPr>
                <w:rFonts w:hint="eastAsia" w:ascii="宋体" w:hAnsi="宋体" w:eastAsia="宋体" w:cs="宋体"/>
                <w:sz w:val="24"/>
                <w:szCs w:val="24"/>
                <w:highlight w:val="none"/>
              </w:rPr>
              <w:t>等全部费用。磋商报价不得超过采购预算金额，若采购人还设有最高限价的，供应商的磋商报价还应当不得超过最高限价，否则按无效响应处理。</w:t>
            </w:r>
          </w:p>
          <w:p w14:paraId="5E3B615B">
            <w:pPr>
              <w:keepNext w:val="0"/>
              <w:keepLines w:val="0"/>
              <w:pageBreakBefore w:val="0"/>
              <w:widowControl w:val="0"/>
              <w:numPr>
                <w:ilvl w:val="0"/>
                <w:numId w:val="0"/>
              </w:numPr>
              <w:kinsoku/>
              <w:wordWrap/>
              <w:overflowPunct/>
              <w:bidi w:val="0"/>
              <w:adjustRightInd/>
              <w:snapToGrid/>
              <w:spacing w:line="460" w:lineRule="exact"/>
              <w:ind w:leftChars="0"/>
              <w:jc w:val="both"/>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供应商应承担所有与参加磋商有关的自身的所有费用，不论采购的结果如何，采购代理机构和采购人在任何情况下均无义务和责任承担这些费用。</w:t>
            </w:r>
          </w:p>
          <w:p w14:paraId="7793A09F">
            <w:pPr>
              <w:keepNext w:val="0"/>
              <w:keepLines w:val="0"/>
              <w:pageBreakBefore w:val="0"/>
              <w:widowControl w:val="0"/>
              <w:kinsoku/>
              <w:wordWrap/>
              <w:overflowPunct/>
              <w:autoSpaceDE w:val="0"/>
              <w:autoSpaceDN w:val="0"/>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r>
              <w:rPr>
                <w:rFonts w:hint="eastAsia" w:cs="宋体"/>
                <w:color w:val="auto"/>
                <w:sz w:val="24"/>
                <w:szCs w:val="24"/>
                <w:highlight w:val="none"/>
              </w:rPr>
              <w:t>成交服务费</w:t>
            </w:r>
            <w:r>
              <w:rPr>
                <w:rFonts w:hint="eastAsia" w:ascii="宋体" w:hAnsi="宋体" w:eastAsia="宋体" w:cs="宋体"/>
                <w:kern w:val="2"/>
                <w:sz w:val="24"/>
                <w:szCs w:val="24"/>
                <w:highlight w:val="none"/>
              </w:rPr>
              <w:t>：参考计价格〔2002〕1980号文的计算方法</w:t>
            </w:r>
            <w:r>
              <w:rPr>
                <w:rFonts w:hint="eastAsia" w:ascii="宋体" w:hAnsi="宋体" w:cs="宋体"/>
                <w:kern w:val="2"/>
                <w:sz w:val="24"/>
                <w:szCs w:val="24"/>
                <w:highlight w:val="none"/>
                <w:lang w:val="en-US" w:eastAsia="zh-CN"/>
              </w:rPr>
              <w:t>下浮30%</w:t>
            </w:r>
            <w:r>
              <w:rPr>
                <w:rFonts w:hint="eastAsia" w:ascii="宋体" w:hAnsi="宋体" w:eastAsia="宋体" w:cs="宋体"/>
                <w:kern w:val="2"/>
                <w:sz w:val="24"/>
                <w:szCs w:val="24"/>
                <w:highlight w:val="none"/>
              </w:rPr>
              <w:t>，以中标金额作为计费基准，由</w:t>
            </w:r>
            <w:r>
              <w:rPr>
                <w:rFonts w:hint="eastAsia" w:ascii="宋体" w:hAnsi="宋体" w:cs="宋体"/>
                <w:kern w:val="2"/>
                <w:sz w:val="24"/>
                <w:szCs w:val="24"/>
                <w:highlight w:val="none"/>
                <w:lang w:eastAsia="zh-CN"/>
              </w:rPr>
              <w:t>成交人</w:t>
            </w:r>
            <w:r>
              <w:rPr>
                <w:rFonts w:hint="eastAsia" w:ascii="宋体" w:hAnsi="宋体" w:eastAsia="宋体" w:cs="宋体"/>
                <w:kern w:val="2"/>
                <w:sz w:val="24"/>
                <w:szCs w:val="24"/>
                <w:highlight w:val="none"/>
              </w:rPr>
              <w:t>向采购代理机构缴纳中标服务费。</w:t>
            </w:r>
          </w:p>
        </w:tc>
      </w:tr>
      <w:tr w14:paraId="4C35C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62706BAB">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3.3.1</w:t>
            </w:r>
          </w:p>
        </w:tc>
        <w:tc>
          <w:tcPr>
            <w:tcW w:w="2050" w:type="dxa"/>
            <w:vAlign w:val="center"/>
          </w:tcPr>
          <w:p w14:paraId="0224DF7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磋商有效期</w:t>
            </w:r>
          </w:p>
        </w:tc>
        <w:tc>
          <w:tcPr>
            <w:tcW w:w="6211" w:type="dxa"/>
            <w:vAlign w:val="center"/>
          </w:tcPr>
          <w:p w14:paraId="0F0BE612">
            <w:pPr>
              <w:pStyle w:val="6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磋商有效期为</w:t>
            </w:r>
            <w:r>
              <w:rPr>
                <w:rFonts w:hint="eastAsia" w:ascii="宋体" w:hAnsi="宋体" w:eastAsia="宋体" w:cs="宋体"/>
                <w:kern w:val="2"/>
                <w:sz w:val="24"/>
                <w:szCs w:val="24"/>
                <w:highlight w:val="none"/>
                <w:u w:val="single"/>
              </w:rPr>
              <w:t>90</w:t>
            </w:r>
            <w:r>
              <w:rPr>
                <w:rFonts w:hint="eastAsia" w:ascii="宋体" w:hAnsi="宋体" w:eastAsia="宋体" w:cs="宋体"/>
                <w:kern w:val="2"/>
                <w:sz w:val="24"/>
                <w:szCs w:val="24"/>
                <w:highlight w:val="none"/>
              </w:rPr>
              <w:t>日历天（从开启时间起计算）。</w:t>
            </w:r>
          </w:p>
        </w:tc>
      </w:tr>
      <w:tr w14:paraId="7ED9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12A4ECB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3.4.1</w:t>
            </w:r>
          </w:p>
        </w:tc>
        <w:tc>
          <w:tcPr>
            <w:tcW w:w="2050" w:type="dxa"/>
            <w:vAlign w:val="center"/>
          </w:tcPr>
          <w:p w14:paraId="7047598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磋商保证金</w:t>
            </w:r>
          </w:p>
        </w:tc>
        <w:tc>
          <w:tcPr>
            <w:tcW w:w="6211" w:type="dxa"/>
            <w:vAlign w:val="center"/>
          </w:tcPr>
          <w:p w14:paraId="400E238E">
            <w:pPr>
              <w:keepNext w:val="0"/>
              <w:keepLines w:val="0"/>
              <w:pageBreakBefore w:val="0"/>
              <w:widowControl w:val="0"/>
              <w:kinsoku/>
              <w:wordWrap/>
              <w:overflowPunct/>
              <w:autoSpaceDE w:val="0"/>
              <w:autoSpaceDN w:val="0"/>
              <w:bidi w:val="0"/>
              <w:adjustRightInd/>
              <w:snapToGrid/>
              <w:spacing w:line="460" w:lineRule="exact"/>
              <w:jc w:val="both"/>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不要求</w:t>
            </w:r>
          </w:p>
        </w:tc>
      </w:tr>
      <w:tr w14:paraId="21C8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49F8966">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3.5.</w:t>
            </w:r>
            <w:r>
              <w:rPr>
                <w:rFonts w:hint="eastAsia" w:ascii="宋体" w:hAnsi="宋体" w:cs="宋体"/>
                <w:kern w:val="2"/>
                <w:sz w:val="24"/>
                <w:szCs w:val="24"/>
                <w:highlight w:val="none"/>
                <w:lang w:val="en-US" w:eastAsia="zh-CN"/>
              </w:rPr>
              <w:t>2</w:t>
            </w:r>
          </w:p>
        </w:tc>
        <w:tc>
          <w:tcPr>
            <w:tcW w:w="2050" w:type="dxa"/>
            <w:vAlign w:val="center"/>
          </w:tcPr>
          <w:p w14:paraId="68A4194C">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响应文件编制的其他要求</w:t>
            </w:r>
          </w:p>
        </w:tc>
        <w:tc>
          <w:tcPr>
            <w:tcW w:w="6211" w:type="dxa"/>
            <w:vAlign w:val="center"/>
          </w:tcPr>
          <w:p w14:paraId="16B3150C">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1</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响应文件全部采用电子文档，供应商应安装客户端软件—“政采云电子交易客户端”，并按照竞争性磋商文件和政采云电子交易平台的要求编制，编制后应进行电子签章、签名及加密；</w:t>
            </w:r>
          </w:p>
          <w:p w14:paraId="2B94C454">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2</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如供应商提交的电子标书未按竞争性磋商文件要求或开启时无法读取导入或解密，其响应文件将不予受理；</w:t>
            </w:r>
          </w:p>
          <w:p w14:paraId="322ADAC8">
            <w:pPr>
              <w:keepNext w:val="0"/>
              <w:keepLines w:val="0"/>
              <w:pageBreakBefore w:val="0"/>
              <w:widowControl w:val="0"/>
              <w:kinsoku/>
              <w:wordWrap/>
              <w:overflowPunct/>
              <w:bidi w:val="0"/>
              <w:adjustRightInd/>
              <w:snapToGrid/>
              <w:spacing w:line="460" w:lineRule="exact"/>
              <w:jc w:val="both"/>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3</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响应文件中提供的资料</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扫描件</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，内容必须清晰可辨，若内容模糊，无法辨识，均视为未提供。</w:t>
            </w:r>
          </w:p>
        </w:tc>
      </w:tr>
      <w:tr w14:paraId="19B7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4581DE3">
            <w:pPr>
              <w:keepNext w:val="0"/>
              <w:keepLines w:val="0"/>
              <w:pageBreakBefore w:val="0"/>
              <w:widowControl w:val="0"/>
              <w:kinsoku/>
              <w:wordWrap/>
              <w:overflowPunct/>
              <w:bidi w:val="0"/>
              <w:adjustRightInd/>
              <w:snapToGrid/>
              <w:spacing w:line="460" w:lineRule="exact"/>
              <w:jc w:val="center"/>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4.1</w:t>
            </w:r>
            <w:r>
              <w:rPr>
                <w:rFonts w:hint="eastAsia" w:ascii="宋体" w:hAnsi="宋体" w:cs="宋体"/>
                <w:kern w:val="2"/>
                <w:sz w:val="24"/>
                <w:szCs w:val="24"/>
                <w:highlight w:val="none"/>
                <w:lang w:val="en-US" w:eastAsia="zh-CN"/>
              </w:rPr>
              <w:t>.1</w:t>
            </w:r>
          </w:p>
        </w:tc>
        <w:tc>
          <w:tcPr>
            <w:tcW w:w="2050" w:type="dxa"/>
            <w:vAlign w:val="center"/>
          </w:tcPr>
          <w:p w14:paraId="69E5033F">
            <w:pPr>
              <w:keepNext w:val="0"/>
              <w:keepLines w:val="0"/>
              <w:pageBreakBefore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文件加密要求</w:t>
            </w:r>
          </w:p>
        </w:tc>
        <w:tc>
          <w:tcPr>
            <w:tcW w:w="6211" w:type="dxa"/>
            <w:vAlign w:val="center"/>
          </w:tcPr>
          <w:p w14:paraId="64BF73AE">
            <w:pPr>
              <w:keepNext w:val="0"/>
              <w:keepLines w:val="0"/>
              <w:pageBreakBefore w:val="0"/>
              <w:kinsoku/>
              <w:wordWrap/>
              <w:overflowPunct/>
              <w:bidi w:val="0"/>
              <w:adjustRightInd/>
              <w:snapToGrid/>
              <w:spacing w:line="460" w:lineRule="exac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w:t>
            </w:r>
            <w:r>
              <w:rPr>
                <w:rFonts w:hint="eastAsia" w:ascii="宋体" w:hAnsi="宋体" w:cs="宋体"/>
                <w:kern w:val="2"/>
                <w:sz w:val="24"/>
                <w:szCs w:val="24"/>
                <w:highlight w:val="none"/>
                <w:lang w:val="en-US" w:eastAsia="zh-CN"/>
              </w:rPr>
              <w:t>供应商</w:t>
            </w:r>
            <w:r>
              <w:rPr>
                <w:rFonts w:hint="eastAsia" w:ascii="宋体" w:hAnsi="宋体" w:eastAsia="宋体" w:cs="宋体"/>
                <w:kern w:val="2"/>
                <w:sz w:val="24"/>
                <w:szCs w:val="24"/>
                <w:highlight w:val="none"/>
              </w:rPr>
              <w:t>进行电子交易应安装客户端软件—“政采云电子交易客户端”，并按照</w:t>
            </w:r>
            <w:r>
              <w:rPr>
                <w:rFonts w:hint="eastAsia" w:ascii="宋体" w:hAnsi="宋体" w:cs="宋体"/>
                <w:kern w:val="2"/>
                <w:sz w:val="24"/>
                <w:szCs w:val="24"/>
                <w:highlight w:val="none"/>
                <w:lang w:val="en-US" w:eastAsia="zh-CN"/>
              </w:rPr>
              <w:t>采购</w:t>
            </w:r>
            <w:r>
              <w:rPr>
                <w:rFonts w:hint="eastAsia" w:ascii="宋体" w:hAnsi="宋体" w:eastAsia="宋体" w:cs="宋体"/>
                <w:kern w:val="2"/>
                <w:sz w:val="24"/>
                <w:szCs w:val="24"/>
                <w:highlight w:val="none"/>
              </w:rPr>
              <w:t>文件和电子交易平台的要求编制并加密</w:t>
            </w:r>
            <w:r>
              <w:rPr>
                <w:rFonts w:hint="eastAsia" w:ascii="宋体" w:hAnsi="宋体" w:cs="宋体"/>
                <w:kern w:val="2"/>
                <w:sz w:val="24"/>
                <w:szCs w:val="24"/>
                <w:highlight w:val="none"/>
                <w:lang w:val="en-US" w:eastAsia="zh-CN"/>
              </w:rPr>
              <w:t>响应</w:t>
            </w:r>
            <w:r>
              <w:rPr>
                <w:rFonts w:hint="eastAsia" w:ascii="宋体" w:hAnsi="宋体" w:eastAsia="宋体" w:cs="宋体"/>
                <w:kern w:val="2"/>
                <w:sz w:val="24"/>
                <w:szCs w:val="24"/>
                <w:highlight w:val="none"/>
              </w:rPr>
              <w:t>文件。</w:t>
            </w:r>
            <w:r>
              <w:rPr>
                <w:rFonts w:hint="eastAsia" w:ascii="宋体" w:hAnsi="宋体" w:cs="宋体"/>
                <w:kern w:val="2"/>
                <w:sz w:val="24"/>
                <w:szCs w:val="24"/>
                <w:highlight w:val="none"/>
                <w:lang w:val="en-US" w:eastAsia="zh-CN"/>
              </w:rPr>
              <w:t>供应商</w:t>
            </w:r>
            <w:r>
              <w:rPr>
                <w:rFonts w:hint="eastAsia" w:ascii="宋体" w:hAnsi="宋体" w:eastAsia="宋体" w:cs="宋体"/>
                <w:kern w:val="2"/>
                <w:sz w:val="24"/>
                <w:szCs w:val="24"/>
                <w:highlight w:val="none"/>
              </w:rPr>
              <w:t>未按规定加密的</w:t>
            </w:r>
            <w:r>
              <w:rPr>
                <w:rFonts w:hint="eastAsia" w:ascii="宋体" w:hAnsi="宋体" w:cs="宋体"/>
                <w:kern w:val="2"/>
                <w:sz w:val="24"/>
                <w:szCs w:val="24"/>
                <w:highlight w:val="none"/>
                <w:lang w:val="en-US" w:eastAsia="zh-CN"/>
              </w:rPr>
              <w:t>响应</w:t>
            </w:r>
            <w:r>
              <w:rPr>
                <w:rFonts w:hint="eastAsia" w:ascii="宋体" w:hAnsi="宋体" w:eastAsia="宋体" w:cs="宋体"/>
                <w:kern w:val="2"/>
                <w:sz w:val="24"/>
                <w:szCs w:val="24"/>
                <w:highlight w:val="none"/>
              </w:rPr>
              <w:t>文件，电子交易平台将拒收并提示；</w:t>
            </w:r>
          </w:p>
          <w:p w14:paraId="34709626">
            <w:pPr>
              <w:keepNext w:val="0"/>
              <w:keepLines w:val="0"/>
              <w:pageBreakBefore w:val="0"/>
              <w:kinsoku/>
              <w:wordWrap/>
              <w:overflowPunct/>
              <w:bidi w:val="0"/>
              <w:adjustRightInd/>
              <w:snapToGrid/>
              <w:spacing w:line="460" w:lineRule="exac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（2）使用“政采云电子交易客户端”需要提前申领CA数字证书；</w:t>
            </w:r>
          </w:p>
          <w:p w14:paraId="628CEC50">
            <w:pPr>
              <w:keepNext w:val="0"/>
              <w:keepLines w:val="0"/>
              <w:pageBreakBefore w:val="0"/>
              <w:kinsoku/>
              <w:wordWrap/>
              <w:overflowPunct/>
              <w:bidi w:val="0"/>
              <w:adjustRightInd/>
              <w:snapToGrid/>
              <w:spacing w:line="460" w:lineRule="exac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（3）为确保网上操作合法、有效和安全，</w:t>
            </w:r>
            <w:r>
              <w:rPr>
                <w:rFonts w:hint="eastAsia" w:ascii="宋体" w:hAnsi="宋体" w:cs="宋体"/>
                <w:kern w:val="2"/>
                <w:sz w:val="24"/>
                <w:szCs w:val="24"/>
                <w:highlight w:val="none"/>
                <w:lang w:val="en-US" w:eastAsia="zh-CN"/>
              </w:rPr>
              <w:t>供应商</w:t>
            </w:r>
            <w:r>
              <w:rPr>
                <w:rFonts w:hint="eastAsia" w:ascii="宋体" w:hAnsi="宋体" w:eastAsia="宋体" w:cs="宋体"/>
                <w:kern w:val="2"/>
                <w:sz w:val="24"/>
                <w:szCs w:val="24"/>
                <w:highlight w:val="none"/>
              </w:rPr>
              <w:t>应当在</w:t>
            </w:r>
            <w:r>
              <w:rPr>
                <w:rFonts w:hint="eastAsia" w:ascii="宋体" w:hAnsi="宋体" w:cs="宋体"/>
                <w:kern w:val="2"/>
                <w:sz w:val="24"/>
                <w:szCs w:val="24"/>
                <w:highlight w:val="none"/>
                <w:lang w:val="en-US" w:eastAsia="zh-CN"/>
              </w:rPr>
              <w:t>响应</w:t>
            </w:r>
            <w:r>
              <w:rPr>
                <w:rFonts w:hint="eastAsia" w:ascii="宋体" w:hAnsi="宋体" w:eastAsia="宋体" w:cs="宋体"/>
                <w:kern w:val="2"/>
                <w:sz w:val="24"/>
                <w:szCs w:val="24"/>
                <w:highlight w:val="none"/>
              </w:rPr>
              <w:t>文件提交截止时间前完成在“政府采购云平台”的身份认证，确保在电子交易过程中能够对相关数据电文进行加密和使用电子签名。</w:t>
            </w:r>
          </w:p>
        </w:tc>
      </w:tr>
      <w:tr w14:paraId="40D0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1A993111">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4.2</w:t>
            </w:r>
          </w:p>
        </w:tc>
        <w:tc>
          <w:tcPr>
            <w:tcW w:w="2050" w:type="dxa"/>
            <w:vAlign w:val="center"/>
          </w:tcPr>
          <w:p w14:paraId="602BF5A4">
            <w:pPr>
              <w:keepNext w:val="0"/>
              <w:keepLines w:val="0"/>
              <w:pageBreakBefore w:val="0"/>
              <w:kinsoku/>
              <w:wordWrap/>
              <w:overflowPunct/>
              <w:bidi w:val="0"/>
              <w:adjustRightInd/>
              <w:snapToGrid/>
              <w:spacing w:line="460" w:lineRule="exact"/>
              <w:jc w:val="center"/>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rPr>
              <w:t>响应文件提交截止时间</w:t>
            </w:r>
            <w:r>
              <w:rPr>
                <w:rFonts w:hint="eastAsia" w:ascii="宋体" w:hAnsi="宋体" w:cs="宋体"/>
                <w:kern w:val="2"/>
                <w:sz w:val="24"/>
                <w:szCs w:val="24"/>
                <w:highlight w:val="none"/>
                <w:lang w:val="en-US" w:eastAsia="zh-CN"/>
              </w:rPr>
              <w:t>和地点</w:t>
            </w:r>
          </w:p>
        </w:tc>
        <w:tc>
          <w:tcPr>
            <w:tcW w:w="6211" w:type="dxa"/>
            <w:vAlign w:val="center"/>
          </w:tcPr>
          <w:p w14:paraId="0A4B31B5">
            <w:pPr>
              <w:keepNext w:val="0"/>
              <w:keepLines w:val="0"/>
              <w:pageBreakBefore w:val="0"/>
              <w:kinsoku/>
              <w:wordWrap/>
              <w:overflowPunct/>
              <w:bidi w:val="0"/>
              <w:adjustRightInd/>
              <w:snapToGrid/>
              <w:spacing w:line="460" w:lineRule="exact"/>
              <w:textAlignment w:val="auto"/>
              <w:rPr>
                <w:rFonts w:hint="eastAsia" w:ascii="宋体" w:hAnsi="宋体" w:eastAsia="宋体" w:cs="宋体"/>
                <w:kern w:val="2"/>
                <w:sz w:val="24"/>
                <w:szCs w:val="24"/>
                <w:highlight w:val="none"/>
                <w:lang w:eastAsia="zh-CN"/>
              </w:rPr>
            </w:pPr>
            <w:r>
              <w:rPr>
                <w:rFonts w:hint="eastAsia" w:ascii="宋体" w:hAnsi="宋体" w:cs="宋体"/>
                <w:sz w:val="24"/>
                <w:szCs w:val="24"/>
                <w:highlight w:val="none"/>
                <w:lang w:val="en-US" w:eastAsia="zh-CN"/>
              </w:rPr>
              <w:t>详见</w:t>
            </w:r>
            <w:r>
              <w:rPr>
                <w:rFonts w:hint="eastAsia" w:ascii="宋体" w:hAnsi="宋体" w:cs="宋体"/>
                <w:sz w:val="24"/>
                <w:szCs w:val="24"/>
                <w:highlight w:val="none"/>
                <w:lang w:eastAsia="zh-CN"/>
              </w:rPr>
              <w:t>第一章 “竞争性磋商公告”</w:t>
            </w:r>
          </w:p>
        </w:tc>
      </w:tr>
      <w:tr w14:paraId="4983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606720F7">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5.1</w:t>
            </w:r>
          </w:p>
        </w:tc>
        <w:tc>
          <w:tcPr>
            <w:tcW w:w="2050" w:type="dxa"/>
            <w:vAlign w:val="center"/>
          </w:tcPr>
          <w:p w14:paraId="580AAE98">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开启时间和地点</w:t>
            </w:r>
          </w:p>
        </w:tc>
        <w:tc>
          <w:tcPr>
            <w:tcW w:w="6211" w:type="dxa"/>
            <w:vAlign w:val="center"/>
          </w:tcPr>
          <w:p w14:paraId="0D533788">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开启时间：同响应文件提交截止时间</w:t>
            </w:r>
          </w:p>
          <w:p w14:paraId="787D3246">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开启地点：同响应文件提交截止地点</w:t>
            </w:r>
          </w:p>
        </w:tc>
      </w:tr>
      <w:tr w14:paraId="477E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706D1128">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5.2</w:t>
            </w:r>
          </w:p>
        </w:tc>
        <w:tc>
          <w:tcPr>
            <w:tcW w:w="2050" w:type="dxa"/>
            <w:vAlign w:val="center"/>
          </w:tcPr>
          <w:p w14:paraId="2DC40802">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开启程序</w:t>
            </w:r>
          </w:p>
        </w:tc>
        <w:tc>
          <w:tcPr>
            <w:tcW w:w="6211" w:type="dxa"/>
            <w:vAlign w:val="center"/>
          </w:tcPr>
          <w:p w14:paraId="30C1BCDA">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sz w:val="24"/>
                <w:szCs w:val="24"/>
                <w:lang w:eastAsia="zh-CN"/>
              </w:rPr>
              <w:t>（</w:t>
            </w:r>
            <w:r>
              <w:rPr>
                <w:rFonts w:hint="eastAsia" w:ascii="宋体" w:hAnsi="宋体" w:eastAsia="宋体"/>
                <w:sz w:val="24"/>
                <w:szCs w:val="24"/>
              </w:rPr>
              <w:t>1</w:t>
            </w:r>
            <w:r>
              <w:rPr>
                <w:rFonts w:hint="eastAsia" w:ascii="宋体" w:hAnsi="宋体"/>
                <w:sz w:val="24"/>
                <w:szCs w:val="24"/>
                <w:lang w:eastAsia="zh-CN"/>
              </w:rPr>
              <w:t>）</w:t>
            </w:r>
            <w:r>
              <w:rPr>
                <w:rFonts w:hint="eastAsia" w:ascii="宋体" w:hAnsi="宋体" w:eastAsia="宋体"/>
                <w:sz w:val="24"/>
                <w:szCs w:val="24"/>
              </w:rPr>
              <w:t>采购代理机构将在“供应商须知前附表”规定的开启时</w:t>
            </w:r>
            <w:r>
              <w:rPr>
                <w:rFonts w:hint="eastAsia" w:ascii="宋体" w:hAnsi="宋体"/>
                <w:sz w:val="24"/>
                <w:szCs w:val="24"/>
                <w:lang w:eastAsia="zh-CN"/>
              </w:rPr>
              <w:t>间内</w:t>
            </w:r>
            <w:r>
              <w:rPr>
                <w:rFonts w:hint="eastAsia" w:ascii="宋体" w:hAnsi="宋体" w:eastAsia="宋体"/>
                <w:sz w:val="24"/>
                <w:szCs w:val="24"/>
              </w:rPr>
              <w:t>通过电子交易平台组织响应文件开启，采购代理机构依托电子交易平台发起开始解密指令，供应商的法定代表人（单位负责人）或其委托代理人须携带加密时所用的CA锁按平台提示和</w:t>
            </w:r>
            <w:r>
              <w:rPr>
                <w:rFonts w:hint="eastAsia" w:ascii="宋体" w:hAnsi="宋体" w:eastAsia="宋体"/>
                <w:sz w:val="24"/>
                <w:szCs w:val="24"/>
                <w:lang w:val="en-US" w:eastAsia="zh-CN"/>
              </w:rPr>
              <w:t>采购</w:t>
            </w:r>
            <w:r>
              <w:rPr>
                <w:rFonts w:hint="eastAsia" w:ascii="宋体" w:hAnsi="宋体" w:eastAsia="宋体"/>
                <w:sz w:val="24"/>
                <w:szCs w:val="24"/>
              </w:rPr>
              <w:t>文件的规定登录到“政采云”平台电子开标大厅签到，并在发起解密指令之时起60分钟内完成对电子响应文件在线解密。发起解密指令之时起5分钟内供应商还未进行解密的，采购代理机构可通知供应商，供应商</w:t>
            </w:r>
            <w:r>
              <w:rPr>
                <w:rFonts w:hint="eastAsia" w:ascii="宋体" w:hAnsi="宋体"/>
                <w:sz w:val="24"/>
                <w:szCs w:val="24"/>
                <w:lang w:eastAsia="zh-CN"/>
              </w:rPr>
              <w:t>没有</w:t>
            </w:r>
            <w:r>
              <w:rPr>
                <w:rFonts w:hint="eastAsia" w:ascii="宋体" w:hAnsi="宋体" w:eastAsia="宋体"/>
                <w:sz w:val="24"/>
                <w:szCs w:val="24"/>
              </w:rPr>
              <w:t>预留联系方式或预留联系方式无效，导致代理机构无法联系到供应商进行解密的，视为撤回响应文件。如供应商成功解密响应文件，但未在“政采云”电子开标大厅参加开启的，视同认可开启过程和结果，由此产生的后果由供应商自行负责。</w:t>
            </w:r>
          </w:p>
          <w:p w14:paraId="43F2BAA0">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sz w:val="24"/>
                <w:szCs w:val="24"/>
                <w:lang w:eastAsia="zh-CN"/>
              </w:rPr>
              <w:t>（</w:t>
            </w:r>
            <w:r>
              <w:rPr>
                <w:rFonts w:hint="eastAsia" w:ascii="宋体" w:hAnsi="宋体" w:eastAsia="宋体"/>
                <w:sz w:val="24"/>
                <w:szCs w:val="24"/>
              </w:rPr>
              <w:t>2</w:t>
            </w:r>
            <w:r>
              <w:rPr>
                <w:rFonts w:hint="eastAsia" w:ascii="宋体" w:hAnsi="宋体"/>
                <w:sz w:val="24"/>
                <w:szCs w:val="24"/>
                <w:lang w:eastAsia="zh-CN"/>
              </w:rPr>
              <w:t>）</w:t>
            </w:r>
            <w:r>
              <w:rPr>
                <w:rFonts w:hint="eastAsia" w:ascii="宋体" w:hAnsi="宋体" w:eastAsia="宋体"/>
                <w:sz w:val="24"/>
                <w:szCs w:val="24"/>
              </w:rPr>
              <w:t>电子交易活动的中止采购过程中出现以下情形，导致电子交易平台无法正常运行，或者无法保证电子交易的公平、公正和安全时，采购代理机构可中止电子交易活动：</w:t>
            </w:r>
          </w:p>
          <w:p w14:paraId="328052B6">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eastAsia="宋体"/>
                <w:sz w:val="24"/>
                <w:szCs w:val="24"/>
              </w:rPr>
              <w:t>1</w:t>
            </w:r>
            <w:r>
              <w:rPr>
                <w:rFonts w:hint="eastAsia" w:ascii="宋体" w:hAnsi="宋体"/>
                <w:sz w:val="24"/>
                <w:szCs w:val="24"/>
                <w:lang w:eastAsia="zh-CN"/>
              </w:rPr>
              <w:t>）</w:t>
            </w:r>
            <w:r>
              <w:rPr>
                <w:rFonts w:hint="eastAsia" w:ascii="宋体" w:hAnsi="宋体" w:eastAsia="宋体"/>
                <w:sz w:val="24"/>
                <w:szCs w:val="24"/>
              </w:rPr>
              <w:t>电子交易平台发生故障而无法登录访问的；</w:t>
            </w:r>
          </w:p>
          <w:p w14:paraId="194DB295">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eastAsia="宋体"/>
                <w:sz w:val="24"/>
                <w:szCs w:val="24"/>
              </w:rPr>
              <w:t>2</w:t>
            </w:r>
            <w:r>
              <w:rPr>
                <w:rFonts w:hint="eastAsia" w:ascii="宋体" w:hAnsi="宋体"/>
                <w:sz w:val="24"/>
                <w:szCs w:val="24"/>
                <w:lang w:eastAsia="zh-CN"/>
              </w:rPr>
              <w:t>）</w:t>
            </w:r>
            <w:r>
              <w:rPr>
                <w:rFonts w:hint="eastAsia" w:ascii="宋体" w:hAnsi="宋体" w:eastAsia="宋体"/>
                <w:sz w:val="24"/>
                <w:szCs w:val="24"/>
              </w:rPr>
              <w:t>电子交易平台应用或数据库出现错误，不能进行正常操作的；</w:t>
            </w:r>
          </w:p>
          <w:p w14:paraId="4A069D27">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eastAsia="宋体"/>
                <w:sz w:val="24"/>
                <w:szCs w:val="24"/>
              </w:rPr>
              <w:t>3</w:t>
            </w:r>
            <w:r>
              <w:rPr>
                <w:rFonts w:hint="eastAsia" w:ascii="宋体" w:hAnsi="宋体"/>
                <w:sz w:val="24"/>
                <w:szCs w:val="24"/>
                <w:lang w:eastAsia="zh-CN"/>
              </w:rPr>
              <w:t>）</w:t>
            </w:r>
            <w:r>
              <w:rPr>
                <w:rFonts w:hint="eastAsia" w:ascii="宋体" w:hAnsi="宋体" w:eastAsia="宋体"/>
                <w:sz w:val="24"/>
                <w:szCs w:val="24"/>
              </w:rPr>
              <w:t>电子交易平台发现严重安全漏洞，有潜在泄密危险的；</w:t>
            </w:r>
          </w:p>
          <w:p w14:paraId="02D1FE75">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sz w:val="24"/>
                <w:szCs w:val="24"/>
              </w:rPr>
            </w:pPr>
            <w:r>
              <w:rPr>
                <w:rFonts w:hint="eastAsia" w:ascii="宋体" w:hAnsi="宋体" w:eastAsia="宋体"/>
                <w:sz w:val="24"/>
                <w:szCs w:val="24"/>
              </w:rPr>
              <w:t>4</w:t>
            </w:r>
            <w:r>
              <w:rPr>
                <w:rFonts w:hint="eastAsia" w:ascii="宋体" w:hAnsi="宋体"/>
                <w:sz w:val="24"/>
                <w:szCs w:val="24"/>
                <w:lang w:eastAsia="zh-CN"/>
              </w:rPr>
              <w:t>）</w:t>
            </w:r>
            <w:r>
              <w:rPr>
                <w:rFonts w:hint="eastAsia" w:ascii="宋体" w:hAnsi="宋体" w:eastAsia="宋体"/>
                <w:sz w:val="24"/>
                <w:szCs w:val="24"/>
              </w:rPr>
              <w:t>病毒发作导致不能进行正常操作的；</w:t>
            </w:r>
          </w:p>
          <w:p w14:paraId="0A2AAC30">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sz w:val="24"/>
                <w:szCs w:val="24"/>
              </w:rPr>
              <w:t>5</w:t>
            </w:r>
            <w:r>
              <w:rPr>
                <w:rFonts w:hint="eastAsia" w:ascii="宋体" w:hAnsi="宋体"/>
                <w:sz w:val="24"/>
                <w:szCs w:val="24"/>
                <w:lang w:eastAsia="zh-CN"/>
              </w:rPr>
              <w:t>）</w:t>
            </w:r>
            <w:r>
              <w:rPr>
                <w:rFonts w:hint="eastAsia" w:ascii="宋体" w:hAnsi="宋体" w:eastAsia="宋体"/>
                <w:sz w:val="24"/>
                <w:szCs w:val="24"/>
              </w:rPr>
              <w:t>其他无法保证电子交易的公平、公正和安全的情况。</w:t>
            </w:r>
          </w:p>
        </w:tc>
      </w:tr>
      <w:tr w14:paraId="3784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13BC7635">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6.1.1</w:t>
            </w:r>
          </w:p>
        </w:tc>
        <w:tc>
          <w:tcPr>
            <w:tcW w:w="2050" w:type="dxa"/>
            <w:vAlign w:val="center"/>
          </w:tcPr>
          <w:p w14:paraId="7516B47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磋商小组的组成</w:t>
            </w:r>
          </w:p>
        </w:tc>
        <w:tc>
          <w:tcPr>
            <w:tcW w:w="6211" w:type="dxa"/>
            <w:vAlign w:val="center"/>
          </w:tcPr>
          <w:p w14:paraId="4CCC0719">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小组成员总数的2/3。</w:t>
            </w:r>
          </w:p>
          <w:p w14:paraId="4BAFF358">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color w:val="auto"/>
                <w:sz w:val="24"/>
                <w:szCs w:val="24"/>
                <w:highlight w:val="none"/>
              </w:rPr>
              <w:t>磋商小组确定方式：采购人推荐1名采购人代表及从云南省政府采购网专家抽取系统中随机抽取2名评审专家，组成磋商小组。</w:t>
            </w:r>
          </w:p>
        </w:tc>
      </w:tr>
      <w:tr w14:paraId="77F5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258B99D4">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6.3.2</w:t>
            </w:r>
          </w:p>
        </w:tc>
        <w:tc>
          <w:tcPr>
            <w:tcW w:w="2050" w:type="dxa"/>
            <w:vAlign w:val="center"/>
          </w:tcPr>
          <w:p w14:paraId="7A153F76">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磋商小组推荐成交候选供应商的人数</w:t>
            </w:r>
          </w:p>
        </w:tc>
        <w:tc>
          <w:tcPr>
            <w:tcW w:w="6211" w:type="dxa"/>
            <w:vAlign w:val="center"/>
          </w:tcPr>
          <w:p w14:paraId="3AD2D01A">
            <w:pPr>
              <w:pStyle w:val="63"/>
              <w:keepNext w:val="0"/>
              <w:keepLines w:val="0"/>
              <w:pageBreakBefore w:val="0"/>
              <w:widowControl w:val="0"/>
              <w:kinsoku/>
              <w:wordWrap/>
              <w:overflowPunct/>
              <w:bidi w:val="0"/>
              <w:adjustRightInd/>
              <w:snapToGrid/>
              <w:spacing w:line="460" w:lineRule="exact"/>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3名</w:t>
            </w:r>
            <w:r>
              <w:rPr>
                <w:rFonts w:hint="eastAsia" w:ascii="宋体" w:hAnsi="宋体" w:cs="宋体"/>
                <w:color w:val="auto"/>
                <w:sz w:val="24"/>
                <w:szCs w:val="24"/>
                <w:highlight w:val="none"/>
                <w:lang w:val="en-US" w:eastAsia="zh-CN"/>
              </w:rPr>
              <w:t>，符合财库〔2014〕214号第二十一条第三款情形和财库〔2015〕124号规定的，可以推荐2家成交候选供应商。</w:t>
            </w:r>
          </w:p>
        </w:tc>
      </w:tr>
      <w:tr w14:paraId="2859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42AAC13C">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7.1</w:t>
            </w:r>
          </w:p>
        </w:tc>
        <w:tc>
          <w:tcPr>
            <w:tcW w:w="2050" w:type="dxa"/>
            <w:vAlign w:val="center"/>
          </w:tcPr>
          <w:p w14:paraId="6F24280E">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是否授权磋商小组确定成交供应商</w:t>
            </w:r>
          </w:p>
        </w:tc>
        <w:tc>
          <w:tcPr>
            <w:tcW w:w="6211" w:type="dxa"/>
            <w:vAlign w:val="center"/>
          </w:tcPr>
          <w:p w14:paraId="2FF431C0">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否</w:t>
            </w:r>
          </w:p>
        </w:tc>
      </w:tr>
      <w:tr w14:paraId="2F5C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0758267C">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7.2</w:t>
            </w:r>
          </w:p>
        </w:tc>
        <w:tc>
          <w:tcPr>
            <w:tcW w:w="2050" w:type="dxa"/>
            <w:vAlign w:val="center"/>
          </w:tcPr>
          <w:p w14:paraId="2B91A30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成交公示媒介及期限</w:t>
            </w:r>
          </w:p>
        </w:tc>
        <w:tc>
          <w:tcPr>
            <w:tcW w:w="6211" w:type="dxa"/>
            <w:vAlign w:val="center"/>
          </w:tcPr>
          <w:p w14:paraId="58ACC963">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公告媒介：</w:t>
            </w:r>
            <w:r>
              <w:rPr>
                <w:rFonts w:hint="eastAsia" w:ascii="宋体" w:hAnsi="宋体" w:eastAsia="宋体" w:cs="宋体"/>
                <w:color w:val="auto"/>
                <w:kern w:val="2"/>
                <w:sz w:val="24"/>
                <w:szCs w:val="24"/>
                <w:highlight w:val="none"/>
              </w:rPr>
              <w:t>同竞争性磋商公告发布媒介</w:t>
            </w:r>
          </w:p>
          <w:p w14:paraId="1D30A463">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公告期限：1个工作日</w:t>
            </w:r>
          </w:p>
        </w:tc>
      </w:tr>
      <w:tr w14:paraId="5916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378" w:type="dxa"/>
            <w:vAlign w:val="center"/>
          </w:tcPr>
          <w:p w14:paraId="181DDD69">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7.4.1</w:t>
            </w:r>
          </w:p>
        </w:tc>
        <w:tc>
          <w:tcPr>
            <w:tcW w:w="2050" w:type="dxa"/>
            <w:vAlign w:val="center"/>
          </w:tcPr>
          <w:p w14:paraId="14B38CD3">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履约保证金</w:t>
            </w:r>
          </w:p>
        </w:tc>
        <w:tc>
          <w:tcPr>
            <w:tcW w:w="6211" w:type="dxa"/>
            <w:vAlign w:val="center"/>
          </w:tcPr>
          <w:p w14:paraId="05A6C587">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是否要求成交供应商提交履约保证金：</w:t>
            </w:r>
          </w:p>
          <w:p w14:paraId="168AE421">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□要求，履约保证金形式</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u w:val="single"/>
                <w:lang w:val="en-US" w:eastAsia="zh-CN"/>
              </w:rPr>
              <w:t>/</w:t>
            </w:r>
          </w:p>
          <w:p w14:paraId="2C67BF57">
            <w:pPr>
              <w:keepNext w:val="0"/>
              <w:keepLines w:val="0"/>
              <w:pageBreakBefore w:val="0"/>
              <w:kinsoku/>
              <w:wordWrap/>
              <w:overflowPunct/>
              <w:topLinePunct w:val="0"/>
              <w:bidi w:val="0"/>
              <w:adjustRightInd/>
              <w:snapToGrid/>
              <w:spacing w:line="460" w:lineRule="exac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履约保证金金额</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u w:val="single"/>
                <w:lang w:val="en-US" w:eastAsia="zh-CN"/>
              </w:rPr>
              <w:t>/</w:t>
            </w:r>
          </w:p>
          <w:p w14:paraId="6D843DE5">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lang w:val="en-US" w:eastAsia="zh-CN"/>
              </w:rPr>
              <w:t>履约担保期限</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u w:val="single"/>
                <w:lang w:val="en-US" w:eastAsia="zh-CN"/>
              </w:rPr>
              <w:t>/</w:t>
            </w:r>
          </w:p>
          <w:p w14:paraId="56E36AF3">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highlight w:val="none"/>
                <w:lang w:val="en-US" w:eastAsia="zh-CN"/>
              </w:rPr>
            </w:pPr>
            <w:r>
              <w:rPr>
                <w:rFonts w:hint="eastAsia" w:ascii="宋体" w:hAnsi="宋体" w:eastAsia="宋体" w:cs="宋体"/>
                <w:color w:val="auto"/>
                <w:kern w:val="2"/>
                <w:sz w:val="24"/>
                <w:szCs w:val="24"/>
                <w:highlight w:val="none"/>
                <w:lang w:val="en-US" w:eastAsia="zh-CN"/>
              </w:rPr>
              <w:t>☑不要求</w:t>
            </w:r>
          </w:p>
        </w:tc>
      </w:tr>
      <w:tr w14:paraId="3270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49A76F44">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11</w:t>
            </w:r>
          </w:p>
        </w:tc>
        <w:tc>
          <w:tcPr>
            <w:tcW w:w="8261" w:type="dxa"/>
            <w:gridSpan w:val="2"/>
            <w:vAlign w:val="center"/>
          </w:tcPr>
          <w:p w14:paraId="51BBE598">
            <w:pPr>
              <w:keepNext w:val="0"/>
              <w:keepLines w:val="0"/>
              <w:pageBreakBefore w:val="0"/>
              <w:widowControl w:val="0"/>
              <w:kinsoku/>
              <w:wordWrap/>
              <w:overflowPunct/>
              <w:bidi w:val="0"/>
              <w:adjustRightInd/>
              <w:snapToGrid/>
              <w:spacing w:line="460" w:lineRule="exact"/>
              <w:ind w:left="210" w:leftChars="100"/>
              <w:jc w:val="both"/>
              <w:textAlignment w:val="auto"/>
              <w:rPr>
                <w:rFonts w:hint="eastAsia" w:ascii="宋体" w:hAnsi="宋体" w:eastAsia="宋体" w:cs="宋体"/>
                <w:sz w:val="24"/>
                <w:szCs w:val="24"/>
                <w:highlight w:val="none"/>
              </w:rPr>
            </w:pPr>
            <w:r>
              <w:rPr>
                <w:rFonts w:hint="eastAsia" w:ascii="宋体" w:hAnsi="宋体" w:eastAsia="宋体" w:cs="宋体"/>
                <w:b/>
                <w:bCs/>
                <w:kern w:val="2"/>
                <w:sz w:val="24"/>
                <w:szCs w:val="24"/>
                <w:highlight w:val="none"/>
              </w:rPr>
              <w:t>需要补充的其他内容</w:t>
            </w:r>
          </w:p>
        </w:tc>
      </w:tr>
      <w:tr w14:paraId="3681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EFF4EA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11</w:t>
            </w:r>
            <w:r>
              <w:rPr>
                <w:rFonts w:hint="eastAsia" w:ascii="宋体" w:hAnsi="宋体" w:eastAsia="宋体" w:cs="宋体"/>
                <w:kern w:val="2"/>
                <w:sz w:val="24"/>
                <w:szCs w:val="24"/>
                <w:highlight w:val="none"/>
              </w:rPr>
              <w:t>.1</w:t>
            </w:r>
          </w:p>
        </w:tc>
        <w:tc>
          <w:tcPr>
            <w:tcW w:w="2050" w:type="dxa"/>
            <w:vAlign w:val="center"/>
          </w:tcPr>
          <w:p w14:paraId="5E87B0A8">
            <w:pPr>
              <w:keepNext w:val="0"/>
              <w:keepLines w:val="0"/>
              <w:pageBreakBefore w:val="0"/>
              <w:widowControl w:val="0"/>
              <w:kinsoku/>
              <w:wordWrap/>
              <w:overflowPunct/>
              <w:bidi w:val="0"/>
              <w:adjustRightInd/>
              <w:snapToGrid/>
              <w:spacing w:line="460" w:lineRule="exact"/>
              <w:ind w:left="210" w:leftChars="10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评审方法</w:t>
            </w:r>
          </w:p>
        </w:tc>
        <w:tc>
          <w:tcPr>
            <w:tcW w:w="6211" w:type="dxa"/>
            <w:vAlign w:val="center"/>
          </w:tcPr>
          <w:p w14:paraId="0CB54C0D">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综合评分法</w:t>
            </w:r>
          </w:p>
        </w:tc>
      </w:tr>
      <w:tr w14:paraId="0707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5BCF4B1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11.2</w:t>
            </w:r>
          </w:p>
        </w:tc>
        <w:tc>
          <w:tcPr>
            <w:tcW w:w="2050" w:type="dxa"/>
            <w:vAlign w:val="center"/>
          </w:tcPr>
          <w:p w14:paraId="73C62EAA">
            <w:pPr>
              <w:keepNext w:val="0"/>
              <w:keepLines w:val="0"/>
              <w:pageBreakBefore w:val="0"/>
              <w:widowControl w:val="0"/>
              <w:kinsoku/>
              <w:wordWrap/>
              <w:overflowPunct/>
              <w:bidi w:val="0"/>
              <w:adjustRightInd/>
              <w:snapToGrid/>
              <w:spacing w:line="460" w:lineRule="exact"/>
              <w:ind w:left="210" w:leftChars="100"/>
              <w:jc w:val="center"/>
              <w:textAlignment w:val="auto"/>
              <w:rPr>
                <w:rFonts w:hint="eastAsia" w:ascii="宋体" w:hAnsi="宋体" w:eastAsia="宋体" w:cs="宋体"/>
                <w:kern w:val="2"/>
                <w:sz w:val="24"/>
                <w:szCs w:val="24"/>
                <w:highlight w:val="none"/>
              </w:rPr>
            </w:pPr>
            <w:r>
              <w:rPr>
                <w:rFonts w:hint="eastAsia" w:ascii="宋体" w:hAnsi="宋体" w:eastAsia="宋体" w:cs="宋体"/>
                <w:color w:val="auto"/>
                <w:kern w:val="2"/>
                <w:sz w:val="24"/>
                <w:szCs w:val="24"/>
                <w:highlight w:val="none"/>
              </w:rPr>
              <w:t>追加合同金额</w:t>
            </w:r>
          </w:p>
        </w:tc>
        <w:tc>
          <w:tcPr>
            <w:tcW w:w="6211" w:type="dxa"/>
            <w:vAlign w:val="center"/>
          </w:tcPr>
          <w:p w14:paraId="31D68CD4">
            <w:pPr>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color w:val="000000"/>
                <w:sz w:val="24"/>
                <w:szCs w:val="24"/>
                <w:highlight w:val="none"/>
              </w:rPr>
              <w:t>政府采购合同履行中，采购人需追加与合同标的相同的</w:t>
            </w:r>
            <w:r>
              <w:rPr>
                <w:rFonts w:hint="eastAsia" w:ascii="宋体" w:hAnsi="宋体" w:cs="宋体"/>
                <w:color w:val="000000"/>
                <w:sz w:val="24"/>
                <w:szCs w:val="24"/>
                <w:highlight w:val="none"/>
                <w:lang w:eastAsia="zh-CN"/>
              </w:rPr>
              <w:t>服务</w:t>
            </w:r>
            <w:r>
              <w:rPr>
                <w:rFonts w:hint="eastAsia" w:ascii="宋体" w:hAnsi="宋体" w:eastAsia="宋体" w:cs="宋体"/>
                <w:color w:val="000000"/>
                <w:sz w:val="24"/>
                <w:szCs w:val="24"/>
                <w:highlight w:val="none"/>
              </w:rPr>
              <w:t>的，在不改变合同其他条款的前提下，可以与成交供应商签订补充合同，但所有补充合同的采购金额变更不得超过原合同采购金额的10%，其中金额增加需办理合同追加手续</w:t>
            </w:r>
            <w:r>
              <w:rPr>
                <w:rFonts w:hint="eastAsia" w:ascii="宋体" w:hAnsi="宋体" w:eastAsia="宋体" w:cs="宋体"/>
                <w:color w:val="000000"/>
                <w:sz w:val="24"/>
                <w:highlight w:val="none"/>
              </w:rPr>
              <w:t>。</w:t>
            </w:r>
          </w:p>
        </w:tc>
      </w:tr>
      <w:tr w14:paraId="59A4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36DB69D0">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11</w:t>
            </w:r>
            <w:r>
              <w:rPr>
                <w:rFonts w:hint="eastAsia" w:ascii="宋体" w:hAnsi="宋体" w:eastAsia="宋体" w:cs="宋体"/>
                <w:color w:val="000000"/>
                <w:kern w:val="2"/>
                <w:sz w:val="24"/>
                <w:szCs w:val="24"/>
                <w:highlight w:val="none"/>
              </w:rPr>
              <w:t>.3</w:t>
            </w:r>
          </w:p>
        </w:tc>
        <w:tc>
          <w:tcPr>
            <w:tcW w:w="2050" w:type="dxa"/>
            <w:vAlign w:val="center"/>
          </w:tcPr>
          <w:p w14:paraId="75956A9F">
            <w:pPr>
              <w:keepNext w:val="0"/>
              <w:keepLines w:val="0"/>
              <w:pageBreakBefore w:val="0"/>
              <w:widowControl w:val="0"/>
              <w:kinsoku/>
              <w:wordWrap/>
              <w:overflowPunct/>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信用查询具体要求</w:t>
            </w:r>
          </w:p>
        </w:tc>
        <w:tc>
          <w:tcPr>
            <w:tcW w:w="6211" w:type="dxa"/>
            <w:vAlign w:val="center"/>
          </w:tcPr>
          <w:p w14:paraId="44F7D685">
            <w:pPr>
              <w:keepNext w:val="0"/>
              <w:keepLines w:val="0"/>
              <w:pageBreakBefore w:val="0"/>
              <w:widowControl w:val="0"/>
              <w:kinsoku/>
              <w:wordWrap/>
              <w:overflowPunct/>
              <w:bidi w:val="0"/>
              <w:adjustRightInd/>
              <w:snapToGrid/>
              <w:spacing w:line="46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本项目将执行在政府采购活动中查询及使用信用记录的规定，具体要求为：</w:t>
            </w:r>
          </w:p>
          <w:p w14:paraId="7F7DBF02">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供应商应在“中国执行信息公开网”网站（zxgk.court.gov.cn）未被列入失信被执行人记录，在“信用中国”网站（www.creditchina.gov.cn）未被列入重大税收违法失信主体，在中国政府采购网（www.ccgp.gov.cn）没有政府采购严重违法失信行为记录（被禁止在一定期限内参加政府采购活动但期限届满的除外）；</w:t>
            </w:r>
          </w:p>
          <w:p w14:paraId="30CACAA3">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（2）信用信息查询的截止时点：响应文件递交截止时间；</w:t>
            </w:r>
          </w:p>
          <w:p w14:paraId="12F4F764">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（3）信用信息查询渠道：“中国执行信息公开网”“信用中国网”“中国政府采购网”；</w:t>
            </w:r>
          </w:p>
          <w:p w14:paraId="62F8085B">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（4）信用信息查询记录和证据留存具体方式：采购人、采购代理机构将经查询存在不良信用记录的潜在供应商的查询结果证明材料作为查询记录和证据，与其他采购文件一并保存；</w:t>
            </w:r>
          </w:p>
          <w:p w14:paraId="0BF23882">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5）信用信息的使用规则：本政府采购项目的供应商在信用信息查询截止时点（含）之前被列入失信被执行人、重大税收违法失信主体、政府采购严重违法失信行为记录及其他不符合《中华人民共和国政府采购法》第二十二条规定条件的供应商，不得参加该项目采购活动；</w:t>
            </w:r>
          </w:p>
          <w:p w14:paraId="4626E173">
            <w:pPr>
              <w:pStyle w:val="13"/>
              <w:keepNext w:val="0"/>
              <w:keepLines w:val="0"/>
              <w:pageBreakBefore w:val="0"/>
              <w:widowControl w:val="0"/>
              <w:kinsoku/>
              <w:wordWrap/>
              <w:overflowPunct/>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kern w:val="2"/>
                <w:sz w:val="24"/>
                <w:szCs w:val="24"/>
                <w:highlight w:val="none"/>
                <w:lang w:val="en-US" w:eastAsia="zh-CN" w:bidi="ar-SA"/>
              </w:rPr>
              <w:t>（6）采购人、采购代理机构通过“中国执行信息公开网”“信用中国网”“中国政府采购网”等渠道查询相关主体信用记录，若供应商存在被列入失信被执行人、重大税收违法失信主体、政府采购严重违法失信行为记录名单，则供应商不得参加该项目采购活动。</w:t>
            </w:r>
          </w:p>
        </w:tc>
      </w:tr>
      <w:tr w14:paraId="1F56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Align w:val="center"/>
          </w:tcPr>
          <w:p w14:paraId="017E40E0">
            <w:pPr>
              <w:keepNext w:val="0"/>
              <w:keepLines w:val="0"/>
              <w:pageBreakBefore w:val="0"/>
              <w:widowControl w:val="0"/>
              <w:kinsoku/>
              <w:wordWrap/>
              <w:overflowPunct/>
              <w:bidi w:val="0"/>
              <w:adjustRightInd/>
              <w:snapToGrid/>
              <w:spacing w:line="460" w:lineRule="exact"/>
              <w:jc w:val="center"/>
              <w:textAlignment w:val="auto"/>
              <w:rPr>
                <w:rFonts w:hint="default" w:ascii="宋体" w:hAnsi="宋体" w:eastAsia="宋体" w:cs="宋体"/>
                <w:color w:val="000000"/>
                <w:kern w:val="2"/>
                <w:sz w:val="24"/>
                <w:szCs w:val="24"/>
                <w:highlight w:val="none"/>
                <w:lang w:val="en-US" w:eastAsia="zh-CN"/>
              </w:rPr>
            </w:pPr>
            <w:bookmarkStart w:id="24" w:name="_Toc3896282"/>
            <w:r>
              <w:rPr>
                <w:rFonts w:hint="eastAsia" w:ascii="宋体" w:hAnsi="宋体" w:cs="宋体"/>
                <w:color w:val="000000"/>
                <w:kern w:val="2"/>
                <w:sz w:val="24"/>
                <w:szCs w:val="24"/>
                <w:highlight w:val="none"/>
                <w:lang w:val="en-US" w:eastAsia="zh-CN"/>
              </w:rPr>
              <w:t>11.4</w:t>
            </w:r>
          </w:p>
        </w:tc>
        <w:tc>
          <w:tcPr>
            <w:tcW w:w="2050" w:type="dxa"/>
            <w:vAlign w:val="center"/>
          </w:tcPr>
          <w:p w14:paraId="58610E2D">
            <w:pPr>
              <w:keepNext w:val="0"/>
              <w:keepLines w:val="0"/>
              <w:pageBreakBefore w:val="0"/>
              <w:kinsoku/>
              <w:wordWrap/>
              <w:overflowPunct/>
              <w:bidi w:val="0"/>
              <w:adjustRightInd/>
              <w:snapToGrid/>
              <w:spacing w:line="460" w:lineRule="exact"/>
              <w:jc w:val="center"/>
              <w:textAlignment w:val="auto"/>
              <w:rPr>
                <w:rFonts w:hint="eastAsia" w:ascii="宋体" w:hAnsi="宋体" w:eastAsia="宋体" w:cs="宋体"/>
                <w:color w:val="auto"/>
                <w:kern w:val="2"/>
                <w:sz w:val="24"/>
                <w:szCs w:val="24"/>
                <w:highlight w:val="none"/>
              </w:rPr>
            </w:pPr>
            <w:r>
              <w:rPr>
                <w:rFonts w:hint="eastAsia" w:ascii="宋体" w:hAnsi="宋体" w:cs="宋体"/>
                <w:kern w:val="2"/>
                <w:sz w:val="24"/>
                <w:szCs w:val="24"/>
                <w:highlight w:val="none"/>
              </w:rPr>
              <w:t>补充</w:t>
            </w:r>
          </w:p>
        </w:tc>
        <w:tc>
          <w:tcPr>
            <w:tcW w:w="6211" w:type="dxa"/>
            <w:vAlign w:val="center"/>
          </w:tcPr>
          <w:p w14:paraId="69B22C5A">
            <w:pPr>
              <w:keepNext w:val="0"/>
              <w:keepLines w:val="0"/>
              <w:pageBreakBefore w:val="0"/>
              <w:widowControl w:val="0"/>
              <w:kinsoku/>
              <w:wordWrap/>
              <w:overflowPunct/>
              <w:bidi w:val="0"/>
              <w:adjustRightInd/>
              <w:snapToGrid/>
              <w:spacing w:line="46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rPr>
              <w:t>依据《政府采购促进中小企业发展管理办法》（财库〔2020〕46号）规定享受扶持政策获得政府采购合同的，小微企业不得将合同分包给大中型企业，中型企业不得将合同分包给大型企业。</w:t>
            </w:r>
          </w:p>
        </w:tc>
      </w:tr>
    </w:tbl>
    <w:p w14:paraId="4DDCD1CB">
      <w:pPr>
        <w:pageBreakBefore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sz w:val="28"/>
          <w:szCs w:val="28"/>
          <w:highlight w:val="none"/>
        </w:rPr>
      </w:pPr>
      <w:bookmarkStart w:id="25" w:name="_Toc27064"/>
      <w:bookmarkEnd w:id="25"/>
      <w:bookmarkStart w:id="26" w:name="_Toc20589"/>
      <w:bookmarkEnd w:id="26"/>
      <w:bookmarkStart w:id="27" w:name="_Toc19039"/>
      <w:r>
        <w:rPr>
          <w:rFonts w:hint="eastAsia"/>
          <w:highlight w:val="none"/>
        </w:rPr>
        <w:br w:type="page"/>
      </w:r>
      <w:bookmarkStart w:id="28" w:name="_Toc3680"/>
      <w:r>
        <w:rPr>
          <w:rFonts w:hint="eastAsia" w:ascii="宋体" w:hAnsi="宋体" w:eastAsia="宋体" w:cs="宋体"/>
          <w:b/>
          <w:bCs/>
          <w:sz w:val="28"/>
          <w:szCs w:val="28"/>
          <w:highlight w:val="none"/>
        </w:rPr>
        <w:t>1.总则</w:t>
      </w:r>
      <w:bookmarkEnd w:id="24"/>
      <w:bookmarkEnd w:id="27"/>
      <w:bookmarkEnd w:id="28"/>
    </w:p>
    <w:p w14:paraId="0212B551">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29" w:name="_Toc31335"/>
      <w:bookmarkEnd w:id="29"/>
      <w:bookmarkStart w:id="30" w:name="_Toc700"/>
      <w:r>
        <w:rPr>
          <w:rFonts w:hint="eastAsia" w:ascii="宋体" w:hAnsi="宋体" w:eastAsia="宋体" w:cs="宋体"/>
          <w:b/>
          <w:sz w:val="24"/>
          <w:szCs w:val="24"/>
          <w:highlight w:val="none"/>
        </w:rPr>
        <w:t>1.1项目概况</w:t>
      </w:r>
      <w:bookmarkEnd w:id="30"/>
    </w:p>
    <w:p w14:paraId="0DC385E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cs="宋体"/>
          <w:sz w:val="24"/>
          <w:szCs w:val="24"/>
          <w:highlight w:val="none"/>
          <w:lang w:val="en-US" w:eastAsia="zh-CN"/>
        </w:rPr>
        <w:t>1根据</w:t>
      </w:r>
      <w:r>
        <w:rPr>
          <w:rFonts w:hint="eastAsia" w:ascii="宋体" w:hAnsi="宋体" w:eastAsia="宋体" w:cs="宋体"/>
          <w:sz w:val="24"/>
          <w:szCs w:val="24"/>
          <w:highlight w:val="none"/>
        </w:rPr>
        <w:t>《中华人民共和国政府采购法</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中华人民共和国政府采购法实施条例</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政府采购竞争性磋商采购方式管理暂行办法》（财库</w:t>
      </w:r>
      <w:r>
        <w:rPr>
          <w:rFonts w:hint="eastAsia" w:ascii="宋体" w:hAnsi="宋体" w:cs="宋体"/>
          <w:sz w:val="24"/>
          <w:szCs w:val="24"/>
          <w:highlight w:val="none"/>
          <w:lang w:eastAsia="zh-CN"/>
        </w:rPr>
        <w:t>〔2014〕214号</w:t>
      </w:r>
      <w:r>
        <w:rPr>
          <w:rFonts w:hint="eastAsia" w:ascii="宋体" w:hAnsi="宋体" w:eastAsia="宋体" w:cs="宋体"/>
          <w:sz w:val="24"/>
          <w:szCs w:val="24"/>
          <w:highlight w:val="none"/>
        </w:rPr>
        <w:t>）等有关法律、法规和规章的规定，本项目已具备磋商条件，现对本项目进行磋商。</w:t>
      </w:r>
    </w:p>
    <w:p w14:paraId="1106D15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1.1.2采购人：见供应商须知前附表。</w:t>
      </w:r>
    </w:p>
    <w:p w14:paraId="35A28DB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1.1.3采购代理机构：见供应商须知前附表。</w:t>
      </w:r>
    </w:p>
    <w:p w14:paraId="3B9F465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1.1.4项目名称：见供应商须知前附表。</w:t>
      </w:r>
    </w:p>
    <w:p w14:paraId="0E2B2C2B">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lang w:val="en-US" w:eastAsia="zh-CN"/>
        </w:rPr>
      </w:pPr>
      <w:bookmarkStart w:id="31" w:name="_Toc27395"/>
      <w:bookmarkEnd w:id="31"/>
      <w:bookmarkStart w:id="32" w:name="_Toc28747"/>
      <w:r>
        <w:rPr>
          <w:rFonts w:hint="eastAsia" w:ascii="宋体" w:hAnsi="宋体" w:eastAsia="宋体" w:cs="宋体"/>
          <w:b/>
          <w:sz w:val="24"/>
          <w:szCs w:val="24"/>
          <w:highlight w:val="none"/>
        </w:rPr>
        <w:t>1.2项目的资金情况</w:t>
      </w:r>
      <w:bookmarkEnd w:id="32"/>
    </w:p>
    <w:p w14:paraId="33975FBE">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1.2.1资金落实情况：见供应商须知前附表。</w:t>
      </w:r>
    </w:p>
    <w:p w14:paraId="6BC90E5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1.2.2项目预算金额：见供应商须知前附表。</w:t>
      </w:r>
    </w:p>
    <w:p w14:paraId="62740A0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1.2.3最高限价：见供应商须知前附表。</w:t>
      </w:r>
    </w:p>
    <w:p w14:paraId="1B60A495">
      <w:pPr>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sz w:val="24"/>
          <w:szCs w:val="24"/>
          <w:highlight w:val="none"/>
          <w:lang w:val="en-US" w:eastAsia="zh-CN"/>
        </w:rPr>
      </w:pPr>
      <w:bookmarkStart w:id="33" w:name="_Toc16064"/>
      <w:bookmarkEnd w:id="33"/>
      <w:bookmarkStart w:id="34" w:name="_Toc20957"/>
      <w:r>
        <w:rPr>
          <w:rFonts w:hint="eastAsia" w:ascii="宋体" w:hAnsi="宋体" w:eastAsia="宋体" w:cs="宋体"/>
          <w:b/>
          <w:sz w:val="24"/>
          <w:szCs w:val="24"/>
          <w:highlight w:val="none"/>
        </w:rPr>
        <w:t>1.3</w:t>
      </w:r>
      <w:r>
        <w:rPr>
          <w:rFonts w:hint="eastAsia" w:ascii="宋体" w:hAnsi="宋体" w:cs="宋体"/>
          <w:b/>
          <w:sz w:val="24"/>
          <w:szCs w:val="24"/>
          <w:highlight w:val="none"/>
          <w:lang w:val="en-US" w:eastAsia="zh-CN"/>
        </w:rPr>
        <w:t>服务内容</w:t>
      </w:r>
      <w:r>
        <w:rPr>
          <w:rFonts w:hint="eastAsia" w:ascii="宋体" w:hAnsi="宋体" w:eastAsia="宋体" w:cs="宋体"/>
          <w:b/>
          <w:sz w:val="24"/>
          <w:szCs w:val="24"/>
          <w:highlight w:val="none"/>
        </w:rPr>
        <w:t>、</w:t>
      </w:r>
      <w:bookmarkEnd w:id="34"/>
      <w:r>
        <w:rPr>
          <w:rFonts w:hint="eastAsia" w:ascii="宋体" w:hAnsi="宋体" w:cs="宋体"/>
          <w:b/>
          <w:sz w:val="24"/>
          <w:szCs w:val="24"/>
          <w:highlight w:val="none"/>
          <w:lang w:eastAsia="zh-CN"/>
        </w:rPr>
        <w:t>服务期、</w:t>
      </w:r>
      <w:r>
        <w:rPr>
          <w:rFonts w:hint="eastAsia" w:ascii="宋体" w:hAnsi="宋体" w:cs="宋体"/>
          <w:b/>
          <w:sz w:val="24"/>
          <w:szCs w:val="24"/>
          <w:highlight w:val="none"/>
          <w:lang w:val="en-US" w:eastAsia="zh-CN"/>
        </w:rPr>
        <w:t>服务地点、质量要求</w:t>
      </w:r>
    </w:p>
    <w:p w14:paraId="34739D3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bookmarkStart w:id="35" w:name="_Toc17694"/>
      <w:bookmarkEnd w:id="35"/>
      <w:bookmarkStart w:id="36" w:name="_Toc16202"/>
      <w:bookmarkEnd w:id="36"/>
      <w:bookmarkStart w:id="37" w:name="_Toc10611"/>
      <w:r>
        <w:rPr>
          <w:rFonts w:hint="eastAsia" w:ascii="宋体" w:hAnsi="宋体" w:eastAsia="宋体" w:cs="宋体"/>
          <w:sz w:val="24"/>
          <w:szCs w:val="24"/>
          <w:highlight w:val="none"/>
        </w:rPr>
        <w:t>1.3.1</w:t>
      </w:r>
      <w:r>
        <w:rPr>
          <w:rFonts w:hint="eastAsia" w:ascii="宋体" w:hAnsi="宋体" w:cs="宋体"/>
          <w:sz w:val="24"/>
          <w:szCs w:val="24"/>
          <w:highlight w:val="none"/>
          <w:lang w:val="en-US" w:eastAsia="zh-CN"/>
        </w:rPr>
        <w:t>服务内容</w:t>
      </w:r>
      <w:r>
        <w:rPr>
          <w:rFonts w:hint="eastAsia" w:ascii="宋体" w:hAnsi="宋体" w:eastAsia="宋体" w:cs="宋体"/>
          <w:sz w:val="24"/>
          <w:szCs w:val="24"/>
          <w:highlight w:val="none"/>
        </w:rPr>
        <w:t>：见供应商须知前附表。</w:t>
      </w:r>
    </w:p>
    <w:p w14:paraId="024C664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w:t>
      </w:r>
      <w:r>
        <w:rPr>
          <w:rFonts w:hint="eastAsia" w:ascii="宋体" w:hAnsi="宋体" w:cs="宋体"/>
          <w:sz w:val="24"/>
          <w:szCs w:val="24"/>
          <w:highlight w:val="none"/>
          <w:lang w:eastAsia="zh-CN"/>
        </w:rPr>
        <w:t>服务期</w:t>
      </w:r>
      <w:r>
        <w:rPr>
          <w:rFonts w:hint="eastAsia" w:ascii="宋体" w:hAnsi="宋体" w:eastAsia="宋体" w:cs="宋体"/>
          <w:sz w:val="24"/>
          <w:szCs w:val="24"/>
          <w:highlight w:val="none"/>
        </w:rPr>
        <w:t>：见供应商须知前附表。</w:t>
      </w:r>
    </w:p>
    <w:p w14:paraId="71605F3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w:t>
      </w:r>
      <w:r>
        <w:rPr>
          <w:rFonts w:hint="eastAsia" w:ascii="宋体" w:hAnsi="宋体" w:cs="宋体"/>
          <w:sz w:val="24"/>
          <w:szCs w:val="24"/>
          <w:highlight w:val="none"/>
          <w:lang w:eastAsia="zh-CN"/>
        </w:rPr>
        <w:t>服务地点</w:t>
      </w:r>
      <w:r>
        <w:rPr>
          <w:rFonts w:hint="eastAsia" w:ascii="宋体" w:hAnsi="宋体" w:eastAsia="宋体" w:cs="宋体"/>
          <w:sz w:val="24"/>
          <w:szCs w:val="24"/>
          <w:highlight w:val="none"/>
        </w:rPr>
        <w:t>：见供应商须知前附表。</w:t>
      </w:r>
    </w:p>
    <w:p w14:paraId="72B0B17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质量要求：见供应商须知前附表。</w:t>
      </w:r>
    </w:p>
    <w:p w14:paraId="122E527C">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1.4供应商资格要求</w:t>
      </w:r>
      <w:bookmarkEnd w:id="37"/>
    </w:p>
    <w:p w14:paraId="2F91F21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1.4.1供应商应具备承担本项目的资格条件。</w:t>
      </w:r>
    </w:p>
    <w:p w14:paraId="394491E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1.4.2供应商须知前附表规定接受联合体磋商的，联合体除应符合本章第1.4.1项和供应商须知前附表的要求外，还应遵守以下规定：</w:t>
      </w:r>
    </w:p>
    <w:p w14:paraId="6970E6B0">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（1）联合体各方应按竞争性磋商文件提供的格式签订联合体协议书，明确联合体牵头人和各方权利义务，并承诺就成交项目向采购人承担连带责任。</w:t>
      </w:r>
    </w:p>
    <w:p w14:paraId="48A87AF2">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（2）联合体中有同类资质的供应商按照联合体分工承担相同工作的，应当按照资质等级较低的供应商确定资质等级。</w:t>
      </w:r>
    </w:p>
    <w:p w14:paraId="534CC783">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（3）以联合体形式参加</w:t>
      </w:r>
      <w:r>
        <w:rPr>
          <w:rFonts w:hint="eastAsia" w:ascii="宋体" w:hAnsi="宋体" w:eastAsia="宋体" w:cs="宋体"/>
          <w:sz w:val="24"/>
          <w:szCs w:val="24"/>
          <w:highlight w:val="none"/>
          <w:lang w:val="en-US" w:eastAsia="zh-CN"/>
        </w:rPr>
        <w:t>政府采购</w:t>
      </w:r>
      <w:r>
        <w:rPr>
          <w:rFonts w:hint="eastAsia" w:ascii="宋体" w:hAnsi="宋体" w:eastAsia="宋体" w:cs="宋体"/>
          <w:sz w:val="24"/>
          <w:szCs w:val="24"/>
          <w:highlight w:val="none"/>
        </w:rPr>
        <w:t>活动的，联合体各方不得再单独参加或者与其他供应商另外组成联合体参加同一合同项下的</w:t>
      </w:r>
      <w:r>
        <w:rPr>
          <w:rFonts w:hint="eastAsia" w:ascii="宋体" w:hAnsi="宋体" w:eastAsia="宋体" w:cs="宋体"/>
          <w:sz w:val="24"/>
          <w:szCs w:val="24"/>
          <w:highlight w:val="none"/>
          <w:lang w:val="en-US" w:eastAsia="zh-CN"/>
        </w:rPr>
        <w:t>政府采购</w:t>
      </w:r>
      <w:r>
        <w:rPr>
          <w:rFonts w:hint="eastAsia" w:ascii="宋体" w:hAnsi="宋体" w:eastAsia="宋体" w:cs="宋体"/>
          <w:sz w:val="24"/>
          <w:szCs w:val="24"/>
          <w:highlight w:val="none"/>
        </w:rPr>
        <w:t>活动。</w:t>
      </w:r>
    </w:p>
    <w:p w14:paraId="086C2EF2">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38" w:name="_Toc27960"/>
      <w:bookmarkEnd w:id="38"/>
      <w:bookmarkStart w:id="39" w:name="_Toc18144"/>
      <w:r>
        <w:rPr>
          <w:rFonts w:hint="eastAsia" w:ascii="宋体" w:hAnsi="宋体" w:eastAsia="宋体" w:cs="宋体"/>
          <w:b/>
          <w:sz w:val="24"/>
          <w:szCs w:val="24"/>
          <w:highlight w:val="none"/>
        </w:rPr>
        <w:t>1.5费用承担</w:t>
      </w:r>
      <w:bookmarkEnd w:id="39"/>
    </w:p>
    <w:p w14:paraId="0F4FA6E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highlight w:val="none"/>
        </w:rPr>
      </w:pPr>
      <w:bookmarkStart w:id="40" w:name="_Toc6230"/>
      <w:bookmarkEnd w:id="40"/>
      <w:bookmarkStart w:id="41" w:name="_Toc16680"/>
      <w:r>
        <w:rPr>
          <w:rFonts w:hint="eastAsia" w:ascii="宋体" w:hAnsi="宋体" w:eastAsia="宋体" w:cs="宋体"/>
          <w:sz w:val="24"/>
          <w:highlight w:val="none"/>
        </w:rPr>
        <w:t>供应商准备和参加磋商活动发生的费用自理。</w:t>
      </w:r>
    </w:p>
    <w:p w14:paraId="69E2D32D">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1.6保密</w:t>
      </w:r>
      <w:bookmarkEnd w:id="41"/>
    </w:p>
    <w:p w14:paraId="3D059CA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参与磋商活动的各方应对竞争性磋商文件和响应文件中的商业和技术等秘密保密，则应承担相应的法律责任。</w:t>
      </w:r>
    </w:p>
    <w:p w14:paraId="4833121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42" w:name="_Toc31781"/>
      <w:bookmarkEnd w:id="42"/>
      <w:bookmarkStart w:id="43" w:name="_Toc787"/>
      <w:r>
        <w:rPr>
          <w:rFonts w:hint="eastAsia" w:ascii="宋体" w:hAnsi="宋体" w:eastAsia="宋体" w:cs="宋体"/>
          <w:b/>
          <w:sz w:val="24"/>
          <w:szCs w:val="24"/>
          <w:highlight w:val="none"/>
        </w:rPr>
        <w:t>1.7语言文字</w:t>
      </w:r>
      <w:bookmarkEnd w:id="43"/>
    </w:p>
    <w:p w14:paraId="5FFE77AE">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响应文件使用的语言文字为中文。专用术语使用外文的，应附有中文注释。</w:t>
      </w:r>
    </w:p>
    <w:p w14:paraId="31653489">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44" w:name="_Toc29423"/>
      <w:bookmarkEnd w:id="44"/>
      <w:bookmarkStart w:id="45" w:name="_Toc29116"/>
      <w:r>
        <w:rPr>
          <w:rFonts w:hint="eastAsia" w:ascii="宋体" w:hAnsi="宋体" w:eastAsia="宋体" w:cs="宋体"/>
          <w:b/>
          <w:sz w:val="24"/>
          <w:szCs w:val="24"/>
          <w:highlight w:val="none"/>
        </w:rPr>
        <w:t>1.8计量单位</w:t>
      </w:r>
      <w:bookmarkEnd w:id="45"/>
    </w:p>
    <w:p w14:paraId="40CF224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36B15924">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46" w:name="_Toc247527563"/>
      <w:bookmarkEnd w:id="46"/>
      <w:bookmarkStart w:id="47" w:name="_Toc296602429"/>
      <w:bookmarkEnd w:id="47"/>
      <w:bookmarkStart w:id="48" w:name="_Toc247513962"/>
      <w:bookmarkEnd w:id="48"/>
      <w:bookmarkStart w:id="49" w:name="_Toc144974507"/>
      <w:bookmarkEnd w:id="49"/>
      <w:bookmarkStart w:id="50" w:name="_Toc247592876"/>
      <w:bookmarkEnd w:id="50"/>
      <w:bookmarkStart w:id="51" w:name="_Toc152042315"/>
      <w:bookmarkEnd w:id="51"/>
      <w:bookmarkStart w:id="52" w:name="_Toc29812"/>
      <w:bookmarkEnd w:id="52"/>
      <w:bookmarkStart w:id="53" w:name="_Toc152045539"/>
      <w:bookmarkEnd w:id="53"/>
      <w:bookmarkStart w:id="54" w:name="_Toc29408"/>
      <w:r>
        <w:rPr>
          <w:rFonts w:hint="eastAsia" w:ascii="宋体" w:hAnsi="宋体" w:eastAsia="宋体" w:cs="宋体"/>
          <w:b/>
          <w:sz w:val="24"/>
          <w:szCs w:val="24"/>
          <w:highlight w:val="none"/>
        </w:rPr>
        <w:t>1.9现场</w:t>
      </w:r>
      <w:bookmarkEnd w:id="54"/>
      <w:r>
        <w:rPr>
          <w:rFonts w:hint="eastAsia" w:ascii="宋体" w:hAnsi="宋体" w:eastAsia="宋体" w:cs="宋体"/>
          <w:b/>
          <w:sz w:val="24"/>
          <w:szCs w:val="24"/>
          <w:highlight w:val="none"/>
        </w:rPr>
        <w:t>考察</w:t>
      </w:r>
    </w:p>
    <w:p w14:paraId="0E9A4E1A">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1.9.1供应商须知前附表规定组织现场考察的，采购人按供应商须知前附表规定的时间、地点组织供应商考察项目现场。</w:t>
      </w:r>
    </w:p>
    <w:p w14:paraId="426A9258">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1.9.2供应商考察现场发生的费用自理。</w:t>
      </w:r>
    </w:p>
    <w:p w14:paraId="0DD01030">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1.9.3除采购人的原因外，供应商自行负责在考察</w:t>
      </w:r>
      <w:r>
        <w:rPr>
          <w:rFonts w:hint="eastAsia" w:ascii="宋体" w:hAnsi="宋体" w:cs="宋体"/>
          <w:sz w:val="24"/>
          <w:szCs w:val="24"/>
          <w:highlight w:val="none"/>
          <w:lang w:eastAsia="zh-CN"/>
        </w:rPr>
        <w:t>现场</w:t>
      </w:r>
      <w:r>
        <w:rPr>
          <w:rFonts w:hint="eastAsia" w:ascii="宋体" w:hAnsi="宋体" w:eastAsia="宋体" w:cs="宋体"/>
          <w:sz w:val="24"/>
          <w:szCs w:val="24"/>
          <w:highlight w:val="none"/>
        </w:rPr>
        <w:t>所发生的人员伤亡和财产损失。</w:t>
      </w:r>
    </w:p>
    <w:p w14:paraId="13E7912C">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1.9.4采购人在考察现场中介绍的项目场地和相关的周边环境情况，供应商在编制响应文件时参考，采购人不对供应商据此作出的判断和决策负责。</w:t>
      </w:r>
      <w:bookmarkStart w:id="55" w:name="_Toc31848"/>
      <w:bookmarkEnd w:id="55"/>
    </w:p>
    <w:p w14:paraId="741598B8">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56" w:name="_Toc587"/>
      <w:bookmarkEnd w:id="56"/>
      <w:bookmarkStart w:id="57" w:name="_Toc32012"/>
      <w:bookmarkEnd w:id="57"/>
      <w:bookmarkStart w:id="58" w:name="_Toc31795"/>
      <w:bookmarkEnd w:id="58"/>
      <w:bookmarkStart w:id="59" w:name="_Toc29345"/>
      <w:bookmarkStart w:id="60" w:name="_Toc31733"/>
      <w:bookmarkStart w:id="61" w:name="_Toc3896283"/>
      <w:r>
        <w:rPr>
          <w:rFonts w:hint="eastAsia" w:ascii="宋体" w:hAnsi="宋体" w:eastAsia="宋体" w:cs="宋体"/>
          <w:b/>
          <w:sz w:val="24"/>
          <w:szCs w:val="24"/>
          <w:highlight w:val="none"/>
        </w:rPr>
        <w:t>1.1</w:t>
      </w:r>
      <w:r>
        <w:rPr>
          <w:rFonts w:hint="eastAsia" w:ascii="宋体" w:hAnsi="宋体" w:eastAsia="宋体" w:cs="宋体"/>
          <w:b/>
          <w:sz w:val="24"/>
          <w:szCs w:val="24"/>
          <w:highlight w:val="none"/>
          <w:lang w:val="en-US" w:eastAsia="zh-CN"/>
        </w:rPr>
        <w:t>0</w:t>
      </w:r>
      <w:r>
        <w:rPr>
          <w:rFonts w:hint="eastAsia" w:ascii="宋体" w:hAnsi="宋体" w:eastAsia="宋体" w:cs="宋体"/>
          <w:b/>
          <w:sz w:val="24"/>
          <w:szCs w:val="24"/>
          <w:highlight w:val="none"/>
        </w:rPr>
        <w:t>响应和偏</w:t>
      </w:r>
      <w:bookmarkEnd w:id="59"/>
      <w:r>
        <w:rPr>
          <w:rFonts w:hint="eastAsia" w:ascii="宋体" w:hAnsi="宋体" w:eastAsia="宋体" w:cs="宋体"/>
          <w:b/>
          <w:sz w:val="24"/>
          <w:szCs w:val="24"/>
          <w:highlight w:val="none"/>
        </w:rPr>
        <w:t>离</w:t>
      </w:r>
    </w:p>
    <w:p w14:paraId="6662962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sz w:val="24"/>
          <w:szCs w:val="24"/>
          <w:highlight w:val="none"/>
        </w:rPr>
      </w:pPr>
      <w:bookmarkStart w:id="62" w:name="page22"/>
      <w:bookmarkEnd w:id="62"/>
      <w:r>
        <w:rPr>
          <w:rFonts w:hint="eastAsia" w:ascii="宋体" w:hAnsi="宋体" w:eastAsia="宋体" w:cs="宋体"/>
          <w:sz w:val="24"/>
          <w:szCs w:val="24"/>
          <w:highlight w:val="none"/>
        </w:rPr>
        <w:t>响应文件应当对竞争性磋商文件的实质性要求和条件作出响应，否则，供应商磋商无效。</w:t>
      </w:r>
      <w:r>
        <w:rPr>
          <w:rFonts w:hint="eastAsia" w:ascii="宋体" w:hAnsi="宋体" w:eastAsia="宋体" w:cs="宋体"/>
          <w:b/>
          <w:bCs/>
          <w:kern w:val="2"/>
          <w:sz w:val="24"/>
          <w:szCs w:val="24"/>
          <w:highlight w:val="none"/>
        </w:rPr>
        <w:t>不允许偏离的</w:t>
      </w:r>
      <w:r>
        <w:rPr>
          <w:rFonts w:hint="eastAsia" w:ascii="宋体" w:hAnsi="宋体" w:eastAsia="宋体" w:cs="宋体"/>
          <w:b/>
          <w:bCs/>
          <w:sz w:val="24"/>
          <w:szCs w:val="24"/>
          <w:highlight w:val="none"/>
        </w:rPr>
        <w:t>实质性要求和条件见供应商须知前附表。</w:t>
      </w:r>
    </w:p>
    <w:p w14:paraId="1F3500B4">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63" w:name="_Toc6666"/>
      <w:r>
        <w:rPr>
          <w:rFonts w:hint="eastAsia" w:ascii="宋体" w:hAnsi="宋体" w:eastAsia="宋体" w:cs="宋体"/>
          <w:sz w:val="28"/>
          <w:szCs w:val="28"/>
          <w:highlight w:val="none"/>
        </w:rPr>
        <w:t>2.竞争性磋商文件</w:t>
      </w:r>
      <w:bookmarkEnd w:id="60"/>
      <w:bookmarkEnd w:id="61"/>
      <w:bookmarkEnd w:id="63"/>
    </w:p>
    <w:p w14:paraId="377284CC">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64" w:name="_Toc21536"/>
      <w:bookmarkEnd w:id="64"/>
      <w:bookmarkStart w:id="65" w:name="_Toc16596"/>
      <w:r>
        <w:rPr>
          <w:rFonts w:hint="eastAsia" w:ascii="宋体" w:hAnsi="宋体" w:eastAsia="宋体" w:cs="宋体"/>
          <w:b/>
          <w:sz w:val="24"/>
          <w:szCs w:val="24"/>
          <w:highlight w:val="none"/>
        </w:rPr>
        <w:t>2.1竞争性磋商文件的组成</w:t>
      </w:r>
      <w:bookmarkEnd w:id="65"/>
    </w:p>
    <w:p w14:paraId="2BB6556E">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本竞争性磋商文件包括：</w:t>
      </w:r>
    </w:p>
    <w:p w14:paraId="5B8F17FA">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（1）竞争性磋商公告；</w:t>
      </w:r>
    </w:p>
    <w:p w14:paraId="5103F0A0">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（2）供应商须知；</w:t>
      </w:r>
    </w:p>
    <w:p w14:paraId="4B8CCCDA">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（3）评审方法；</w:t>
      </w:r>
    </w:p>
    <w:p w14:paraId="3424F1A5">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合同草案条款及格式</w:t>
      </w:r>
      <w:r>
        <w:rPr>
          <w:rFonts w:hint="eastAsia" w:ascii="宋体" w:hAnsi="宋体" w:eastAsia="宋体" w:cs="宋体"/>
          <w:sz w:val="24"/>
          <w:szCs w:val="24"/>
          <w:highlight w:val="none"/>
        </w:rPr>
        <w:t>；</w:t>
      </w:r>
    </w:p>
    <w:p w14:paraId="552E34F4">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cs="宋体"/>
          <w:sz w:val="24"/>
          <w:szCs w:val="24"/>
          <w:highlight w:val="none"/>
          <w:lang w:val="en-US" w:eastAsia="zh-CN"/>
        </w:rPr>
        <w:t>采购需求</w:t>
      </w:r>
      <w:r>
        <w:rPr>
          <w:rFonts w:hint="eastAsia" w:ascii="宋体" w:hAnsi="宋体" w:eastAsia="宋体" w:cs="宋体"/>
          <w:sz w:val="24"/>
          <w:szCs w:val="24"/>
          <w:highlight w:val="none"/>
        </w:rPr>
        <w:t>；</w:t>
      </w:r>
    </w:p>
    <w:p w14:paraId="6494C77F">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（6）响应文件格式；</w:t>
      </w:r>
    </w:p>
    <w:p w14:paraId="72708EA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根据本章第2.2款和第2.3款对竞争性磋商文件所</w:t>
      </w:r>
      <w:r>
        <w:rPr>
          <w:rFonts w:hint="eastAsia" w:ascii="宋体" w:hAnsi="宋体" w:cs="宋体"/>
          <w:sz w:val="24"/>
          <w:szCs w:val="24"/>
          <w:highlight w:val="none"/>
          <w:lang w:eastAsia="zh-CN"/>
        </w:rPr>
        <w:t>做</w:t>
      </w:r>
      <w:r>
        <w:rPr>
          <w:rFonts w:hint="eastAsia" w:ascii="宋体" w:hAnsi="宋体" w:eastAsia="宋体" w:cs="宋体"/>
          <w:sz w:val="24"/>
          <w:szCs w:val="24"/>
          <w:highlight w:val="none"/>
        </w:rPr>
        <w:t>的澄清、修改，构成竞争性磋商文件的组成部分。</w:t>
      </w:r>
    </w:p>
    <w:p w14:paraId="61B2C493">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66" w:name="_Toc23003"/>
      <w:bookmarkEnd w:id="66"/>
      <w:bookmarkStart w:id="67" w:name="_Toc13591"/>
      <w:r>
        <w:rPr>
          <w:rFonts w:hint="eastAsia" w:ascii="宋体" w:hAnsi="宋体" w:eastAsia="宋体" w:cs="宋体"/>
          <w:b/>
          <w:sz w:val="24"/>
          <w:szCs w:val="24"/>
          <w:highlight w:val="none"/>
        </w:rPr>
        <w:t>2.2竞争性磋商文件的澄清</w:t>
      </w:r>
      <w:bookmarkEnd w:id="67"/>
    </w:p>
    <w:p w14:paraId="5C855AD4">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2.2.1供应商应仔细阅读和检查竞争性磋商文件的全部内容。如发现缺页或附件不全，应及时向采购代理机构提出，以便补齐。</w:t>
      </w:r>
    </w:p>
    <w:p w14:paraId="7334F8F3">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2.2.2竞争性磋商文件的澄清以供应商须知前附表规定的形式发给所有</w:t>
      </w:r>
      <w:r>
        <w:rPr>
          <w:rFonts w:hint="eastAsia" w:ascii="宋体" w:hAnsi="宋体" w:cs="宋体"/>
          <w:sz w:val="24"/>
          <w:szCs w:val="24"/>
          <w:highlight w:val="none"/>
          <w:lang w:val="en-US" w:eastAsia="zh-CN"/>
        </w:rPr>
        <w:t>获取</w:t>
      </w:r>
      <w:r>
        <w:rPr>
          <w:rFonts w:hint="eastAsia" w:ascii="宋体" w:hAnsi="宋体" w:eastAsia="宋体" w:cs="宋体"/>
          <w:sz w:val="24"/>
          <w:szCs w:val="24"/>
          <w:highlight w:val="none"/>
        </w:rPr>
        <w:t>竞争性磋商文件的供应商，但不指明澄清问题的来源。澄清发出的时间距本章第4.2项规定的响应文件提交截止时间不足5日的，并且澄清内容可能影响响应文件编制的，将相应延长响应文件提交截止时间。</w:t>
      </w:r>
    </w:p>
    <w:p w14:paraId="34C11E6A">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2.2.3供应商在收到澄清通知后，应按供应商须知前附表规定的时间和形式通知</w:t>
      </w:r>
      <w:r>
        <w:rPr>
          <w:rFonts w:hint="eastAsia" w:ascii="宋体" w:hAnsi="宋体" w:eastAsia="宋体" w:cs="宋体"/>
          <w:sz w:val="24"/>
          <w:szCs w:val="24"/>
          <w:highlight w:val="none"/>
          <w:lang w:val="en-US" w:eastAsia="zh-CN"/>
        </w:rPr>
        <w:t>采购代理机构</w:t>
      </w:r>
      <w:r>
        <w:rPr>
          <w:rFonts w:hint="eastAsia" w:ascii="宋体" w:hAnsi="宋体" w:eastAsia="宋体" w:cs="宋体"/>
          <w:sz w:val="24"/>
          <w:szCs w:val="24"/>
          <w:highlight w:val="none"/>
        </w:rPr>
        <w:t>，确认已收到该澄清。</w:t>
      </w:r>
    </w:p>
    <w:p w14:paraId="5940B42D">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2.2.4采购人或者采购代理机构</w:t>
      </w:r>
      <w:r>
        <w:rPr>
          <w:rFonts w:hint="eastAsia" w:ascii="宋体" w:hAnsi="宋体" w:cs="宋体"/>
          <w:sz w:val="24"/>
          <w:szCs w:val="24"/>
          <w:highlight w:val="none"/>
          <w:lang w:eastAsia="zh-CN"/>
        </w:rPr>
        <w:t>应当</w:t>
      </w:r>
      <w:r>
        <w:rPr>
          <w:rFonts w:hint="eastAsia" w:ascii="宋体" w:hAnsi="宋体" w:eastAsia="宋体" w:cs="宋体"/>
          <w:sz w:val="24"/>
          <w:szCs w:val="24"/>
          <w:highlight w:val="none"/>
        </w:rPr>
        <w:t>及时对供应商依法提出的询问作出答复。</w:t>
      </w:r>
    </w:p>
    <w:p w14:paraId="419DE635">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68" w:name="_Toc17621"/>
      <w:bookmarkEnd w:id="68"/>
      <w:bookmarkStart w:id="69" w:name="_Toc8029"/>
      <w:r>
        <w:rPr>
          <w:rFonts w:hint="eastAsia" w:ascii="宋体" w:hAnsi="宋体" w:eastAsia="宋体" w:cs="宋体"/>
          <w:b/>
          <w:sz w:val="24"/>
          <w:szCs w:val="24"/>
          <w:highlight w:val="none"/>
        </w:rPr>
        <w:t>2.3竞争性磋商文件的修改</w:t>
      </w:r>
      <w:bookmarkEnd w:id="69"/>
    </w:p>
    <w:p w14:paraId="4FBBC0BF">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2.3.1采购人以供应商须知前附表规定的形式修改竞争性磋商文件，并通知所有已</w:t>
      </w:r>
      <w:r>
        <w:rPr>
          <w:rFonts w:hint="eastAsia" w:ascii="宋体" w:hAnsi="宋体" w:cs="宋体"/>
          <w:sz w:val="24"/>
          <w:szCs w:val="24"/>
          <w:highlight w:val="none"/>
          <w:lang w:val="en-US" w:eastAsia="zh-CN"/>
        </w:rPr>
        <w:t>获取</w:t>
      </w:r>
      <w:r>
        <w:rPr>
          <w:rFonts w:hint="eastAsia" w:ascii="宋体" w:hAnsi="宋体" w:eastAsia="宋体" w:cs="宋体"/>
          <w:sz w:val="24"/>
          <w:szCs w:val="24"/>
          <w:highlight w:val="none"/>
        </w:rPr>
        <w:t>竞争性磋商文件的供应商。修改竞争性磋商文件的时间距本章4.2项规定的响应文件提交截止时间不足5日的，并且修改内容可能影响响应文件编制的，将相应延长响应文件提交截止时间。</w:t>
      </w:r>
    </w:p>
    <w:p w14:paraId="2E177A3F">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2.3.2供应商收到修改内容后，应按供应商须知前附表规定的时间和形式通知采购代理机构，确认已收到该修改。</w:t>
      </w:r>
    </w:p>
    <w:p w14:paraId="2EA159D2">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70" w:name="_Toc24916"/>
      <w:bookmarkEnd w:id="70"/>
      <w:bookmarkStart w:id="71" w:name="_Toc29741"/>
      <w:bookmarkEnd w:id="71"/>
      <w:bookmarkStart w:id="72" w:name="_Toc16663"/>
      <w:bookmarkEnd w:id="72"/>
      <w:bookmarkStart w:id="73" w:name="_Toc24768"/>
      <w:bookmarkStart w:id="74" w:name="_Toc3896284"/>
      <w:bookmarkStart w:id="75" w:name="_Toc24541"/>
      <w:r>
        <w:rPr>
          <w:rFonts w:hint="eastAsia" w:ascii="宋体" w:hAnsi="宋体" w:eastAsia="宋体" w:cs="宋体"/>
          <w:sz w:val="28"/>
          <w:szCs w:val="28"/>
          <w:highlight w:val="none"/>
        </w:rPr>
        <w:t>3.响应文件</w:t>
      </w:r>
      <w:bookmarkEnd w:id="73"/>
      <w:bookmarkEnd w:id="74"/>
      <w:bookmarkEnd w:id="75"/>
    </w:p>
    <w:p w14:paraId="7A07C78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76" w:name="_Toc2432"/>
      <w:bookmarkEnd w:id="76"/>
      <w:bookmarkStart w:id="77" w:name="_Toc4962"/>
      <w:r>
        <w:rPr>
          <w:rFonts w:hint="eastAsia" w:ascii="宋体" w:hAnsi="宋体" w:eastAsia="宋体" w:cs="宋体"/>
          <w:b/>
          <w:sz w:val="24"/>
          <w:szCs w:val="24"/>
          <w:highlight w:val="none"/>
        </w:rPr>
        <w:t>3.1响应文件的组成</w:t>
      </w:r>
      <w:bookmarkEnd w:id="77"/>
    </w:p>
    <w:p w14:paraId="1F8E4473">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3.1.1响应文件资格审查部分详见第六章“响应文件格式”资格审查部分中的内容。</w:t>
      </w:r>
    </w:p>
    <w:p w14:paraId="1881E37C">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3.1.2响应文件</w:t>
      </w:r>
      <w:r>
        <w:rPr>
          <w:rFonts w:hint="eastAsia" w:ascii="宋体" w:hAnsi="宋体" w:eastAsia="宋体" w:cs="宋体"/>
          <w:sz w:val="24"/>
          <w:szCs w:val="24"/>
          <w:highlight w:val="none"/>
          <w:lang w:val="en-US" w:eastAsia="zh-CN"/>
        </w:rPr>
        <w:t>商务技术</w:t>
      </w:r>
      <w:r>
        <w:rPr>
          <w:rFonts w:hint="eastAsia" w:ascii="宋体" w:hAnsi="宋体" w:eastAsia="宋体" w:cs="宋体"/>
          <w:sz w:val="24"/>
          <w:szCs w:val="24"/>
          <w:highlight w:val="none"/>
        </w:rPr>
        <w:t>部分详见第六章“响应文件格式”</w:t>
      </w:r>
      <w:r>
        <w:rPr>
          <w:rFonts w:hint="eastAsia" w:ascii="宋体" w:hAnsi="宋体" w:eastAsia="宋体" w:cs="宋体"/>
          <w:sz w:val="24"/>
          <w:szCs w:val="24"/>
          <w:highlight w:val="none"/>
          <w:lang w:val="en-US" w:eastAsia="zh-CN"/>
        </w:rPr>
        <w:t>商务技术</w:t>
      </w:r>
      <w:r>
        <w:rPr>
          <w:rFonts w:hint="eastAsia" w:ascii="宋体" w:hAnsi="宋体" w:eastAsia="宋体" w:cs="宋体"/>
          <w:sz w:val="24"/>
          <w:szCs w:val="24"/>
          <w:highlight w:val="none"/>
        </w:rPr>
        <w:t>部分中的内容。</w:t>
      </w:r>
    </w:p>
    <w:p w14:paraId="424CADA3">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供应商在评审过程中作出的符合法律法规和竞争性磋商文件规定的澄清确认，构成响应文件的组成部分。</w:t>
      </w:r>
    </w:p>
    <w:p w14:paraId="5C883604">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3.1.3供应商须知前附表未要求提交磋商保证金的，响应文件不包括第六章“响应文件格式”</w:t>
      </w:r>
      <w:r>
        <w:rPr>
          <w:rFonts w:hint="eastAsia" w:ascii="宋体" w:hAnsi="宋体" w:eastAsia="宋体" w:cs="宋体"/>
          <w:sz w:val="24"/>
          <w:szCs w:val="24"/>
          <w:highlight w:val="none"/>
          <w:lang w:val="en-US" w:eastAsia="zh-CN"/>
        </w:rPr>
        <w:t>商务技术</w:t>
      </w:r>
      <w:r>
        <w:rPr>
          <w:rFonts w:hint="eastAsia" w:ascii="宋体" w:hAnsi="宋体" w:eastAsia="宋体" w:cs="宋体"/>
          <w:sz w:val="24"/>
          <w:szCs w:val="24"/>
          <w:highlight w:val="none"/>
        </w:rPr>
        <w:t>部分中所指的磋商保证金。</w:t>
      </w:r>
    </w:p>
    <w:p w14:paraId="182BBA2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78" w:name="_Toc3252"/>
      <w:bookmarkEnd w:id="78"/>
      <w:bookmarkStart w:id="79" w:name="_Toc21369"/>
      <w:r>
        <w:rPr>
          <w:rFonts w:hint="eastAsia" w:ascii="宋体" w:hAnsi="宋体" w:eastAsia="宋体" w:cs="宋体"/>
          <w:b/>
          <w:sz w:val="24"/>
          <w:szCs w:val="24"/>
          <w:highlight w:val="none"/>
        </w:rPr>
        <w:t>3.2磋商报价</w:t>
      </w:r>
      <w:bookmarkEnd w:id="79"/>
    </w:p>
    <w:p w14:paraId="11AF21E7">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3.2.1供应商应按第六章“响应文件格式”的要求在初次报价表中进行报价。</w:t>
      </w:r>
    </w:p>
    <w:p w14:paraId="3077C2C3">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3.2.2供应商应充分了解该项目的总体情况以及影响磋商报价的其他要素。</w:t>
      </w:r>
    </w:p>
    <w:p w14:paraId="79AF45C5">
      <w:pPr>
        <w:pageBreakBefore w:val="0"/>
        <w:kinsoku/>
        <w:wordWrap/>
        <w:overflowPunct/>
        <w:topLinePunct w:val="0"/>
        <w:autoSpaceDE/>
        <w:autoSpaceDN/>
        <w:bidi w:val="0"/>
        <w:adjustRightInd/>
        <w:snapToGrid/>
        <w:spacing w:line="440" w:lineRule="exact"/>
        <w:ind w:firstLine="540" w:firstLineChars="2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3.2.3磋商报价的其他要求见供应商须知前附表。</w:t>
      </w:r>
    </w:p>
    <w:p w14:paraId="3FEB2B46">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80" w:name="_Toc12995"/>
      <w:bookmarkEnd w:id="80"/>
      <w:bookmarkStart w:id="81" w:name="_Toc14190"/>
      <w:r>
        <w:rPr>
          <w:rFonts w:hint="eastAsia" w:ascii="宋体" w:hAnsi="宋体" w:eastAsia="宋体" w:cs="宋体"/>
          <w:b/>
          <w:sz w:val="24"/>
          <w:szCs w:val="24"/>
          <w:highlight w:val="none"/>
        </w:rPr>
        <w:t>3.3磋商有效期</w:t>
      </w:r>
      <w:bookmarkEnd w:id="81"/>
    </w:p>
    <w:p w14:paraId="40B868B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3.3.1磋商有效期见供应商须知前附表。</w:t>
      </w:r>
    </w:p>
    <w:p w14:paraId="3986270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3.3.2在磋商有效期内，供应商撤销或修改其响应文件的，应承担竞争性磋商文件和法律规定的责任。</w:t>
      </w:r>
    </w:p>
    <w:p w14:paraId="233ED71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3.3.3出现特殊情况需要延长磋商有效期的，采购人通知所有供应商延长磋商有效期。供应商应予答复，同意延长的，应相应延长其磋商保证金的有效期，但不得要求或被允许修改其响应文件；供应商拒绝延长的，其磋商失效，但供应商有权收回其磋商保证金。</w:t>
      </w:r>
    </w:p>
    <w:p w14:paraId="516A955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82" w:name="_Toc1543"/>
      <w:bookmarkEnd w:id="82"/>
      <w:bookmarkStart w:id="83" w:name="_Toc23125"/>
      <w:r>
        <w:rPr>
          <w:rFonts w:hint="eastAsia" w:ascii="宋体" w:hAnsi="宋体" w:eastAsia="宋体" w:cs="宋体"/>
          <w:b/>
          <w:sz w:val="24"/>
          <w:szCs w:val="24"/>
          <w:highlight w:val="none"/>
        </w:rPr>
        <w:t>3.4磋商保证金</w:t>
      </w:r>
      <w:bookmarkEnd w:id="83"/>
    </w:p>
    <w:p w14:paraId="1A78FD9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bookmarkStart w:id="84" w:name="_Toc4859"/>
      <w:r>
        <w:rPr>
          <w:rFonts w:hint="eastAsia" w:ascii="宋体" w:hAnsi="宋体" w:eastAsia="宋体" w:cs="宋体"/>
          <w:sz w:val="24"/>
          <w:szCs w:val="24"/>
          <w:highlight w:val="none"/>
        </w:rPr>
        <w:t>3.4.1供应商在</w:t>
      </w:r>
      <w:r>
        <w:rPr>
          <w:rFonts w:hint="eastAsia" w:ascii="宋体" w:hAnsi="宋体" w:cs="宋体"/>
          <w:sz w:val="24"/>
          <w:szCs w:val="24"/>
          <w:highlight w:val="none"/>
          <w:lang w:val="en-US" w:eastAsia="zh-CN"/>
        </w:rPr>
        <w:t>提交</w:t>
      </w:r>
      <w:r>
        <w:rPr>
          <w:rFonts w:hint="eastAsia" w:ascii="宋体" w:hAnsi="宋体" w:eastAsia="宋体" w:cs="宋体"/>
          <w:sz w:val="24"/>
          <w:szCs w:val="24"/>
          <w:highlight w:val="none"/>
        </w:rPr>
        <w:t>响应文件的同时，应按供应商须知前附表规定的金额、形式和第六章“响应文件格式”规定的磋商保证金格式递交磋商保证金，并作为其响应文件的组成部分。应当从其基本账户转出并在响应文件中附上开户许可证或基本存款账户信息。联合体磋商的，其磋商保证金可以由牵头人递交。</w:t>
      </w:r>
    </w:p>
    <w:p w14:paraId="180FC8A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3.4.2供应商不按本章第3.4.1项要求提交磋商保证金的，其磋商将被视为无效磋商。</w:t>
      </w:r>
    </w:p>
    <w:p w14:paraId="7A679A3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3.4.3采购人或者采购代理机构应当自成交通知书发出之日起5个工作日内退还未成交供应商的磋商保证金，自采购合同签订之日起5个工作日内退还成交供应商的磋商保证金。</w:t>
      </w:r>
    </w:p>
    <w:p w14:paraId="61BC73E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3.4.4有下列情形之一的，磋商保证金将不予退还：</w:t>
      </w:r>
    </w:p>
    <w:p w14:paraId="0145673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（1）供应商在提交响应文件截止时间后撤销响应文件的；</w:t>
      </w:r>
    </w:p>
    <w:p w14:paraId="688D5E7D">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（2）供应商在响应文件中提供虚假材料的；</w:t>
      </w:r>
    </w:p>
    <w:p w14:paraId="3B85DF0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（3）成交供应商在收到成交通知书后，无正当理由不与采购人订立合同，在签订合同时向采购人提出附加条件，或者不按照竞争性磋商文件要求提交履约保证金的；</w:t>
      </w:r>
    </w:p>
    <w:p w14:paraId="0E08B19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（4）供应商与采购人、其他供应商或者采购代理机构恶意串通的；</w:t>
      </w:r>
    </w:p>
    <w:p w14:paraId="4E93E5E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（5）其他法律法规要求不予退还磋商保证金的情形。</w:t>
      </w:r>
    </w:p>
    <w:p w14:paraId="72B28656">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3.5响应文件的编制</w:t>
      </w:r>
      <w:bookmarkEnd w:id="84"/>
    </w:p>
    <w:p w14:paraId="3CA83E5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3.5.1响应文件应按第六章“响应文件格式”进行编写。</w:t>
      </w:r>
    </w:p>
    <w:p w14:paraId="37C0410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3.5.2</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1</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响应文件全部采用电子文档，供应商应安装客户端软件—“政采云电子交易客户端”，并按照竞争性磋商文件和政采云电子交易平台的要求编制，编制后应进行电子签章、签名及加密；</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2</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如供应商提交的电子标书未按竞争性磋商文件要求或开启时无法读取导入或解密，其响应文件将不予受理；</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3</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响应文件中提供的资料</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扫描件</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，内容必须清晰可辨，若内容模糊，无法辨识，均视为未提供。</w:t>
      </w:r>
    </w:p>
    <w:p w14:paraId="5B43F5A3">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85" w:name="_Toc13757"/>
      <w:bookmarkEnd w:id="85"/>
      <w:bookmarkStart w:id="86" w:name="_Toc1490"/>
      <w:bookmarkEnd w:id="86"/>
      <w:bookmarkStart w:id="87" w:name="_Toc3896285"/>
      <w:bookmarkStart w:id="88" w:name="_Toc7149"/>
      <w:bookmarkStart w:id="89" w:name="_Toc1119"/>
      <w:r>
        <w:rPr>
          <w:rFonts w:hint="eastAsia" w:ascii="宋体" w:hAnsi="宋体" w:eastAsia="宋体" w:cs="宋体"/>
          <w:sz w:val="28"/>
          <w:szCs w:val="28"/>
          <w:highlight w:val="none"/>
        </w:rPr>
        <w:t>4.磋商</w:t>
      </w:r>
      <w:bookmarkEnd w:id="87"/>
      <w:bookmarkEnd w:id="88"/>
      <w:bookmarkEnd w:id="89"/>
    </w:p>
    <w:p w14:paraId="2723711A">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90" w:name="_Toc1523"/>
      <w:bookmarkEnd w:id="90"/>
      <w:bookmarkStart w:id="91" w:name="_Toc27596"/>
      <w:bookmarkEnd w:id="91"/>
      <w:r>
        <w:rPr>
          <w:rFonts w:hint="eastAsia" w:ascii="宋体" w:hAnsi="宋体" w:eastAsia="宋体" w:cs="宋体"/>
          <w:b/>
          <w:sz w:val="24"/>
          <w:szCs w:val="24"/>
          <w:highlight w:val="none"/>
        </w:rPr>
        <w:t>4.1</w:t>
      </w:r>
      <w:r>
        <w:rPr>
          <w:rFonts w:hint="eastAsia" w:ascii="宋体" w:hAnsi="宋体" w:cs="宋体"/>
          <w:b/>
          <w:sz w:val="24"/>
          <w:szCs w:val="24"/>
          <w:highlight w:val="none"/>
          <w:lang w:val="en-US" w:eastAsia="zh-CN"/>
        </w:rPr>
        <w:t>响应</w:t>
      </w:r>
      <w:r>
        <w:rPr>
          <w:rFonts w:hint="eastAsia" w:ascii="宋体" w:hAnsi="宋体" w:eastAsia="宋体" w:cs="宋体"/>
          <w:b/>
          <w:sz w:val="24"/>
          <w:szCs w:val="24"/>
          <w:highlight w:val="none"/>
        </w:rPr>
        <w:t>文件的加密</w:t>
      </w:r>
    </w:p>
    <w:p w14:paraId="2B9F2A3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4.1.1</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应当按照</w:t>
      </w:r>
      <w:r>
        <w:rPr>
          <w:rFonts w:hint="eastAsia" w:ascii="宋体" w:hAnsi="宋体" w:cs="宋体"/>
          <w:sz w:val="24"/>
          <w:szCs w:val="24"/>
          <w:highlight w:val="none"/>
          <w:lang w:val="en-US" w:eastAsia="zh-CN"/>
        </w:rPr>
        <w:t>采购</w:t>
      </w:r>
      <w:r>
        <w:rPr>
          <w:rFonts w:hint="eastAsia" w:ascii="宋体" w:hAnsi="宋体" w:eastAsia="宋体" w:cs="宋体"/>
          <w:sz w:val="24"/>
          <w:szCs w:val="24"/>
          <w:highlight w:val="none"/>
        </w:rPr>
        <w:t>文件和电子招标投标交易平台的要求加密</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文件，具体要求见</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须知前附表。</w:t>
      </w:r>
    </w:p>
    <w:p w14:paraId="2F6EFA6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4.1.2未按本章第4.1.1要求加密的</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文件，采购人将予以拒收。</w:t>
      </w:r>
    </w:p>
    <w:p w14:paraId="40E715C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4.2</w:t>
      </w:r>
      <w:r>
        <w:rPr>
          <w:rFonts w:hint="eastAsia" w:ascii="宋体" w:hAnsi="宋体" w:cs="宋体"/>
          <w:b/>
          <w:sz w:val="24"/>
          <w:szCs w:val="24"/>
          <w:highlight w:val="none"/>
          <w:lang w:val="en-US" w:eastAsia="zh-CN"/>
        </w:rPr>
        <w:t>响应</w:t>
      </w:r>
      <w:r>
        <w:rPr>
          <w:rFonts w:hint="eastAsia" w:ascii="宋体" w:hAnsi="宋体" w:eastAsia="宋体" w:cs="宋体"/>
          <w:b/>
          <w:sz w:val="24"/>
          <w:szCs w:val="24"/>
          <w:highlight w:val="none"/>
        </w:rPr>
        <w:t>文件的提交</w:t>
      </w:r>
    </w:p>
    <w:p w14:paraId="6DA34D5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应在</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须知前附表规定的截止时间</w:t>
      </w:r>
      <w:r>
        <w:rPr>
          <w:rFonts w:hint="eastAsia" w:ascii="宋体" w:hAnsi="宋体" w:cs="宋体"/>
          <w:sz w:val="24"/>
          <w:szCs w:val="24"/>
          <w:highlight w:val="none"/>
          <w:lang w:val="en-US" w:eastAsia="zh-CN"/>
        </w:rPr>
        <w:t>和地点</w:t>
      </w:r>
      <w:r>
        <w:rPr>
          <w:rFonts w:hint="eastAsia" w:ascii="宋体" w:hAnsi="宋体" w:eastAsia="宋体" w:cs="宋体"/>
          <w:sz w:val="24"/>
          <w:szCs w:val="24"/>
          <w:highlight w:val="none"/>
        </w:rPr>
        <w:t>前提交</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w:t>
      </w:r>
    </w:p>
    <w:p w14:paraId="22669046">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4.3</w:t>
      </w:r>
      <w:r>
        <w:rPr>
          <w:rFonts w:hint="eastAsia" w:ascii="宋体" w:hAnsi="宋体" w:cs="宋体"/>
          <w:b/>
          <w:sz w:val="24"/>
          <w:szCs w:val="24"/>
          <w:highlight w:val="none"/>
          <w:lang w:val="en-US" w:eastAsia="zh-CN"/>
        </w:rPr>
        <w:t>响应</w:t>
      </w:r>
      <w:r>
        <w:rPr>
          <w:rFonts w:hint="eastAsia" w:ascii="宋体" w:hAnsi="宋体" w:eastAsia="宋体" w:cs="宋体"/>
          <w:b/>
          <w:sz w:val="24"/>
          <w:szCs w:val="24"/>
          <w:highlight w:val="none"/>
        </w:rPr>
        <w:t>文件的修改与撤回</w:t>
      </w:r>
    </w:p>
    <w:p w14:paraId="145605F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4.3.1在截止时间前，</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可以撤回在网上已提交的</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件，修改后重新提交，无须书面形式通知采购人。</w:t>
      </w:r>
    </w:p>
    <w:p w14:paraId="304CB0F4">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4.3.2修改的</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文件应按照</w:t>
      </w:r>
      <w:r>
        <w:rPr>
          <w:rFonts w:hint="eastAsia" w:ascii="宋体" w:hAnsi="宋体" w:cs="宋体"/>
          <w:sz w:val="24"/>
          <w:szCs w:val="24"/>
          <w:highlight w:val="none"/>
          <w:lang w:val="en-US" w:eastAsia="zh-CN"/>
        </w:rPr>
        <w:t>采购</w:t>
      </w:r>
      <w:r>
        <w:rPr>
          <w:rFonts w:hint="eastAsia" w:ascii="宋体" w:hAnsi="宋体" w:eastAsia="宋体" w:cs="宋体"/>
          <w:sz w:val="24"/>
          <w:szCs w:val="24"/>
          <w:highlight w:val="none"/>
        </w:rPr>
        <w:t>文件和电子招标投标交易平台的要求进行加密、上传。</w:t>
      </w:r>
    </w:p>
    <w:p w14:paraId="20361E54">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92" w:name="_Toc20611"/>
      <w:bookmarkEnd w:id="92"/>
      <w:bookmarkStart w:id="93" w:name="_Toc25495"/>
      <w:bookmarkStart w:id="94" w:name="_Toc3896286"/>
      <w:bookmarkStart w:id="95" w:name="_Toc20324"/>
      <w:r>
        <w:rPr>
          <w:rFonts w:hint="eastAsia" w:ascii="宋体" w:hAnsi="宋体" w:eastAsia="宋体" w:cs="宋体"/>
          <w:sz w:val="28"/>
          <w:szCs w:val="28"/>
          <w:highlight w:val="none"/>
        </w:rPr>
        <w:t>5.开启</w:t>
      </w:r>
      <w:bookmarkEnd w:id="93"/>
      <w:bookmarkEnd w:id="94"/>
      <w:bookmarkEnd w:id="95"/>
    </w:p>
    <w:p w14:paraId="20872DC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96" w:name="_Toc1527"/>
      <w:bookmarkEnd w:id="96"/>
      <w:bookmarkStart w:id="97" w:name="_Toc9143"/>
      <w:r>
        <w:rPr>
          <w:rFonts w:hint="eastAsia" w:ascii="宋体" w:hAnsi="宋体" w:eastAsia="宋体" w:cs="宋体"/>
          <w:b/>
          <w:sz w:val="24"/>
          <w:szCs w:val="24"/>
          <w:highlight w:val="none"/>
        </w:rPr>
        <w:t>5.1开启时间和地点</w:t>
      </w:r>
      <w:bookmarkEnd w:id="97"/>
    </w:p>
    <w:p w14:paraId="3EDE65C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见供应商须知前附表。</w:t>
      </w:r>
    </w:p>
    <w:p w14:paraId="5E16A5D3">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98" w:name="_Toc21332"/>
      <w:bookmarkEnd w:id="98"/>
      <w:bookmarkStart w:id="99" w:name="_Toc27792"/>
      <w:bookmarkEnd w:id="99"/>
      <w:bookmarkStart w:id="100" w:name="_Toc24636"/>
      <w:r>
        <w:rPr>
          <w:rFonts w:hint="eastAsia" w:ascii="宋体" w:hAnsi="宋体" w:eastAsia="宋体" w:cs="宋体"/>
          <w:b/>
          <w:sz w:val="24"/>
          <w:szCs w:val="24"/>
          <w:highlight w:val="none"/>
        </w:rPr>
        <w:t>5.2开启程序</w:t>
      </w:r>
      <w:bookmarkEnd w:id="100"/>
    </w:p>
    <w:p w14:paraId="119BB1C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见供应商须知前附表。</w:t>
      </w:r>
    </w:p>
    <w:p w14:paraId="3C3F2B28">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101" w:name="_Toc26040"/>
      <w:bookmarkEnd w:id="101"/>
      <w:bookmarkStart w:id="102" w:name="_Toc27754"/>
      <w:bookmarkEnd w:id="102"/>
      <w:bookmarkStart w:id="103" w:name="_Toc25563"/>
      <w:bookmarkEnd w:id="103"/>
      <w:bookmarkStart w:id="104" w:name="_Toc27216"/>
      <w:bookmarkEnd w:id="104"/>
      <w:bookmarkStart w:id="105" w:name="_Toc11518"/>
      <w:bookmarkEnd w:id="105"/>
      <w:bookmarkStart w:id="106" w:name="_Toc5032"/>
      <w:bookmarkStart w:id="107" w:name="_Toc3896287"/>
      <w:bookmarkStart w:id="108" w:name="_Toc29087"/>
      <w:r>
        <w:rPr>
          <w:rFonts w:hint="eastAsia" w:ascii="宋体" w:hAnsi="宋体" w:eastAsia="宋体" w:cs="宋体"/>
          <w:sz w:val="28"/>
          <w:szCs w:val="28"/>
          <w:highlight w:val="none"/>
        </w:rPr>
        <w:t>6.评审</w:t>
      </w:r>
      <w:bookmarkEnd w:id="106"/>
      <w:bookmarkEnd w:id="107"/>
      <w:bookmarkEnd w:id="108"/>
    </w:p>
    <w:p w14:paraId="2EEE46BF">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109" w:name="_Toc11207"/>
      <w:bookmarkEnd w:id="109"/>
      <w:bookmarkStart w:id="110" w:name="_Toc4770"/>
      <w:r>
        <w:rPr>
          <w:rFonts w:hint="eastAsia" w:ascii="宋体" w:hAnsi="宋体" w:eastAsia="宋体" w:cs="宋体"/>
          <w:b/>
          <w:sz w:val="24"/>
          <w:szCs w:val="24"/>
          <w:highlight w:val="none"/>
        </w:rPr>
        <w:t>6.1磋商小组</w:t>
      </w:r>
      <w:bookmarkEnd w:id="110"/>
    </w:p>
    <w:p w14:paraId="7A8C384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6.1.1磋商小组的组成见供应商须知前附表。</w:t>
      </w:r>
    </w:p>
    <w:p w14:paraId="5CEFE36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6.1.2评审中因磋商小组成员缺席、回避或者健康等特殊原因导致磋商小组组成不符合《政府采购竞争性磋商采购方式管理暂行办法》（财库</w:t>
      </w:r>
      <w:r>
        <w:rPr>
          <w:rFonts w:hint="eastAsia" w:ascii="宋体" w:hAnsi="宋体" w:cs="宋体"/>
          <w:sz w:val="24"/>
          <w:szCs w:val="24"/>
          <w:highlight w:val="none"/>
          <w:lang w:eastAsia="zh-CN"/>
        </w:rPr>
        <w:t>〔2014〕214号</w:t>
      </w:r>
      <w:r>
        <w:rPr>
          <w:rFonts w:hint="eastAsia" w:ascii="宋体" w:hAnsi="宋体" w:eastAsia="宋体" w:cs="宋体"/>
          <w:sz w:val="24"/>
          <w:szCs w:val="24"/>
          <w:highlight w:val="none"/>
        </w:rPr>
        <w:t>）规定的，采购人或者采购代理机构应当依法补足后继续评审。被更换的磋商小组成员所作出的评审意见无效。无法及时补足磋商小组成员的，采购人或者采购代理机构应当停止评审活动，封存所有响应文件和开启、评审资料，依法重新组建磋商小组进行评审。原磋商小组所作出的评审意见无效。采购人或者采购代理机构应当将变更、重新组建磋商小组的情况予以记录，并随竞争性磋商文件一并存档。</w:t>
      </w:r>
    </w:p>
    <w:p w14:paraId="187D9F64">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111" w:name="_Toc28237"/>
      <w:bookmarkEnd w:id="111"/>
      <w:bookmarkStart w:id="112" w:name="_Toc6336"/>
      <w:r>
        <w:rPr>
          <w:rFonts w:hint="eastAsia" w:ascii="宋体" w:hAnsi="宋体" w:eastAsia="宋体" w:cs="宋体"/>
          <w:b/>
          <w:sz w:val="24"/>
          <w:szCs w:val="24"/>
          <w:highlight w:val="none"/>
        </w:rPr>
        <w:t>6.2评审原则</w:t>
      </w:r>
      <w:bookmarkEnd w:id="112"/>
    </w:p>
    <w:p w14:paraId="7F279AF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评审活动遵循公平、公正、科学和择优的原则。</w:t>
      </w:r>
    </w:p>
    <w:p w14:paraId="0BA1FE1E">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113" w:name="_Toc10442"/>
      <w:bookmarkEnd w:id="113"/>
      <w:bookmarkStart w:id="114" w:name="_Toc5282"/>
      <w:r>
        <w:rPr>
          <w:rFonts w:hint="eastAsia" w:ascii="宋体" w:hAnsi="宋体" w:eastAsia="宋体" w:cs="宋体"/>
          <w:b/>
          <w:sz w:val="24"/>
          <w:szCs w:val="24"/>
          <w:highlight w:val="none"/>
        </w:rPr>
        <w:t>6.3评审</w:t>
      </w:r>
      <w:bookmarkEnd w:id="114"/>
      <w:r>
        <w:rPr>
          <w:rFonts w:hint="eastAsia" w:ascii="宋体" w:hAnsi="宋体" w:eastAsia="宋体" w:cs="宋体"/>
          <w:b/>
          <w:sz w:val="24"/>
          <w:szCs w:val="24"/>
          <w:highlight w:val="none"/>
        </w:rPr>
        <w:t>方法</w:t>
      </w:r>
    </w:p>
    <w:p w14:paraId="446CBC8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6.3.1磋商小组按照第三章“评审方法”规定的方法、评审因素、标准和程序对响应文件进行评审。第三章“评审方法”没有规定的方法、评审因素和标准，不作为评审依据。</w:t>
      </w:r>
    </w:p>
    <w:p w14:paraId="1C7AE09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6.3.2评审完成后，磋商小组应当向采购人提交书面评审报告和成交候选供应商名单。磋商小组推荐成交候选供应商的人数见供应商须知前附表。</w:t>
      </w:r>
    </w:p>
    <w:p w14:paraId="3F7F94D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6.3.3</w:t>
      </w:r>
      <w:r>
        <w:rPr>
          <w:rFonts w:hint="eastAsia" w:ascii="宋体" w:hAnsi="宋体" w:eastAsia="宋体" w:cs="宋体"/>
          <w:b/>
          <w:bCs/>
          <w:sz w:val="24"/>
          <w:szCs w:val="24"/>
          <w:highlight w:val="none"/>
        </w:rPr>
        <w:t>出现下列情形之一的，将终止竞争性磋商采购活动，并发布项目终止公告并说明原因，重新开展采购活动：</w:t>
      </w:r>
    </w:p>
    <w:p w14:paraId="5B91FDF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（1）因情况变化，不再符合规定的竞争性磋商采购方式适用情形的；</w:t>
      </w:r>
    </w:p>
    <w:p w14:paraId="433FA20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（2）出现影响采购公正的违法、违规行为的；</w:t>
      </w:r>
    </w:p>
    <w:p w14:paraId="1A6D41A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eastAsia="宋体" w:cs="宋体"/>
          <w:sz w:val="24"/>
          <w:highlight w:val="none"/>
        </w:rPr>
        <w:t>在采购过程中符合竞争要求的供应商或者</w:t>
      </w:r>
      <w:r>
        <w:rPr>
          <w:rFonts w:hint="eastAsia" w:ascii="宋体" w:hAnsi="宋体" w:eastAsia="宋体" w:cs="宋体"/>
          <w:b/>
          <w:sz w:val="24"/>
          <w:highlight w:val="none"/>
        </w:rPr>
        <w:t>报价未超过采购预算的供应商不足3家</w:t>
      </w:r>
      <w:r>
        <w:rPr>
          <w:rFonts w:hint="eastAsia" w:ascii="宋体" w:hAnsi="宋体" w:cs="宋体"/>
          <w:b/>
          <w:sz w:val="24"/>
          <w:highlight w:val="none"/>
          <w:lang w:eastAsia="zh-CN"/>
        </w:rPr>
        <w:t>（符合财库〔2014〕214号第二十一条第三款情形和财库〔2015〕124号规定的</w:t>
      </w:r>
      <w:r>
        <w:rPr>
          <w:rFonts w:hint="eastAsia" w:ascii="宋体" w:hAnsi="宋体" w:cs="宋体"/>
          <w:b/>
          <w:sz w:val="24"/>
          <w:highlight w:val="none"/>
          <w:lang w:val="en-US" w:eastAsia="zh-CN"/>
        </w:rPr>
        <w:t>除外</w:t>
      </w:r>
      <w:r>
        <w:rPr>
          <w:rFonts w:hint="eastAsia" w:ascii="宋体" w:hAnsi="宋体" w:cs="宋体"/>
          <w:b/>
          <w:sz w:val="24"/>
          <w:highlight w:val="none"/>
          <w:lang w:eastAsia="zh-CN"/>
        </w:rPr>
        <w:t>）</w:t>
      </w:r>
      <w:r>
        <w:rPr>
          <w:rFonts w:hint="eastAsia" w:ascii="宋体" w:hAnsi="宋体" w:eastAsia="宋体" w:cs="宋体"/>
          <w:sz w:val="24"/>
          <w:highlight w:val="none"/>
        </w:rPr>
        <w:t>的。</w:t>
      </w:r>
    </w:p>
    <w:p w14:paraId="5B07C770">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115" w:name="_Toc6003"/>
      <w:bookmarkEnd w:id="115"/>
      <w:bookmarkStart w:id="116" w:name="_Toc30483"/>
      <w:bookmarkEnd w:id="116"/>
      <w:bookmarkStart w:id="117" w:name="_Toc22840"/>
      <w:bookmarkStart w:id="118" w:name="_Toc3896288"/>
      <w:bookmarkStart w:id="119" w:name="_Toc15987"/>
      <w:r>
        <w:rPr>
          <w:rFonts w:hint="eastAsia" w:ascii="宋体" w:hAnsi="宋体" w:eastAsia="宋体" w:cs="宋体"/>
          <w:sz w:val="28"/>
          <w:szCs w:val="28"/>
          <w:highlight w:val="none"/>
        </w:rPr>
        <w:t>7.</w:t>
      </w:r>
      <w:bookmarkEnd w:id="117"/>
      <w:bookmarkEnd w:id="118"/>
      <w:r>
        <w:rPr>
          <w:rFonts w:hint="eastAsia" w:ascii="宋体" w:hAnsi="宋体" w:eastAsia="宋体" w:cs="宋体"/>
          <w:sz w:val="28"/>
          <w:szCs w:val="28"/>
          <w:highlight w:val="none"/>
        </w:rPr>
        <w:t>成交和合同</w:t>
      </w:r>
      <w:bookmarkEnd w:id="119"/>
    </w:p>
    <w:p w14:paraId="65D561A6">
      <w:pPr>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bookmarkStart w:id="120" w:name="_Toc18219"/>
      <w:bookmarkEnd w:id="120"/>
      <w:bookmarkStart w:id="121" w:name="_Toc31217"/>
      <w:r>
        <w:rPr>
          <w:rFonts w:hint="eastAsia" w:ascii="宋体" w:hAnsi="宋体" w:eastAsia="宋体" w:cs="宋体"/>
          <w:b/>
          <w:sz w:val="24"/>
          <w:szCs w:val="24"/>
          <w:highlight w:val="none"/>
        </w:rPr>
        <w:t>7.1</w:t>
      </w:r>
      <w:bookmarkEnd w:id="121"/>
      <w:r>
        <w:rPr>
          <w:rFonts w:hint="eastAsia" w:ascii="宋体" w:hAnsi="宋体" w:eastAsia="宋体" w:cs="宋体"/>
          <w:b/>
          <w:sz w:val="24"/>
          <w:szCs w:val="24"/>
          <w:highlight w:val="none"/>
        </w:rPr>
        <w:t>确定成交供应商</w:t>
      </w:r>
    </w:p>
    <w:p w14:paraId="1EB9F65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highlight w:val="none"/>
        </w:rPr>
      </w:pPr>
      <w:bookmarkStart w:id="122" w:name="_Toc8411"/>
      <w:bookmarkEnd w:id="122"/>
      <w:bookmarkStart w:id="123" w:name="_Toc16495"/>
      <w:bookmarkEnd w:id="123"/>
      <w:bookmarkStart w:id="124" w:name="_Toc18811"/>
      <w:bookmarkEnd w:id="124"/>
      <w:bookmarkStart w:id="125" w:name="_Toc18115"/>
      <w:bookmarkStart w:id="126" w:name="_Toc3833"/>
      <w:r>
        <w:rPr>
          <w:rFonts w:hint="eastAsia" w:ascii="宋体" w:hAnsi="宋体" w:eastAsia="宋体" w:cs="宋体"/>
          <w:sz w:val="24"/>
          <w:highlight w:val="none"/>
        </w:rPr>
        <w:t>按照供应商须知前附表的规定，采购人或采购人授权的磋商小组依法确定成交供应商。</w:t>
      </w:r>
    </w:p>
    <w:p w14:paraId="1E231E0F">
      <w:pPr>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rPr>
        <w:t>7.2</w:t>
      </w:r>
      <w:bookmarkEnd w:id="125"/>
      <w:r>
        <w:rPr>
          <w:rFonts w:hint="eastAsia" w:ascii="宋体" w:hAnsi="宋体" w:eastAsia="宋体" w:cs="宋体"/>
          <w:b/>
          <w:sz w:val="24"/>
          <w:szCs w:val="24"/>
          <w:highlight w:val="none"/>
          <w:lang w:val="en-US" w:eastAsia="zh-CN"/>
        </w:rPr>
        <w:t>成交公告</w:t>
      </w:r>
    </w:p>
    <w:p w14:paraId="6343C7C3">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采购人或者采购代理机构应当自成交供应商确定之日起2个工作日内，按照供应商须知前附表规定的媒介和期限公告成交结果，竞争性磋商文件应当随成交结果同时公告。</w:t>
      </w:r>
    </w:p>
    <w:bookmarkEnd w:id="126"/>
    <w:p w14:paraId="3524B19C">
      <w:pPr>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sz w:val="24"/>
          <w:szCs w:val="24"/>
          <w:highlight w:val="none"/>
          <w:lang w:val="en-US" w:eastAsia="zh-CN"/>
        </w:rPr>
      </w:pPr>
      <w:bookmarkStart w:id="127" w:name="_Toc7193"/>
      <w:r>
        <w:rPr>
          <w:rFonts w:hint="eastAsia" w:ascii="宋体" w:hAnsi="宋体" w:eastAsia="宋体" w:cs="宋体"/>
          <w:b/>
          <w:sz w:val="24"/>
          <w:szCs w:val="24"/>
          <w:highlight w:val="none"/>
        </w:rPr>
        <w:t>7.3</w:t>
      </w:r>
      <w:bookmarkEnd w:id="127"/>
      <w:r>
        <w:rPr>
          <w:rFonts w:hint="eastAsia" w:ascii="宋体" w:hAnsi="宋体" w:eastAsia="宋体" w:cs="宋体"/>
          <w:b/>
          <w:sz w:val="24"/>
          <w:szCs w:val="24"/>
          <w:highlight w:val="none"/>
          <w:lang w:val="en-US" w:eastAsia="zh-CN"/>
        </w:rPr>
        <w:t>成交通知</w:t>
      </w:r>
    </w:p>
    <w:p w14:paraId="099DA0F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在本章第3.3款规定的磋商有效期内，在公告成交结果的同时，采购人或者采购代理机构应当向成交供应商发出成交通知书。</w:t>
      </w:r>
    </w:p>
    <w:p w14:paraId="5ABAE7B0">
      <w:pPr>
        <w:pageBreakBefore w:val="0"/>
        <w:kinsoku/>
        <w:wordWrap/>
        <w:overflowPunct/>
        <w:topLinePunct w:val="0"/>
        <w:autoSpaceDE/>
        <w:autoSpaceDN/>
        <w:bidi w:val="0"/>
        <w:adjustRightInd/>
        <w:snapToGrid/>
        <w:spacing w:line="440" w:lineRule="exact"/>
        <w:textAlignment w:val="auto"/>
        <w:rPr>
          <w:rFonts w:hint="eastAsia" w:ascii="宋体" w:hAnsi="宋体" w:eastAsia="宋体" w:cs="Times New Roman"/>
          <w:b/>
          <w:color w:val="auto"/>
          <w:sz w:val="24"/>
          <w:szCs w:val="24"/>
          <w:highlight w:val="none"/>
        </w:rPr>
      </w:pPr>
      <w:bookmarkStart w:id="128" w:name="_Toc20692"/>
      <w:bookmarkEnd w:id="128"/>
      <w:bookmarkStart w:id="129" w:name="_Toc11854"/>
      <w:bookmarkEnd w:id="129"/>
      <w:bookmarkStart w:id="130" w:name="_Toc6413"/>
      <w:bookmarkEnd w:id="130"/>
      <w:bookmarkStart w:id="131" w:name="_Toc3896291"/>
      <w:bookmarkStart w:id="132" w:name="_Toc20594"/>
      <w:r>
        <w:rPr>
          <w:rFonts w:hint="eastAsia" w:ascii="宋体" w:hAnsi="宋体" w:eastAsia="宋体" w:cs="Times New Roman"/>
          <w:b/>
          <w:color w:val="auto"/>
          <w:sz w:val="24"/>
          <w:szCs w:val="24"/>
          <w:highlight w:val="none"/>
        </w:rPr>
        <w:t>7.4履约保证金</w:t>
      </w:r>
    </w:p>
    <w:p w14:paraId="7ED3A36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7.4.1在签订合同前，成交供应商应按供应商须知前附表规定的形式、金额向采购人提交履约保证金。</w:t>
      </w:r>
    </w:p>
    <w:p w14:paraId="714C144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7.4.2成交供应商不能按本章第7.4.1项要求提交履约保证金的，视为放弃成交，其磋商保证金不予退还，给采购人造成的损失超过磋商保证金数额的，成交供应商还应当对超过部分予以赔偿。</w:t>
      </w:r>
    </w:p>
    <w:p w14:paraId="677D29FF">
      <w:pPr>
        <w:pageBreakBefore w:val="0"/>
        <w:kinsoku/>
        <w:wordWrap/>
        <w:overflowPunct/>
        <w:topLinePunct w:val="0"/>
        <w:autoSpaceDE/>
        <w:autoSpaceDN/>
        <w:bidi w:val="0"/>
        <w:adjustRightInd/>
        <w:snapToGrid/>
        <w:spacing w:line="440" w:lineRule="exact"/>
        <w:textAlignment w:val="auto"/>
        <w:rPr>
          <w:rFonts w:hint="eastAsia" w:ascii="宋体" w:hAnsi="宋体" w:eastAsia="宋体" w:cs="Times New Roman"/>
          <w:b/>
          <w:color w:val="auto"/>
          <w:sz w:val="24"/>
          <w:szCs w:val="24"/>
          <w:highlight w:val="none"/>
        </w:rPr>
      </w:pPr>
      <w:bookmarkStart w:id="133" w:name="_Toc18519"/>
      <w:r>
        <w:rPr>
          <w:rFonts w:hint="eastAsia" w:ascii="宋体" w:hAnsi="宋体" w:eastAsia="宋体" w:cs="Times New Roman"/>
          <w:b/>
          <w:color w:val="auto"/>
          <w:sz w:val="24"/>
          <w:szCs w:val="24"/>
          <w:highlight w:val="none"/>
        </w:rPr>
        <w:t>7.5签订合同</w:t>
      </w:r>
      <w:bookmarkEnd w:id="133"/>
    </w:p>
    <w:p w14:paraId="3CDE920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7.5.1采购人应当自成交通知书发出之日起30日内，按照竞争性磋商文件和成交供应商响应文件的规定，与成交供应商签订书面合同。所签订的合同不得对竞争性磋商文件确定的事项和成交供应商响应文件作实质性修改。采购人不得向成交供应商提出任何不合理的要求作为签订合同的条件。</w:t>
      </w:r>
    </w:p>
    <w:p w14:paraId="280BD0AE">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7.5.2成交通知书发出后，采购人不得违法改变成交结果，成交供应商无正当理由不得放弃成交。</w:t>
      </w:r>
    </w:p>
    <w:p w14:paraId="01839EC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7.5.3联合体成交的，联合体各方应当共同与采购人签订合同，就成交项目向采购人承担连带责任。</w:t>
      </w:r>
    </w:p>
    <w:p w14:paraId="67C67D96">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b/>
          <w:bCs/>
          <w:sz w:val="28"/>
          <w:szCs w:val="28"/>
          <w:highlight w:val="none"/>
        </w:rPr>
      </w:pPr>
      <w:bookmarkStart w:id="134" w:name="_Toc709"/>
      <w:bookmarkStart w:id="135" w:name="_Toc3896289"/>
      <w:bookmarkStart w:id="136" w:name="_Toc24712"/>
      <w:bookmarkStart w:id="137" w:name="_Toc20347"/>
      <w:bookmarkStart w:id="138" w:name="_Toc9534"/>
      <w:r>
        <w:rPr>
          <w:rFonts w:hint="eastAsia" w:ascii="宋体" w:hAnsi="宋体" w:eastAsia="宋体" w:cs="宋体"/>
          <w:b/>
          <w:bCs/>
          <w:sz w:val="28"/>
          <w:szCs w:val="28"/>
          <w:highlight w:val="none"/>
        </w:rPr>
        <w:t>8.询问与答复</w:t>
      </w:r>
      <w:bookmarkEnd w:id="134"/>
      <w:bookmarkEnd w:id="135"/>
      <w:bookmarkEnd w:id="136"/>
      <w:bookmarkEnd w:id="137"/>
      <w:bookmarkEnd w:id="138"/>
    </w:p>
    <w:p w14:paraId="59ACF279">
      <w:pPr>
        <w:pStyle w:val="13"/>
        <w:pageBreakBefore w:val="0"/>
        <w:kinsoku/>
        <w:wordWrap/>
        <w:overflowPunct/>
        <w:topLinePunct w:val="0"/>
        <w:autoSpaceDE/>
        <w:autoSpaceDN/>
        <w:bidi w:val="0"/>
        <w:adjustRightInd/>
        <w:snapToGrid/>
        <w:spacing w:line="440" w:lineRule="exact"/>
        <w:ind w:firstLine="480" w:firstLineChars="200"/>
        <w:textAlignment w:val="auto"/>
        <w:rPr>
          <w:rFonts w:hint="eastAsia"/>
          <w:highlight w:val="none"/>
        </w:rPr>
      </w:pPr>
      <w:r>
        <w:rPr>
          <w:rFonts w:hint="eastAsia"/>
          <w:color w:val="auto"/>
          <w:kern w:val="0"/>
          <w:sz w:val="24"/>
          <w:highlight w:val="none"/>
        </w:rPr>
        <w:t>供应商对政府采购活动事项有疑问的，可以向采购人提出询问，采购人应当及时作出答复，但答复的内容不得涉及商业秘密。采购人或者采购代理机构应当</w:t>
      </w:r>
      <w:r>
        <w:rPr>
          <w:rFonts w:hint="eastAsia" w:ascii="宋体" w:hAnsi="宋体" w:eastAsia="宋体" w:cs="宋体"/>
          <w:color w:val="auto"/>
          <w:kern w:val="0"/>
          <w:sz w:val="24"/>
          <w:highlight w:val="none"/>
        </w:rPr>
        <w:t>在3个工</w:t>
      </w:r>
      <w:r>
        <w:rPr>
          <w:rFonts w:hint="eastAsia"/>
          <w:color w:val="auto"/>
          <w:kern w:val="0"/>
          <w:sz w:val="24"/>
          <w:highlight w:val="none"/>
        </w:rPr>
        <w:t>作日内对供应商依法提出的询问作出答复。</w:t>
      </w:r>
    </w:p>
    <w:bookmarkEnd w:id="131"/>
    <w:bookmarkEnd w:id="132"/>
    <w:p w14:paraId="6E710AF3">
      <w:pPr>
        <w:pStyle w:val="3"/>
        <w:pageBreakBefore w:val="0"/>
        <w:kinsoku/>
        <w:wordWrap/>
        <w:overflowPunct/>
        <w:topLinePunct w:val="0"/>
        <w:autoSpaceDE/>
        <w:autoSpaceDN/>
        <w:bidi w:val="0"/>
        <w:adjustRightInd/>
        <w:snapToGrid/>
        <w:spacing w:before="0" w:after="0" w:line="440" w:lineRule="exact"/>
        <w:textAlignment w:val="auto"/>
        <w:rPr>
          <w:rFonts w:hint="default" w:ascii="宋体" w:hAnsi="宋体" w:eastAsia="宋体" w:cs="宋体"/>
          <w:sz w:val="28"/>
          <w:szCs w:val="28"/>
          <w:highlight w:val="none"/>
          <w:lang w:val="en-US"/>
        </w:rPr>
      </w:pPr>
      <w:bookmarkStart w:id="139" w:name="_Toc22680"/>
      <w:r>
        <w:rPr>
          <w:rFonts w:hint="eastAsia" w:ascii="宋体" w:hAnsi="宋体" w:eastAsia="宋体" w:cs="宋体"/>
          <w:sz w:val="28"/>
          <w:szCs w:val="28"/>
          <w:highlight w:val="none"/>
        </w:rPr>
        <w:t>9.质疑</w:t>
      </w:r>
      <w:r>
        <w:rPr>
          <w:rFonts w:hint="eastAsia" w:ascii="宋体" w:hAnsi="宋体" w:eastAsia="宋体" w:cs="宋体"/>
          <w:sz w:val="28"/>
          <w:szCs w:val="28"/>
          <w:highlight w:val="none"/>
          <w:lang w:val="en-US" w:eastAsia="zh-CN"/>
        </w:rPr>
        <w:t>接受、回复</w:t>
      </w:r>
      <w:bookmarkEnd w:id="139"/>
    </w:p>
    <w:p w14:paraId="5F37F7AD">
      <w:pPr>
        <w:pageBreakBefore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bookmarkStart w:id="140" w:name="_Toc18697"/>
      <w:bookmarkEnd w:id="140"/>
      <w:bookmarkStart w:id="141" w:name="_Toc3960"/>
      <w:bookmarkEnd w:id="141"/>
      <w:bookmarkStart w:id="142" w:name="_Toc11354"/>
      <w:bookmarkEnd w:id="142"/>
      <w:bookmarkStart w:id="143" w:name="_Toc19873"/>
      <w:bookmarkEnd w:id="143"/>
      <w:bookmarkStart w:id="144" w:name="_Toc11291"/>
      <w:bookmarkEnd w:id="144"/>
      <w:bookmarkStart w:id="145" w:name="_Toc3896292"/>
      <w:bookmarkStart w:id="146" w:name="_Toc14857"/>
      <w:r>
        <w:rPr>
          <w:rFonts w:hint="eastAsia" w:ascii="宋体" w:hAnsi="宋体"/>
          <w:b/>
          <w:color w:val="auto"/>
          <w:sz w:val="24"/>
          <w:szCs w:val="24"/>
          <w:highlight w:val="none"/>
        </w:rPr>
        <w:t>9.1质疑接收</w:t>
      </w:r>
    </w:p>
    <w:p w14:paraId="1FFF398B">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9.1.1供应商认为竞争性磋商文件、磋商过程和成交结果使自己的权益受到损害的，可以</w:t>
      </w:r>
      <w:r>
        <w:rPr>
          <w:rFonts w:hint="eastAsia" w:ascii="宋体" w:hAnsi="宋体"/>
          <w:color w:val="auto"/>
          <w:sz w:val="24"/>
          <w:szCs w:val="24"/>
          <w:highlight w:val="none"/>
          <w:lang w:val="en-US" w:eastAsia="zh-CN"/>
        </w:rPr>
        <w:t>按照</w:t>
      </w:r>
      <w:r>
        <w:rPr>
          <w:rFonts w:hint="eastAsia" w:ascii="宋体" w:hAnsi="宋体"/>
          <w:color w:val="auto"/>
          <w:sz w:val="24"/>
          <w:szCs w:val="24"/>
          <w:highlight w:val="none"/>
        </w:rPr>
        <w:t>《中华人民共和国政府采购法</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中华人民共和国政府采购法实施条例》和《政府采购质疑和投诉办法》的有关规定，依法向采购人或其委托的采购代理机构提出质疑。</w:t>
      </w:r>
    </w:p>
    <w:p w14:paraId="759DB28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9.1.2质疑供应商应按照财政部制定的《政府采购质疑函范本》格式和《政府采购质疑和投诉办法》的要求，在法定质疑期</w:t>
      </w:r>
      <w:r>
        <w:rPr>
          <w:rFonts w:hint="eastAsia" w:ascii="宋体" w:hAnsi="宋体"/>
          <w:color w:val="auto"/>
          <w:sz w:val="24"/>
          <w:szCs w:val="24"/>
          <w:highlight w:val="none"/>
          <w:lang w:eastAsia="zh-CN"/>
        </w:rPr>
        <w:t>内以</w:t>
      </w:r>
      <w:r>
        <w:rPr>
          <w:rFonts w:hint="eastAsia" w:ascii="宋体" w:hAnsi="宋体"/>
          <w:color w:val="auto"/>
          <w:sz w:val="24"/>
          <w:szCs w:val="24"/>
          <w:highlight w:val="none"/>
        </w:rPr>
        <w:t>书面形式提出质疑，针对同一采购程序环节的质疑应一次性提出。</w:t>
      </w:r>
    </w:p>
    <w:p w14:paraId="111D9BC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超出法定质疑期的、重复提出的、分次提出的或内容、形式不符合《政府采购质疑和投诉办法》的，质疑供应商将依法承担不利后果。</w:t>
      </w:r>
    </w:p>
    <w:p w14:paraId="42543E5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9.1.3采购代理机构接收质疑函的方式、联系部门、联系电话和通讯地址。</w:t>
      </w:r>
    </w:p>
    <w:p w14:paraId="6C308A0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接收质疑函的方式：质疑函采取现场书面递交形式。由</w:t>
      </w:r>
      <w:r>
        <w:rPr>
          <w:rFonts w:hint="eastAsia" w:ascii="宋体" w:hAnsi="宋体"/>
          <w:color w:val="auto"/>
          <w:sz w:val="24"/>
          <w:szCs w:val="24"/>
          <w:highlight w:val="none"/>
          <w:lang w:eastAsia="zh-CN"/>
        </w:rPr>
        <w:t>法定代表人（单位负责人）</w:t>
      </w:r>
      <w:r>
        <w:rPr>
          <w:rFonts w:hint="eastAsia" w:ascii="宋体" w:hAnsi="宋体"/>
          <w:color w:val="auto"/>
          <w:sz w:val="24"/>
          <w:szCs w:val="24"/>
          <w:highlight w:val="none"/>
        </w:rPr>
        <w:t>持本人身份证原件或授权委托代理人持本人身份证原件及授权委托书原件，同时携带质疑函（原件）和</w:t>
      </w:r>
      <w:r>
        <w:rPr>
          <w:rFonts w:hint="eastAsia" w:ascii="宋体" w:hAnsi="宋体"/>
          <w:color w:val="auto"/>
          <w:sz w:val="24"/>
          <w:szCs w:val="24"/>
          <w:highlight w:val="none"/>
          <w:lang w:val="en-US" w:eastAsia="zh-CN"/>
        </w:rPr>
        <w:t>加盖单位公章</w:t>
      </w:r>
      <w:r>
        <w:rPr>
          <w:rFonts w:hint="eastAsia" w:ascii="宋体" w:hAnsi="宋体"/>
          <w:color w:val="auto"/>
          <w:sz w:val="24"/>
          <w:szCs w:val="24"/>
          <w:highlight w:val="none"/>
        </w:rPr>
        <w:t>的相关依据和证明材料，送至采购代理机构。</w:t>
      </w:r>
    </w:p>
    <w:p w14:paraId="6FEC8DF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u w:val="none"/>
        </w:rPr>
      </w:pPr>
      <w:r>
        <w:rPr>
          <w:rFonts w:hint="eastAsia" w:ascii="宋体" w:hAnsi="宋体"/>
          <w:color w:val="auto"/>
          <w:sz w:val="24"/>
          <w:szCs w:val="24"/>
          <w:highlight w:val="none"/>
        </w:rPr>
        <w:t>联系部门：</w:t>
      </w:r>
      <w:r>
        <w:rPr>
          <w:rFonts w:hint="eastAsia" w:ascii="宋体" w:hAnsi="宋体" w:cs="宋体"/>
          <w:color w:val="auto"/>
          <w:sz w:val="24"/>
          <w:szCs w:val="24"/>
          <w:highlight w:val="none"/>
          <w:lang w:eastAsia="zh-CN"/>
        </w:rPr>
        <w:t>华城云筑工程咨询管理(云南)有限公司招标</w:t>
      </w:r>
      <w:r>
        <w:rPr>
          <w:rFonts w:hint="eastAsia" w:ascii="宋体" w:hAnsi="宋体" w:cs="宋体"/>
          <w:color w:val="auto"/>
          <w:sz w:val="24"/>
          <w:szCs w:val="24"/>
          <w:highlight w:val="none"/>
          <w:u w:val="none"/>
        </w:rPr>
        <w:t>业务部。</w:t>
      </w:r>
    </w:p>
    <w:p w14:paraId="27F2C15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联系电话：</w:t>
      </w:r>
      <w:r>
        <w:rPr>
          <w:rFonts w:hint="eastAsia" w:ascii="宋体" w:hAnsi="宋体" w:cs="宋体"/>
          <w:color w:val="auto"/>
          <w:sz w:val="24"/>
          <w:szCs w:val="24"/>
          <w:highlight w:val="none"/>
          <w:u w:val="none"/>
          <w:lang w:eastAsia="zh-CN"/>
        </w:rPr>
        <w:t>0871-68315533</w:t>
      </w:r>
    </w:p>
    <w:p w14:paraId="49F521C0">
      <w:pPr>
        <w:pStyle w:val="13"/>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rPr>
        <w:t>通讯地址：</w:t>
      </w:r>
      <w:r>
        <w:rPr>
          <w:rFonts w:hint="eastAsia" w:ascii="宋体" w:hAnsi="宋体" w:cs="宋体"/>
          <w:color w:val="auto"/>
          <w:sz w:val="24"/>
          <w:highlight w:val="none"/>
          <w:u w:val="none"/>
          <w:lang w:eastAsia="zh-CN"/>
        </w:rPr>
        <w:t>云南省昆明市五华区科新路西城时代西城中心A座2906室</w:t>
      </w:r>
    </w:p>
    <w:p w14:paraId="7FC5FB33">
      <w:pPr>
        <w:pStyle w:val="13"/>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color w:val="auto"/>
          <w:kern w:val="0"/>
          <w:sz w:val="24"/>
          <w:highlight w:val="none"/>
        </w:rPr>
      </w:pPr>
      <w:r>
        <w:rPr>
          <w:rFonts w:hint="eastAsia" w:ascii="宋体" w:hAnsi="宋体"/>
          <w:b/>
          <w:color w:val="auto"/>
          <w:kern w:val="0"/>
          <w:sz w:val="24"/>
          <w:highlight w:val="none"/>
        </w:rPr>
        <w:t>9.1.4不按上述要求提出的，采购人和采购代理机构将不予受理。</w:t>
      </w:r>
    </w:p>
    <w:p w14:paraId="369D0576">
      <w:pPr>
        <w:pageBreakBefore w:val="0"/>
        <w:kinsoku/>
        <w:wordWrap/>
        <w:overflowPunct/>
        <w:topLinePunct w:val="0"/>
        <w:autoSpaceDE/>
        <w:autoSpaceDN/>
        <w:bidi w:val="0"/>
        <w:adjustRightInd/>
        <w:snapToGrid/>
        <w:spacing w:line="440" w:lineRule="exact"/>
        <w:textAlignment w:val="auto"/>
        <w:rPr>
          <w:rFonts w:ascii="宋体" w:hAnsi="宋体"/>
          <w:b/>
          <w:color w:val="auto"/>
          <w:sz w:val="24"/>
          <w:szCs w:val="24"/>
          <w:highlight w:val="none"/>
        </w:rPr>
      </w:pPr>
      <w:r>
        <w:rPr>
          <w:rFonts w:hint="eastAsia" w:ascii="宋体" w:hAnsi="宋体"/>
          <w:b/>
          <w:color w:val="auto"/>
          <w:sz w:val="24"/>
          <w:szCs w:val="24"/>
          <w:highlight w:val="none"/>
        </w:rPr>
        <w:t>9.2质疑回复</w:t>
      </w:r>
    </w:p>
    <w:p w14:paraId="74494FF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采购人或者采购代理机构应在</w:t>
      </w:r>
      <w:r>
        <w:rPr>
          <w:rFonts w:ascii="宋体" w:hAnsi="宋体"/>
          <w:color w:val="auto"/>
          <w:sz w:val="24"/>
          <w:szCs w:val="24"/>
          <w:highlight w:val="none"/>
        </w:rPr>
        <w:t>收到质疑函后7个工作日内作出答复，并以书面形式通知质疑</w:t>
      </w:r>
      <w:r>
        <w:rPr>
          <w:rFonts w:hint="eastAsia" w:ascii="宋体" w:hAnsi="宋体"/>
          <w:color w:val="auto"/>
          <w:sz w:val="24"/>
          <w:szCs w:val="24"/>
          <w:highlight w:val="none"/>
        </w:rPr>
        <w:t>供应商</w:t>
      </w:r>
      <w:r>
        <w:rPr>
          <w:rFonts w:ascii="宋体" w:hAnsi="宋体"/>
          <w:color w:val="auto"/>
          <w:sz w:val="24"/>
          <w:szCs w:val="24"/>
          <w:highlight w:val="none"/>
        </w:rPr>
        <w:t>和其他有关</w:t>
      </w:r>
      <w:r>
        <w:rPr>
          <w:rFonts w:hint="eastAsia" w:ascii="宋体" w:hAnsi="宋体"/>
          <w:color w:val="auto"/>
          <w:sz w:val="24"/>
          <w:szCs w:val="24"/>
          <w:highlight w:val="none"/>
        </w:rPr>
        <w:t>供应商，质疑答复的内容不得涉及商业秘密。</w:t>
      </w:r>
    </w:p>
    <w:p w14:paraId="42CAD453">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olor w:val="auto"/>
          <w:sz w:val="28"/>
          <w:szCs w:val="28"/>
          <w:highlight w:val="none"/>
        </w:rPr>
      </w:pPr>
      <w:bookmarkStart w:id="147" w:name="_Toc19521"/>
      <w:bookmarkStart w:id="148" w:name="_Toc11784"/>
      <w:bookmarkStart w:id="149" w:name="_Toc241"/>
      <w:bookmarkStart w:id="150" w:name="_Toc17515"/>
      <w:r>
        <w:rPr>
          <w:rFonts w:hint="eastAsia" w:ascii="宋体" w:hAnsi="宋体" w:eastAsia="宋体"/>
          <w:color w:val="auto"/>
          <w:sz w:val="28"/>
          <w:szCs w:val="28"/>
          <w:highlight w:val="none"/>
        </w:rPr>
        <w:t>10.纪律和监督</w:t>
      </w:r>
      <w:bookmarkEnd w:id="147"/>
      <w:bookmarkEnd w:id="148"/>
      <w:bookmarkEnd w:id="149"/>
      <w:bookmarkEnd w:id="150"/>
    </w:p>
    <w:p w14:paraId="5AF4F7A0">
      <w:pPr>
        <w:pageBreakBefore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bookmarkStart w:id="151" w:name="_Toc453"/>
      <w:bookmarkEnd w:id="151"/>
      <w:bookmarkStart w:id="152" w:name="_Toc14990"/>
      <w:r>
        <w:rPr>
          <w:rFonts w:hint="eastAsia" w:ascii="宋体" w:hAnsi="宋体"/>
          <w:b/>
          <w:color w:val="auto"/>
          <w:sz w:val="24"/>
          <w:szCs w:val="24"/>
          <w:highlight w:val="none"/>
        </w:rPr>
        <w:t>10.1对采购人的纪律要求</w:t>
      </w:r>
      <w:bookmarkEnd w:id="152"/>
    </w:p>
    <w:p w14:paraId="7CB8CAD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（1）按照《政府采购竞争性磋商采购方式管理暂行办法》（财库</w:t>
      </w:r>
      <w:r>
        <w:rPr>
          <w:rFonts w:hint="eastAsia" w:ascii="宋体" w:hAnsi="宋体"/>
          <w:color w:val="auto"/>
          <w:sz w:val="24"/>
          <w:szCs w:val="24"/>
          <w:highlight w:val="none"/>
          <w:lang w:eastAsia="zh-CN"/>
        </w:rPr>
        <w:t>〔2014〕214号</w:t>
      </w:r>
      <w:r>
        <w:rPr>
          <w:rFonts w:hint="eastAsia" w:ascii="宋体" w:hAnsi="宋体"/>
          <w:color w:val="auto"/>
          <w:sz w:val="24"/>
          <w:szCs w:val="24"/>
          <w:highlight w:val="none"/>
        </w:rPr>
        <w:t>）的规定编制</w:t>
      </w:r>
      <w:r>
        <w:rPr>
          <w:rFonts w:hint="eastAsia" w:ascii="宋体" w:hAnsi="宋体"/>
          <w:color w:val="auto"/>
          <w:sz w:val="24"/>
          <w:szCs w:val="24"/>
          <w:highlight w:val="none"/>
          <w:lang w:val="en-US" w:eastAsia="zh-CN"/>
        </w:rPr>
        <w:t>采购需求</w:t>
      </w:r>
      <w:r>
        <w:rPr>
          <w:rFonts w:hint="eastAsia" w:ascii="宋体" w:hAnsi="宋体"/>
          <w:color w:val="auto"/>
          <w:sz w:val="24"/>
          <w:szCs w:val="24"/>
          <w:highlight w:val="none"/>
        </w:rPr>
        <w:t>；</w:t>
      </w:r>
    </w:p>
    <w:p w14:paraId="3ABD010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（2）采购人不得向供应商索要或者接受其给予的赠品、回扣或者与采购无关的其他商品、服务；</w:t>
      </w:r>
    </w:p>
    <w:p w14:paraId="47C7BE5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（3）在规定时间内确定成交供应商；</w:t>
      </w:r>
    </w:p>
    <w:p w14:paraId="3D3CCD1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（4）不得向成交供应商提出不合理要求作为签订合同条件。</w:t>
      </w:r>
    </w:p>
    <w:p w14:paraId="377A2A01">
      <w:pPr>
        <w:pageBreakBefore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bookmarkStart w:id="153" w:name="_Toc20446"/>
      <w:bookmarkEnd w:id="153"/>
      <w:bookmarkStart w:id="154" w:name="_Toc14876"/>
      <w:r>
        <w:rPr>
          <w:rFonts w:hint="eastAsia" w:ascii="宋体" w:hAnsi="宋体"/>
          <w:b/>
          <w:color w:val="auto"/>
          <w:sz w:val="24"/>
          <w:szCs w:val="24"/>
          <w:highlight w:val="none"/>
        </w:rPr>
        <w:t>10.2对供应商的纪律要求</w:t>
      </w:r>
      <w:bookmarkEnd w:id="154"/>
    </w:p>
    <w:p w14:paraId="754D83A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供应商不得相互串通磋商或者与采购人串通磋商，不得向采购人或者磋商小组成员行贿谋取成交，不得以他人名义磋商</w:t>
      </w:r>
      <w:r>
        <w:rPr>
          <w:rFonts w:hint="eastAsia" w:ascii="宋体" w:hAnsi="宋体"/>
          <w:color w:val="auto"/>
          <w:sz w:val="24"/>
          <w:szCs w:val="24"/>
          <w:highlight w:val="none"/>
          <w:lang w:eastAsia="zh-CN"/>
        </w:rPr>
        <w:t>或者以其他方式</w:t>
      </w:r>
      <w:r>
        <w:rPr>
          <w:rFonts w:hint="eastAsia" w:ascii="宋体" w:hAnsi="宋体"/>
          <w:color w:val="auto"/>
          <w:sz w:val="24"/>
          <w:szCs w:val="24"/>
          <w:highlight w:val="none"/>
        </w:rPr>
        <w:t>弄虚作假骗取成交；供应商不得以任何方式干扰、影响评审工作。</w:t>
      </w:r>
    </w:p>
    <w:p w14:paraId="0C1C8EA1">
      <w:pPr>
        <w:pageBreakBefore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bookmarkStart w:id="155" w:name="_Toc17796"/>
      <w:bookmarkEnd w:id="155"/>
      <w:bookmarkStart w:id="156" w:name="_Toc29247"/>
      <w:r>
        <w:rPr>
          <w:rFonts w:hint="eastAsia" w:ascii="宋体" w:hAnsi="宋体"/>
          <w:b/>
          <w:color w:val="auto"/>
          <w:sz w:val="24"/>
          <w:szCs w:val="24"/>
          <w:highlight w:val="none"/>
        </w:rPr>
        <w:t>10.3对磋商小组成员的纪律要求</w:t>
      </w:r>
      <w:bookmarkEnd w:id="156"/>
    </w:p>
    <w:p w14:paraId="51DEC20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磋商小组及其成员不得有下列行为：</w:t>
      </w:r>
    </w:p>
    <w:p w14:paraId="39F0CBB4">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（1）确定参与评审至评审结束前私自接触供应商；</w:t>
      </w:r>
    </w:p>
    <w:p w14:paraId="34F9EC4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（2）接受供应商提出的与响应文件不一致的澄清或者说明；</w:t>
      </w:r>
    </w:p>
    <w:p w14:paraId="727AE14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（3）违反评审纪律发表倾向性意见或者征询采购人的倾向性意见；</w:t>
      </w:r>
    </w:p>
    <w:p w14:paraId="304E6FF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（4）对需要专业判断的主观评审因素协商评分；</w:t>
      </w:r>
    </w:p>
    <w:p w14:paraId="7D6D6ED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（5）在评审过程中擅离职守，影响评审程序正常进行的；</w:t>
      </w:r>
    </w:p>
    <w:p w14:paraId="6DD7EA9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（6）记录、复制或者带走任何评审资料；</w:t>
      </w:r>
    </w:p>
    <w:p w14:paraId="0424D55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（7）其他不遵守评审纪律的行为。</w:t>
      </w:r>
    </w:p>
    <w:p w14:paraId="4B39176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磋商小组成员有前款第（1）至（7）项行为之一的，其评审意见无效，并不得获取评审劳务报酬和报销异地评审差旅费。</w:t>
      </w:r>
    </w:p>
    <w:p w14:paraId="03BD5777">
      <w:pPr>
        <w:pageBreakBefore w:val="0"/>
        <w:kinsoku/>
        <w:wordWrap/>
        <w:overflowPunct/>
        <w:topLinePunct w:val="0"/>
        <w:autoSpaceDE/>
        <w:autoSpaceDN/>
        <w:bidi w:val="0"/>
        <w:adjustRightInd/>
        <w:snapToGrid/>
        <w:spacing w:line="440" w:lineRule="exact"/>
        <w:textAlignment w:val="auto"/>
        <w:rPr>
          <w:rFonts w:hint="eastAsia" w:ascii="宋体" w:hAnsi="宋体"/>
          <w:b/>
          <w:color w:val="auto"/>
          <w:sz w:val="24"/>
          <w:szCs w:val="24"/>
          <w:highlight w:val="none"/>
        </w:rPr>
      </w:pPr>
      <w:bookmarkStart w:id="157" w:name="_Toc22639"/>
      <w:bookmarkEnd w:id="157"/>
      <w:bookmarkStart w:id="158" w:name="_Toc5153"/>
      <w:r>
        <w:rPr>
          <w:rFonts w:hint="eastAsia" w:ascii="宋体" w:hAnsi="宋体"/>
          <w:b/>
          <w:color w:val="auto"/>
          <w:sz w:val="24"/>
          <w:szCs w:val="24"/>
          <w:highlight w:val="none"/>
        </w:rPr>
        <w:t>10.4对与评审活动有关的工作人员的纪律要求</w:t>
      </w:r>
      <w:bookmarkEnd w:id="158"/>
    </w:p>
    <w:p w14:paraId="6C8A4557">
      <w:pPr>
        <w:pStyle w:val="32"/>
        <w:pageBreakBefore w:val="0"/>
        <w:kinsoku/>
        <w:wordWrap/>
        <w:overflowPunct/>
        <w:topLinePunct w:val="0"/>
        <w:autoSpaceDE/>
        <w:autoSpaceDN/>
        <w:bidi w:val="0"/>
        <w:adjustRightInd/>
        <w:snapToGrid/>
        <w:spacing w:line="440" w:lineRule="exact"/>
        <w:textAlignment w:val="auto"/>
        <w:rPr>
          <w:rFonts w:hint="eastAsia"/>
          <w:highlight w:val="none"/>
        </w:rPr>
      </w:pPr>
      <w:r>
        <w:rPr>
          <w:rFonts w:hint="eastAsia" w:ascii="宋体" w:hAnsi="宋体"/>
          <w:color w:val="auto"/>
          <w:sz w:val="24"/>
          <w:szCs w:val="24"/>
          <w:highlight w:val="none"/>
        </w:rPr>
        <w:t>与评审活动有关的工作人员不得收受他人的财物或者其他好处，不得向他人</w:t>
      </w:r>
      <w:r>
        <w:rPr>
          <w:rFonts w:hint="eastAsia" w:ascii="宋体" w:hAnsi="宋体"/>
          <w:color w:val="auto"/>
          <w:sz w:val="24"/>
          <w:szCs w:val="24"/>
          <w:highlight w:val="none"/>
          <w:lang w:eastAsia="zh-CN"/>
        </w:rPr>
        <w:t>透露</w:t>
      </w:r>
      <w:r>
        <w:rPr>
          <w:rFonts w:hint="eastAsia" w:ascii="宋体" w:hAnsi="宋体"/>
          <w:color w:val="auto"/>
          <w:sz w:val="24"/>
          <w:szCs w:val="24"/>
          <w:highlight w:val="none"/>
        </w:rPr>
        <w:t>对响应文件的评审和比较、成交候选供应商的推荐情况以及评审有关的其他情况。在评审活动中，与评审活动有关的工作人员不得擅离职守，影响评审程序正常进行。</w:t>
      </w:r>
    </w:p>
    <w:p w14:paraId="63FA0E0E">
      <w:pPr>
        <w:pStyle w:val="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sz w:val="28"/>
          <w:szCs w:val="28"/>
          <w:highlight w:val="none"/>
        </w:rPr>
      </w:pPr>
      <w:bookmarkStart w:id="159" w:name="_Toc30746"/>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.需要补充的其他内容</w:t>
      </w:r>
      <w:bookmarkEnd w:id="145"/>
      <w:bookmarkEnd w:id="146"/>
      <w:bookmarkEnd w:id="159"/>
    </w:p>
    <w:p w14:paraId="4B5DB80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需要补充的其他内容：见供应商须知前附表。</w:t>
      </w:r>
    </w:p>
    <w:p w14:paraId="7916DF53">
      <w:pPr>
        <w:spacing w:line="240" w:lineRule="exact"/>
        <w:rPr>
          <w:rFonts w:hint="eastAsia" w:ascii="宋体" w:hAnsi="宋体" w:cs="宋体"/>
          <w:highlight w:val="none"/>
        </w:rPr>
      </w:pPr>
      <w:r>
        <w:rPr>
          <w:rFonts w:hint="eastAsia" w:ascii="宋体" w:hAnsi="宋体" w:cs="宋体"/>
          <w:sz w:val="32"/>
          <w:szCs w:val="32"/>
          <w:highlight w:val="none"/>
        </w:rPr>
        <w:br w:type="page"/>
      </w:r>
      <w:bookmarkStart w:id="160" w:name="_Toc31137"/>
      <w:bookmarkEnd w:id="160"/>
      <w:bookmarkStart w:id="161" w:name="_Toc13313"/>
    </w:p>
    <w:bookmarkEnd w:id="161"/>
    <w:p w14:paraId="7DFAC5FF">
      <w:pPr>
        <w:pStyle w:val="2"/>
        <w:spacing w:before="0" w:after="0" w:line="360" w:lineRule="auto"/>
        <w:jc w:val="center"/>
        <w:rPr>
          <w:rFonts w:hint="eastAsia" w:ascii="宋体" w:hAnsi="宋体" w:cs="宋体"/>
          <w:highlight w:val="none"/>
        </w:rPr>
      </w:pPr>
      <w:bookmarkStart w:id="162" w:name="_Toc24072"/>
      <w:bookmarkStart w:id="163" w:name="_Toc3896293"/>
      <w:bookmarkStart w:id="164" w:name="_Toc5266"/>
      <w:r>
        <w:rPr>
          <w:rFonts w:hint="eastAsia" w:ascii="宋体" w:hAnsi="宋体" w:cs="宋体"/>
          <w:highlight w:val="none"/>
        </w:rPr>
        <w:t>第三章 评审方法（综合评分法）</w:t>
      </w:r>
      <w:bookmarkEnd w:id="162"/>
      <w:bookmarkEnd w:id="163"/>
      <w:bookmarkEnd w:id="164"/>
    </w:p>
    <w:p w14:paraId="26FCC283">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eastAsia" w:ascii="宋体" w:hAnsi="宋体" w:cs="宋体"/>
          <w:b/>
          <w:bCs/>
          <w:sz w:val="24"/>
          <w:szCs w:val="24"/>
          <w:highlight w:val="none"/>
        </w:rPr>
      </w:pPr>
      <w:r>
        <w:rPr>
          <w:rFonts w:hint="eastAsia" w:ascii="宋体" w:hAnsi="宋体" w:cs="宋体"/>
          <w:b/>
          <w:bCs/>
          <w:sz w:val="24"/>
          <w:szCs w:val="24"/>
          <w:highlight w:val="none"/>
        </w:rPr>
        <w:t>一、磋商小组</w:t>
      </w:r>
    </w:p>
    <w:p w14:paraId="1E1E930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磋商小组的组成见</w:t>
      </w:r>
      <w:r>
        <w:rPr>
          <w:rFonts w:hint="eastAsia" w:ascii="宋体" w:hAnsi="宋体" w:cs="宋体"/>
          <w:sz w:val="24"/>
          <w:szCs w:val="24"/>
          <w:highlight w:val="none"/>
          <w:lang w:val="en-US" w:eastAsia="zh-CN"/>
        </w:rPr>
        <w:t>第二章</w:t>
      </w:r>
      <w:r>
        <w:rPr>
          <w:rFonts w:hint="eastAsia" w:ascii="宋体" w:hAnsi="宋体" w:cs="宋体"/>
          <w:sz w:val="24"/>
          <w:szCs w:val="24"/>
          <w:highlight w:val="none"/>
        </w:rPr>
        <w:t>供应商须知前附表6.1.1</w:t>
      </w:r>
      <w:r>
        <w:rPr>
          <w:rFonts w:hint="eastAsia" w:ascii="宋体" w:hAnsi="宋体" w:cs="宋体"/>
          <w:sz w:val="24"/>
          <w:szCs w:val="24"/>
          <w:highlight w:val="none"/>
          <w:lang w:val="en-US" w:eastAsia="zh-CN"/>
        </w:rPr>
        <w:t>的规定</w:t>
      </w:r>
      <w:r>
        <w:rPr>
          <w:rFonts w:hint="eastAsia" w:ascii="宋体" w:hAnsi="宋体" w:cs="宋体"/>
          <w:sz w:val="24"/>
          <w:szCs w:val="24"/>
          <w:highlight w:val="none"/>
        </w:rPr>
        <w:t>。</w:t>
      </w:r>
    </w:p>
    <w:p w14:paraId="67B72F15">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二、采购人或者采购代理机构职责</w:t>
      </w:r>
    </w:p>
    <w:p w14:paraId="7A60CF45">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采购人或者采购代理机构负责组织评审工作，并履行下列职责：</w:t>
      </w:r>
    </w:p>
    <w:p w14:paraId="0766AE2C">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w:t>
      </w:r>
      <w:r>
        <w:rPr>
          <w:rFonts w:hint="eastAsia" w:ascii="宋体" w:hAnsi="宋体" w:cs="宋体"/>
          <w:color w:val="auto"/>
          <w:sz w:val="24"/>
          <w:szCs w:val="24"/>
          <w:highlight w:val="none"/>
          <w:lang w:val="en-US" w:eastAsia="zh-CN"/>
        </w:rPr>
        <w:t>有关部门</w:t>
      </w:r>
      <w:r>
        <w:rPr>
          <w:rFonts w:hint="eastAsia" w:ascii="宋体" w:hAnsi="宋体" w:cs="宋体"/>
          <w:color w:val="auto"/>
          <w:sz w:val="24"/>
          <w:szCs w:val="24"/>
          <w:highlight w:val="none"/>
        </w:rPr>
        <w:t>报告。</w:t>
      </w:r>
    </w:p>
    <w:p w14:paraId="1426108A">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（二）宣布评审纪律。</w:t>
      </w:r>
    </w:p>
    <w:p w14:paraId="08E81027">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（三）公布供应商名单，告知评审专家应当回避的情形。</w:t>
      </w:r>
    </w:p>
    <w:p w14:paraId="58E5CFE2">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（四）组织磋商小组推选评审组长，采购人代表不得担任组长。</w:t>
      </w:r>
    </w:p>
    <w:p w14:paraId="058BD9EC">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（五）在评审期间采取必要的通讯管理措施，保证评审活动不受外界干扰。</w:t>
      </w:r>
    </w:p>
    <w:p w14:paraId="7C3DE1C1">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（六）根据磋商小组的要求介绍政府采购相关政策法规、竞争性磋商文件。</w:t>
      </w:r>
    </w:p>
    <w:p w14:paraId="639CBDF1">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（七）维护评审秩序，监督磋商小组依照竞争性磋商文件规定的评审程序、方法和标准进行独立评审，及时制止和纠正采购人代表、评审专家的倾向性言论或者违法违规行为。</w:t>
      </w:r>
    </w:p>
    <w:p w14:paraId="3DF1421B">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（八）核对评审结果，有《政府采购竞争性磋商采购方式管理暂行办法》（财库</w:t>
      </w:r>
      <w:r>
        <w:rPr>
          <w:rFonts w:hint="eastAsia" w:ascii="宋体" w:hAnsi="宋体" w:cs="宋体"/>
          <w:color w:val="auto"/>
          <w:sz w:val="24"/>
          <w:szCs w:val="24"/>
          <w:highlight w:val="none"/>
          <w:lang w:eastAsia="zh-CN"/>
        </w:rPr>
        <w:t>〔2014〕214号</w:t>
      </w:r>
      <w:r>
        <w:rPr>
          <w:rFonts w:hint="eastAsia" w:ascii="宋体" w:hAnsi="宋体" w:cs="宋体"/>
          <w:color w:val="auto"/>
          <w:sz w:val="24"/>
          <w:szCs w:val="24"/>
          <w:highlight w:val="none"/>
        </w:rPr>
        <w:t>）第三十二条规定情形的，要求磋商小组复核或者书面说明理由，磋商小组拒绝的，应予记录并向</w:t>
      </w:r>
      <w:r>
        <w:rPr>
          <w:rFonts w:hint="eastAsia" w:ascii="宋体" w:hAnsi="宋体" w:cs="宋体"/>
          <w:color w:val="auto"/>
          <w:sz w:val="24"/>
          <w:szCs w:val="24"/>
          <w:highlight w:val="none"/>
          <w:lang w:val="en-US" w:eastAsia="zh-CN"/>
        </w:rPr>
        <w:t>有关部门</w:t>
      </w:r>
      <w:r>
        <w:rPr>
          <w:rFonts w:hint="eastAsia" w:ascii="宋体" w:hAnsi="宋体" w:cs="宋体"/>
          <w:color w:val="auto"/>
          <w:sz w:val="24"/>
          <w:szCs w:val="24"/>
          <w:highlight w:val="none"/>
        </w:rPr>
        <w:t>报告。</w:t>
      </w:r>
    </w:p>
    <w:p w14:paraId="4906E903">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（九）评审工作完成后，按照规定向评审专家支付劳务报酬和异地评审差旅费，不得向评审专家以外的其他人员支付评审劳务报酬。</w:t>
      </w:r>
    </w:p>
    <w:p w14:paraId="2465D6FA">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（十）处理与评审有关的其他事项。</w:t>
      </w:r>
    </w:p>
    <w:p w14:paraId="0C6C1F5A">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采购人可以在评审前说明项目背景和</w:t>
      </w:r>
      <w:r>
        <w:rPr>
          <w:rFonts w:hint="eastAsia" w:ascii="宋体" w:hAnsi="宋体" w:cs="宋体"/>
          <w:sz w:val="24"/>
          <w:szCs w:val="24"/>
          <w:highlight w:val="none"/>
          <w:lang w:val="en-US" w:eastAsia="zh-CN"/>
        </w:rPr>
        <w:t>采购需求</w:t>
      </w:r>
      <w:r>
        <w:rPr>
          <w:rFonts w:hint="eastAsia" w:ascii="宋体" w:hAnsi="宋体" w:cs="宋体"/>
          <w:sz w:val="24"/>
          <w:szCs w:val="24"/>
          <w:highlight w:val="none"/>
        </w:rPr>
        <w:t>，说明内容不得含有歧视性、倾向性意见，不得超出竞争性磋商文件所述范围。说明应当提交书面材料，并随采购文件一并存档。</w:t>
      </w:r>
    </w:p>
    <w:p w14:paraId="0ACF212A">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三、磋商小组职责</w:t>
      </w:r>
    </w:p>
    <w:p w14:paraId="67AC4934">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磋商小组负责具体评审事务，并独立履行下列职责：</w:t>
      </w:r>
    </w:p>
    <w:p w14:paraId="10B90910">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（一）审查、评价响应文件是否符合竞争性磋商文件的商务、技术等实质性要求</w:t>
      </w:r>
      <w:r>
        <w:rPr>
          <w:rFonts w:hint="eastAsia" w:ascii="宋体" w:hAnsi="宋体" w:cs="宋体"/>
          <w:sz w:val="24"/>
          <w:szCs w:val="24"/>
          <w:highlight w:val="none"/>
          <w:lang w:eastAsia="zh-CN"/>
        </w:rPr>
        <w:t>；</w:t>
      </w:r>
    </w:p>
    <w:p w14:paraId="77759D9F">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（二）要求供应商对响应文件有关事项作出澄清或者说明</w:t>
      </w:r>
      <w:r>
        <w:rPr>
          <w:rFonts w:hint="eastAsia" w:ascii="宋体" w:hAnsi="宋体" w:cs="宋体"/>
          <w:sz w:val="24"/>
          <w:szCs w:val="24"/>
          <w:highlight w:val="none"/>
          <w:lang w:eastAsia="zh-CN"/>
        </w:rPr>
        <w:t>；</w:t>
      </w:r>
    </w:p>
    <w:p w14:paraId="71F03113">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（三）对响应文件进行比较和评价</w:t>
      </w:r>
      <w:r>
        <w:rPr>
          <w:rFonts w:hint="eastAsia" w:ascii="宋体" w:hAnsi="宋体" w:cs="宋体"/>
          <w:sz w:val="24"/>
          <w:szCs w:val="24"/>
          <w:highlight w:val="none"/>
          <w:lang w:eastAsia="zh-CN"/>
        </w:rPr>
        <w:t>；</w:t>
      </w:r>
    </w:p>
    <w:p w14:paraId="074616C8">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（四）确定成交候选供应商名单，以及根据采购人委托直接确定成交供应商</w:t>
      </w:r>
      <w:r>
        <w:rPr>
          <w:rFonts w:hint="eastAsia" w:ascii="宋体" w:hAnsi="宋体" w:cs="宋体"/>
          <w:sz w:val="24"/>
          <w:szCs w:val="24"/>
          <w:highlight w:val="none"/>
          <w:lang w:eastAsia="zh-CN"/>
        </w:rPr>
        <w:t>；</w:t>
      </w:r>
    </w:p>
    <w:p w14:paraId="69EAAA19">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（五）向采购人、采购代理机构或者有关部门报告评审中发现的违法行为。</w:t>
      </w:r>
    </w:p>
    <w:p w14:paraId="2C46044C">
      <w:pPr>
        <w:pStyle w:val="14"/>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四、评审纪律</w:t>
      </w:r>
    </w:p>
    <w:p w14:paraId="7049D4D7">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（一）对评审内容和评审过程要严格保密，不得向供应商或与该过程无关的</w:t>
      </w:r>
      <w:r>
        <w:rPr>
          <w:rFonts w:hint="eastAsia" w:ascii="宋体" w:hAnsi="宋体" w:cs="宋体"/>
          <w:sz w:val="24"/>
          <w:szCs w:val="24"/>
          <w:highlight w:val="none"/>
          <w:lang w:eastAsia="zh-CN"/>
        </w:rPr>
        <w:t>其他人员</w:t>
      </w:r>
      <w:r>
        <w:rPr>
          <w:rFonts w:hint="eastAsia" w:ascii="宋体" w:hAnsi="宋体" w:cs="宋体"/>
          <w:sz w:val="24"/>
          <w:szCs w:val="24"/>
          <w:highlight w:val="none"/>
        </w:rPr>
        <w:t>泄露。</w:t>
      </w:r>
    </w:p>
    <w:p w14:paraId="601370B7">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（二）评审期间的一切资料，包括评审意见、评审记录和评审结论，一律不得向外</w:t>
      </w:r>
      <w:r>
        <w:rPr>
          <w:rFonts w:hint="eastAsia" w:ascii="宋体" w:hAnsi="宋体" w:cs="宋体"/>
          <w:sz w:val="24"/>
          <w:szCs w:val="24"/>
          <w:highlight w:val="none"/>
          <w:lang w:eastAsia="zh-CN"/>
        </w:rPr>
        <w:t>传播</w:t>
      </w:r>
      <w:r>
        <w:rPr>
          <w:rFonts w:hint="eastAsia" w:ascii="宋体" w:hAnsi="宋体" w:cs="宋体"/>
          <w:sz w:val="24"/>
          <w:szCs w:val="24"/>
          <w:highlight w:val="none"/>
        </w:rPr>
        <w:t>和泄露。</w:t>
      </w:r>
    </w:p>
    <w:p w14:paraId="52EB970E">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（三）任何属于响应文件审查、澄清、评价和比较的资料，不得向供应商或与该过程无关的</w:t>
      </w:r>
      <w:r>
        <w:rPr>
          <w:rFonts w:hint="eastAsia" w:ascii="宋体" w:hAnsi="宋体" w:cs="宋体"/>
          <w:sz w:val="24"/>
          <w:szCs w:val="24"/>
          <w:highlight w:val="none"/>
          <w:lang w:eastAsia="zh-CN"/>
        </w:rPr>
        <w:t>其他人员</w:t>
      </w:r>
      <w:r>
        <w:rPr>
          <w:rFonts w:hint="eastAsia" w:ascii="宋体" w:hAnsi="宋体" w:cs="宋体"/>
          <w:sz w:val="24"/>
          <w:szCs w:val="24"/>
          <w:highlight w:val="none"/>
        </w:rPr>
        <w:t>泄露。</w:t>
      </w:r>
    </w:p>
    <w:p w14:paraId="045277D2">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（四）所有资料（包括竞争性磋商文件、响应文件、评审表格及各种文字记录）在评审结束后均应分别整理、存档备查，任何人不得复制和保留。</w:t>
      </w:r>
    </w:p>
    <w:p w14:paraId="6FAB9672">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（五）评审期间，未经允许磋商小组以外的任何单位或部门不得参加评审和采访评审工作。</w:t>
      </w:r>
    </w:p>
    <w:p w14:paraId="3B42A7C4">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（六）评审期间，评审人员不得外出，确需外出时应事先请假。</w:t>
      </w:r>
    </w:p>
    <w:p w14:paraId="34E9AA81">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（七）评审期间，所有与会人员均不得私自以任何方式和供应商进行联系，需询问、澄清的问题由评委会统一组织办理。</w:t>
      </w:r>
    </w:p>
    <w:p w14:paraId="765889F2">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（八）评审结束后，与会人员不得向外界透露评审人员的评审意见，如因此造成的后果由责任者承担。</w:t>
      </w:r>
    </w:p>
    <w:p w14:paraId="6B6E1897">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五、评审原则</w:t>
      </w:r>
    </w:p>
    <w:p w14:paraId="4D48BFC8">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磋商小组成员应当按照客观、公正、审慎的原则，根据磋商文件规定的评审程序、</w:t>
      </w:r>
      <w:r>
        <w:rPr>
          <w:rFonts w:hint="eastAsia" w:ascii="宋体" w:hAnsi="宋体"/>
          <w:color w:val="000000"/>
          <w:sz w:val="24"/>
          <w:szCs w:val="24"/>
          <w:highlight w:val="none"/>
          <w:lang w:eastAsia="zh-CN"/>
        </w:rPr>
        <w:t>评审办法</w:t>
      </w:r>
      <w:r>
        <w:rPr>
          <w:rFonts w:hint="eastAsia" w:ascii="宋体" w:hAnsi="宋体"/>
          <w:color w:val="000000"/>
          <w:sz w:val="24"/>
          <w:szCs w:val="24"/>
          <w:highlight w:val="none"/>
        </w:rPr>
        <w:t>和评审标准进行独立评审。未实质性响应磋商文件的响应文件按无效响应处理，磋商小组应当告知提交响应文件的供应商。</w:t>
      </w:r>
    </w:p>
    <w:p w14:paraId="1C8516B4">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六、评审程序</w:t>
      </w:r>
    </w:p>
    <w:p w14:paraId="7201E7E6">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对所有响应文件进行评审，评审按：资格审查→符合性审查→磋商小组分别与通过符合性审查的各供应商就竞争性磋商内容进行磋商（磋商顺序按供应商随机抽取的顺序进行）→磋商结束后，磋商小组应当要求所有实质性响应的供应商在规定时间内提交最后报价、承诺书→经磋商确定最终</w:t>
      </w:r>
      <w:r>
        <w:rPr>
          <w:rFonts w:hint="eastAsia" w:ascii="宋体" w:hAnsi="宋体" w:cs="宋体"/>
          <w:sz w:val="24"/>
          <w:szCs w:val="24"/>
          <w:highlight w:val="none"/>
          <w:lang w:val="en-US" w:eastAsia="zh-CN"/>
        </w:rPr>
        <w:t>采购需求</w:t>
      </w:r>
      <w:r>
        <w:rPr>
          <w:rFonts w:hint="eastAsia" w:ascii="宋体" w:hAnsi="宋体" w:cs="宋体"/>
          <w:sz w:val="24"/>
          <w:szCs w:val="24"/>
          <w:highlight w:val="none"/>
        </w:rPr>
        <w:t>和提交最后报价的供应商后，由磋商小组采用综合评分法对提交最后报价的供应商的响应文件和最后报价进行综合评分→磋商小组应当根据综合评分情况，按照评审得分由高到低顺序推荐3名成交候选供应商</w:t>
      </w:r>
      <w:r>
        <w:rPr>
          <w:rFonts w:hint="eastAsia" w:ascii="宋体" w:hAnsi="宋体" w:cs="宋体"/>
          <w:sz w:val="24"/>
          <w:szCs w:val="24"/>
          <w:highlight w:val="none"/>
          <w:lang w:eastAsia="zh-CN"/>
        </w:rPr>
        <w:t>（</w:t>
      </w:r>
      <w:r>
        <w:rPr>
          <w:rFonts w:hint="eastAsia" w:ascii="宋体" w:hAnsi="宋体" w:cs="宋体"/>
          <w:color w:val="auto"/>
          <w:sz w:val="24"/>
          <w:szCs w:val="24"/>
          <w:highlight w:val="none"/>
          <w:lang w:val="en-US" w:eastAsia="zh-CN"/>
        </w:rPr>
        <w:t>符合财库〔2014〕214号第二十一条第三款情形和财库〔2015〕124号规定的，可以推荐2家成交候选供应商</w:t>
      </w:r>
      <w:r>
        <w:rPr>
          <w:rFonts w:hint="eastAsia" w:ascii="宋体" w:hAnsi="宋体" w:cs="宋体"/>
          <w:sz w:val="24"/>
          <w:szCs w:val="24"/>
          <w:highlight w:val="none"/>
          <w:lang w:eastAsia="zh-CN"/>
        </w:rPr>
        <w:t>）</w:t>
      </w:r>
      <w:r>
        <w:rPr>
          <w:rFonts w:hint="eastAsia" w:ascii="宋体" w:hAnsi="宋体" w:cs="宋体"/>
          <w:sz w:val="24"/>
          <w:szCs w:val="24"/>
          <w:highlight w:val="none"/>
        </w:rPr>
        <w:t>，并编写评审报告。</w:t>
      </w:r>
    </w:p>
    <w:p w14:paraId="5815BD4D">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七、评审方法</w:t>
      </w:r>
    </w:p>
    <w:p w14:paraId="0A1A03E0">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本项目所采用的评审方法为《政府采购竞争性磋商采购方式管理暂行办法》（财库</w:t>
      </w:r>
      <w:r>
        <w:rPr>
          <w:rFonts w:hint="eastAsia" w:ascii="宋体" w:hAnsi="宋体" w:cs="宋体"/>
          <w:sz w:val="24"/>
          <w:szCs w:val="24"/>
          <w:highlight w:val="none"/>
          <w:lang w:eastAsia="zh-CN"/>
        </w:rPr>
        <w:t>〔2014〕214号</w:t>
      </w:r>
      <w:r>
        <w:rPr>
          <w:rFonts w:hint="eastAsia" w:ascii="宋体" w:hAnsi="宋体" w:cs="宋体"/>
          <w:sz w:val="24"/>
          <w:szCs w:val="24"/>
          <w:highlight w:val="none"/>
        </w:rPr>
        <w:t>）第二十三条规定的“综合评分法”，即：是指响应文件满足磋商文件全部实质性要求且按评审因素的量化指标评审得分最高的供应商为成交候选供应商的评审方法。</w:t>
      </w:r>
    </w:p>
    <w:p w14:paraId="7779FDA6">
      <w:pPr>
        <w:pStyle w:val="14"/>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（一）资格审查</w:t>
      </w:r>
    </w:p>
    <w:p w14:paraId="3F9D614D">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磋商小组依据资格审查标准对各供应商的响应文件进行资格审查，未实质性响应磋商文件的响应文件按无效响应处理，磋商小组应当告知提交响应文件的供应商。</w:t>
      </w:r>
    </w:p>
    <w:p w14:paraId="63F9BF5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1.满足《中华人民共和国政府采购法》第二十二条规定：</w:t>
      </w:r>
    </w:p>
    <w:p w14:paraId="6B827B2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1.1具有独立承担民事责任的能力，提供法人或者其他组织的营业执照等证明文件（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分公司参与磋商的，还须提供总公司出具的授权书；同一家公司的总公司和下属的不同分公司不能同时参与同一项目磋商。</w:t>
      </w:r>
    </w:p>
    <w:p w14:paraId="2BFA428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1.2供应商具有良好的商业信誉和健全的财务会计制度，须提供相关证明材料，内容可为以下四者之一：1）2023年度至今任意一年度经审计的审计报告及财务报表，财务报表包括“四表一注”，即资产负债表、利润表、现金流量表、所有者权益变动表及其附注，根据《关于加强审计报告查验工作的通知》（财会〔2023〕15号）规定，在2022年10月以后出具的审计报告须在注册会计师行业统一监管平台（网址：http://acc.mof.gov.cn）取得赋码，未取得赋码的财务报告视为无效（注：非营利性单位或者社会团体或者其他机关事业单位以符合财务会计制度为准）；2）自响应文件提交截止时间前三个月内基本开户银行出具的资信证明；3）财政部门认可的政府采购专业担保机构出具的投标担保函，须同时提供专业担保机构经财政部门认可的证明文件；4）成立未满一年或成立至今未产生经营活动的供应商提供自成立至今的财务报表或财务情况说明。</w:t>
      </w:r>
    </w:p>
    <w:p w14:paraId="1C0E100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1.3具有履行合同所必需的设备和专业技术能力，提供证明材料或书面声明。</w:t>
      </w:r>
    </w:p>
    <w:p w14:paraId="611887C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1.4具有依法缴纳税收和社会保障资金的良好记录，提供</w:t>
      </w:r>
      <w:r>
        <w:rPr>
          <w:rFonts w:hint="eastAsia" w:ascii="宋体" w:hAnsi="宋体" w:cs="宋体"/>
          <w:sz w:val="24"/>
          <w:szCs w:val="24"/>
          <w:highlight w:val="none"/>
          <w:lang w:val="en-US" w:eastAsia="zh-CN"/>
        </w:rPr>
        <w:t>2025年6月至今任意一个月</w:t>
      </w:r>
      <w:r>
        <w:rPr>
          <w:rFonts w:hint="default" w:ascii="宋体" w:hAnsi="宋体" w:cs="宋体"/>
          <w:sz w:val="24"/>
          <w:szCs w:val="24"/>
          <w:highlight w:val="none"/>
          <w:lang w:val="en-US" w:eastAsia="zh-CN"/>
        </w:rPr>
        <w:t>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p>
    <w:p w14:paraId="47059B3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1.5参加政府采购活动前三年内，在经营活动中没有重大违法记录，提供参加本次政府采购活动前三年内在经营活动中没有重大违法记录的书面声明。</w:t>
      </w:r>
    </w:p>
    <w:p w14:paraId="34CF2A0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1.6法律、行政法规规定的其他条件。</w:t>
      </w:r>
    </w:p>
    <w:p w14:paraId="522DCB0F">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1E102A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1.6.2供应商应在“中国执行信息公开网”网站（zxgk.court.gov.cn）未被列入失信被执行人记录，在“信用中国”网站</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www.creditchina.gov.cn</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未被列入重大税收违法失信主体，在“中国政府采购网”网站</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www.ccgp.gov.cn</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没有政府采购严重违法失信行为记录（递交响应文件截止时间后由采购人或采购代理机构查询并截图保存，提交磋商小组审核）。</w:t>
      </w:r>
    </w:p>
    <w:p w14:paraId="7666A00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2.落实政府采购政策需满足的资格要求：</w:t>
      </w:r>
    </w:p>
    <w:p w14:paraId="21A80E8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default" w:ascii="宋体" w:hAnsi="宋体" w:cs="宋体"/>
          <w:color w:val="000000" w:themeColor="text1"/>
          <w:sz w:val="24"/>
          <w:szCs w:val="24"/>
          <w:highlight w:val="none"/>
          <w:lang w:val="en-US" w:eastAsia="zh-CN"/>
          <w14:textFill>
            <w14:solidFill>
              <w14:schemeClr w14:val="tx1"/>
            </w14:solidFill>
          </w14:textFill>
        </w:rPr>
        <w:t>本项目非专门面向中小企业采购的项目。扶持中小企业政策：评审时对符合《关于印发中小企业划型标准规定的通知》（工信部联企业〔2011〕300号）及《统计上大中小微型企业划分办法（2017）》规定条件的软件和信息技术服务业行业的小型和微型企业产品（服务）享受10%的价格折扣。监狱企业和残疾人福利性单位视同小型、微型企业。</w:t>
      </w:r>
    </w:p>
    <w:p w14:paraId="523B958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2.2</w:t>
      </w:r>
      <w:r>
        <w:rPr>
          <w:rFonts w:hint="default" w:ascii="宋体" w:hAnsi="宋体" w:cs="宋体"/>
          <w:color w:val="000000" w:themeColor="text1"/>
          <w:sz w:val="24"/>
          <w:szCs w:val="24"/>
          <w:highlight w:val="none"/>
          <w:lang w:val="en-US" w:eastAsia="zh-CN"/>
          <w14:textFill>
            <w14:solidFill>
              <w14:schemeClr w14:val="tx1"/>
            </w14:solidFill>
          </w14:textFill>
        </w:rPr>
        <w:t>落实政府采购政策需满足的要求：《政府采购促进中小企业发展管理办法》（财库〔2020〕46号）、《财政部司法部关于政府采购支持监狱企业发展有关问题的通知》（财库〔2014〕68号）、《三部门联合发布关于促进残疾人就业政府采购政策的通知》（财库〔2017〕141号）及《中华人民共和国政府采购法》、《中华人民共和国政府采购法实施条例》、《政府采购货物和服务招标投标管理办法》（财政部令第87号）等有关法律、法规和规章的规定。</w:t>
      </w:r>
    </w:p>
    <w:p w14:paraId="7FDCFEE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3.本项目的特定资格要求：</w:t>
      </w:r>
    </w:p>
    <w:p w14:paraId="4B8A1FD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3.1单位负责人为同一人或者存在直接控股、管理关系的不同</w:t>
      </w:r>
      <w:r>
        <w:rPr>
          <w:rFonts w:hint="eastAsia" w:ascii="宋体" w:hAnsi="宋体" w:cs="宋体"/>
          <w:sz w:val="24"/>
          <w:szCs w:val="24"/>
          <w:highlight w:val="none"/>
          <w:lang w:val="en-US" w:eastAsia="zh-CN"/>
        </w:rPr>
        <w:t>供应商</w:t>
      </w:r>
      <w:r>
        <w:rPr>
          <w:rFonts w:hint="default" w:ascii="宋体" w:hAnsi="宋体" w:cs="宋体"/>
          <w:sz w:val="24"/>
          <w:szCs w:val="24"/>
          <w:highlight w:val="none"/>
          <w:lang w:val="en-US" w:eastAsia="zh-CN"/>
        </w:rPr>
        <w:t>，不得参加同一合同项下的政府采购活动，为本项目提供整体设计、规范编制或者项目管理、监理、检测等服务的</w:t>
      </w:r>
      <w:r>
        <w:rPr>
          <w:rFonts w:hint="eastAsia" w:ascii="宋体" w:hAnsi="宋体" w:cs="宋体"/>
          <w:sz w:val="24"/>
          <w:szCs w:val="24"/>
          <w:highlight w:val="none"/>
          <w:lang w:val="en-US" w:eastAsia="zh-CN"/>
        </w:rPr>
        <w:t>供应商</w:t>
      </w:r>
      <w:r>
        <w:rPr>
          <w:rFonts w:hint="default" w:ascii="宋体" w:hAnsi="宋体" w:cs="宋体"/>
          <w:sz w:val="24"/>
          <w:szCs w:val="24"/>
          <w:highlight w:val="none"/>
          <w:lang w:val="en-US" w:eastAsia="zh-CN"/>
        </w:rPr>
        <w:t>，不得再参加本次采购活动（提供承诺函）；</w:t>
      </w:r>
    </w:p>
    <w:p w14:paraId="261E43E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2供应商</w:t>
      </w:r>
      <w:r>
        <w:rPr>
          <w:rFonts w:hint="default" w:ascii="宋体" w:hAnsi="宋体" w:cs="宋体"/>
          <w:sz w:val="24"/>
          <w:szCs w:val="24"/>
          <w:highlight w:val="none"/>
          <w:lang w:val="en-US" w:eastAsia="zh-CN"/>
        </w:rPr>
        <w:t>承诺在近三年内经营活动中公司及法定代表人无行贿犯罪记录（提供承诺函）；</w:t>
      </w:r>
    </w:p>
    <w:p w14:paraId="4B9A37E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3</w:t>
      </w:r>
      <w:r>
        <w:rPr>
          <w:rFonts w:hint="default" w:ascii="宋体" w:hAnsi="宋体" w:cs="宋体"/>
          <w:sz w:val="24"/>
          <w:szCs w:val="24"/>
          <w:highlight w:val="none"/>
          <w:lang w:val="en-US" w:eastAsia="zh-CN"/>
        </w:rPr>
        <w:t>本项目不接受联合体。</w:t>
      </w:r>
    </w:p>
    <w:p w14:paraId="64603290">
      <w:pPr>
        <w:pStyle w:val="14"/>
        <w:keepNext w:val="0"/>
        <w:keepLines w:val="0"/>
        <w:pageBreakBefore w:val="0"/>
        <w:widowControl/>
        <w:numPr>
          <w:ilvl w:val="0"/>
          <w:numId w:val="3"/>
        </w:numPr>
        <w:kinsoku/>
        <w:wordWrap/>
        <w:overflowPunct/>
        <w:topLinePunct w:val="0"/>
        <w:autoSpaceDE/>
        <w:autoSpaceDN/>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符合性审查</w:t>
      </w:r>
    </w:p>
    <w:p w14:paraId="5CE2E93D">
      <w:pPr>
        <w:pStyle w:val="14"/>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highlight w:val="none"/>
        </w:rPr>
      </w:pPr>
      <w:r>
        <w:rPr>
          <w:rFonts w:hint="eastAsia" w:ascii="宋体" w:hAnsi="宋体" w:cs="宋体"/>
          <w:sz w:val="24"/>
          <w:szCs w:val="24"/>
          <w:highlight w:val="none"/>
        </w:rPr>
        <w:t>磋商小组依据符合性审查标准对各通过资格审查的供应商的响应文件进行符合性审查，未实质性响应磋商文件的响应文件按无效响应处理，磋商小组应当告知提交响应文件的供应商。</w:t>
      </w:r>
    </w:p>
    <w:tbl>
      <w:tblPr>
        <w:tblStyle w:val="33"/>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1965"/>
        <w:gridCol w:w="5882"/>
      </w:tblGrid>
      <w:tr w14:paraId="25A3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075" w:type="dxa"/>
            <w:vAlign w:val="center"/>
          </w:tcPr>
          <w:p w14:paraId="156C5913">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审查内容</w:t>
            </w:r>
          </w:p>
        </w:tc>
        <w:tc>
          <w:tcPr>
            <w:tcW w:w="1965" w:type="dxa"/>
            <w:vAlign w:val="center"/>
          </w:tcPr>
          <w:p w14:paraId="1D4CD3B9">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评审因素</w:t>
            </w:r>
          </w:p>
        </w:tc>
        <w:tc>
          <w:tcPr>
            <w:tcW w:w="5882" w:type="dxa"/>
            <w:vAlign w:val="center"/>
          </w:tcPr>
          <w:p w14:paraId="42FD3FD1">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评审标准</w:t>
            </w:r>
          </w:p>
        </w:tc>
      </w:tr>
      <w:tr w14:paraId="1A670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2075" w:type="dxa"/>
            <w:vMerge w:val="restart"/>
            <w:vAlign w:val="center"/>
          </w:tcPr>
          <w:p w14:paraId="21632B9C">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符合性审查标准</w:t>
            </w:r>
          </w:p>
        </w:tc>
        <w:tc>
          <w:tcPr>
            <w:tcW w:w="1965" w:type="dxa"/>
            <w:vAlign w:val="center"/>
          </w:tcPr>
          <w:p w14:paraId="67D9BA67">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响应文件格式</w:t>
            </w:r>
          </w:p>
        </w:tc>
        <w:tc>
          <w:tcPr>
            <w:tcW w:w="5882" w:type="dxa"/>
            <w:vAlign w:val="center"/>
          </w:tcPr>
          <w:p w14:paraId="6913BAF8">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sz w:val="24"/>
                <w:highlight w:val="none"/>
              </w:rPr>
              <w:t>响应文件按</w:t>
            </w:r>
            <w:r>
              <w:rPr>
                <w:rFonts w:hint="eastAsia" w:ascii="宋体" w:hAnsi="宋体" w:eastAsia="宋体" w:cs="宋体"/>
                <w:sz w:val="24"/>
                <w:szCs w:val="24"/>
                <w:highlight w:val="none"/>
              </w:rPr>
              <w:t>第六章“响应文件格式”</w:t>
            </w:r>
            <w:r>
              <w:rPr>
                <w:rFonts w:hint="eastAsia" w:ascii="宋体" w:hAnsi="宋体" w:eastAsia="宋体" w:cs="宋体"/>
                <w:sz w:val="24"/>
                <w:highlight w:val="none"/>
              </w:rPr>
              <w:t>要求填写，内容完整且关键字迹清晰</w:t>
            </w:r>
            <w:r>
              <w:rPr>
                <w:rFonts w:hint="eastAsia" w:ascii="宋体" w:hAnsi="宋体" w:cs="宋体"/>
                <w:sz w:val="24"/>
                <w:highlight w:val="none"/>
                <w:lang w:eastAsia="zh-CN"/>
              </w:rPr>
              <w:t>；</w:t>
            </w:r>
          </w:p>
        </w:tc>
      </w:tr>
      <w:tr w14:paraId="00D8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5" w:type="dxa"/>
            <w:vMerge w:val="continue"/>
            <w:vAlign w:val="center"/>
          </w:tcPr>
          <w:p w14:paraId="359D1EE1">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p>
        </w:tc>
        <w:tc>
          <w:tcPr>
            <w:tcW w:w="1965" w:type="dxa"/>
            <w:vAlign w:val="center"/>
          </w:tcPr>
          <w:p w14:paraId="5F37DD6F">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响应文件签署、盖章</w:t>
            </w:r>
          </w:p>
        </w:tc>
        <w:tc>
          <w:tcPr>
            <w:tcW w:w="5882" w:type="dxa"/>
            <w:vAlign w:val="center"/>
          </w:tcPr>
          <w:p w14:paraId="76FDEF8A">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按第六章“响应文件格式”</w:t>
            </w:r>
            <w:r>
              <w:rPr>
                <w:rFonts w:hint="eastAsia" w:ascii="宋体" w:hAnsi="宋体" w:eastAsia="宋体" w:cs="宋体"/>
                <w:sz w:val="24"/>
                <w:highlight w:val="none"/>
              </w:rPr>
              <w:t>要求在规定位置盖电子签章、签字</w:t>
            </w:r>
            <w:r>
              <w:rPr>
                <w:rFonts w:hint="eastAsia" w:ascii="宋体" w:hAnsi="宋体" w:cs="宋体"/>
                <w:sz w:val="24"/>
                <w:highlight w:val="none"/>
                <w:lang w:eastAsia="zh-CN"/>
              </w:rPr>
              <w:t>；</w:t>
            </w:r>
          </w:p>
        </w:tc>
      </w:tr>
      <w:tr w14:paraId="4A2F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5" w:type="dxa"/>
            <w:vMerge w:val="continue"/>
            <w:vAlign w:val="center"/>
          </w:tcPr>
          <w:p w14:paraId="431B0CFB">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301A4319">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5882" w:type="dxa"/>
            <w:vAlign w:val="center"/>
          </w:tcPr>
          <w:p w14:paraId="57045A1C">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符合第二章“供应商须知”第3.2项规定和第二章“供应商须知前附表”第3.2.3款规定</w:t>
            </w:r>
            <w:r>
              <w:rPr>
                <w:rFonts w:hint="eastAsia" w:ascii="宋体" w:hAnsi="宋体" w:cs="宋体"/>
                <w:color w:val="auto"/>
                <w:sz w:val="24"/>
                <w:szCs w:val="24"/>
                <w:highlight w:val="none"/>
                <w:lang w:eastAsia="zh-CN"/>
              </w:rPr>
              <w:t>；</w:t>
            </w:r>
          </w:p>
        </w:tc>
      </w:tr>
      <w:tr w14:paraId="291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043EF5FB">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684DE19E">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5882" w:type="dxa"/>
            <w:vAlign w:val="center"/>
          </w:tcPr>
          <w:p w14:paraId="3BF25014">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符合第二章“供应商须知前附表”第3.3.1款规定</w:t>
            </w:r>
            <w:r>
              <w:rPr>
                <w:rFonts w:hint="eastAsia" w:ascii="宋体" w:hAnsi="宋体" w:cs="宋体"/>
                <w:color w:val="auto"/>
                <w:sz w:val="24"/>
                <w:szCs w:val="24"/>
                <w:highlight w:val="none"/>
                <w:lang w:eastAsia="zh-CN"/>
              </w:rPr>
              <w:t>；</w:t>
            </w:r>
          </w:p>
        </w:tc>
      </w:tr>
      <w:tr w14:paraId="5D2A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7DBE10EA">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611D1BF7">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eastAsia="zh-CN"/>
              </w:rPr>
              <w:t>服务期</w:t>
            </w:r>
          </w:p>
        </w:tc>
        <w:tc>
          <w:tcPr>
            <w:tcW w:w="5882" w:type="dxa"/>
            <w:vAlign w:val="center"/>
          </w:tcPr>
          <w:p w14:paraId="678FE9AD">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符合第二章“供应商须知前附表”第</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款规定</w:t>
            </w:r>
            <w:r>
              <w:rPr>
                <w:rFonts w:hint="eastAsia" w:ascii="宋体" w:hAnsi="宋体" w:cs="宋体"/>
                <w:color w:val="auto"/>
                <w:sz w:val="24"/>
                <w:szCs w:val="24"/>
                <w:highlight w:val="none"/>
                <w:lang w:eastAsia="zh-CN"/>
              </w:rPr>
              <w:t>；</w:t>
            </w:r>
          </w:p>
        </w:tc>
      </w:tr>
      <w:tr w14:paraId="30AB8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1FC2B6F9">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7CA0BEAB">
            <w:pPr>
              <w:keepNext w:val="0"/>
              <w:keepLines w:val="0"/>
              <w:pageBreakBefore w:val="0"/>
              <w:widowControl/>
              <w:suppressLineNumbers w:val="0"/>
              <w:kinsoku/>
              <w:wordWrap/>
              <w:overflowPunct/>
              <w:topLinePunct w:val="0"/>
              <w:autoSpaceDN/>
              <w:bidi w:val="0"/>
              <w:spacing w:line="460" w:lineRule="exact"/>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服务地点</w:t>
            </w:r>
          </w:p>
        </w:tc>
        <w:tc>
          <w:tcPr>
            <w:tcW w:w="5882" w:type="dxa"/>
            <w:vAlign w:val="center"/>
          </w:tcPr>
          <w:p w14:paraId="4A00A6B9">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符合第二章“供应商须知前附表”第</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款规定</w:t>
            </w:r>
            <w:r>
              <w:rPr>
                <w:rFonts w:hint="eastAsia" w:ascii="宋体" w:hAnsi="宋体" w:cs="宋体"/>
                <w:color w:val="auto"/>
                <w:sz w:val="24"/>
                <w:szCs w:val="24"/>
                <w:highlight w:val="none"/>
                <w:lang w:eastAsia="zh-CN"/>
              </w:rPr>
              <w:t>；</w:t>
            </w:r>
          </w:p>
        </w:tc>
      </w:tr>
      <w:tr w14:paraId="0A86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17EECA2B">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636B36CF">
            <w:pPr>
              <w:pStyle w:val="14"/>
              <w:keepNext w:val="0"/>
              <w:keepLines w:val="0"/>
              <w:pageBreakBefore w:val="0"/>
              <w:widowControl w:val="0"/>
              <w:kinsoku/>
              <w:wordWrap/>
              <w:overflowPunct/>
              <w:topLinePunct w:val="0"/>
              <w:autoSpaceDN/>
              <w:bidi w:val="0"/>
              <w:spacing w:line="460" w:lineRule="exact"/>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质量要求</w:t>
            </w:r>
          </w:p>
        </w:tc>
        <w:tc>
          <w:tcPr>
            <w:tcW w:w="5882" w:type="dxa"/>
            <w:vAlign w:val="center"/>
          </w:tcPr>
          <w:p w14:paraId="16FC7CDB">
            <w:pPr>
              <w:pStyle w:val="14"/>
              <w:keepNext w:val="0"/>
              <w:keepLines w:val="0"/>
              <w:pageBreakBefore w:val="0"/>
              <w:widowControl w:val="0"/>
              <w:kinsoku/>
              <w:wordWrap/>
              <w:overflowPunct/>
              <w:topLinePunct w:val="0"/>
              <w:autoSpaceDN/>
              <w:bidi w:val="0"/>
              <w:spacing w:line="460" w:lineRule="exact"/>
              <w:ind w:firstLine="0" w:firstLine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符合第二章“供应商须知前附表”第1.3.4款规定</w:t>
            </w:r>
            <w:r>
              <w:rPr>
                <w:rFonts w:hint="eastAsia" w:ascii="宋体" w:hAnsi="宋体" w:cs="宋体"/>
                <w:color w:val="auto"/>
                <w:sz w:val="24"/>
                <w:szCs w:val="24"/>
                <w:highlight w:val="none"/>
                <w:lang w:eastAsia="zh-CN"/>
              </w:rPr>
              <w:t>；</w:t>
            </w:r>
          </w:p>
        </w:tc>
      </w:tr>
      <w:tr w14:paraId="6307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0FDC251F">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0396EAB9">
            <w:pPr>
              <w:pStyle w:val="14"/>
              <w:keepNext w:val="0"/>
              <w:keepLines w:val="0"/>
              <w:pageBreakBefore w:val="0"/>
              <w:widowControl w:val="0"/>
              <w:kinsoku/>
              <w:wordWrap/>
              <w:overflowPunct/>
              <w:topLinePunct w:val="0"/>
              <w:autoSpaceDN/>
              <w:bidi w:val="0"/>
              <w:spacing w:line="460" w:lineRule="exact"/>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实质性条款响应</w:t>
            </w:r>
          </w:p>
        </w:tc>
        <w:tc>
          <w:tcPr>
            <w:tcW w:w="5882" w:type="dxa"/>
            <w:vAlign w:val="center"/>
          </w:tcPr>
          <w:p w14:paraId="6429D68C">
            <w:pPr>
              <w:pStyle w:val="14"/>
              <w:keepNext w:val="0"/>
              <w:keepLines w:val="0"/>
              <w:pageBreakBefore w:val="0"/>
              <w:widowControl w:val="0"/>
              <w:kinsoku/>
              <w:wordWrap/>
              <w:overflowPunct/>
              <w:topLinePunct w:val="0"/>
              <w:autoSpaceDN/>
              <w:bidi w:val="0"/>
              <w:spacing w:line="460" w:lineRule="exact"/>
              <w:ind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响应文件满足</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文件第五章《采购需求》中技术</w:t>
            </w:r>
            <w:r>
              <w:rPr>
                <w:rFonts w:hint="eastAsia" w:ascii="宋体" w:hAnsi="宋体" w:cs="宋体"/>
                <w:color w:val="auto"/>
                <w:sz w:val="24"/>
                <w:szCs w:val="24"/>
                <w:highlight w:val="none"/>
                <w:lang w:val="en-US" w:eastAsia="zh-CN"/>
              </w:rPr>
              <w:t>参数</w:t>
            </w:r>
            <w:r>
              <w:rPr>
                <w:rFonts w:hint="eastAsia" w:ascii="宋体" w:hAnsi="宋体" w:eastAsia="宋体" w:cs="宋体"/>
                <w:color w:val="auto"/>
                <w:sz w:val="24"/>
                <w:szCs w:val="24"/>
                <w:highlight w:val="none"/>
              </w:rPr>
              <w:t>要求，并如实填写技术条款偏离表；</w:t>
            </w:r>
          </w:p>
        </w:tc>
      </w:tr>
      <w:tr w14:paraId="627CD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5C2DCEA7">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3F259F98">
            <w:pPr>
              <w:pStyle w:val="14"/>
              <w:keepNext w:val="0"/>
              <w:keepLines w:val="0"/>
              <w:pageBreakBefore w:val="0"/>
              <w:widowControl w:val="0"/>
              <w:kinsoku/>
              <w:wordWrap/>
              <w:overflowPunct/>
              <w:topLinePunct w:val="0"/>
              <w:autoSpaceDN/>
              <w:bidi w:val="0"/>
              <w:spacing w:line="460" w:lineRule="exact"/>
              <w:ind w:firstLine="0" w:firstLineChars="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报价合理性</w:t>
            </w:r>
          </w:p>
        </w:tc>
        <w:tc>
          <w:tcPr>
            <w:tcW w:w="5882" w:type="dxa"/>
            <w:vAlign w:val="center"/>
          </w:tcPr>
          <w:p w14:paraId="4DFB1940">
            <w:pPr>
              <w:pStyle w:val="14"/>
              <w:keepNext w:val="0"/>
              <w:keepLines w:val="0"/>
              <w:pageBreakBefore w:val="0"/>
              <w:widowControl w:val="0"/>
              <w:kinsoku/>
              <w:wordWrap/>
              <w:overflowPunct/>
              <w:topLinePunct w:val="0"/>
              <w:autoSpaceDN/>
              <w:bidi w:val="0"/>
              <w:spacing w:line="460" w:lineRule="exact"/>
              <w:ind w:firstLine="0" w:firstLineChars="0"/>
              <w:jc w:val="both"/>
              <w:rPr>
                <w:rFonts w:hint="eastAsia" w:ascii="宋体" w:hAnsi="宋体" w:eastAsia="宋体" w:cs="宋体"/>
                <w:color w:val="auto"/>
                <w:sz w:val="24"/>
                <w:szCs w:val="24"/>
                <w:highlight w:val="none"/>
              </w:rPr>
            </w:pPr>
            <w:r>
              <w:rPr>
                <w:rFonts w:hint="eastAsia" w:ascii="宋体" w:hAnsi="宋体" w:eastAsia="Times New Roman"/>
                <w:color w:val="000000"/>
                <w:sz w:val="24"/>
                <w:highlight w:val="none"/>
              </w:rPr>
              <w:t>报价合理，或供应商的报价（总价或单价）明显低于其他通过符合性审查供应商的报价（总价或单价），有可能影响产品质量或者不能诚信履约的，能够应</w:t>
            </w:r>
            <w:r>
              <w:rPr>
                <w:rFonts w:hint="eastAsia" w:ascii="宋体" w:hAnsi="宋体" w:eastAsia="宋体"/>
                <w:color w:val="000000"/>
                <w:sz w:val="24"/>
                <w:highlight w:val="none"/>
                <w:lang w:val="en-US" w:eastAsia="zh-CN"/>
              </w:rPr>
              <w:t>磋商</w:t>
            </w:r>
            <w:r>
              <w:rPr>
                <w:rFonts w:hint="eastAsia" w:ascii="宋体" w:hAnsi="宋体" w:eastAsia="Times New Roman"/>
                <w:color w:val="000000"/>
                <w:sz w:val="24"/>
                <w:highlight w:val="none"/>
              </w:rPr>
              <w:t>小组要求在规定时间内证明其报价合理性的；</w:t>
            </w:r>
          </w:p>
        </w:tc>
      </w:tr>
      <w:tr w14:paraId="4BB8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075" w:type="dxa"/>
            <w:vMerge w:val="continue"/>
            <w:vAlign w:val="center"/>
          </w:tcPr>
          <w:p w14:paraId="5613B5BB">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24AB73D4">
            <w:pPr>
              <w:pStyle w:val="14"/>
              <w:widowControl w:val="0"/>
              <w:ind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sz w:val="24"/>
                <w:szCs w:val="24"/>
              </w:rPr>
              <w:t>法定代表人（单位负责人）授权委托书</w:t>
            </w:r>
          </w:p>
        </w:tc>
        <w:tc>
          <w:tcPr>
            <w:tcW w:w="5882" w:type="dxa"/>
            <w:vAlign w:val="center"/>
          </w:tcPr>
          <w:p w14:paraId="7DDA14FF">
            <w:pPr>
              <w:pStyle w:val="14"/>
              <w:widowControl w:val="0"/>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cs="宋体"/>
                <w:sz w:val="24"/>
                <w:szCs w:val="24"/>
              </w:rPr>
              <w:t>法定代表人（单位负责人）委托代理人</w:t>
            </w:r>
            <w:r>
              <w:rPr>
                <w:rFonts w:hint="eastAsia" w:ascii="宋体" w:hAnsi="宋体" w:cs="宋体"/>
                <w:sz w:val="24"/>
                <w:szCs w:val="24"/>
                <w:lang w:val="en-US" w:eastAsia="zh-CN"/>
              </w:rPr>
              <w:t>磋商</w:t>
            </w:r>
            <w:r>
              <w:rPr>
                <w:rFonts w:hint="eastAsia" w:ascii="宋体" w:hAnsi="宋体" w:cs="宋体"/>
                <w:sz w:val="24"/>
                <w:szCs w:val="24"/>
              </w:rPr>
              <w:t>的，应附法定代表人（单位负责人）授权委托书原件</w:t>
            </w:r>
            <w:r>
              <w:rPr>
                <w:rFonts w:hint="eastAsia" w:ascii="宋体" w:hAnsi="宋体" w:cs="宋体"/>
                <w:sz w:val="24"/>
                <w:szCs w:val="24"/>
                <w:lang w:val="en-US" w:eastAsia="zh-CN"/>
              </w:rPr>
              <w:t>扫描件</w:t>
            </w:r>
          </w:p>
        </w:tc>
      </w:tr>
      <w:tr w14:paraId="4CCC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5" w:type="dxa"/>
            <w:vMerge w:val="continue"/>
            <w:vAlign w:val="center"/>
          </w:tcPr>
          <w:p w14:paraId="36B9A6B6">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65F38AB4">
            <w:pPr>
              <w:keepNext w:val="0"/>
              <w:keepLines w:val="0"/>
              <w:pageBreakBefore w:val="0"/>
              <w:widowControl w:val="0"/>
              <w:tabs>
                <w:tab w:val="left" w:pos="1260"/>
                <w:tab w:val="left" w:pos="1620"/>
              </w:tabs>
              <w:kinsoku/>
              <w:wordWrap/>
              <w:overflowPunct/>
              <w:topLinePunct w:val="0"/>
              <w:autoSpaceDN/>
              <w:bidi w:val="0"/>
              <w:adjustRightInd w:val="0"/>
              <w:snapToGrid w:val="0"/>
              <w:spacing w:line="460" w:lineRule="exact"/>
              <w:jc w:val="center"/>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其他无效情形</w:t>
            </w:r>
          </w:p>
        </w:tc>
        <w:tc>
          <w:tcPr>
            <w:tcW w:w="5882" w:type="dxa"/>
            <w:vAlign w:val="center"/>
          </w:tcPr>
          <w:p w14:paraId="52B4D9D5">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（1）不同供应商的响应文件由同一单位或者个人</w:t>
            </w:r>
            <w:r>
              <w:rPr>
                <w:rFonts w:hint="eastAsia" w:ascii="宋体" w:hAnsi="宋体" w:eastAsia="宋体" w:cs="宋体"/>
                <w:sz w:val="24"/>
                <w:szCs w:val="24"/>
                <w:highlight w:val="none"/>
                <w:lang w:val="en-US" w:eastAsia="zh-CN"/>
              </w:rPr>
              <w:t>编制</w:t>
            </w:r>
            <w:r>
              <w:rPr>
                <w:rFonts w:hint="eastAsia" w:ascii="宋体" w:hAnsi="宋体" w:eastAsia="宋体" w:cs="宋体"/>
                <w:sz w:val="24"/>
                <w:szCs w:val="24"/>
                <w:highlight w:val="none"/>
              </w:rPr>
              <w:t>；</w:t>
            </w:r>
          </w:p>
          <w:p w14:paraId="53EBCEC7">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（2）不同供应商委托同一单位或者个人办理磋商事宜；</w:t>
            </w:r>
          </w:p>
          <w:p w14:paraId="0E1A3758">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（3）不同供应商的响应文件载明的项目管理成员或者联系人员为同一人；</w:t>
            </w:r>
          </w:p>
          <w:p w14:paraId="43A9E15B">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（4）不同供应商的响应文件异常一致或者磋商报价呈规律性差异；</w:t>
            </w:r>
          </w:p>
          <w:p w14:paraId="5B99B365">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（5）不同供应商的响应文件相互混装；</w:t>
            </w:r>
          </w:p>
          <w:p w14:paraId="4EBFE2F1">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（6）不同供应商的磋商保证金从同一单位或者个人的账户转出；</w:t>
            </w:r>
          </w:p>
          <w:p w14:paraId="615A00F1">
            <w:pPr>
              <w:pStyle w:val="14"/>
              <w:keepNext w:val="0"/>
              <w:keepLines w:val="0"/>
              <w:pageBreakBefore w:val="0"/>
              <w:widowControl w:val="0"/>
              <w:kinsoku/>
              <w:wordWrap/>
              <w:overflowPunct/>
              <w:topLinePunct w:val="0"/>
              <w:autoSpaceDE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（7）法律、法规和竞争性磋商文件规定的其他无效情形。</w:t>
            </w:r>
          </w:p>
        </w:tc>
      </w:tr>
      <w:tr w14:paraId="6585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075" w:type="dxa"/>
            <w:vMerge w:val="continue"/>
            <w:vAlign w:val="center"/>
          </w:tcPr>
          <w:p w14:paraId="2AD83A87">
            <w:pPr>
              <w:pStyle w:val="14"/>
              <w:keepNext w:val="0"/>
              <w:keepLines w:val="0"/>
              <w:pageBreakBefore w:val="0"/>
              <w:widowControl w:val="0"/>
              <w:kinsoku/>
              <w:wordWrap/>
              <w:overflowPunct/>
              <w:topLinePunct w:val="0"/>
              <w:autoSpaceDN/>
              <w:bidi w:val="0"/>
              <w:spacing w:line="460" w:lineRule="exact"/>
              <w:jc w:val="both"/>
              <w:rPr>
                <w:rFonts w:hint="eastAsia" w:ascii="宋体" w:hAnsi="宋体" w:eastAsia="宋体" w:cs="宋体"/>
                <w:sz w:val="24"/>
                <w:szCs w:val="24"/>
                <w:highlight w:val="none"/>
              </w:rPr>
            </w:pPr>
          </w:p>
        </w:tc>
        <w:tc>
          <w:tcPr>
            <w:tcW w:w="1965" w:type="dxa"/>
            <w:vAlign w:val="center"/>
          </w:tcPr>
          <w:p w14:paraId="3397AA8F">
            <w:pPr>
              <w:pStyle w:val="14"/>
              <w:keepNext w:val="0"/>
              <w:keepLines w:val="0"/>
              <w:pageBreakBefore w:val="0"/>
              <w:widowControl w:val="0"/>
              <w:kinsoku/>
              <w:wordWrap/>
              <w:overflowPunct/>
              <w:topLinePunct w:val="0"/>
              <w:autoSpaceDN/>
              <w:bidi w:val="0"/>
              <w:spacing w:line="460" w:lineRule="exact"/>
              <w:ind w:firstLine="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附加条件</w:t>
            </w:r>
          </w:p>
        </w:tc>
        <w:tc>
          <w:tcPr>
            <w:tcW w:w="5882" w:type="dxa"/>
            <w:vAlign w:val="center"/>
          </w:tcPr>
          <w:p w14:paraId="467A52C3">
            <w:pPr>
              <w:pStyle w:val="14"/>
              <w:keepNext w:val="0"/>
              <w:keepLines w:val="0"/>
              <w:pageBreakBefore w:val="0"/>
              <w:widowControl w:val="0"/>
              <w:kinsoku/>
              <w:wordWrap/>
              <w:overflowPunct/>
              <w:topLinePunct w:val="0"/>
              <w:autoSpaceDN/>
              <w:bidi w:val="0"/>
              <w:spacing w:line="460" w:lineRule="exact"/>
              <w:ind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响应文件未含有采购人不能接受的附加条件</w:t>
            </w:r>
          </w:p>
        </w:tc>
      </w:tr>
    </w:tbl>
    <w:p w14:paraId="226FF202">
      <w:pPr>
        <w:pStyle w:val="14"/>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（三）磋商小组所有成员应当集中与通过符合性审查的单一供应商分别进行磋商，供应商在规定时间内</w:t>
      </w:r>
      <w:r>
        <w:rPr>
          <w:rFonts w:hint="eastAsia" w:ascii="宋体" w:hAnsi="宋体" w:cs="宋体"/>
          <w:b/>
          <w:bCs/>
          <w:sz w:val="24"/>
          <w:szCs w:val="24"/>
          <w:highlight w:val="none"/>
          <w:lang w:val="en-US" w:eastAsia="zh-CN"/>
        </w:rPr>
        <w:t>提</w:t>
      </w:r>
      <w:r>
        <w:rPr>
          <w:rFonts w:hint="eastAsia" w:ascii="宋体" w:hAnsi="宋体" w:cs="宋体"/>
          <w:b/>
          <w:bCs/>
          <w:sz w:val="24"/>
          <w:szCs w:val="24"/>
          <w:highlight w:val="none"/>
        </w:rPr>
        <w:t>交竞争性磋商承诺及最后报价。</w:t>
      </w:r>
    </w:p>
    <w:p w14:paraId="0E833C5F">
      <w:pPr>
        <w:pStyle w:val="14"/>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（四）澄清有关问题</w:t>
      </w:r>
    </w:p>
    <w:p w14:paraId="44C7A771">
      <w:pPr>
        <w:pStyle w:val="14"/>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1.响应文件内容澄清</w:t>
      </w:r>
    </w:p>
    <w:p w14:paraId="51A9816A">
      <w:pPr>
        <w:pStyle w:val="14"/>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8DC22C2">
      <w:pPr>
        <w:pStyle w:val="14"/>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磋商小组要求供应商澄清、说明或者更正响应文件</w:t>
      </w:r>
      <w:r>
        <w:rPr>
          <w:rFonts w:hint="eastAsia" w:ascii="宋体" w:hAnsi="宋体" w:cs="宋体"/>
          <w:sz w:val="24"/>
          <w:szCs w:val="24"/>
          <w:highlight w:val="none"/>
          <w:lang w:val="en-US" w:eastAsia="zh-CN"/>
        </w:rPr>
        <w:t>的，</w:t>
      </w:r>
      <w:r>
        <w:rPr>
          <w:rFonts w:hint="eastAsia" w:ascii="宋体" w:hAnsi="宋体" w:cs="宋体"/>
          <w:sz w:val="24"/>
          <w:szCs w:val="24"/>
          <w:highlight w:val="none"/>
        </w:rPr>
        <w:t>供应商的澄清、说明或者更正应当由</w:t>
      </w:r>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或其授权代表签字或者加盖公章。由授权代表签字的，应当附</w:t>
      </w:r>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授权书。供应商为自然人的，应当由本人签字并附身份证明。</w:t>
      </w:r>
    </w:p>
    <w:p w14:paraId="129CE346">
      <w:pPr>
        <w:pStyle w:val="14"/>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2.报价不一致情形澄清</w:t>
      </w:r>
    </w:p>
    <w:p w14:paraId="35EB1A74">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响应文件报价出现前后不一致的，除竞争性磋商文件另有规定外，按照下列规定修正：</w:t>
      </w:r>
    </w:p>
    <w:p w14:paraId="3E28EF06">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（1）响应文件中《报价表》内容与响应文件中相应内容不一致的，以《报价表》为准；</w:t>
      </w:r>
    </w:p>
    <w:p w14:paraId="5EB9DF85">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（2）大写金额和小写金额不一致的，以大写金额为准；</w:t>
      </w:r>
    </w:p>
    <w:p w14:paraId="385C266B">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（3）单价金额小数点或者百分比有明显错位的，以初次报价表的总价为准，并修改单价；</w:t>
      </w:r>
    </w:p>
    <w:p w14:paraId="23373189">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（4）总价金额与按单价汇总金额不一致的，以单价金额计算结果为准。</w:t>
      </w:r>
    </w:p>
    <w:p w14:paraId="290709BE">
      <w:pPr>
        <w:pStyle w:val="14"/>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同时出现两种以上不一致的，按照前款规定的顺序修正。修正后的报价经供应商确认后产生约束力，供应商不确认的，其磋商无效。</w:t>
      </w:r>
    </w:p>
    <w:p w14:paraId="7AD98055">
      <w:pPr>
        <w:pStyle w:val="14"/>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3.报价过低情形澄清</w:t>
      </w:r>
    </w:p>
    <w:p w14:paraId="2C6C8F59">
      <w:pPr>
        <w:pStyle w:val="14"/>
        <w:keepNext w:val="0"/>
        <w:keepLines w:val="0"/>
        <w:pageBreakBefore w:val="0"/>
        <w:widowControl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14:paraId="7F190E8D">
      <w:pPr>
        <w:pStyle w:val="14"/>
        <w:keepNext w:val="0"/>
        <w:keepLines w:val="0"/>
        <w:pageBreakBefore w:val="0"/>
        <w:widowControl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14:paraId="5E98A5C1">
      <w:pPr>
        <w:pStyle w:val="14"/>
        <w:keepNext w:val="0"/>
        <w:keepLines w:val="0"/>
        <w:pageBreakBefore w:val="0"/>
        <w:widowControl w:val="0"/>
        <w:kinsoku/>
        <w:wordWrap/>
        <w:overflowPunct/>
        <w:topLinePunct w:val="0"/>
        <w:bidi w:val="0"/>
        <w:adjustRightInd/>
        <w:snapToGrid/>
        <w:spacing w:line="4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14:paraId="50425C03">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（五）政府采购政策</w:t>
      </w:r>
    </w:p>
    <w:p w14:paraId="689CA799">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1.中小企业扶持政策</w:t>
      </w:r>
    </w:p>
    <w:p w14:paraId="1EDB04FF">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根据《政府采购促进中小企业发展管理办法》（财库〔2020〕46号）的规定，本项目为专门面向中小企业采购的项目（不再执行价格评审优惠的扶持政策）。服务由中小企业承接，即提供服务的人员为中小企业依照《中华人民共和国劳动合同法》订立劳动合同的从业人员。</w:t>
      </w:r>
    </w:p>
    <w:p w14:paraId="4F0189B5">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本项目对应的中小企业划分标准所属行业为：</w:t>
      </w:r>
      <w:r>
        <w:rPr>
          <w:rFonts w:hint="eastAsia" w:ascii="宋体" w:hAnsi="宋体" w:eastAsia="宋体" w:cs="宋体"/>
          <w:b/>
          <w:bCs/>
          <w:sz w:val="24"/>
          <w:szCs w:val="24"/>
          <w:highlight w:val="none"/>
          <w:lang w:val="en-US" w:eastAsia="zh-CN"/>
        </w:rPr>
        <w:t>软件和信息技术服务业</w:t>
      </w:r>
      <w:r>
        <w:rPr>
          <w:rFonts w:hint="eastAsia" w:ascii="宋体" w:hAnsi="宋体" w:eastAsia="宋体" w:cs="宋体"/>
          <w:b w:val="0"/>
          <w:bCs w:val="0"/>
          <w:sz w:val="24"/>
          <w:szCs w:val="24"/>
          <w:highlight w:val="none"/>
          <w:lang w:val="en-US" w:eastAsia="zh-CN"/>
        </w:rPr>
        <w:t>。</w:t>
      </w:r>
    </w:p>
    <w:p w14:paraId="79B660DA">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供应商根据《政府采购促进中小企业发展管理办法》（财库〔2020〕46号）的规定，提供《中小企业声明函》，供应商对《中小企业声明函》的真实性负责，如有虚假，采购人将向监管部门反映，供应商依法承担相应责任。</w:t>
      </w:r>
    </w:p>
    <w:p w14:paraId="34399C7E">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其他未尽事宜，按照《政府采购促进中小企业发展管理办法》（财库〔2020〕46号）规定执行。</w:t>
      </w:r>
    </w:p>
    <w:p w14:paraId="2E24BF78">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2.监狱企业扶持政策</w:t>
      </w:r>
    </w:p>
    <w:p w14:paraId="5F743D56">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根据《关于政府采购支持监狱企业发展有关问题的通知》（财库〔2014〕68号）的规定，监狱企业扶持政策，监狱企业参与本项目磋商时，提供由省级以上监狱管理局、戒毒管理局（含新疆生产建设兵团）出具的属于监狱企业的证明文件的，视同小型、微型企业。</w:t>
      </w:r>
    </w:p>
    <w:p w14:paraId="7129A444">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3.残疾人福利性单位扶持政策</w:t>
      </w:r>
    </w:p>
    <w:p w14:paraId="2AA43936">
      <w:pPr>
        <w:keepNext w:val="0"/>
        <w:keepLines w:val="0"/>
        <w:pageBreakBefore w:val="0"/>
        <w:kinsoku/>
        <w:wordWrap/>
        <w:overflowPunct/>
        <w:topLinePunct w:val="0"/>
        <w:bidi w:val="0"/>
        <w:adjustRightInd/>
        <w:snapToGrid/>
        <w:spacing w:line="4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根据《关于促进残疾人就业政府采购政策的通知》（财库〔2017〕141号）的规定，残疾人福利性单位优惠政策，残疾人福利性单位参与本项目磋商时，提供《残疾人福利性单位声明函》并对声明的真实性负责，视同小型、微型企业。供应商对《残疾人福利性单位声明函》的真实性负责，如有虚假，自行承担相应责任。</w:t>
      </w:r>
    </w:p>
    <w:p w14:paraId="19A63A8B">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4.节能产品及环境标志产品的扶持政策</w:t>
      </w:r>
    </w:p>
    <w:p w14:paraId="168CDD31">
      <w:pPr>
        <w:pStyle w:val="14"/>
        <w:keepNext w:val="0"/>
        <w:keepLines w:val="0"/>
        <w:pageBreakBefore w:val="0"/>
        <w:kinsoku/>
        <w:wordWrap/>
        <w:overflowPunct/>
        <w:topLinePunct w:val="0"/>
        <w:bidi w:val="0"/>
        <w:spacing w:line="500" w:lineRule="exact"/>
        <w:ind w:firstLine="480" w:firstLineChars="200"/>
        <w:rPr>
          <w:rFonts w:hint="eastAsia" w:ascii="宋体" w:hAnsi="宋体" w:cs="宋体"/>
          <w:sz w:val="24"/>
          <w:szCs w:val="24"/>
          <w:highlight w:val="none"/>
        </w:rPr>
      </w:pPr>
      <w:r>
        <w:rPr>
          <w:rFonts w:hint="eastAsia" w:ascii="宋体" w:hAnsi="宋体" w:eastAsia="宋体" w:cs="宋体"/>
          <w:b w:val="0"/>
          <w:bCs w:val="0"/>
          <w:sz w:val="24"/>
          <w:szCs w:val="24"/>
          <w:highlight w:val="none"/>
          <w:lang w:val="en-US" w:eastAsia="zh-CN"/>
        </w:rPr>
        <w:t>按照“财政部 发展改革委 生态环境部 市场监管总局 关于调整优化节能产品、环境标志产品政府采购执行机制的通知”财库〔2019〕9号的规定执行。</w:t>
      </w:r>
    </w:p>
    <w:p w14:paraId="3CE23C55">
      <w:pPr>
        <w:keepNext w:val="0"/>
        <w:keepLines w:val="0"/>
        <w:pageBreakBefore w:val="0"/>
        <w:kinsoku/>
        <w:wordWrap/>
        <w:overflowPunct/>
        <w:topLinePunct w:val="0"/>
        <w:bidi w:val="0"/>
        <w:adjustRightInd/>
        <w:snapToGrid/>
        <w:spacing w:line="46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（六）综合评分方式</w:t>
      </w:r>
    </w:p>
    <w:p w14:paraId="4564ED28">
      <w:pPr>
        <w:pStyle w:val="14"/>
        <w:keepNext w:val="0"/>
        <w:keepLines w:val="0"/>
        <w:pageBreakBefore w:val="0"/>
        <w:kinsoku/>
        <w:wordWrap/>
        <w:overflowPunct/>
        <w:topLinePunct w:val="0"/>
        <w:bidi w:val="0"/>
        <w:adjustRightInd/>
        <w:snapToGrid/>
        <w:spacing w:line="460" w:lineRule="exact"/>
        <w:ind w:firstLine="480" w:firstLineChars="200"/>
        <w:textAlignment w:val="auto"/>
        <w:rPr>
          <w:rFonts w:hint="eastAsia"/>
        </w:rPr>
      </w:pPr>
      <w:r>
        <w:rPr>
          <w:rFonts w:hint="eastAsia" w:ascii="宋体" w:hAnsi="宋体"/>
          <w:sz w:val="24"/>
          <w:szCs w:val="24"/>
          <w:highlight w:val="none"/>
        </w:rPr>
        <w:t>具体</w:t>
      </w:r>
      <w:r>
        <w:rPr>
          <w:rFonts w:hint="eastAsia" w:ascii="宋体" w:hAnsi="宋体"/>
          <w:sz w:val="24"/>
          <w:szCs w:val="24"/>
          <w:highlight w:val="none"/>
          <w:lang w:val="en-US" w:eastAsia="zh-CN"/>
        </w:rPr>
        <w:t>商务技术</w:t>
      </w:r>
      <w:r>
        <w:rPr>
          <w:rFonts w:hint="eastAsia" w:ascii="宋体" w:hAnsi="宋体"/>
          <w:sz w:val="24"/>
          <w:szCs w:val="24"/>
          <w:highlight w:val="none"/>
        </w:rPr>
        <w:t>评审细则如下：</w:t>
      </w:r>
    </w:p>
    <w:tbl>
      <w:tblPr>
        <w:tblStyle w:val="33"/>
        <w:tblW w:w="10248"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23" w:type="dxa"/>
          <w:bottom w:w="0" w:type="dxa"/>
          <w:right w:w="23" w:type="dxa"/>
        </w:tblCellMar>
      </w:tblPr>
      <w:tblGrid>
        <w:gridCol w:w="1377"/>
        <w:gridCol w:w="1849"/>
        <w:gridCol w:w="7022"/>
      </w:tblGrid>
      <w:tr w14:paraId="3E5137F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tcBorders>
              <w:top w:val="single" w:color="auto" w:sz="12" w:space="0"/>
              <w:bottom w:val="single" w:color="auto" w:sz="4" w:space="0"/>
            </w:tcBorders>
            <w:vAlign w:val="center"/>
          </w:tcPr>
          <w:p w14:paraId="533991B3">
            <w:pPr>
              <w:pStyle w:val="14"/>
              <w:spacing w:line="400" w:lineRule="exact"/>
              <w:ind w:firstLine="0"/>
              <w:jc w:val="center"/>
              <w:rPr>
                <w:rFonts w:hint="eastAsia" w:ascii="宋体" w:hAnsi="宋体" w:eastAsia="宋体" w:cs="宋体"/>
                <w:sz w:val="24"/>
                <w:szCs w:val="24"/>
              </w:rPr>
            </w:pPr>
            <w:r>
              <w:rPr>
                <w:rFonts w:hint="eastAsia" w:ascii="宋体" w:hAnsi="宋体" w:eastAsia="宋体" w:cs="宋体"/>
                <w:b/>
                <w:bCs/>
                <w:sz w:val="24"/>
                <w:szCs w:val="24"/>
              </w:rPr>
              <w:t>审查内容</w:t>
            </w:r>
          </w:p>
        </w:tc>
        <w:tc>
          <w:tcPr>
            <w:tcW w:w="1849" w:type="dxa"/>
            <w:tcBorders>
              <w:top w:val="single" w:color="auto" w:sz="12" w:space="0"/>
            </w:tcBorders>
            <w:vAlign w:val="center"/>
          </w:tcPr>
          <w:p w14:paraId="57B9E7CD">
            <w:pPr>
              <w:pStyle w:val="14"/>
              <w:spacing w:line="400" w:lineRule="exact"/>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7022" w:type="dxa"/>
            <w:tcBorders>
              <w:top w:val="single" w:color="auto" w:sz="12" w:space="0"/>
            </w:tcBorders>
            <w:vAlign w:val="center"/>
          </w:tcPr>
          <w:p w14:paraId="2D314E65">
            <w:pP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评分标准</w:t>
            </w:r>
          </w:p>
        </w:tc>
      </w:tr>
      <w:tr w14:paraId="13FACE2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tcBorders>
              <w:top w:val="single" w:color="auto" w:sz="12" w:space="0"/>
              <w:bottom w:val="single" w:color="auto" w:sz="4" w:space="0"/>
            </w:tcBorders>
            <w:vAlign w:val="center"/>
          </w:tcPr>
          <w:p w14:paraId="6BC734B5">
            <w:pPr>
              <w:spacing w:line="400" w:lineRule="exact"/>
              <w:jc w:val="center"/>
              <w:rPr>
                <w:rFonts w:hint="eastAsia" w:ascii="宋体" w:hAnsi="宋体" w:eastAsia="宋体" w:cs="宋体"/>
                <w:sz w:val="24"/>
                <w:szCs w:val="24"/>
              </w:rPr>
            </w:pPr>
            <w:r>
              <w:rPr>
                <w:rFonts w:hint="eastAsia" w:ascii="宋体" w:hAnsi="宋体" w:eastAsia="宋体" w:cs="宋体"/>
                <w:b/>
                <w:bCs/>
                <w:spacing w:val="6"/>
                <w:sz w:val="24"/>
                <w:szCs w:val="24"/>
                <w:lang w:val="en-US" w:eastAsia="zh-CN"/>
              </w:rPr>
              <w:t>F1-</w:t>
            </w:r>
            <w:r>
              <w:rPr>
                <w:rFonts w:hint="eastAsia" w:ascii="宋体" w:hAnsi="宋体" w:eastAsia="宋体" w:cs="宋体"/>
                <w:b/>
                <w:bCs/>
                <w:spacing w:val="6"/>
                <w:sz w:val="24"/>
                <w:szCs w:val="24"/>
              </w:rPr>
              <w:t>投标报价评</w:t>
            </w:r>
            <w:r>
              <w:rPr>
                <w:rFonts w:hint="eastAsia" w:ascii="宋体" w:hAnsi="宋体" w:eastAsia="宋体" w:cs="宋体"/>
                <w:b/>
                <w:bCs/>
                <w:spacing w:val="6"/>
                <w:sz w:val="24"/>
                <w:szCs w:val="24"/>
                <w:lang w:val="en-US" w:eastAsia="zh-CN"/>
              </w:rPr>
              <w:t>审</w:t>
            </w:r>
            <w:r>
              <w:rPr>
                <w:rFonts w:hint="eastAsia" w:ascii="宋体" w:hAnsi="宋体" w:eastAsia="宋体" w:cs="宋体"/>
                <w:b/>
                <w:bCs/>
                <w:spacing w:val="6"/>
                <w:sz w:val="24"/>
                <w:szCs w:val="24"/>
              </w:rPr>
              <w:t>（满分10分）</w:t>
            </w:r>
          </w:p>
        </w:tc>
        <w:tc>
          <w:tcPr>
            <w:tcW w:w="1849" w:type="dxa"/>
            <w:tcBorders>
              <w:top w:val="single" w:color="auto" w:sz="12" w:space="0"/>
            </w:tcBorders>
            <w:vAlign w:val="center"/>
          </w:tcPr>
          <w:p w14:paraId="437C92C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投标总报价</w:t>
            </w:r>
          </w:p>
          <w:p w14:paraId="0ED83B0A">
            <w:pPr>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（10分）</w:t>
            </w:r>
          </w:p>
        </w:tc>
        <w:tc>
          <w:tcPr>
            <w:tcW w:w="7022" w:type="dxa"/>
            <w:tcBorders>
              <w:top w:val="single" w:color="auto" w:sz="12" w:space="0"/>
            </w:tcBorders>
            <w:vAlign w:val="center"/>
          </w:tcPr>
          <w:p w14:paraId="0CBF51F9">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投标报价计算公式=评标基准价/投标报价×10</w:t>
            </w:r>
          </w:p>
          <w:p w14:paraId="1DD8C3BE">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即：F1=[C/（B1，B2，…，Bn）]×10</w:t>
            </w:r>
          </w:p>
          <w:p w14:paraId="459D43B1">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注：C为评标基准价，即实质性要求审查合格且投标价格最低的有效投标报价；</w:t>
            </w:r>
          </w:p>
          <w:p w14:paraId="1B689375">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B1，B2，…，Bn为第n个经初步审查合格的有效投标报价。</w:t>
            </w:r>
          </w:p>
          <w:p w14:paraId="29F7826B">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w:t>
            </w:r>
            <w:r>
              <w:rPr>
                <w:rFonts w:hint="eastAsia" w:ascii="宋体" w:hAnsi="宋体" w:eastAsia="宋体" w:cs="宋体"/>
                <w:color w:val="000000" w:themeColor="text1"/>
                <w:sz w:val="24"/>
                <w:szCs w:val="24"/>
                <w:lang w:val="en-US" w:eastAsia="zh-CN"/>
                <w14:textFill>
                  <w14:solidFill>
                    <w14:schemeClr w14:val="tx1"/>
                  </w14:solidFill>
                </w14:textFill>
              </w:rPr>
              <w:t>属于不</w:t>
            </w:r>
            <w:r>
              <w:rPr>
                <w:rFonts w:hint="eastAsia" w:ascii="宋体" w:hAnsi="宋体" w:eastAsia="宋体" w:cs="宋体"/>
                <w:color w:val="000000" w:themeColor="text1"/>
                <w:sz w:val="24"/>
                <w:szCs w:val="24"/>
                <w14:textFill>
                  <w14:solidFill>
                    <w14:schemeClr w14:val="tx1"/>
                  </w14:solidFill>
                </w14:textFill>
              </w:rPr>
              <w:t>专门面向中小微企业采购的项目。</w:t>
            </w:r>
            <w:r>
              <w:rPr>
                <w:rFonts w:hint="eastAsia" w:ascii="宋体" w:hAnsi="宋体" w:eastAsia="宋体" w:cs="宋体"/>
                <w:color w:val="000000" w:themeColor="text1"/>
                <w:sz w:val="24"/>
                <w:szCs w:val="24"/>
                <w:lang w:val="en-US" w:eastAsia="zh-CN"/>
                <w14:textFill>
                  <w14:solidFill>
                    <w14:schemeClr w14:val="tx1"/>
                  </w14:solidFill>
                </w14:textFill>
              </w:rPr>
              <w:t>对小微企业或享受同等待遇的给予10%的价格优惠。</w:t>
            </w:r>
          </w:p>
          <w:p w14:paraId="51CC6EB3">
            <w:pPr>
              <w:spacing w:line="400" w:lineRule="exact"/>
              <w:rPr>
                <w:rFonts w:hint="eastAsia" w:ascii="宋体" w:hAnsi="宋体" w:eastAsia="宋体" w:cs="宋体"/>
                <w:kern w:val="0"/>
                <w:sz w:val="24"/>
                <w:szCs w:val="24"/>
              </w:rPr>
            </w:pPr>
            <w:r>
              <w:rPr>
                <w:rFonts w:hint="eastAsia" w:ascii="宋体" w:hAnsi="宋体" w:eastAsia="宋体" w:cs="宋体"/>
                <w:b/>
                <w:bCs/>
                <w:color w:val="000000" w:themeColor="text1"/>
                <w:sz w:val="24"/>
                <w:szCs w:val="24"/>
                <w14:textFill>
                  <w14:solidFill>
                    <w14:schemeClr w14:val="tx1"/>
                  </w14:solidFill>
                </w14:textFill>
              </w:rPr>
              <w:t>注：</w:t>
            </w:r>
            <w:r>
              <w:rPr>
                <w:rFonts w:hint="eastAsia" w:ascii="宋体" w:hAnsi="宋体" w:eastAsia="宋体" w:cs="宋体"/>
                <w:b/>
                <w:bCs/>
                <w:color w:val="000000" w:themeColor="text1"/>
                <w:sz w:val="24"/>
                <w:szCs w:val="24"/>
                <w:lang w:eastAsia="zh-CN"/>
                <w14:textFill>
                  <w14:solidFill>
                    <w14:schemeClr w14:val="tx1"/>
                  </w14:solidFill>
                </w14:textFill>
              </w:rPr>
              <w:t>供应商</w:t>
            </w:r>
            <w:r>
              <w:rPr>
                <w:rFonts w:hint="eastAsia" w:ascii="宋体" w:hAnsi="宋体" w:eastAsia="宋体" w:cs="宋体"/>
                <w:b/>
                <w:bCs/>
                <w:color w:val="000000" w:themeColor="text1"/>
                <w:sz w:val="24"/>
                <w:szCs w:val="24"/>
                <w14:textFill>
                  <w14:solidFill>
                    <w14:schemeClr w14:val="tx1"/>
                  </w14:solidFill>
                </w14:textFill>
              </w:rPr>
              <w:t>对其提供的证明材料或书面声明的真实性负责，如有虚假，自行承担相应</w:t>
            </w:r>
            <w:r>
              <w:rPr>
                <w:rFonts w:hint="eastAsia" w:ascii="宋体" w:hAnsi="宋体" w:eastAsia="宋体" w:cs="宋体"/>
                <w:b/>
                <w:bCs/>
                <w:color w:val="000000" w:themeColor="text1"/>
                <w:sz w:val="24"/>
                <w:szCs w:val="24"/>
                <w:lang w:val="en-US" w:eastAsia="zh-CN"/>
                <w14:textFill>
                  <w14:solidFill>
                    <w14:schemeClr w14:val="tx1"/>
                  </w14:solidFill>
                </w14:textFill>
              </w:rPr>
              <w:t>法律</w:t>
            </w:r>
            <w:r>
              <w:rPr>
                <w:rFonts w:hint="eastAsia" w:ascii="宋体" w:hAnsi="宋体" w:eastAsia="宋体" w:cs="宋体"/>
                <w:b/>
                <w:bCs/>
                <w:color w:val="000000" w:themeColor="text1"/>
                <w:sz w:val="24"/>
                <w:szCs w:val="24"/>
                <w14:textFill>
                  <w14:solidFill>
                    <w14:schemeClr w14:val="tx1"/>
                  </w14:solidFill>
                </w14:textFill>
              </w:rPr>
              <w:t>责任。</w:t>
            </w:r>
          </w:p>
        </w:tc>
      </w:tr>
      <w:tr w14:paraId="51D70B7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vMerge w:val="restart"/>
            <w:vAlign w:val="center"/>
          </w:tcPr>
          <w:p w14:paraId="0A6FD4CD">
            <w:pPr>
              <w:spacing w:line="400" w:lineRule="exact"/>
              <w:jc w:val="center"/>
              <w:rPr>
                <w:rFonts w:hint="eastAsia" w:ascii="宋体" w:hAnsi="宋体" w:eastAsia="宋体" w:cs="宋体"/>
                <w:kern w:val="0"/>
                <w:sz w:val="24"/>
                <w:szCs w:val="24"/>
              </w:rPr>
            </w:pPr>
            <w:r>
              <w:rPr>
                <w:rFonts w:hint="eastAsia" w:ascii="宋体" w:hAnsi="宋体" w:eastAsia="宋体" w:cs="宋体"/>
                <w:b/>
                <w:bCs/>
                <w:spacing w:val="6"/>
                <w:sz w:val="24"/>
                <w:szCs w:val="24"/>
                <w:lang w:val="en-US" w:eastAsia="zh-CN"/>
              </w:rPr>
              <w:t>F2-</w:t>
            </w:r>
            <w:r>
              <w:rPr>
                <w:rFonts w:hint="eastAsia" w:ascii="宋体" w:hAnsi="宋体" w:eastAsia="宋体" w:cs="宋体"/>
                <w:b/>
                <w:bCs/>
                <w:spacing w:val="6"/>
                <w:sz w:val="24"/>
                <w:szCs w:val="24"/>
              </w:rPr>
              <w:t>技术部分评审（满分60分）</w:t>
            </w:r>
          </w:p>
        </w:tc>
        <w:tc>
          <w:tcPr>
            <w:tcW w:w="1849" w:type="dxa"/>
            <w:tcBorders>
              <w:bottom w:val="single" w:color="auto" w:sz="4" w:space="0"/>
            </w:tcBorders>
            <w:vAlign w:val="center"/>
          </w:tcPr>
          <w:p w14:paraId="38B55107">
            <w:pPr>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需求分析及重难点分析</w:t>
            </w:r>
            <w:r>
              <w:rPr>
                <w:rFonts w:hint="eastAsia" w:ascii="宋体" w:hAnsi="宋体" w:eastAsia="宋体" w:cs="宋体"/>
                <w:kern w:val="0"/>
                <w:sz w:val="24"/>
                <w:szCs w:val="24"/>
              </w:rPr>
              <w:t>评审评分（满分10分）</w:t>
            </w:r>
          </w:p>
        </w:tc>
        <w:tc>
          <w:tcPr>
            <w:tcW w:w="7022" w:type="dxa"/>
            <w:vAlign w:val="center"/>
          </w:tcPr>
          <w:p w14:paraId="064B6328">
            <w:pPr>
              <w:pStyle w:val="72"/>
              <w:numPr>
                <w:ilvl w:val="-1"/>
                <w:numId w:val="0"/>
              </w:numPr>
              <w:spacing w:line="400" w:lineRule="exact"/>
              <w:ind w:left="0" w:firstLine="0" w:firstLineChars="0"/>
              <w:rPr>
                <w:rFonts w:hint="eastAsia" w:ascii="宋体" w:hAnsi="宋体" w:eastAsia="宋体" w:cs="宋体"/>
                <w:kern w:val="0"/>
                <w:sz w:val="24"/>
                <w:szCs w:val="24"/>
                <w:lang w:val="en-US" w:eastAsia="zh-CN"/>
              </w:rPr>
            </w:pPr>
            <w:r>
              <w:rPr>
                <w:rFonts w:hint="eastAsia" w:ascii="宋体" w:hAnsi="宋体" w:eastAsia="宋体" w:cs="宋体"/>
                <w:b/>
                <w:bCs/>
                <w:kern w:val="0"/>
                <w:sz w:val="24"/>
                <w:szCs w:val="24"/>
                <w:lang w:val="en-US" w:eastAsia="zh-CN"/>
              </w:rPr>
              <w:t>1.项目需求分析（</w:t>
            </w:r>
            <w:r>
              <w:rPr>
                <w:rFonts w:hint="eastAsia" w:ascii="宋体" w:hAnsi="宋体" w:cs="宋体"/>
                <w:b/>
                <w:bCs/>
                <w:kern w:val="0"/>
                <w:sz w:val="24"/>
                <w:szCs w:val="24"/>
                <w:lang w:val="en-US" w:eastAsia="zh-CN"/>
              </w:rPr>
              <w:t>6</w:t>
            </w:r>
            <w:r>
              <w:rPr>
                <w:rFonts w:hint="eastAsia" w:ascii="宋体" w:hAnsi="宋体" w:eastAsia="宋体" w:cs="宋体"/>
                <w:b/>
                <w:bCs/>
                <w:kern w:val="0"/>
                <w:sz w:val="24"/>
                <w:szCs w:val="24"/>
                <w:lang w:val="en-US" w:eastAsia="zh-CN"/>
              </w:rPr>
              <w:t>分）</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对</w:t>
            </w:r>
            <w:r>
              <w:rPr>
                <w:rFonts w:hint="eastAsia" w:ascii="宋体" w:hAnsi="宋体" w:cs="宋体"/>
                <w:kern w:val="0"/>
                <w:sz w:val="24"/>
                <w:szCs w:val="24"/>
                <w:lang w:val="en-US" w:eastAsia="zh-CN"/>
              </w:rPr>
              <w:t>①</w:t>
            </w: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建设</w:t>
            </w:r>
            <w:r>
              <w:rPr>
                <w:rFonts w:hint="eastAsia" w:ascii="宋体" w:hAnsi="宋体" w:eastAsia="宋体" w:cs="宋体"/>
                <w:kern w:val="0"/>
                <w:sz w:val="24"/>
                <w:szCs w:val="24"/>
              </w:rPr>
              <w:t>背景、</w:t>
            </w:r>
            <w:r>
              <w:rPr>
                <w:rFonts w:hint="eastAsia" w:ascii="宋体" w:hAnsi="宋体" w:cs="宋体"/>
                <w:kern w:val="0"/>
                <w:sz w:val="24"/>
                <w:szCs w:val="24"/>
                <w:lang w:val="en-US" w:eastAsia="zh-CN"/>
              </w:rPr>
              <w:t>②</w:t>
            </w: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建设</w:t>
            </w:r>
            <w:r>
              <w:rPr>
                <w:rFonts w:hint="eastAsia" w:ascii="宋体" w:hAnsi="宋体" w:eastAsia="宋体" w:cs="宋体"/>
                <w:kern w:val="0"/>
                <w:sz w:val="24"/>
                <w:szCs w:val="24"/>
              </w:rPr>
              <w:t>目标</w:t>
            </w:r>
            <w:r>
              <w:rPr>
                <w:rFonts w:hint="eastAsia" w:ascii="宋体" w:hAnsi="宋体" w:eastAsia="宋体" w:cs="宋体"/>
                <w:kern w:val="0"/>
                <w:sz w:val="24"/>
                <w:szCs w:val="24"/>
                <w:lang w:eastAsia="zh-CN"/>
              </w:rPr>
              <w:t>、</w:t>
            </w:r>
            <w:r>
              <w:rPr>
                <w:rFonts w:hint="eastAsia" w:ascii="宋体" w:hAnsi="宋体" w:cs="宋体"/>
                <w:kern w:val="0"/>
                <w:sz w:val="24"/>
                <w:szCs w:val="24"/>
                <w:lang w:val="en-US" w:eastAsia="zh-CN"/>
              </w:rPr>
              <w:t>③</w:t>
            </w: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需求</w:t>
            </w:r>
            <w:r>
              <w:rPr>
                <w:rFonts w:hint="eastAsia" w:ascii="宋体" w:hAnsi="宋体" w:eastAsia="宋体" w:cs="宋体"/>
                <w:kern w:val="0"/>
                <w:sz w:val="24"/>
                <w:szCs w:val="24"/>
              </w:rPr>
              <w:t>理解分析透彻</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bidi="ar-SA"/>
              </w:rPr>
              <w:t>能够把握重点且条理清楚、思路清晰</w:t>
            </w:r>
            <w:r>
              <w:rPr>
                <w:rFonts w:hint="eastAsia" w:ascii="宋体" w:hAnsi="宋体" w:eastAsia="宋体" w:cs="宋体"/>
                <w:kern w:val="0"/>
                <w:sz w:val="24"/>
                <w:szCs w:val="24"/>
              </w:rPr>
              <w:t>的，</w:t>
            </w:r>
            <w:r>
              <w:rPr>
                <w:rFonts w:hint="eastAsia" w:ascii="宋体" w:hAnsi="宋体" w:eastAsia="宋体" w:cs="宋体"/>
                <w:b w:val="0"/>
                <w:bCs w:val="0"/>
                <w:kern w:val="0"/>
                <w:sz w:val="24"/>
                <w:szCs w:val="24"/>
              </w:rPr>
              <w:t>得</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分</w:t>
            </w:r>
            <w:r>
              <w:rPr>
                <w:rFonts w:hint="eastAsia" w:ascii="宋体" w:hAnsi="宋体" w:eastAsia="宋体" w:cs="宋体"/>
                <w:kern w:val="0"/>
                <w:sz w:val="24"/>
                <w:szCs w:val="24"/>
              </w:rPr>
              <w:t>；对项目背景、项目目标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需求理解</w:t>
            </w:r>
            <w:r>
              <w:rPr>
                <w:rFonts w:hint="eastAsia" w:ascii="宋体" w:hAnsi="宋体" w:eastAsia="宋体" w:cs="宋体"/>
                <w:kern w:val="0"/>
                <w:sz w:val="24"/>
                <w:szCs w:val="24"/>
              </w:rPr>
              <w:t>分析粗略的，</w:t>
            </w:r>
            <w:r>
              <w:rPr>
                <w:rFonts w:hint="eastAsia" w:ascii="宋体" w:hAnsi="宋体" w:eastAsia="宋体" w:cs="宋体"/>
                <w:b w:val="0"/>
                <w:bCs w:val="0"/>
                <w:kern w:val="0"/>
                <w:sz w:val="24"/>
                <w:szCs w:val="24"/>
              </w:rPr>
              <w:t>得</w:t>
            </w:r>
            <w:r>
              <w:rPr>
                <w:rFonts w:hint="eastAsia" w:ascii="宋体" w:hAnsi="宋体" w:eastAsia="宋体" w:cs="宋体"/>
                <w:b w:val="0"/>
                <w:bCs w:val="0"/>
                <w:kern w:val="0"/>
                <w:sz w:val="24"/>
                <w:szCs w:val="24"/>
                <w:lang w:val="en-US" w:eastAsia="zh-CN"/>
              </w:rPr>
              <w:t>3</w:t>
            </w:r>
            <w:r>
              <w:rPr>
                <w:rFonts w:hint="eastAsia" w:ascii="宋体" w:hAnsi="宋体" w:eastAsia="宋体" w:cs="宋体"/>
                <w:b w:val="0"/>
                <w:bCs w:val="0"/>
                <w:kern w:val="0"/>
                <w:sz w:val="24"/>
                <w:szCs w:val="24"/>
              </w:rPr>
              <w:t>分</w:t>
            </w:r>
            <w:r>
              <w:rPr>
                <w:rFonts w:hint="eastAsia" w:ascii="宋体" w:hAnsi="宋体" w:eastAsia="宋体" w:cs="宋体"/>
                <w:kern w:val="0"/>
                <w:sz w:val="24"/>
                <w:szCs w:val="24"/>
              </w:rPr>
              <w:t>；对项目背景、项目目标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项目</w:t>
            </w:r>
            <w:r>
              <w:rPr>
                <w:rFonts w:hint="eastAsia" w:ascii="宋体" w:hAnsi="宋体" w:eastAsia="宋体" w:cs="宋体"/>
                <w:kern w:val="0"/>
                <w:sz w:val="24"/>
                <w:szCs w:val="24"/>
                <w:lang w:val="en-US" w:eastAsia="zh-CN"/>
              </w:rPr>
              <w:t>需求</w:t>
            </w:r>
            <w:r>
              <w:rPr>
                <w:rFonts w:hint="eastAsia" w:ascii="宋体" w:hAnsi="宋体" w:eastAsia="宋体" w:cs="宋体"/>
                <w:kern w:val="0"/>
                <w:sz w:val="24"/>
                <w:szCs w:val="24"/>
              </w:rPr>
              <w:t>分析</w:t>
            </w:r>
            <w:r>
              <w:rPr>
                <w:rFonts w:hint="eastAsia" w:ascii="宋体" w:hAnsi="宋体" w:eastAsia="宋体" w:cs="宋体"/>
                <w:kern w:val="0"/>
                <w:sz w:val="24"/>
                <w:szCs w:val="24"/>
                <w:lang w:val="en-US" w:eastAsia="zh-CN"/>
              </w:rPr>
              <w:t>存在遗漏</w:t>
            </w:r>
            <w:r>
              <w:rPr>
                <w:rFonts w:hint="eastAsia" w:ascii="宋体" w:hAnsi="宋体" w:eastAsia="宋体" w:cs="宋体"/>
                <w:kern w:val="0"/>
                <w:sz w:val="24"/>
                <w:szCs w:val="24"/>
              </w:rPr>
              <w:t>，理解不准确的，</w:t>
            </w:r>
            <w:r>
              <w:rPr>
                <w:rFonts w:hint="eastAsia" w:ascii="宋体" w:hAnsi="宋体" w:eastAsia="宋体" w:cs="宋体"/>
                <w:b w:val="0"/>
                <w:bCs w:val="0"/>
                <w:kern w:val="0"/>
                <w:sz w:val="24"/>
                <w:szCs w:val="24"/>
              </w:rPr>
              <w:t>得1分</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没开展项目需求分析的得0分。</w:t>
            </w:r>
          </w:p>
          <w:p w14:paraId="1602EDA0">
            <w:pPr>
              <w:pStyle w:val="72"/>
              <w:numPr>
                <w:ilvl w:val="-1"/>
                <w:numId w:val="0"/>
              </w:numPr>
              <w:spacing w:line="400" w:lineRule="exact"/>
              <w:ind w:firstLine="0" w:firstLineChars="0"/>
              <w:rPr>
                <w:rFonts w:hint="eastAsia" w:ascii="宋体" w:hAnsi="宋体" w:eastAsia="宋体" w:cs="宋体"/>
                <w:b/>
                <w:bCs/>
                <w:kern w:val="0"/>
                <w:sz w:val="24"/>
                <w:szCs w:val="24"/>
                <w:lang w:val="en-US" w:eastAsia="zh-CN"/>
              </w:rPr>
            </w:pPr>
          </w:p>
          <w:p w14:paraId="6F3B6BF1">
            <w:pPr>
              <w:pStyle w:val="72"/>
              <w:numPr>
                <w:ilvl w:val="-1"/>
                <w:numId w:val="0"/>
              </w:numPr>
              <w:spacing w:line="400" w:lineRule="exact"/>
              <w:ind w:firstLine="0" w:firstLineChars="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kern w:val="0"/>
                <w:sz w:val="24"/>
                <w:szCs w:val="24"/>
                <w:lang w:val="en-US" w:eastAsia="zh-CN"/>
              </w:rPr>
              <w:t>2.项目重难点分析及应对措施（</w:t>
            </w: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lang w:val="en-US" w:eastAsia="zh-CN"/>
              </w:rPr>
              <w:t>分）</w:t>
            </w:r>
            <w:r>
              <w:rPr>
                <w:rFonts w:hint="eastAsia" w:ascii="宋体" w:hAnsi="宋体" w:eastAsia="宋体" w:cs="宋体"/>
                <w:kern w:val="0"/>
                <w:sz w:val="24"/>
                <w:szCs w:val="24"/>
                <w:lang w:val="en-US" w:eastAsia="zh-CN"/>
              </w:rPr>
              <w:t>：</w:t>
            </w:r>
            <w:r>
              <w:rPr>
                <w:rFonts w:hint="eastAsia" w:ascii="宋体" w:hAnsi="宋体" w:eastAsia="宋体" w:cs="宋体"/>
                <w:color w:val="000000" w:themeColor="text1"/>
                <w:kern w:val="2"/>
                <w:sz w:val="24"/>
                <w:szCs w:val="24"/>
                <w:lang w:val="en-US" w:eastAsia="zh-CN" w:bidi="ar-SA"/>
                <w14:textFill>
                  <w14:solidFill>
                    <w14:schemeClr w14:val="tx1"/>
                  </w14:solidFill>
                </w14:textFill>
              </w:rPr>
              <w:t>准确识别①历史遗留废弃露天矿山生态修复项目、②生产矿山生态修复项目管理的核心重难点，且应对措施具有可操作性、</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针对性的得5分；以上两项内容每缺1项核心重难点分析</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得</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2.5分；应对措施缺乏可</w:t>
            </w:r>
            <w:r>
              <w:rPr>
                <w:rFonts w:hint="eastAsia" w:ascii="宋体" w:hAnsi="宋体" w:eastAsia="宋体" w:cs="宋体"/>
                <w:color w:val="000000" w:themeColor="text1"/>
                <w:kern w:val="2"/>
                <w:sz w:val="24"/>
                <w:szCs w:val="24"/>
                <w:lang w:val="en-US" w:eastAsia="zh-CN" w:bidi="ar-SA"/>
                <w14:textFill>
                  <w14:solidFill>
                    <w14:schemeClr w14:val="tx1"/>
                  </w14:solidFill>
                </w14:textFill>
              </w:rPr>
              <w:t>操作性的每一项</w:t>
            </w:r>
            <w:r>
              <w:rPr>
                <w:rFonts w:hint="eastAsia" w:ascii="宋体" w:hAnsi="宋体" w:cs="宋体"/>
                <w:color w:val="000000" w:themeColor="text1"/>
                <w:kern w:val="2"/>
                <w:sz w:val="24"/>
                <w:szCs w:val="24"/>
                <w:lang w:val="en-US" w:eastAsia="zh-CN" w:bidi="ar-SA"/>
                <w14:textFill>
                  <w14:solidFill>
                    <w14:schemeClr w14:val="tx1"/>
                  </w14:solidFill>
                </w14:textFill>
              </w:rPr>
              <w:t>得</w:t>
            </w:r>
            <w:r>
              <w:rPr>
                <w:rFonts w:hint="eastAsia" w:ascii="宋体" w:hAnsi="宋体" w:eastAsia="宋体" w:cs="宋体"/>
                <w:color w:val="000000" w:themeColor="text1"/>
                <w:kern w:val="2"/>
                <w:sz w:val="24"/>
                <w:szCs w:val="24"/>
                <w:lang w:val="en-US" w:eastAsia="zh-CN" w:bidi="ar-SA"/>
                <w14:textFill>
                  <w14:solidFill>
                    <w14:schemeClr w14:val="tx1"/>
                  </w14:solidFill>
                </w14:textFill>
              </w:rPr>
              <w:t>1分；未开展重难点分析的得0分。</w:t>
            </w:r>
          </w:p>
        </w:tc>
      </w:tr>
      <w:tr w14:paraId="4D0C3F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vMerge w:val="continue"/>
            <w:vAlign w:val="center"/>
          </w:tcPr>
          <w:p w14:paraId="56AA184C">
            <w:pPr>
              <w:spacing w:line="400" w:lineRule="exact"/>
              <w:jc w:val="center"/>
              <w:rPr>
                <w:rFonts w:hint="eastAsia" w:ascii="宋体" w:hAnsi="宋体" w:eastAsia="宋体" w:cs="宋体"/>
                <w:b/>
                <w:bCs/>
                <w:spacing w:val="6"/>
                <w:sz w:val="24"/>
                <w:szCs w:val="24"/>
              </w:rPr>
            </w:pPr>
          </w:p>
        </w:tc>
        <w:tc>
          <w:tcPr>
            <w:tcW w:w="1849" w:type="dxa"/>
            <w:tcBorders>
              <w:bottom w:val="single" w:color="auto" w:sz="4" w:space="0"/>
            </w:tcBorders>
            <w:vAlign w:val="center"/>
          </w:tcPr>
          <w:p w14:paraId="76F3377E">
            <w:pPr>
              <w:spacing w:line="40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技术方案</w:t>
            </w:r>
            <w:r>
              <w:rPr>
                <w:rFonts w:hint="eastAsia" w:ascii="宋体" w:hAnsi="宋体" w:eastAsia="宋体" w:cs="宋体"/>
                <w:sz w:val="24"/>
                <w:szCs w:val="24"/>
              </w:rPr>
              <w:t>评审评分（满分</w:t>
            </w:r>
            <w:r>
              <w:rPr>
                <w:rFonts w:hint="eastAsia" w:ascii="宋体" w:hAnsi="宋体" w:eastAsia="宋体" w:cs="宋体"/>
                <w:sz w:val="24"/>
                <w:szCs w:val="24"/>
                <w:lang w:eastAsia="zh-CN"/>
              </w:rPr>
              <w:t>3</w:t>
            </w:r>
            <w:r>
              <w:rPr>
                <w:rFonts w:hint="eastAsia" w:ascii="宋体" w:hAnsi="宋体" w:eastAsia="宋体" w:cs="宋体"/>
                <w:sz w:val="24"/>
                <w:szCs w:val="24"/>
              </w:rPr>
              <w:t>0分）</w:t>
            </w:r>
          </w:p>
        </w:tc>
        <w:tc>
          <w:tcPr>
            <w:tcW w:w="7022" w:type="dxa"/>
            <w:vAlign w:val="center"/>
          </w:tcPr>
          <w:p w14:paraId="1E74FC74">
            <w:pPr>
              <w:pStyle w:val="72"/>
              <w:spacing w:line="400" w:lineRule="exact"/>
              <w:ind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对应采购需求中①</w:t>
            </w:r>
            <w:r>
              <w:rPr>
                <w:rFonts w:hint="eastAsia" w:ascii="宋体" w:hAnsi="宋体" w:eastAsia="宋体" w:cs="宋体"/>
                <w:color w:val="000000" w:themeColor="text1"/>
                <w:sz w:val="24"/>
                <w:szCs w:val="24"/>
                <w:lang w:val="en-US" w:eastAsia="zh-CN"/>
                <w14:textFill>
                  <w14:solidFill>
                    <w14:schemeClr w14:val="tx1"/>
                  </w14:solidFill>
                </w14:textFill>
              </w:rPr>
              <w:t>合规检查</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②</w:t>
            </w:r>
            <w:r>
              <w:rPr>
                <w:rFonts w:hint="eastAsia" w:ascii="宋体" w:hAnsi="宋体" w:eastAsia="宋体" w:cs="宋体"/>
                <w:color w:val="000000" w:themeColor="text1"/>
                <w:sz w:val="24"/>
                <w:szCs w:val="24"/>
                <w:lang w:val="en-US" w:eastAsia="zh-CN"/>
                <w14:textFill>
                  <w14:solidFill>
                    <w14:schemeClr w14:val="tx1"/>
                  </w14:solidFill>
                </w14:textFill>
              </w:rPr>
              <w:t>项目立项</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③</w:t>
            </w:r>
            <w:r>
              <w:rPr>
                <w:rFonts w:hint="eastAsia" w:ascii="宋体" w:hAnsi="宋体" w:eastAsia="宋体" w:cs="宋体"/>
                <w:color w:val="000000" w:themeColor="text1"/>
                <w:sz w:val="24"/>
                <w:szCs w:val="24"/>
                <w:lang w:val="en-US" w:eastAsia="zh-CN"/>
                <w14:textFill>
                  <w14:solidFill>
                    <w14:schemeClr w14:val="tx1"/>
                  </w14:solidFill>
                </w14:textFill>
              </w:rPr>
              <w:t>项目验收④指标管理⑤统计分析可视化5</w:t>
            </w:r>
            <w:r>
              <w:rPr>
                <w:rFonts w:hint="eastAsia" w:ascii="宋体" w:hAnsi="宋体" w:eastAsia="宋体" w:cs="宋体"/>
                <w:color w:val="000000" w:themeColor="text1"/>
                <w:sz w:val="24"/>
                <w:szCs w:val="24"/>
                <w14:textFill>
                  <w14:solidFill>
                    <w14:schemeClr w14:val="tx1"/>
                  </w14:solidFill>
                </w14:textFill>
              </w:rPr>
              <w:t>个子任务，</w:t>
            </w:r>
            <w:r>
              <w:rPr>
                <w:rFonts w:hint="eastAsia" w:ascii="宋体" w:hAnsi="宋体" w:eastAsia="宋体" w:cs="宋体"/>
                <w:color w:val="000000" w:themeColor="text1"/>
                <w:sz w:val="24"/>
                <w:szCs w:val="24"/>
                <w:lang w:val="en-US" w:eastAsia="zh-CN"/>
                <w14:textFill>
                  <w14:solidFill>
                    <w14:schemeClr w14:val="tx1"/>
                  </w14:solidFill>
                </w14:textFill>
              </w:rPr>
              <w:t>共30分</w:t>
            </w:r>
            <w:r>
              <w:rPr>
                <w:rFonts w:hint="eastAsia" w:ascii="宋体" w:hAnsi="宋体" w:eastAsia="宋体" w:cs="宋体"/>
                <w:color w:val="000000" w:themeColor="text1"/>
                <w:sz w:val="24"/>
                <w:szCs w:val="24"/>
                <w14:textFill>
                  <w14:solidFill>
                    <w14:schemeClr w14:val="tx1"/>
                  </w14:solidFill>
                </w14:textFill>
              </w:rPr>
              <w:t>。</w:t>
            </w:r>
          </w:p>
          <w:p w14:paraId="6DF12C53">
            <w:pPr>
              <w:pStyle w:val="72"/>
              <w:spacing w:line="400" w:lineRule="exact"/>
              <w:ind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每有一项内容详细、重点突出、阐述全面</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条理、思路清晰，能够有效保障项目实施的，得</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分。</w:t>
            </w:r>
          </w:p>
          <w:p w14:paraId="14D24485">
            <w:pPr>
              <w:pStyle w:val="72"/>
              <w:spacing w:line="400" w:lineRule="exact"/>
              <w:ind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每有一项内容全面但不详细，条理和思路基本清晰，基本能保障项目实施的，得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14:paraId="5273CFBA">
            <w:pPr>
              <w:pStyle w:val="72"/>
              <w:spacing w:line="400" w:lineRule="exact"/>
              <w:ind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每有一项内容简单、不全面，影响项目实施的，得</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分。</w:t>
            </w:r>
          </w:p>
          <w:p w14:paraId="136D47B5">
            <w:pPr>
              <w:pStyle w:val="72"/>
              <w:spacing w:line="400" w:lineRule="exact"/>
              <w:ind w:firstLine="0" w:firstLineChars="0"/>
              <w:rPr>
                <w:rFonts w:hint="eastAsia" w:ascii="宋体" w:hAnsi="宋体" w:eastAsia="宋体" w:cs="宋体"/>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每有一项内容未提及的，该项不得分。</w:t>
            </w:r>
          </w:p>
        </w:tc>
      </w:tr>
      <w:tr w14:paraId="7A24A0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vMerge w:val="continue"/>
            <w:vAlign w:val="center"/>
          </w:tcPr>
          <w:p w14:paraId="2E7342C9">
            <w:pPr>
              <w:spacing w:line="400" w:lineRule="exact"/>
              <w:jc w:val="center"/>
              <w:rPr>
                <w:rFonts w:hint="eastAsia" w:ascii="宋体" w:hAnsi="宋体" w:eastAsia="宋体" w:cs="宋体"/>
                <w:b/>
                <w:bCs/>
                <w:spacing w:val="6"/>
                <w:sz w:val="24"/>
                <w:szCs w:val="24"/>
              </w:rPr>
            </w:pPr>
          </w:p>
        </w:tc>
        <w:tc>
          <w:tcPr>
            <w:tcW w:w="1849" w:type="dxa"/>
            <w:tcBorders>
              <w:bottom w:val="single" w:color="auto" w:sz="4" w:space="0"/>
            </w:tcBorders>
            <w:vAlign w:val="center"/>
          </w:tcPr>
          <w:p w14:paraId="25AA5107">
            <w:pPr>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项目</w:t>
            </w:r>
            <w:r>
              <w:rPr>
                <w:rFonts w:hint="eastAsia" w:ascii="宋体" w:hAnsi="宋体" w:eastAsia="宋体" w:cs="宋体"/>
                <w:kern w:val="0"/>
                <w:sz w:val="24"/>
                <w:szCs w:val="24"/>
                <w:lang w:val="en-US" w:eastAsia="zh-CN"/>
              </w:rPr>
              <w:t>实施计划</w:t>
            </w:r>
            <w:r>
              <w:rPr>
                <w:rFonts w:hint="eastAsia" w:ascii="宋体" w:hAnsi="宋体" w:eastAsia="宋体" w:cs="宋体"/>
                <w:kern w:val="0"/>
                <w:sz w:val="24"/>
                <w:szCs w:val="24"/>
              </w:rPr>
              <w:t>评审评分(满分</w:t>
            </w:r>
            <w:r>
              <w:rPr>
                <w:rFonts w:hint="eastAsia" w:ascii="宋体" w:hAnsi="宋体" w:eastAsia="宋体" w:cs="宋体"/>
                <w:kern w:val="0"/>
                <w:sz w:val="24"/>
                <w:szCs w:val="24"/>
                <w:lang w:eastAsia="zh-CN"/>
              </w:rPr>
              <w:t>8</w:t>
            </w:r>
            <w:r>
              <w:rPr>
                <w:rFonts w:hint="eastAsia" w:ascii="宋体" w:hAnsi="宋体" w:eastAsia="宋体" w:cs="宋体"/>
                <w:kern w:val="0"/>
                <w:sz w:val="24"/>
                <w:szCs w:val="24"/>
              </w:rPr>
              <w:t>分)</w:t>
            </w:r>
          </w:p>
        </w:tc>
        <w:tc>
          <w:tcPr>
            <w:tcW w:w="7022" w:type="dxa"/>
            <w:vAlign w:val="center"/>
          </w:tcPr>
          <w:p w14:paraId="5D2DA651">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项目实施计划至少包括：</w:t>
            </w:r>
          </w:p>
          <w:p w14:paraId="124652BC">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1.进度计划（2分）：按12个月制定分阶段进度计划，覆盖项目启动、实施、验收全流程，时间节点合理的得</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分；每有一项内容简单、不全面，影响项目实施的扣1分，分数扣完为止。</w:t>
            </w:r>
          </w:p>
          <w:p w14:paraId="3753160D">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2.里程碑与交付物（2分）：明确各阶段里程碑节点及对应交付物的得2分；每有一项内容简单、不全面，影响项目实施的扣1分，分数扣完为止。</w:t>
            </w:r>
          </w:p>
          <w:p w14:paraId="6A7F5642">
            <w:pPr>
              <w:spacing w:line="400" w:lineRule="exact"/>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3.进度保证措施（2分）：提供的进度控制措施具体、可实施性强的得2分；每有一项内容简单、不全面的扣1分，分数扣完为止。</w:t>
            </w:r>
          </w:p>
          <w:p w14:paraId="3894DD6F">
            <w:pPr>
              <w:spacing w:line="400" w:lineRule="exact"/>
              <w:jc w:val="left"/>
              <w:rPr>
                <w:rFonts w:hint="eastAsia" w:ascii="宋体" w:hAnsi="宋体" w:eastAsia="宋体" w:cs="宋体"/>
                <w:kern w:val="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4.违约责任承诺（2分）：提供具体的违约责任承诺的得2分，承诺不具体或不满足得不得分。</w:t>
            </w:r>
          </w:p>
        </w:tc>
      </w:tr>
      <w:tr w14:paraId="27E55A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vMerge w:val="continue"/>
            <w:vAlign w:val="center"/>
          </w:tcPr>
          <w:p w14:paraId="2D0B166F">
            <w:pPr>
              <w:spacing w:line="400" w:lineRule="exact"/>
              <w:rPr>
                <w:rFonts w:hint="eastAsia" w:ascii="宋体" w:hAnsi="宋体" w:eastAsia="宋体" w:cs="宋体"/>
                <w:kern w:val="0"/>
                <w:sz w:val="24"/>
                <w:szCs w:val="24"/>
              </w:rPr>
            </w:pPr>
          </w:p>
        </w:tc>
        <w:tc>
          <w:tcPr>
            <w:tcW w:w="1849" w:type="dxa"/>
            <w:tcBorders>
              <w:bottom w:val="single" w:color="auto" w:sz="4" w:space="0"/>
            </w:tcBorders>
            <w:vAlign w:val="center"/>
          </w:tcPr>
          <w:p w14:paraId="557A535D">
            <w:pPr>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质量保证措施</w:t>
            </w:r>
            <w:r>
              <w:rPr>
                <w:rFonts w:hint="eastAsia" w:ascii="宋体" w:hAnsi="宋体" w:eastAsia="宋体" w:cs="宋体"/>
                <w:kern w:val="0"/>
                <w:sz w:val="24"/>
                <w:szCs w:val="24"/>
              </w:rPr>
              <w:t>及</w:t>
            </w:r>
            <w:r>
              <w:rPr>
                <w:rFonts w:hint="eastAsia" w:ascii="宋体" w:hAnsi="宋体" w:eastAsia="宋体" w:cs="宋体"/>
                <w:kern w:val="0"/>
                <w:sz w:val="24"/>
                <w:szCs w:val="24"/>
                <w:lang w:val="en-US" w:eastAsia="zh-CN"/>
              </w:rPr>
              <w:t>违约责任</w:t>
            </w:r>
            <w:r>
              <w:rPr>
                <w:rFonts w:hint="eastAsia" w:ascii="宋体" w:hAnsi="宋体" w:eastAsia="宋体" w:cs="宋体"/>
                <w:kern w:val="0"/>
                <w:sz w:val="24"/>
                <w:szCs w:val="24"/>
              </w:rPr>
              <w:t>评审评分（满分</w:t>
            </w:r>
            <w:r>
              <w:rPr>
                <w:rFonts w:hint="eastAsia" w:ascii="宋体" w:hAnsi="宋体" w:eastAsia="宋体" w:cs="宋体"/>
                <w:kern w:val="0"/>
                <w:sz w:val="24"/>
                <w:szCs w:val="24"/>
                <w:lang w:val="en-US" w:eastAsia="zh-CN"/>
              </w:rPr>
              <w:t>7分）</w:t>
            </w:r>
          </w:p>
        </w:tc>
        <w:tc>
          <w:tcPr>
            <w:tcW w:w="7022" w:type="dxa"/>
            <w:vAlign w:val="center"/>
          </w:tcPr>
          <w:p w14:paraId="12FFBC56">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项目质量保证措施及违约责任至少包括：</w:t>
            </w:r>
          </w:p>
          <w:p w14:paraId="1D206E74">
            <w:pPr>
              <w:spacing w:line="400" w:lineRule="exact"/>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1.质量保证措施（3分）</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auto"/>
                <w:sz w:val="24"/>
                <w:szCs w:val="24"/>
                <w:highlight w:val="none"/>
                <w:lang w:val="en-US" w:eastAsia="zh-CN"/>
              </w:rPr>
              <w:t>保障措施全面详细、具体，保障措施有力，完全满足采购需求的得3分；</w:t>
            </w:r>
            <w:r>
              <w:rPr>
                <w:rFonts w:hint="eastAsia" w:ascii="宋体" w:hAnsi="宋体" w:eastAsia="宋体" w:cs="宋体"/>
                <w:b w:val="0"/>
                <w:bCs w:val="0"/>
                <w:color w:val="auto"/>
                <w:sz w:val="24"/>
                <w:szCs w:val="24"/>
                <w:highlight w:val="none"/>
              </w:rPr>
              <w:t>保证措施</w:t>
            </w:r>
            <w:r>
              <w:rPr>
                <w:rFonts w:hint="eastAsia" w:ascii="宋体" w:hAnsi="宋体" w:eastAsia="宋体" w:cs="宋体"/>
                <w:b w:val="0"/>
                <w:bCs w:val="0"/>
                <w:color w:val="auto"/>
                <w:sz w:val="24"/>
                <w:szCs w:val="24"/>
                <w:highlight w:val="none"/>
                <w:lang w:val="en-US" w:eastAsia="zh-CN"/>
              </w:rPr>
              <w:t>详细但不具体</w:t>
            </w:r>
            <w:r>
              <w:rPr>
                <w:rFonts w:hint="eastAsia" w:ascii="宋体" w:hAnsi="宋体" w:eastAsia="宋体" w:cs="宋体"/>
                <w:b w:val="0"/>
                <w:bCs w:val="0"/>
                <w:color w:val="auto"/>
                <w:sz w:val="24"/>
                <w:szCs w:val="24"/>
                <w:highlight w:val="none"/>
              </w:rPr>
              <w:t>，基本能够满足</w:t>
            </w:r>
            <w:r>
              <w:rPr>
                <w:rFonts w:hint="eastAsia" w:ascii="宋体" w:hAnsi="宋体" w:eastAsia="宋体" w:cs="宋体"/>
                <w:b w:val="0"/>
                <w:bCs w:val="0"/>
                <w:color w:val="auto"/>
                <w:sz w:val="24"/>
                <w:szCs w:val="24"/>
                <w:highlight w:val="none"/>
                <w:lang w:eastAsia="zh-CN"/>
              </w:rPr>
              <w:t>采购需求</w:t>
            </w:r>
            <w:r>
              <w:rPr>
                <w:rFonts w:hint="eastAsia" w:ascii="宋体" w:hAnsi="宋体" w:eastAsia="宋体" w:cs="宋体"/>
                <w:b w:val="0"/>
                <w:bCs w:val="0"/>
                <w:color w:val="auto"/>
                <w:sz w:val="24"/>
                <w:szCs w:val="24"/>
                <w:highlight w:val="none"/>
              </w:rPr>
              <w:t>的得</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有</w:t>
            </w:r>
            <w:r>
              <w:rPr>
                <w:rFonts w:hint="eastAsia" w:ascii="宋体" w:hAnsi="宋体" w:eastAsia="宋体" w:cs="宋体"/>
                <w:b w:val="0"/>
                <w:bCs w:val="0"/>
                <w:color w:val="auto"/>
                <w:sz w:val="24"/>
                <w:szCs w:val="24"/>
                <w:highlight w:val="none"/>
              </w:rPr>
              <w:t>保证措施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不详细但不具体</w:t>
            </w:r>
            <w:r>
              <w:rPr>
                <w:rFonts w:hint="eastAsia" w:ascii="宋体" w:hAnsi="宋体" w:eastAsia="宋体" w:cs="宋体"/>
                <w:b w:val="0"/>
                <w:bCs w:val="0"/>
                <w:color w:val="auto"/>
                <w:sz w:val="24"/>
                <w:szCs w:val="24"/>
                <w:highlight w:val="none"/>
              </w:rPr>
              <w:t>，不</w:t>
            </w:r>
            <w:r>
              <w:rPr>
                <w:rFonts w:hint="eastAsia" w:ascii="宋体" w:hAnsi="宋体" w:eastAsia="宋体" w:cs="宋体"/>
                <w:b w:val="0"/>
                <w:bCs w:val="0"/>
                <w:color w:val="auto"/>
                <w:sz w:val="24"/>
                <w:szCs w:val="24"/>
                <w:highlight w:val="none"/>
                <w:lang w:val="en-US" w:eastAsia="zh-CN"/>
              </w:rPr>
              <w:t>完全</w:t>
            </w:r>
            <w:r>
              <w:rPr>
                <w:rFonts w:hint="eastAsia" w:ascii="宋体" w:hAnsi="宋体" w:eastAsia="宋体" w:cs="宋体"/>
                <w:b w:val="0"/>
                <w:bCs w:val="0"/>
                <w:color w:val="auto"/>
                <w:sz w:val="24"/>
                <w:szCs w:val="24"/>
                <w:highlight w:val="none"/>
              </w:rPr>
              <w:t>满足</w:t>
            </w:r>
            <w:r>
              <w:rPr>
                <w:rFonts w:hint="eastAsia" w:ascii="宋体" w:hAnsi="宋体" w:eastAsia="宋体" w:cs="宋体"/>
                <w:b w:val="0"/>
                <w:bCs w:val="0"/>
                <w:color w:val="auto"/>
                <w:sz w:val="24"/>
                <w:szCs w:val="24"/>
                <w:highlight w:val="none"/>
                <w:lang w:eastAsia="zh-CN"/>
              </w:rPr>
              <w:t>采购需求</w:t>
            </w:r>
            <w:r>
              <w:rPr>
                <w:rFonts w:hint="eastAsia" w:ascii="宋体" w:hAnsi="宋体" w:eastAsia="宋体" w:cs="宋体"/>
                <w:b w:val="0"/>
                <w:bCs w:val="0"/>
                <w:color w:val="auto"/>
                <w:sz w:val="24"/>
                <w:szCs w:val="24"/>
                <w:highlight w:val="none"/>
              </w:rPr>
              <w:t>的得</w:t>
            </w:r>
            <w:r>
              <w:rPr>
                <w:rFonts w:hint="eastAsia" w:ascii="宋体"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rPr>
              <w:t>分；无保证措施的不得分</w:t>
            </w:r>
            <w:r>
              <w:rPr>
                <w:rFonts w:hint="eastAsia" w:ascii="宋体" w:hAnsi="宋体" w:eastAsia="宋体" w:cs="宋体"/>
                <w:b w:val="0"/>
                <w:bCs w:val="0"/>
                <w:color w:val="auto"/>
                <w:sz w:val="24"/>
                <w:szCs w:val="24"/>
                <w:highlight w:val="none"/>
                <w:lang w:eastAsia="zh-CN"/>
              </w:rPr>
              <w:t>。</w:t>
            </w:r>
          </w:p>
          <w:p w14:paraId="6EAD99DC">
            <w:pPr>
              <w:pStyle w:val="72"/>
              <w:numPr>
                <w:ilvl w:val="-1"/>
                <w:numId w:val="0"/>
              </w:numPr>
              <w:spacing w:line="400" w:lineRule="exact"/>
              <w:ind w:left="0" w:firstLine="0" w:firstLineChars="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2.风险识别与应对（</w:t>
            </w: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识别数据</w:t>
            </w:r>
            <w:r>
              <w:rPr>
                <w:rFonts w:hint="eastAsia" w:ascii="宋体" w:hAnsi="宋体" w:eastAsia="宋体" w:cs="宋体"/>
                <w:color w:val="000000" w:themeColor="text1"/>
                <w:sz w:val="24"/>
                <w:szCs w:val="24"/>
                <w:lang w:val="en-US" w:eastAsia="zh-CN"/>
                <w14:textFill>
                  <w14:solidFill>
                    <w14:schemeClr w14:val="tx1"/>
                  </w14:solidFill>
                </w14:textFill>
              </w:rPr>
              <w:t>泄露、技术偏离</w:t>
            </w:r>
            <w:r>
              <w:rPr>
                <w:rFonts w:hint="eastAsia" w:ascii="宋体" w:hAnsi="宋体" w:eastAsia="宋体" w:cs="宋体"/>
                <w:color w:val="000000" w:themeColor="text1"/>
                <w:sz w:val="24"/>
                <w:szCs w:val="24"/>
                <w14:textFill>
                  <w14:solidFill>
                    <w14:schemeClr w14:val="tx1"/>
                  </w14:solidFill>
                </w14:textFill>
              </w:rPr>
              <w:t>等核心风险，且制定针对性应对预案的得</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分；每缺1项核心风险应对预案扣1分。</w:t>
            </w:r>
          </w:p>
          <w:p w14:paraId="6175A753">
            <w:pPr>
              <w:pStyle w:val="72"/>
              <w:numPr>
                <w:ilvl w:val="-1"/>
                <w:numId w:val="0"/>
              </w:numPr>
              <w:spacing w:line="400" w:lineRule="exact"/>
              <w:ind w:left="0" w:firstLine="0" w:firstLineChars="0"/>
              <w:jc w:val="left"/>
              <w:rPr>
                <w:rFonts w:hint="eastAsia" w:ascii="宋体" w:hAnsi="宋体" w:eastAsia="宋体" w:cs="宋体"/>
                <w:kern w:val="0"/>
                <w:sz w:val="24"/>
                <w:szCs w:val="24"/>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3.违约责任承诺（2分）</w:t>
            </w:r>
            <w:r>
              <w:rPr>
                <w:rFonts w:hint="eastAsia" w:ascii="宋体" w:hAnsi="宋体" w:eastAsia="宋体" w:cs="宋体"/>
                <w:color w:val="000000" w:themeColor="text1"/>
                <w:sz w:val="24"/>
                <w:szCs w:val="24"/>
                <w:lang w:val="en-US" w:eastAsia="zh-CN"/>
                <w14:textFill>
                  <w14:solidFill>
                    <w14:schemeClr w14:val="tx1"/>
                  </w14:solidFill>
                </w14:textFill>
              </w:rPr>
              <w:t>：提供的</w:t>
            </w:r>
            <w:r>
              <w:rPr>
                <w:rFonts w:hint="eastAsia" w:ascii="宋体" w:hAnsi="宋体" w:eastAsia="宋体" w:cs="宋体"/>
                <w:color w:val="000000" w:themeColor="text1"/>
                <w:sz w:val="24"/>
                <w:szCs w:val="24"/>
                <w14:textFill>
                  <w14:solidFill>
                    <w14:schemeClr w14:val="tx1"/>
                  </w14:solidFill>
                </w14:textFill>
              </w:rPr>
              <w:t>违约</w:t>
            </w:r>
            <w:r>
              <w:rPr>
                <w:rFonts w:hint="eastAsia" w:ascii="宋体" w:hAnsi="宋体" w:eastAsia="宋体" w:cs="宋体"/>
                <w:color w:val="000000" w:themeColor="text1"/>
                <w:sz w:val="24"/>
                <w:szCs w:val="24"/>
                <w:lang w:val="en-US" w:eastAsia="zh-CN"/>
                <w14:textFill>
                  <w14:solidFill>
                    <w14:schemeClr w14:val="tx1"/>
                  </w14:solidFill>
                </w14:textFill>
              </w:rPr>
              <w:t>责任承诺</w:t>
            </w:r>
            <w:r>
              <w:rPr>
                <w:rFonts w:hint="eastAsia" w:ascii="宋体" w:hAnsi="宋体" w:eastAsia="宋体" w:cs="宋体"/>
                <w:color w:val="000000" w:themeColor="text1"/>
                <w:sz w:val="24"/>
                <w:szCs w:val="24"/>
                <w14:textFill>
                  <w14:solidFill>
                    <w14:schemeClr w14:val="tx1"/>
                  </w14:solidFill>
                </w14:textFill>
              </w:rPr>
              <w:t>处罚明确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责任划分清晰</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具体的得2分，承诺不具体、处罚模糊、责任划分模糊的不得分。</w:t>
            </w:r>
          </w:p>
        </w:tc>
      </w:tr>
      <w:tr w14:paraId="16E4BB7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1377" w:type="dxa"/>
            <w:vMerge w:val="continue"/>
            <w:vAlign w:val="center"/>
          </w:tcPr>
          <w:p w14:paraId="694F64E6">
            <w:pPr>
              <w:spacing w:line="400" w:lineRule="exact"/>
              <w:rPr>
                <w:rFonts w:hint="eastAsia" w:ascii="宋体" w:hAnsi="宋体" w:eastAsia="宋体" w:cs="宋体"/>
                <w:kern w:val="0"/>
                <w:sz w:val="24"/>
                <w:szCs w:val="24"/>
              </w:rPr>
            </w:pPr>
          </w:p>
        </w:tc>
        <w:tc>
          <w:tcPr>
            <w:tcW w:w="1849" w:type="dxa"/>
            <w:tcBorders>
              <w:bottom w:val="single" w:color="auto" w:sz="4" w:space="0"/>
            </w:tcBorders>
            <w:vAlign w:val="center"/>
          </w:tcPr>
          <w:p w14:paraId="350560F8">
            <w:pPr>
              <w:spacing w:line="400" w:lineRule="exact"/>
              <w:jc w:val="center"/>
              <w:rPr>
                <w:rFonts w:hint="eastAsia" w:ascii="宋体" w:hAnsi="宋体" w:eastAsia="宋体" w:cs="宋体"/>
                <w:kern w:val="0"/>
                <w:sz w:val="24"/>
                <w:szCs w:val="24"/>
              </w:rPr>
            </w:pPr>
            <w:r>
              <w:rPr>
                <w:rFonts w:hint="eastAsia" w:ascii="宋体" w:hAnsi="宋体" w:cs="宋体"/>
                <w:kern w:val="0"/>
                <w:sz w:val="24"/>
                <w:szCs w:val="24"/>
                <w:lang w:val="en-US" w:eastAsia="zh-CN"/>
              </w:rPr>
              <w:t>信息安全管理措施</w:t>
            </w:r>
            <w:r>
              <w:rPr>
                <w:rFonts w:hint="eastAsia" w:ascii="宋体" w:hAnsi="宋体" w:eastAsia="宋体" w:cs="宋体"/>
                <w:kern w:val="0"/>
                <w:sz w:val="24"/>
                <w:szCs w:val="24"/>
              </w:rPr>
              <w:t>评审评分（满分</w:t>
            </w:r>
            <w:r>
              <w:rPr>
                <w:rFonts w:hint="eastAsia" w:ascii="宋体" w:hAnsi="宋体" w:eastAsia="宋体" w:cs="宋体"/>
                <w:kern w:val="0"/>
                <w:sz w:val="24"/>
                <w:szCs w:val="24"/>
                <w:lang w:eastAsia="zh-CN"/>
              </w:rPr>
              <w:t>5</w:t>
            </w:r>
            <w:r>
              <w:rPr>
                <w:rFonts w:hint="eastAsia" w:ascii="宋体" w:hAnsi="宋体" w:eastAsia="宋体" w:cs="宋体"/>
                <w:kern w:val="0"/>
                <w:sz w:val="24"/>
                <w:szCs w:val="24"/>
              </w:rPr>
              <w:t>分）</w:t>
            </w:r>
          </w:p>
        </w:tc>
        <w:tc>
          <w:tcPr>
            <w:tcW w:w="7022" w:type="dxa"/>
            <w:vAlign w:val="center"/>
          </w:tcPr>
          <w:p w14:paraId="15679770">
            <w:pPr>
              <w:spacing w:line="400" w:lineRule="exac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cs="宋体"/>
                <w:color w:val="auto"/>
                <w:kern w:val="0"/>
                <w:sz w:val="24"/>
                <w:szCs w:val="24"/>
                <w:lang w:val="en-US" w:eastAsia="zh-CN"/>
              </w:rPr>
              <w:t>信息安全</w:t>
            </w:r>
            <w:r>
              <w:rPr>
                <w:rFonts w:hint="eastAsia" w:ascii="宋体" w:hAnsi="宋体" w:eastAsia="宋体" w:cs="宋体"/>
                <w:color w:val="auto"/>
                <w:kern w:val="0"/>
                <w:sz w:val="24"/>
                <w:szCs w:val="24"/>
              </w:rPr>
              <w:t>管理措施及承诺全面完善，内容具体，针对性很强，保证措施有力，有具体的违约责任承诺，得5分；</w:t>
            </w:r>
          </w:p>
          <w:p w14:paraId="2974BA99">
            <w:pPr>
              <w:spacing w:line="400" w:lineRule="exac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保密管理措施及承诺内容全面，有一定的针对性，有保证措施，有违约责任承诺，得3分；</w:t>
            </w:r>
          </w:p>
          <w:p w14:paraId="29CAC696">
            <w:pPr>
              <w:spacing w:line="400" w:lineRule="exact"/>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保密管理措施及承诺内容空洞，针对性差，保证措施差，无违约责任承诺得1分；</w:t>
            </w:r>
          </w:p>
          <w:p w14:paraId="335651B1">
            <w:pPr>
              <w:pStyle w:val="72"/>
              <w:numPr>
                <w:ilvl w:val="-1"/>
                <w:numId w:val="0"/>
              </w:numPr>
              <w:spacing w:line="400" w:lineRule="exact"/>
              <w:ind w:left="0" w:firstLine="0" w:firstLineChars="0"/>
              <w:jc w:val="left"/>
              <w:rPr>
                <w:rFonts w:hint="eastAsia" w:ascii="宋体" w:hAnsi="宋体" w:eastAsia="宋体" w:cs="宋体"/>
                <w:kern w:val="0"/>
                <w:sz w:val="24"/>
                <w:szCs w:val="24"/>
              </w:rPr>
            </w:pP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无保密管理措施及承诺的不得分。</w:t>
            </w:r>
          </w:p>
        </w:tc>
      </w:tr>
      <w:tr w14:paraId="39007D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377" w:type="dxa"/>
            <w:vMerge w:val="restart"/>
            <w:vAlign w:val="center"/>
          </w:tcPr>
          <w:p w14:paraId="7C3FBB5B">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p>
          <w:p w14:paraId="3D81489A">
            <w:pPr>
              <w:spacing w:line="4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F3-</w:t>
            </w:r>
            <w:r>
              <w:rPr>
                <w:rFonts w:hint="eastAsia" w:ascii="宋体" w:hAnsi="宋体" w:eastAsia="宋体" w:cs="宋体"/>
                <w:b/>
                <w:bCs/>
                <w:color w:val="000000" w:themeColor="text1"/>
                <w:sz w:val="24"/>
                <w:szCs w:val="24"/>
                <w14:textFill>
                  <w14:solidFill>
                    <w14:schemeClr w14:val="tx1"/>
                  </w14:solidFill>
                </w14:textFill>
              </w:rPr>
              <w:t>服务部分评审（满分30分）</w:t>
            </w:r>
          </w:p>
        </w:tc>
        <w:tc>
          <w:tcPr>
            <w:tcW w:w="1849" w:type="dxa"/>
            <w:tcBorders>
              <w:top w:val="single" w:color="auto" w:sz="4" w:space="0"/>
            </w:tcBorders>
            <w:vAlign w:val="center"/>
          </w:tcPr>
          <w:p w14:paraId="14CADCE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项目配备人员(满分1</w:t>
            </w:r>
            <w:r>
              <w:rPr>
                <w:rFonts w:hint="eastAsia" w:ascii="宋体" w:hAnsi="宋体" w:eastAsia="宋体" w:cs="宋体"/>
                <w:sz w:val="24"/>
                <w:szCs w:val="24"/>
                <w:lang w:eastAsia="zh-CN"/>
              </w:rPr>
              <w:t>2</w:t>
            </w:r>
            <w:r>
              <w:rPr>
                <w:rFonts w:hint="eastAsia" w:ascii="宋体" w:hAnsi="宋体" w:eastAsia="宋体" w:cs="宋体"/>
                <w:sz w:val="24"/>
                <w:szCs w:val="24"/>
              </w:rPr>
              <w:t>分)</w:t>
            </w:r>
          </w:p>
        </w:tc>
        <w:tc>
          <w:tcPr>
            <w:tcW w:w="7022" w:type="dxa"/>
          </w:tcPr>
          <w:p w14:paraId="786EF3F2">
            <w:pPr>
              <w:widowControl/>
              <w:spacing w:line="40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1.项目负责人（4分）</w:t>
            </w:r>
          </w:p>
          <w:p w14:paraId="7FE73C86">
            <w:pPr>
              <w:widowControl/>
              <w:numPr>
                <w:ilvl w:val="-1"/>
                <w:numId w:val="0"/>
              </w:numPr>
              <w:spacing w:line="400" w:lineRule="exact"/>
              <w:jc w:val="left"/>
              <w:rPr>
                <w:rFonts w:hint="eastAsia" w:ascii="宋体" w:hAnsi="宋体" w:eastAsia="宋体" w:cs="宋体"/>
                <w:b w:val="0"/>
                <w:bCs w:val="0"/>
                <w:color w:val="000000" w:themeColor="text1"/>
                <w:sz w:val="24"/>
                <w:szCs w:val="24"/>
                <w:lang w:val="en-US"/>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lang w:val="en-US"/>
                <w14:textFill>
                  <w14:solidFill>
                    <w14:schemeClr w14:val="tx1"/>
                  </w14:solidFill>
                </w14:textFill>
              </w:rPr>
              <w:t>项目负责人具备</w:t>
            </w:r>
            <w:r>
              <w:rPr>
                <w:rFonts w:hint="eastAsia" w:ascii="宋体" w:hAnsi="宋体" w:eastAsia="宋体" w:cs="宋体"/>
                <w:b w:val="0"/>
                <w:bCs w:val="0"/>
                <w:color w:val="000000" w:themeColor="text1"/>
                <w:sz w:val="24"/>
                <w:szCs w:val="24"/>
                <w:lang w:val="en-US" w:eastAsia="zh-CN"/>
                <w14:textFill>
                  <w14:solidFill>
                    <w14:schemeClr w14:val="tx1"/>
                  </w14:solidFill>
                </w14:textFill>
              </w:rPr>
              <w:t>测绘地理信息类（高级）或计算机科学及电子信息类（高级）</w:t>
            </w:r>
            <w:r>
              <w:rPr>
                <w:rFonts w:hint="eastAsia" w:ascii="宋体" w:hAnsi="宋体" w:eastAsia="宋体" w:cs="宋体"/>
                <w:b w:val="0"/>
                <w:bCs w:val="0"/>
                <w:color w:val="000000" w:themeColor="text1"/>
                <w:sz w:val="24"/>
                <w:szCs w:val="24"/>
                <w:lang w:val="en-US"/>
                <w14:textFill>
                  <w14:solidFill>
                    <w14:schemeClr w14:val="tx1"/>
                  </w14:solidFill>
                </w14:textFill>
              </w:rPr>
              <w:t>职称</w:t>
            </w:r>
            <w:r>
              <w:rPr>
                <w:rFonts w:hint="eastAsia" w:ascii="宋体" w:hAnsi="宋体" w:eastAsia="宋体" w:cs="宋体"/>
                <w:b w:val="0"/>
                <w:bCs w:val="0"/>
                <w:color w:val="000000" w:themeColor="text1"/>
                <w:sz w:val="24"/>
                <w:szCs w:val="24"/>
                <w:lang w:val="en-US" w:eastAsia="zh-CN"/>
                <w14:textFill>
                  <w14:solidFill>
                    <w14:schemeClr w14:val="tx1"/>
                  </w14:solidFill>
                </w14:textFill>
              </w:rPr>
              <w:t>证书</w:t>
            </w:r>
            <w:r>
              <w:rPr>
                <w:rFonts w:hint="eastAsia" w:ascii="宋体" w:hAnsi="宋体" w:eastAsia="宋体" w:cs="宋体"/>
                <w:b w:val="0"/>
                <w:bCs w:val="0"/>
                <w:color w:val="000000" w:themeColor="text1"/>
                <w:sz w:val="24"/>
                <w:szCs w:val="24"/>
                <w:lang w:val="en-US"/>
                <w14:textFill>
                  <w14:solidFill>
                    <w14:schemeClr w14:val="tx1"/>
                  </w14:solidFill>
                </w14:textFill>
              </w:rPr>
              <w:t>的，</w:t>
            </w:r>
            <w:r>
              <w:rPr>
                <w:rFonts w:hint="eastAsia" w:ascii="宋体" w:hAnsi="宋体" w:cs="宋体"/>
                <w:b w:val="0"/>
                <w:bCs w:val="0"/>
                <w:color w:val="000000" w:themeColor="text1"/>
                <w:sz w:val="24"/>
                <w:szCs w:val="24"/>
                <w:lang w:val="en-US" w:eastAsia="zh-CN"/>
                <w14:textFill>
                  <w14:solidFill>
                    <w14:schemeClr w14:val="tx1"/>
                  </w14:solidFill>
                </w14:textFill>
              </w:rPr>
              <w:t>得</w:t>
            </w: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14:textFill>
                  <w14:solidFill>
                    <w14:schemeClr w14:val="tx1"/>
                  </w14:solidFill>
                </w14:textFill>
              </w:rPr>
              <w:t>分。</w:t>
            </w:r>
          </w:p>
          <w:p w14:paraId="30069301">
            <w:pPr>
              <w:widowControl/>
              <w:spacing w:line="400" w:lineRule="exact"/>
              <w:jc w:val="left"/>
              <w:rPr>
                <w:rFonts w:hint="eastAsia" w:ascii="宋体" w:hAnsi="宋体" w:eastAsia="宋体" w:cs="宋体"/>
                <w:kern w:val="0"/>
                <w:sz w:val="24"/>
                <w:szCs w:val="24"/>
                <w:lang w:bidi="ar"/>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lang w:val="en-US"/>
                <w14:textFill>
                  <w14:solidFill>
                    <w14:schemeClr w14:val="tx1"/>
                  </w14:solidFill>
                </w14:textFill>
              </w:rPr>
              <w:t>项目负责人</w:t>
            </w:r>
            <w:r>
              <w:rPr>
                <w:rFonts w:hint="eastAsia" w:ascii="宋体" w:hAnsi="宋体" w:eastAsia="宋体" w:cs="宋体"/>
                <w:b w:val="0"/>
                <w:bCs w:val="0"/>
                <w:color w:val="000000" w:themeColor="text1"/>
                <w:sz w:val="24"/>
                <w:szCs w:val="24"/>
                <w:lang w:val="en-US" w:eastAsia="zh-CN"/>
                <w14:textFill>
                  <w14:solidFill>
                    <w14:schemeClr w14:val="tx1"/>
                  </w14:solidFill>
                </w14:textFill>
              </w:rPr>
              <w:t>近5年内（2021年1月1日至今）每承担过1项</w:t>
            </w:r>
            <w:r>
              <w:rPr>
                <w:rFonts w:hint="eastAsia" w:ascii="宋体" w:hAnsi="宋体" w:eastAsia="宋体" w:cs="宋体"/>
                <w:b w:val="0"/>
                <w:bCs w:val="0"/>
                <w:color w:val="000000" w:themeColor="text1"/>
                <w:sz w:val="24"/>
                <w:szCs w:val="24"/>
                <w:lang w:val="en-US"/>
                <w14:textFill>
                  <w14:solidFill>
                    <w14:schemeClr w14:val="tx1"/>
                  </w14:solidFill>
                </w14:textFill>
              </w:rPr>
              <w:t>类似（</w:t>
            </w:r>
            <w:r>
              <w:rPr>
                <w:rFonts w:hint="eastAsia" w:ascii="宋体" w:hAnsi="宋体" w:eastAsia="宋体" w:cs="宋体"/>
                <w:b w:val="0"/>
                <w:bCs w:val="0"/>
                <w:color w:val="000000" w:themeColor="text1"/>
                <w:sz w:val="24"/>
                <w:szCs w:val="24"/>
                <w:lang w:val="en-US" w:eastAsia="zh-CN"/>
                <w14:textFill>
                  <w14:solidFill>
                    <w14:schemeClr w14:val="tx1"/>
                  </w14:solidFill>
                </w14:textFill>
              </w:rPr>
              <w:t>证明材料需充分</w:t>
            </w:r>
            <w:r>
              <w:rPr>
                <w:rFonts w:hint="eastAsia" w:ascii="宋体" w:hAnsi="宋体" w:eastAsia="宋体" w:cs="宋体"/>
                <w:color w:val="000000" w:themeColor="text1"/>
                <w:sz w:val="24"/>
                <w:szCs w:val="24"/>
                <w:lang w:val="en-US"/>
                <w14:textFill>
                  <w14:solidFill>
                    <w14:schemeClr w14:val="tx1"/>
                  </w14:solidFill>
                </w14:textFill>
              </w:rPr>
              <w:t>体现项目负责人</w:t>
            </w:r>
            <w:r>
              <w:rPr>
                <w:rFonts w:hint="eastAsia" w:ascii="宋体" w:hAnsi="宋体" w:eastAsia="宋体" w:cs="宋体"/>
                <w:color w:val="000000" w:themeColor="text1"/>
                <w:sz w:val="24"/>
                <w:szCs w:val="24"/>
                <w:lang w:val="en-US" w:eastAsia="zh-CN"/>
                <w14:textFill>
                  <w14:solidFill>
                    <w14:schemeClr w14:val="tx1"/>
                  </w14:solidFill>
                </w14:textFill>
              </w:rPr>
              <w:t>姓名等关键信息</w:t>
            </w:r>
            <w:r>
              <w:rPr>
                <w:rFonts w:hint="eastAsia" w:ascii="宋体" w:hAnsi="宋体" w:eastAsia="宋体" w:cs="宋体"/>
                <w:b w:val="0"/>
                <w:bCs w:val="0"/>
                <w:color w:val="000000" w:themeColor="text1"/>
                <w:sz w:val="24"/>
                <w:szCs w:val="24"/>
                <w:lang w:val="en-US"/>
                <w14:textFill>
                  <w14:solidFill>
                    <w14:schemeClr w14:val="tx1"/>
                  </w14:solidFill>
                </w14:textFill>
              </w:rPr>
              <w:t>）的信息化</w:t>
            </w:r>
            <w:r>
              <w:rPr>
                <w:rFonts w:hint="eastAsia" w:ascii="宋体" w:hAnsi="宋体" w:eastAsia="宋体" w:cs="宋体"/>
                <w:b w:val="0"/>
                <w:bCs w:val="0"/>
                <w:color w:val="000000" w:themeColor="text1"/>
                <w:sz w:val="24"/>
                <w:szCs w:val="24"/>
                <w:lang w:val="en-US" w:eastAsia="zh-CN"/>
                <w14:textFill>
                  <w14:solidFill>
                    <w14:schemeClr w14:val="tx1"/>
                  </w14:solidFill>
                </w14:textFill>
              </w:rPr>
              <w:t>项目</w:t>
            </w:r>
            <w:r>
              <w:rPr>
                <w:rFonts w:hint="eastAsia" w:ascii="宋体" w:hAnsi="宋体" w:eastAsia="宋体" w:cs="宋体"/>
                <w:b w:val="0"/>
                <w:bCs w:val="0"/>
                <w:color w:val="000000" w:themeColor="text1"/>
                <w:sz w:val="24"/>
                <w:szCs w:val="24"/>
                <w:lang w:val="en-US"/>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加</w:t>
            </w:r>
            <w:r>
              <w:rPr>
                <w:rFonts w:hint="eastAsia" w:ascii="宋体" w:hAnsi="宋体" w:eastAsia="宋体" w:cs="宋体"/>
                <w:b w:val="0"/>
                <w:bCs w:val="0"/>
                <w:color w:val="000000" w:themeColor="text1"/>
                <w:sz w:val="24"/>
                <w:szCs w:val="24"/>
                <w:lang w:val="en-US"/>
                <w14:textFill>
                  <w14:solidFill>
                    <w14:schemeClr w14:val="tx1"/>
                  </w14:solidFill>
                </w14:textFill>
              </w:rPr>
              <w:t>1分，</w:t>
            </w:r>
            <w:r>
              <w:rPr>
                <w:rFonts w:hint="eastAsia" w:ascii="宋体" w:hAnsi="宋体" w:eastAsia="宋体" w:cs="宋体"/>
                <w:b w:val="0"/>
                <w:bCs w:val="0"/>
                <w:color w:val="000000" w:themeColor="text1"/>
                <w:sz w:val="24"/>
                <w:szCs w:val="24"/>
                <w:lang w:val="en-US" w:eastAsia="zh-CN"/>
                <w14:textFill>
                  <w14:solidFill>
                    <w14:schemeClr w14:val="tx1"/>
                  </w14:solidFill>
                </w14:textFill>
              </w:rPr>
              <w:t>加满</w:t>
            </w:r>
            <w:r>
              <w:rPr>
                <w:rFonts w:hint="eastAsia" w:ascii="宋体" w:hAnsi="宋体" w:eastAsia="宋体" w:cs="宋体"/>
                <w:b w:val="0"/>
                <w:bCs w:val="0"/>
                <w:color w:val="000000" w:themeColor="text1"/>
                <w:sz w:val="24"/>
                <w:szCs w:val="24"/>
                <w:lang w:val="en-US"/>
                <w14:textFill>
                  <w14:solidFill>
                    <w14:schemeClr w14:val="tx1"/>
                  </w14:solidFill>
                </w14:textFill>
              </w:rPr>
              <w:t>2分止。</w:t>
            </w:r>
            <w:r>
              <w:rPr>
                <w:rFonts w:hint="eastAsia" w:ascii="宋体" w:hAnsi="宋体" w:eastAsia="宋体" w:cs="宋体"/>
                <w:kern w:val="0"/>
                <w:sz w:val="24"/>
                <w:szCs w:val="24"/>
                <w:lang w:bidi="ar"/>
              </w:rPr>
              <w:t>类似项目业绩是指</w:t>
            </w:r>
            <w:r>
              <w:rPr>
                <w:rFonts w:hint="eastAsia" w:ascii="宋体" w:hAnsi="宋体" w:eastAsia="宋体" w:cs="宋体"/>
                <w:kern w:val="0"/>
                <w:sz w:val="24"/>
                <w:szCs w:val="24"/>
                <w:highlight w:val="none"/>
                <w:lang w:val="en-US" w:eastAsia="zh-CN" w:bidi="ar"/>
              </w:rPr>
              <w:t>自然资源</w:t>
            </w:r>
            <w:r>
              <w:rPr>
                <w:rFonts w:hint="eastAsia" w:ascii="宋体" w:hAnsi="宋体" w:eastAsia="宋体" w:cs="宋体"/>
                <w:kern w:val="0"/>
                <w:sz w:val="24"/>
                <w:szCs w:val="24"/>
                <w:highlight w:val="none"/>
                <w:lang w:bidi="ar"/>
              </w:rPr>
              <w:t>信息化建设项目类似业绩</w:t>
            </w:r>
            <w:r>
              <w:rPr>
                <w:rFonts w:hint="eastAsia" w:ascii="宋体" w:hAnsi="宋体" w:cs="宋体"/>
                <w:kern w:val="0"/>
                <w:sz w:val="24"/>
                <w:szCs w:val="24"/>
                <w:highlight w:val="none"/>
                <w:lang w:eastAsia="zh-CN" w:bidi="ar"/>
              </w:rPr>
              <w:t>。</w:t>
            </w:r>
          </w:p>
          <w:p w14:paraId="6D0E7DFE">
            <w:pPr>
              <w:widowControl/>
              <w:spacing w:line="400" w:lineRule="exact"/>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2.项目团队配置（</w:t>
            </w:r>
            <w:r>
              <w:rPr>
                <w:rFonts w:hint="eastAsia" w:ascii="宋体" w:hAnsi="宋体" w:eastAsia="宋体" w:cs="宋体"/>
                <w:kern w:val="0"/>
                <w:sz w:val="24"/>
                <w:szCs w:val="24"/>
                <w:lang w:val="en-US" w:eastAsia="zh-CN" w:bidi="ar"/>
              </w:rPr>
              <w:t>8</w:t>
            </w:r>
            <w:r>
              <w:rPr>
                <w:rFonts w:hint="eastAsia" w:ascii="宋体" w:hAnsi="宋体" w:eastAsia="宋体" w:cs="宋体"/>
                <w:kern w:val="0"/>
                <w:sz w:val="24"/>
                <w:szCs w:val="24"/>
                <w:lang w:bidi="ar"/>
              </w:rPr>
              <w:t>分）</w:t>
            </w:r>
          </w:p>
          <w:p w14:paraId="4656614C">
            <w:pPr>
              <w:widowControl/>
              <w:spacing w:line="400" w:lineRule="exact"/>
              <w:jc w:val="left"/>
              <w:rPr>
                <w:rFonts w:hint="eastAsia" w:ascii="宋体" w:hAnsi="宋体" w:eastAsia="宋体" w:cs="宋体"/>
                <w:kern w:val="0"/>
                <w:sz w:val="24"/>
                <w:szCs w:val="24"/>
                <w:lang w:bidi="ar"/>
              </w:rPr>
            </w:pP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1</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除项目负责人外项目团队中的项目组人员</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每有1</w:t>
            </w:r>
            <w:r>
              <w:rPr>
                <w:rFonts w:hint="eastAsia" w:ascii="宋体" w:hAnsi="宋体" w:eastAsia="宋体" w:cs="宋体"/>
                <w:kern w:val="0"/>
                <w:sz w:val="24"/>
                <w:szCs w:val="24"/>
                <w:lang w:bidi="ar"/>
              </w:rPr>
              <w:t>人具有高级计算机技术与软件专业技术资格证书得</w:t>
            </w:r>
            <w:r>
              <w:rPr>
                <w:rFonts w:hint="eastAsia" w:ascii="宋体" w:hAnsi="宋体" w:eastAsia="宋体" w:cs="宋体"/>
                <w:kern w:val="0"/>
                <w:sz w:val="24"/>
                <w:szCs w:val="24"/>
                <w:lang w:val="en-US" w:eastAsia="zh-CN" w:bidi="ar"/>
              </w:rPr>
              <w:t>1</w:t>
            </w:r>
            <w:r>
              <w:rPr>
                <w:rFonts w:hint="eastAsia" w:ascii="宋体" w:hAnsi="宋体" w:eastAsia="宋体" w:cs="宋体"/>
                <w:kern w:val="0"/>
                <w:sz w:val="24"/>
                <w:szCs w:val="24"/>
                <w:lang w:bidi="ar"/>
              </w:rPr>
              <w:t>分</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最高得4分</w:t>
            </w:r>
            <w:r>
              <w:rPr>
                <w:rFonts w:hint="eastAsia" w:ascii="宋体" w:hAnsi="宋体" w:eastAsia="宋体" w:cs="宋体"/>
                <w:kern w:val="0"/>
                <w:sz w:val="24"/>
                <w:szCs w:val="24"/>
                <w:lang w:bidi="ar"/>
              </w:rPr>
              <w:t>；</w:t>
            </w:r>
          </w:p>
          <w:p w14:paraId="6250CBF8">
            <w:pPr>
              <w:widowControl/>
              <w:spacing w:line="400" w:lineRule="exact"/>
              <w:jc w:val="left"/>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2</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除项目负责人外项目团队中的项目组人员</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val="en-US" w:eastAsia="zh-CN" w:bidi="ar"/>
              </w:rPr>
              <w:t>每有1人具有测绘地理信息</w:t>
            </w:r>
            <w:r>
              <w:rPr>
                <w:rFonts w:hint="eastAsia" w:ascii="宋体" w:hAnsi="宋体" w:cs="宋体"/>
                <w:kern w:val="0"/>
                <w:sz w:val="24"/>
                <w:szCs w:val="24"/>
                <w:highlight w:val="none"/>
                <w:lang w:val="en-US" w:eastAsia="zh-CN" w:bidi="ar"/>
              </w:rPr>
              <w:t>类</w:t>
            </w:r>
            <w:r>
              <w:rPr>
                <w:rFonts w:hint="eastAsia" w:ascii="宋体" w:hAnsi="宋体" w:eastAsia="宋体" w:cs="宋体"/>
                <w:kern w:val="0"/>
                <w:sz w:val="24"/>
                <w:szCs w:val="24"/>
                <w:highlight w:val="none"/>
                <w:lang w:val="en-US" w:eastAsia="zh-CN" w:bidi="ar"/>
              </w:rPr>
              <w:t>（中级及以上）或地质工程</w:t>
            </w:r>
            <w:r>
              <w:rPr>
                <w:rFonts w:hint="eastAsia" w:ascii="宋体" w:hAnsi="宋体" w:cs="宋体"/>
                <w:kern w:val="0"/>
                <w:sz w:val="24"/>
                <w:szCs w:val="24"/>
                <w:highlight w:val="none"/>
                <w:lang w:val="en-US" w:eastAsia="zh-CN" w:bidi="ar"/>
              </w:rPr>
              <w:t>类</w:t>
            </w:r>
            <w:r>
              <w:rPr>
                <w:rFonts w:hint="eastAsia" w:ascii="宋体" w:hAnsi="宋体" w:eastAsia="宋体" w:cs="宋体"/>
                <w:kern w:val="0"/>
                <w:sz w:val="24"/>
                <w:szCs w:val="24"/>
                <w:highlight w:val="none"/>
                <w:lang w:val="en-US" w:eastAsia="zh-CN" w:bidi="ar"/>
              </w:rPr>
              <w:t>（中级及以上）职称证书得0.5分，最高得4分。</w:t>
            </w:r>
          </w:p>
          <w:p w14:paraId="40C25131">
            <w:pPr>
              <w:widowControl/>
              <w:spacing w:line="400" w:lineRule="exact"/>
              <w:jc w:val="left"/>
              <w:rPr>
                <w:rFonts w:hint="eastAsia" w:ascii="宋体" w:hAnsi="宋体" w:eastAsia="宋体" w:cs="宋体"/>
                <w:kern w:val="0"/>
                <w:sz w:val="24"/>
                <w:szCs w:val="24"/>
                <w:highlight w:val="none"/>
                <w:lang w:bidi="ar"/>
              </w:rPr>
            </w:pPr>
            <w:r>
              <w:rPr>
                <w:rFonts w:hint="eastAsia" w:ascii="宋体" w:hAnsi="宋体" w:eastAsia="宋体" w:cs="宋体"/>
                <w:kern w:val="0"/>
                <w:sz w:val="24"/>
                <w:szCs w:val="24"/>
                <w:highlight w:val="none"/>
                <w:lang w:bidi="ar"/>
              </w:rPr>
              <w:t>注：</w:t>
            </w:r>
          </w:p>
          <w:p w14:paraId="74D83DCD">
            <w:pPr>
              <w:widowControl/>
              <w:spacing w:line="400" w:lineRule="exact"/>
              <w:jc w:val="left"/>
              <w:rPr>
                <w:rFonts w:hint="eastAsia" w:ascii="宋体" w:hAnsi="宋体" w:eastAsia="宋体" w:cs="宋体"/>
                <w:sz w:val="24"/>
                <w:szCs w:val="24"/>
              </w:rPr>
            </w:pPr>
            <w:r>
              <w:rPr>
                <w:rFonts w:hint="eastAsia" w:ascii="宋体" w:hAnsi="宋体" w:eastAsia="宋体" w:cs="宋体"/>
                <w:kern w:val="0"/>
                <w:sz w:val="24"/>
                <w:szCs w:val="24"/>
                <w:highlight w:val="none"/>
                <w:lang w:eastAsia="zh-CN" w:bidi="ar"/>
              </w:rPr>
              <w:t>供应商</w:t>
            </w:r>
            <w:r>
              <w:rPr>
                <w:rFonts w:hint="eastAsia" w:ascii="宋体" w:hAnsi="宋体" w:eastAsia="宋体" w:cs="宋体"/>
                <w:kern w:val="0"/>
                <w:sz w:val="24"/>
                <w:szCs w:val="24"/>
                <w:highlight w:val="none"/>
                <w:lang w:bidi="ar"/>
              </w:rPr>
              <w:t>提供上述人员相关证书复印件及投标文件递交截止时间前近三个月的社保证明复</w:t>
            </w:r>
            <w:r>
              <w:rPr>
                <w:rFonts w:hint="eastAsia" w:ascii="宋体" w:hAnsi="宋体" w:eastAsia="宋体" w:cs="宋体"/>
                <w:kern w:val="0"/>
                <w:sz w:val="24"/>
                <w:szCs w:val="24"/>
                <w:highlight w:val="none"/>
                <w:lang w:bidi="ar"/>
              </w:rPr>
              <w:t>印件，未提供的不得分。</w:t>
            </w:r>
          </w:p>
        </w:tc>
      </w:tr>
      <w:tr w14:paraId="2550A47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377" w:type="dxa"/>
            <w:vMerge w:val="continue"/>
            <w:vAlign w:val="center"/>
          </w:tcPr>
          <w:p w14:paraId="13D6E5B7">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p>
        </w:tc>
        <w:tc>
          <w:tcPr>
            <w:tcW w:w="1849" w:type="dxa"/>
            <w:tcBorders>
              <w:top w:val="single" w:color="auto" w:sz="4" w:space="0"/>
            </w:tcBorders>
            <w:vAlign w:val="center"/>
          </w:tcPr>
          <w:p w14:paraId="3541A3C1">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售后服务方案（满分</w:t>
            </w:r>
            <w:r>
              <w:rPr>
                <w:rFonts w:hint="eastAsia" w:ascii="宋体" w:hAnsi="宋体" w:eastAsia="宋体" w:cs="宋体"/>
                <w:sz w:val="24"/>
                <w:szCs w:val="24"/>
                <w:lang w:eastAsia="zh-CN"/>
              </w:rPr>
              <w:t>5</w:t>
            </w:r>
            <w:r>
              <w:rPr>
                <w:rFonts w:hint="eastAsia" w:ascii="宋体" w:hAnsi="宋体" w:eastAsia="宋体" w:cs="宋体"/>
                <w:sz w:val="24"/>
                <w:szCs w:val="24"/>
              </w:rPr>
              <w:t>分）</w:t>
            </w:r>
          </w:p>
        </w:tc>
        <w:tc>
          <w:tcPr>
            <w:tcW w:w="7022" w:type="dxa"/>
          </w:tcPr>
          <w:p w14:paraId="04C0CAD8">
            <w:pPr>
              <w:pStyle w:val="72"/>
              <w:widowControl/>
              <w:spacing w:line="400" w:lineRule="exact"/>
              <w:ind w:firstLine="0" w:firstLineChars="0"/>
              <w:jc w:val="left"/>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售后响应方案（3分）</w:t>
            </w:r>
            <w:r>
              <w:rPr>
                <w:rFonts w:hint="eastAsia" w:ascii="宋体" w:hAnsi="宋体" w:eastAsia="宋体" w:cs="宋体"/>
                <w:sz w:val="24"/>
                <w:szCs w:val="24"/>
                <w:lang w:eastAsia="zh-CN"/>
              </w:rPr>
              <w:t>：</w:t>
            </w:r>
            <w:r>
              <w:rPr>
                <w:rFonts w:hint="eastAsia" w:ascii="宋体" w:hAnsi="宋体" w:eastAsia="宋体" w:cs="宋体"/>
                <w:sz w:val="24"/>
                <w:szCs w:val="24"/>
              </w:rPr>
              <w:t>售后响应满足项目需求，处理售后突发事件响应流程高效且契合实际</w:t>
            </w:r>
            <w:r>
              <w:rPr>
                <w:rFonts w:hint="eastAsia" w:ascii="宋体" w:hAnsi="宋体" w:eastAsia="宋体" w:cs="宋体"/>
                <w:sz w:val="24"/>
                <w:szCs w:val="24"/>
                <w:lang w:eastAsia="zh-CN"/>
              </w:rPr>
              <w:t>，具</w:t>
            </w:r>
            <w:r>
              <w:rPr>
                <w:rFonts w:hint="eastAsia" w:ascii="宋体" w:hAnsi="宋体" w:eastAsia="宋体" w:cs="宋体"/>
                <w:sz w:val="24"/>
                <w:szCs w:val="24"/>
              </w:rPr>
              <w:t>有针对性，得</w:t>
            </w:r>
            <w:r>
              <w:rPr>
                <w:rFonts w:hint="eastAsia" w:ascii="宋体" w:hAnsi="宋体" w:eastAsia="宋体" w:cs="宋体"/>
                <w:sz w:val="24"/>
                <w:szCs w:val="24"/>
                <w:lang w:val="en-US" w:eastAsia="zh-CN"/>
              </w:rPr>
              <w:t>3</w:t>
            </w:r>
            <w:r>
              <w:rPr>
                <w:rFonts w:hint="eastAsia" w:ascii="宋体" w:hAnsi="宋体" w:eastAsia="宋体" w:cs="宋体"/>
                <w:sz w:val="24"/>
                <w:szCs w:val="24"/>
              </w:rPr>
              <w:t>分；售后响应</w:t>
            </w:r>
            <w:r>
              <w:rPr>
                <w:rFonts w:hint="eastAsia" w:ascii="宋体" w:hAnsi="宋体" w:eastAsia="宋体" w:cs="宋体"/>
                <w:sz w:val="24"/>
                <w:szCs w:val="24"/>
                <w:lang w:val="en-US" w:eastAsia="zh-CN"/>
              </w:rPr>
              <w:t>基本</w:t>
            </w:r>
            <w:r>
              <w:rPr>
                <w:rFonts w:hint="eastAsia" w:ascii="宋体" w:hAnsi="宋体" w:eastAsia="宋体" w:cs="宋体"/>
                <w:sz w:val="24"/>
                <w:szCs w:val="24"/>
              </w:rPr>
              <w:t>满足项目需求，处理售后突发事件</w:t>
            </w:r>
            <w:r>
              <w:rPr>
                <w:rFonts w:hint="eastAsia" w:ascii="宋体" w:hAnsi="宋体" w:eastAsia="宋体" w:cs="宋体"/>
                <w:sz w:val="24"/>
                <w:szCs w:val="24"/>
                <w:lang w:val="en-US" w:eastAsia="zh-CN"/>
              </w:rPr>
              <w:t>措施存在瑕疵、基本符合</w:t>
            </w:r>
            <w:r>
              <w:rPr>
                <w:rFonts w:hint="eastAsia" w:ascii="宋体" w:hAnsi="宋体" w:eastAsia="宋体" w:cs="宋体"/>
                <w:sz w:val="24"/>
                <w:szCs w:val="24"/>
              </w:rPr>
              <w:t>实际，得1</w:t>
            </w:r>
            <w:r>
              <w:rPr>
                <w:rFonts w:hint="eastAsia" w:ascii="宋体" w:hAnsi="宋体" w:eastAsia="宋体" w:cs="宋体"/>
                <w:sz w:val="24"/>
                <w:szCs w:val="24"/>
                <w:lang w:val="en-US" w:eastAsia="zh-CN"/>
              </w:rPr>
              <w:t>.5</w:t>
            </w:r>
            <w:r>
              <w:rPr>
                <w:rFonts w:hint="eastAsia" w:ascii="宋体" w:hAnsi="宋体" w:eastAsia="宋体" w:cs="宋体"/>
                <w:sz w:val="24"/>
                <w:szCs w:val="24"/>
              </w:rPr>
              <w:t>分；无售后响应方案或与本项目无关的不得分。</w:t>
            </w:r>
          </w:p>
          <w:p w14:paraId="390E8B2A">
            <w:pPr>
              <w:pStyle w:val="72"/>
              <w:widowControl/>
              <w:spacing w:line="400" w:lineRule="exact"/>
              <w:ind w:firstLine="0" w:firstLineChars="0"/>
              <w:jc w:val="left"/>
              <w:rPr>
                <w:rFonts w:hint="eastAsia" w:ascii="宋体" w:hAnsi="宋体" w:eastAsia="宋体" w:cs="宋体"/>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违约责任承诺（</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违约处罚明确，责任划分清晰的，得2分；违约处罚不够明确，责任划分存在瑕疵的，得1分；无违约责任承诺或与本项目无关的不得分。</w:t>
            </w:r>
          </w:p>
        </w:tc>
      </w:tr>
      <w:tr w14:paraId="3FC44F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377" w:type="dxa"/>
            <w:vMerge w:val="continue"/>
            <w:vAlign w:val="center"/>
          </w:tcPr>
          <w:p w14:paraId="58B757F7">
            <w:pPr>
              <w:spacing w:line="400" w:lineRule="exact"/>
              <w:jc w:val="center"/>
              <w:rPr>
                <w:rFonts w:hint="eastAsia" w:ascii="宋体" w:hAnsi="宋体" w:eastAsia="宋体" w:cs="宋体"/>
                <w:b/>
                <w:bCs/>
                <w:color w:val="000000" w:themeColor="text1"/>
                <w:sz w:val="24"/>
                <w:szCs w:val="24"/>
                <w14:textFill>
                  <w14:solidFill>
                    <w14:schemeClr w14:val="tx1"/>
                  </w14:solidFill>
                </w14:textFill>
              </w:rPr>
            </w:pPr>
          </w:p>
        </w:tc>
        <w:tc>
          <w:tcPr>
            <w:tcW w:w="1849" w:type="dxa"/>
            <w:tcBorders>
              <w:top w:val="single" w:color="auto" w:sz="4" w:space="0"/>
            </w:tcBorders>
            <w:vAlign w:val="center"/>
          </w:tcPr>
          <w:p w14:paraId="66209E1B">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供应商</w:t>
            </w:r>
            <w:r>
              <w:rPr>
                <w:rFonts w:hint="eastAsia" w:ascii="宋体" w:hAnsi="宋体" w:eastAsia="宋体" w:cs="宋体"/>
                <w:sz w:val="24"/>
                <w:szCs w:val="24"/>
              </w:rPr>
              <w:t>管理能力及技术能力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满分3分</w:t>
            </w:r>
            <w:r>
              <w:rPr>
                <w:rFonts w:hint="eastAsia" w:ascii="宋体" w:hAnsi="宋体" w:eastAsia="宋体" w:cs="宋体"/>
                <w:sz w:val="24"/>
                <w:szCs w:val="24"/>
                <w:lang w:eastAsia="zh-CN"/>
              </w:rPr>
              <w:t>）</w:t>
            </w:r>
          </w:p>
        </w:tc>
        <w:tc>
          <w:tcPr>
            <w:tcW w:w="7022" w:type="dxa"/>
          </w:tcPr>
          <w:p w14:paraId="02281627">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提供软件能力成熟度3级及以上认证证书，得1分；</w:t>
            </w:r>
          </w:p>
          <w:p w14:paraId="3D50327E">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具有ISO9001质量管理体系认证证书，得0.5分；</w:t>
            </w:r>
          </w:p>
          <w:p w14:paraId="6DE3F50C">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具有地理信息相关的计算机软件著作权登记证书的，</w:t>
            </w:r>
            <w:r>
              <w:rPr>
                <w:rFonts w:hint="eastAsia" w:ascii="宋体" w:hAnsi="宋体" w:eastAsia="宋体" w:cs="宋体"/>
                <w:sz w:val="24"/>
                <w:szCs w:val="24"/>
                <w:highlight w:val="none"/>
                <w:lang w:val="en-US" w:eastAsia="zh-CN"/>
              </w:rPr>
              <w:t>每有一个</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0.5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最高得1分，未提供不得分</w:t>
            </w:r>
            <w:r>
              <w:rPr>
                <w:rFonts w:hint="eastAsia" w:ascii="宋体" w:hAnsi="宋体" w:eastAsia="宋体" w:cs="宋体"/>
                <w:sz w:val="24"/>
                <w:szCs w:val="24"/>
                <w:highlight w:val="none"/>
              </w:rPr>
              <w:t>。</w:t>
            </w:r>
          </w:p>
          <w:p w14:paraId="2D24D0DB">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具有测绘资质证书(</w:t>
            </w:r>
            <w:r>
              <w:rPr>
                <w:rFonts w:hint="eastAsia" w:ascii="宋体" w:hAnsi="宋体" w:cs="宋体"/>
                <w:sz w:val="24"/>
                <w:szCs w:val="24"/>
                <w:highlight w:val="none"/>
                <w:lang w:val="en-US" w:eastAsia="zh-CN"/>
              </w:rPr>
              <w:t>含</w:t>
            </w:r>
            <w:r>
              <w:rPr>
                <w:rFonts w:hint="eastAsia" w:ascii="宋体" w:hAnsi="宋体" w:eastAsia="宋体" w:cs="宋体"/>
                <w:sz w:val="24"/>
                <w:szCs w:val="24"/>
                <w:highlight w:val="none"/>
              </w:rPr>
              <w:t>地理信息系统工程</w:t>
            </w:r>
            <w:r>
              <w:rPr>
                <w:rFonts w:hint="eastAsia" w:ascii="宋体" w:hAnsi="宋体" w:cs="宋体"/>
                <w:sz w:val="24"/>
                <w:szCs w:val="24"/>
                <w:highlight w:val="none"/>
                <w:lang w:val="en-US" w:eastAsia="zh-CN"/>
              </w:rPr>
              <w:t>子项</w:t>
            </w:r>
            <w:r>
              <w:rPr>
                <w:rFonts w:hint="eastAsia" w:ascii="宋体" w:hAnsi="宋体" w:eastAsia="宋体" w:cs="宋体"/>
                <w:sz w:val="24"/>
                <w:szCs w:val="24"/>
                <w:highlight w:val="none"/>
              </w:rPr>
              <w:t>)乙级及以上证书，得</w:t>
            </w:r>
            <w:r>
              <w:rPr>
                <w:rFonts w:hint="eastAsia" w:ascii="宋体" w:hAnsi="宋体" w:eastAsia="宋体" w:cs="宋体"/>
                <w:sz w:val="24"/>
                <w:szCs w:val="24"/>
                <w:highlight w:val="none"/>
                <w:lang w:val="en-US" w:eastAsia="zh-CN"/>
              </w:rPr>
              <w:t>0.5</w:t>
            </w:r>
            <w:r>
              <w:rPr>
                <w:rFonts w:hint="eastAsia" w:ascii="宋体" w:hAnsi="宋体" w:eastAsia="宋体" w:cs="宋体"/>
                <w:sz w:val="24"/>
                <w:szCs w:val="24"/>
                <w:highlight w:val="none"/>
              </w:rPr>
              <w:t>分；</w:t>
            </w:r>
          </w:p>
          <w:p w14:paraId="41946ED4">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注：投标文件中提供上述证书的扫描件，未提供的不得分。</w:t>
            </w:r>
          </w:p>
        </w:tc>
      </w:tr>
      <w:tr w14:paraId="2029B2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1377" w:type="dxa"/>
            <w:vMerge w:val="continue"/>
            <w:vAlign w:val="center"/>
          </w:tcPr>
          <w:p w14:paraId="6A6132CF">
            <w:pPr>
              <w:spacing w:line="400" w:lineRule="exact"/>
              <w:rPr>
                <w:rFonts w:hint="eastAsia" w:ascii="宋体" w:hAnsi="宋体" w:eastAsia="宋体" w:cs="宋体"/>
                <w:b/>
                <w:bCs/>
                <w:spacing w:val="6"/>
                <w:sz w:val="24"/>
                <w:szCs w:val="24"/>
              </w:rPr>
            </w:pPr>
          </w:p>
        </w:tc>
        <w:tc>
          <w:tcPr>
            <w:tcW w:w="1849" w:type="dxa"/>
            <w:tcBorders>
              <w:top w:val="single" w:color="auto" w:sz="4" w:space="0"/>
            </w:tcBorders>
            <w:vAlign w:val="center"/>
          </w:tcPr>
          <w:p w14:paraId="2403EF11">
            <w:pPr>
              <w:spacing w:line="40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类似</w:t>
            </w:r>
            <w:r>
              <w:rPr>
                <w:rFonts w:hint="eastAsia" w:ascii="宋体" w:hAnsi="宋体" w:eastAsia="宋体" w:cs="宋体"/>
                <w:kern w:val="0"/>
                <w:sz w:val="24"/>
                <w:szCs w:val="24"/>
                <w:lang w:val="en-US" w:eastAsia="zh-CN" w:bidi="ar"/>
              </w:rPr>
              <w:t>项目</w:t>
            </w:r>
            <w:r>
              <w:rPr>
                <w:rFonts w:hint="eastAsia" w:ascii="宋体" w:hAnsi="宋体" w:eastAsia="宋体" w:cs="宋体"/>
                <w:kern w:val="0"/>
                <w:sz w:val="24"/>
                <w:szCs w:val="24"/>
                <w:lang w:bidi="ar"/>
              </w:rPr>
              <w:t>业绩</w:t>
            </w:r>
          </w:p>
          <w:p w14:paraId="7F247C2E">
            <w:pPr>
              <w:spacing w:line="40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r>
              <w:rPr>
                <w:rFonts w:hint="eastAsia" w:ascii="宋体" w:hAnsi="宋体" w:eastAsia="宋体" w:cs="宋体"/>
                <w:kern w:val="0"/>
                <w:sz w:val="24"/>
                <w:szCs w:val="24"/>
                <w:lang w:eastAsia="zh-CN" w:bidi="ar"/>
              </w:rPr>
              <w:t>0</w:t>
            </w:r>
            <w:r>
              <w:rPr>
                <w:rFonts w:hint="eastAsia" w:ascii="宋体" w:hAnsi="宋体" w:eastAsia="宋体" w:cs="宋体"/>
                <w:kern w:val="0"/>
                <w:sz w:val="24"/>
                <w:szCs w:val="24"/>
                <w:lang w:bidi="ar"/>
              </w:rPr>
              <w:t>分）</w:t>
            </w:r>
          </w:p>
        </w:tc>
        <w:tc>
          <w:tcPr>
            <w:tcW w:w="7022" w:type="dxa"/>
            <w:vAlign w:val="center"/>
          </w:tcPr>
          <w:p w14:paraId="3A03FFC5">
            <w:pPr>
              <w:spacing w:line="400" w:lineRule="exact"/>
              <w:jc w:val="left"/>
              <w:rPr>
                <w:rFonts w:hint="eastAsia" w:ascii="宋体" w:hAnsi="宋体" w:eastAsia="宋体" w:cs="宋体"/>
                <w:kern w:val="0"/>
                <w:sz w:val="24"/>
                <w:szCs w:val="24"/>
                <w:lang w:bidi="ar"/>
              </w:rPr>
            </w:pPr>
            <w:r>
              <w:rPr>
                <w:rFonts w:hint="eastAsia" w:ascii="宋体" w:hAnsi="宋体" w:eastAsia="宋体" w:cs="宋体"/>
                <w:color w:val="000000" w:themeColor="text1"/>
                <w:sz w:val="24"/>
                <w:szCs w:val="24"/>
                <w:lang w:val="en-US"/>
                <w14:textFill>
                  <w14:solidFill>
                    <w14:schemeClr w14:val="tx1"/>
                  </w14:solidFill>
                </w14:textFill>
              </w:rPr>
              <w:t>202</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14:textFill>
                  <w14:solidFill>
                    <w14:schemeClr w14:val="tx1"/>
                  </w14:solidFill>
                </w14:textFill>
              </w:rPr>
              <w:t>年1月1日至今（以中标(成交)通知书或合同时间为准）每独立承担过1个类似项目得</w:t>
            </w:r>
            <w:r>
              <w:rPr>
                <w:rFonts w:hint="eastAsia" w:ascii="宋体" w:hAnsi="宋体" w:eastAsia="宋体" w:cs="宋体"/>
                <w:kern w:val="0"/>
                <w:sz w:val="24"/>
                <w:szCs w:val="24"/>
                <w:lang w:bidi="ar"/>
              </w:rPr>
              <w:t>2分，满分1</w:t>
            </w:r>
            <w:r>
              <w:rPr>
                <w:rFonts w:hint="eastAsia" w:ascii="宋体" w:hAnsi="宋体" w:eastAsia="宋体" w:cs="宋体"/>
                <w:kern w:val="0"/>
                <w:sz w:val="24"/>
                <w:szCs w:val="24"/>
                <w:lang w:eastAsia="zh-CN" w:bidi="ar"/>
              </w:rPr>
              <w:t>0</w:t>
            </w:r>
            <w:r>
              <w:rPr>
                <w:rFonts w:hint="eastAsia" w:ascii="宋体" w:hAnsi="宋体" w:eastAsia="宋体" w:cs="宋体"/>
                <w:kern w:val="0"/>
                <w:sz w:val="24"/>
                <w:szCs w:val="24"/>
                <w:lang w:bidi="ar"/>
              </w:rPr>
              <w:t>分。其中，类似项目业绩是指</w:t>
            </w:r>
            <w:r>
              <w:rPr>
                <w:rFonts w:hint="eastAsia" w:ascii="宋体" w:hAnsi="宋体" w:eastAsia="宋体" w:cs="宋体"/>
                <w:kern w:val="0"/>
                <w:sz w:val="24"/>
                <w:szCs w:val="24"/>
                <w:highlight w:val="none"/>
                <w:lang w:val="en-US" w:eastAsia="zh-CN" w:bidi="ar"/>
              </w:rPr>
              <w:t>自然资源</w:t>
            </w:r>
            <w:r>
              <w:rPr>
                <w:rFonts w:hint="eastAsia" w:ascii="宋体" w:hAnsi="宋体" w:eastAsia="宋体" w:cs="宋体"/>
                <w:kern w:val="0"/>
                <w:sz w:val="24"/>
                <w:szCs w:val="24"/>
                <w:highlight w:val="none"/>
                <w:lang w:bidi="ar"/>
              </w:rPr>
              <w:t>信息化建设项目类似业绩</w:t>
            </w:r>
            <w:r>
              <w:rPr>
                <w:rFonts w:hint="eastAsia" w:ascii="宋体" w:hAnsi="宋体" w:eastAsia="宋体" w:cs="宋体"/>
                <w:kern w:val="0"/>
                <w:sz w:val="24"/>
                <w:szCs w:val="24"/>
                <w:highlight w:val="none"/>
                <w:lang w:eastAsia="zh-CN" w:bidi="ar"/>
              </w:rPr>
              <w:t>，</w:t>
            </w:r>
            <w:r>
              <w:rPr>
                <w:rFonts w:hint="eastAsia" w:ascii="宋体" w:hAnsi="宋体" w:eastAsia="宋体" w:cs="宋体"/>
                <w:kern w:val="0"/>
                <w:sz w:val="24"/>
                <w:szCs w:val="24"/>
                <w:highlight w:val="none"/>
                <w:lang w:val="en-US" w:eastAsia="zh-CN" w:bidi="ar"/>
              </w:rPr>
              <w:t>以合同签订时间为准</w:t>
            </w:r>
            <w:r>
              <w:rPr>
                <w:rFonts w:hint="eastAsia" w:ascii="宋体" w:hAnsi="宋体" w:eastAsia="宋体" w:cs="宋体"/>
                <w:kern w:val="0"/>
                <w:sz w:val="24"/>
                <w:szCs w:val="24"/>
                <w:lang w:bidi="ar"/>
              </w:rPr>
              <w:t>。</w:t>
            </w:r>
          </w:p>
          <w:p w14:paraId="11C6E385">
            <w:pPr>
              <w:spacing w:line="400" w:lineRule="exact"/>
              <w:jc w:val="left"/>
              <w:rPr>
                <w:rFonts w:hint="eastAsia" w:ascii="宋体" w:hAnsi="宋体" w:eastAsia="宋体" w:cs="宋体"/>
                <w:kern w:val="0"/>
                <w:sz w:val="24"/>
                <w:szCs w:val="24"/>
                <w:lang w:bidi="ar"/>
              </w:rPr>
            </w:pPr>
            <w:r>
              <w:rPr>
                <w:rFonts w:hint="eastAsia" w:ascii="宋体" w:hAnsi="宋体" w:eastAsia="宋体" w:cs="宋体"/>
                <w:b/>
                <w:bCs/>
                <w:kern w:val="0"/>
                <w:sz w:val="24"/>
                <w:szCs w:val="24"/>
                <w:lang w:bidi="ar"/>
              </w:rPr>
              <w:t>注：</w:t>
            </w:r>
            <w:r>
              <w:rPr>
                <w:rFonts w:hint="eastAsia" w:ascii="宋体" w:hAnsi="宋体" w:eastAsia="宋体" w:cs="宋体"/>
                <w:b w:val="0"/>
                <w:bCs w:val="0"/>
                <w:color w:val="000000" w:themeColor="text1"/>
                <w:sz w:val="24"/>
                <w:szCs w:val="24"/>
                <w:lang w:val="en-US"/>
                <w14:textFill>
                  <w14:solidFill>
                    <w14:schemeClr w14:val="tx1"/>
                  </w14:solidFill>
                </w14:textFill>
              </w:rPr>
              <w:t>业绩证明材料为合同或协议原件扫描件（所提供合同证明材料须包含合同首页、合同标的物所在页及合同签字盖章页的扫描件</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14:textFill>
                  <w14:solidFill>
                    <w14:schemeClr w14:val="tx1"/>
                  </w14:solidFill>
                </w14:textFill>
              </w:rPr>
              <w:t>如无法体现项目内容、签订日期等，须另附业主证明材料，否则不作为评审依据）</w:t>
            </w:r>
          </w:p>
        </w:tc>
      </w:tr>
      <w:tr w14:paraId="34DC898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0248" w:type="dxa"/>
            <w:gridSpan w:val="3"/>
            <w:tcBorders>
              <w:bottom w:val="single" w:color="auto" w:sz="12" w:space="0"/>
            </w:tcBorders>
            <w:vAlign w:val="center"/>
          </w:tcPr>
          <w:p w14:paraId="540B47A0">
            <w:pPr>
              <w:spacing w:line="400" w:lineRule="exact"/>
              <w:rPr>
                <w:rFonts w:hint="eastAsia" w:ascii="宋体" w:hAnsi="宋体" w:eastAsia="宋体" w:cs="宋体"/>
                <w:kern w:val="0"/>
                <w:sz w:val="24"/>
                <w:szCs w:val="24"/>
              </w:rPr>
            </w:pPr>
            <w:r>
              <w:rPr>
                <w:rFonts w:hint="eastAsia" w:ascii="宋体" w:hAnsi="宋体" w:eastAsia="宋体" w:cs="宋体"/>
                <w:kern w:val="0"/>
                <w:sz w:val="24"/>
                <w:szCs w:val="24"/>
              </w:rPr>
              <w:t>备注：对各</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投标文件技术文件、服务文件独立进行评分，不得采用插入法。</w:t>
            </w:r>
          </w:p>
        </w:tc>
      </w:tr>
    </w:tbl>
    <w:p w14:paraId="6A57485F">
      <w:pPr>
        <w:keepNext w:val="0"/>
        <w:keepLines w:val="0"/>
        <w:pageBreakBefore w:val="0"/>
        <w:kinsoku/>
        <w:wordWrap/>
        <w:overflowPunct/>
        <w:topLinePunct w:val="0"/>
        <w:bidi w:val="0"/>
        <w:spacing w:line="46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（七）得分汇总</w:t>
      </w:r>
    </w:p>
    <w:p w14:paraId="6BD6E402">
      <w:pPr>
        <w:pStyle w:val="14"/>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1.评委应首先对各供应商响应文件进行评审，写出书面意见并按竞争性磋商文件规定分值评分。</w:t>
      </w:r>
    </w:p>
    <w:p w14:paraId="1BDA0254">
      <w:pPr>
        <w:pStyle w:val="14"/>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2.除磋商价格得分（F</w:t>
      </w:r>
      <w:r>
        <w:rPr>
          <w:rFonts w:hint="eastAsia" w:ascii="宋体" w:hAnsi="宋体" w:cs="宋体"/>
          <w:sz w:val="30"/>
          <w:szCs w:val="30"/>
          <w:highlight w:val="none"/>
          <w:vertAlign w:val="subscript"/>
        </w:rPr>
        <w:t>1</w:t>
      </w:r>
      <w:r>
        <w:rPr>
          <w:rFonts w:hint="eastAsia" w:ascii="宋体" w:hAnsi="宋体" w:cs="宋体"/>
          <w:sz w:val="24"/>
          <w:szCs w:val="24"/>
          <w:highlight w:val="none"/>
        </w:rPr>
        <w:t>）外，其余部分由各评委自主评分并签字确认。</w:t>
      </w:r>
    </w:p>
    <w:p w14:paraId="38CB8CDA">
      <w:pPr>
        <w:pStyle w:val="14"/>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3.统分原则：计算评委打分的算术平均值为供应商的该项评分因素的得分，磋商报价得分除外（保留小数点后两位）。</w:t>
      </w:r>
    </w:p>
    <w:p w14:paraId="12B80F73">
      <w:pPr>
        <w:pStyle w:val="14"/>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4.得分汇总：各项评分因素得分总和即为供应商最后得分。</w:t>
      </w:r>
    </w:p>
    <w:p w14:paraId="57557ADD">
      <w:pPr>
        <w:pStyle w:val="14"/>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5.经磋商小组认定评分畸高、畸低的，磋商小组应当当场修改评审结果，并在评审报告中记载。</w:t>
      </w:r>
    </w:p>
    <w:p w14:paraId="12CB8199">
      <w:pPr>
        <w:keepNext w:val="0"/>
        <w:keepLines w:val="0"/>
        <w:pageBreakBefore w:val="0"/>
        <w:kinsoku/>
        <w:wordWrap/>
        <w:overflowPunct/>
        <w:topLinePunct w:val="0"/>
        <w:bidi w:val="0"/>
        <w:spacing w:before="95" w:beforeLines="30" w:after="95" w:afterLines="30" w:line="46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八、推荐</w:t>
      </w:r>
    </w:p>
    <w:p w14:paraId="333F0153">
      <w:pPr>
        <w:keepNext w:val="0"/>
        <w:keepLines w:val="0"/>
        <w:pageBreakBefore w:val="0"/>
        <w:kinsoku/>
        <w:wordWrap/>
        <w:overflowPunct/>
        <w:topLinePunct w:val="0"/>
        <w:autoSpaceDE w:val="0"/>
        <w:autoSpaceDN w:val="0"/>
        <w:bidi w:val="0"/>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cs="宋体"/>
          <w:sz w:val="24"/>
          <w:szCs w:val="24"/>
          <w:highlight w:val="none"/>
        </w:rPr>
        <w:t>磋商小组应当根据综合评分情况，按照评审得分由高到低顺序推荐</w:t>
      </w:r>
      <w:r>
        <w:rPr>
          <w:rFonts w:hint="eastAsia" w:ascii="宋体" w:hAnsi="宋体" w:cs="宋体"/>
          <w:sz w:val="24"/>
          <w:szCs w:val="24"/>
          <w:highlight w:val="none"/>
          <w:lang w:val="en-US" w:eastAsia="zh-CN"/>
        </w:rPr>
        <w:t>3名</w:t>
      </w:r>
      <w:r>
        <w:rPr>
          <w:rFonts w:hint="eastAsia" w:ascii="宋体" w:hAnsi="宋体" w:cs="宋体"/>
          <w:sz w:val="24"/>
          <w:szCs w:val="24"/>
          <w:highlight w:val="none"/>
        </w:rPr>
        <w:t>成交候选供应商</w:t>
      </w:r>
      <w:r>
        <w:rPr>
          <w:rFonts w:hint="eastAsia" w:ascii="宋体" w:hAnsi="宋体" w:cs="宋体"/>
          <w:sz w:val="24"/>
          <w:szCs w:val="24"/>
          <w:highlight w:val="none"/>
          <w:lang w:eastAsia="zh-CN"/>
        </w:rPr>
        <w:t>（</w:t>
      </w:r>
      <w:r>
        <w:rPr>
          <w:rFonts w:hint="eastAsia" w:ascii="宋体" w:hAnsi="宋体" w:cs="宋体"/>
          <w:color w:val="auto"/>
          <w:sz w:val="24"/>
          <w:szCs w:val="24"/>
          <w:highlight w:val="none"/>
          <w:lang w:val="en-US" w:eastAsia="zh-CN"/>
        </w:rPr>
        <w:t>符合财库〔2014〕214号第二十一条第三款情形和财库〔2015〕124号规定的，可以推荐2家成交候选供应商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，并编写评审报告。评审得分相同的，按照最后报价由低到高的顺序推荐。评审得分且最后报价相同的</w:t>
      </w:r>
      <w:r>
        <w:rPr>
          <w:rFonts w:hint="eastAsia" w:ascii="宋体" w:hAnsi="宋体" w:eastAsia="宋体" w:cs="宋体"/>
          <w:color w:val="000000"/>
          <w:sz w:val="24"/>
          <w:szCs w:val="24"/>
          <w:highlight w:val="none"/>
        </w:rPr>
        <w:t>，若存在节能环保产品参与</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，根据《中华人民共和国政府采购法</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中华人民共和国政府采购法实施条例》</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的规定，优先采购节能环保产品。若不存在节能环保产品参与</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，按</w:t>
      </w:r>
      <w:r>
        <w:rPr>
          <w:rFonts w:hint="eastAsia" w:ascii="宋体" w:hAnsi="宋体" w:cs="宋体"/>
          <w:b/>
          <w:bCs/>
          <w:color w:val="000000"/>
          <w:spacing w:val="6"/>
          <w:sz w:val="24"/>
          <w:szCs w:val="24"/>
          <w:highlight w:val="none"/>
        </w:rPr>
        <w:t>F</w:t>
      </w:r>
      <w:r>
        <w:rPr>
          <w:rFonts w:hint="eastAsia" w:ascii="宋体" w:hAnsi="宋体" w:cs="宋体"/>
          <w:b/>
          <w:bCs/>
          <w:color w:val="000000"/>
          <w:spacing w:val="6"/>
          <w:sz w:val="32"/>
          <w:szCs w:val="32"/>
          <w:highlight w:val="none"/>
          <w:vertAlign w:val="subscript"/>
        </w:rPr>
        <w:t>2</w:t>
      </w:r>
      <w:r>
        <w:rPr>
          <w:rFonts w:hint="eastAsia" w:ascii="宋体" w:hAnsi="宋体" w:cs="宋体"/>
          <w:b/>
          <w:bCs/>
          <w:color w:val="000000"/>
          <w:spacing w:val="6"/>
          <w:sz w:val="24"/>
          <w:szCs w:val="24"/>
          <w:highlight w:val="none"/>
        </w:rPr>
        <w:t>—</w:t>
      </w:r>
      <w:r>
        <w:rPr>
          <w:rFonts w:hint="eastAsia" w:ascii="宋体" w:hAnsi="宋体" w:cs="宋体"/>
          <w:b/>
          <w:bCs/>
          <w:color w:val="000000"/>
          <w:spacing w:val="6"/>
          <w:sz w:val="24"/>
          <w:szCs w:val="24"/>
          <w:highlight w:val="none"/>
          <w:lang w:val="en-US" w:eastAsia="zh-CN"/>
        </w:rPr>
        <w:t>技术部分评审标准</w:t>
      </w:r>
      <w:r>
        <w:rPr>
          <w:rFonts w:hint="eastAsia" w:ascii="宋体" w:hAnsi="宋体" w:eastAsia="宋体" w:cs="宋体"/>
          <w:color w:val="000000"/>
          <w:sz w:val="24"/>
          <w:szCs w:val="24"/>
          <w:highlight w:val="none"/>
        </w:rPr>
        <w:t>得分由高到低的顺序排列，依次类推。</w:t>
      </w:r>
    </w:p>
    <w:p w14:paraId="1F3CF765">
      <w:pPr>
        <w:keepNext w:val="0"/>
        <w:keepLines w:val="0"/>
        <w:pageBreakBefore w:val="0"/>
        <w:kinsoku/>
        <w:wordWrap/>
        <w:overflowPunct/>
        <w:topLinePunct w:val="0"/>
        <w:bidi w:val="0"/>
        <w:spacing w:before="95" w:beforeLines="30" w:after="95" w:afterLines="30" w:line="460" w:lineRule="exact"/>
        <w:ind w:firstLine="482" w:firstLineChars="200"/>
        <w:rPr>
          <w:rFonts w:hint="eastAsia" w:ascii="宋体" w:hAnsi="宋体" w:eastAsia="宋体" w:cs="宋体"/>
          <w:sz w:val="24"/>
          <w:szCs w:val="24"/>
          <w:highlight w:val="none"/>
        </w:rPr>
      </w:pPr>
      <w:r>
        <w:rPr>
          <w:rFonts w:hint="eastAsia" w:ascii="宋体" w:hAnsi="宋体" w:cs="宋体"/>
          <w:b/>
          <w:bCs/>
          <w:sz w:val="24"/>
          <w:szCs w:val="24"/>
          <w:highlight w:val="none"/>
        </w:rPr>
        <w:t>九、评审报告编写</w:t>
      </w:r>
    </w:p>
    <w:p w14:paraId="7E812802">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磋商小组根据全体评审成员签字的原始评审记录评审结果编写评审报告。</w:t>
      </w:r>
    </w:p>
    <w:p w14:paraId="5D7AC7E2">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评审报告应当包括以下主要内容：</w:t>
      </w:r>
    </w:p>
    <w:p w14:paraId="469A9559">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1.邀请供应商参加采购活动的具体方式和相关情况；</w:t>
      </w:r>
    </w:p>
    <w:p w14:paraId="5E6272BF">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2.响应文件开启日期和地点；</w:t>
      </w:r>
    </w:p>
    <w:p w14:paraId="486C6BF2">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3.获取磋商文件的供应商名单和磋商小组成员名单；</w:t>
      </w:r>
    </w:p>
    <w:p w14:paraId="12467CDB">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4.评审情况记录和说明，包括对供应商的资格审查情况、供应商响应文件评审情况、磋商情况、报价情况等；</w:t>
      </w:r>
    </w:p>
    <w:p w14:paraId="6AC5E3AA">
      <w:pPr>
        <w:keepNext w:val="0"/>
        <w:keepLines w:val="0"/>
        <w:pageBreakBefore w:val="0"/>
        <w:kinsoku/>
        <w:wordWrap/>
        <w:overflowPunct/>
        <w:topLinePunct w:val="0"/>
        <w:bidi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5.提出的成交候选供应商的排序名单及理由。</w:t>
      </w:r>
    </w:p>
    <w:p w14:paraId="25F45F3C">
      <w:pPr>
        <w:keepNext w:val="0"/>
        <w:keepLines w:val="0"/>
        <w:pageBreakBefore w:val="0"/>
        <w:kinsoku/>
        <w:wordWrap/>
        <w:overflowPunct/>
        <w:topLinePunct w:val="0"/>
        <w:bidi w:val="0"/>
        <w:spacing w:line="460" w:lineRule="exact"/>
        <w:ind w:firstLine="480" w:firstLineChars="200"/>
        <w:rPr>
          <w:rFonts w:hint="eastAsia" w:ascii="宋体" w:hAnsi="宋体" w:cs="宋体"/>
          <w:highlight w:val="none"/>
        </w:rPr>
      </w:pPr>
      <w:r>
        <w:rPr>
          <w:rFonts w:hint="eastAsia" w:ascii="宋体" w:hAnsi="宋体" w:cs="宋体"/>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0B8CC04">
      <w:pPr>
        <w:pStyle w:val="2"/>
        <w:spacing w:before="0" w:after="0" w:line="360" w:lineRule="auto"/>
        <w:jc w:val="center"/>
        <w:rPr>
          <w:rFonts w:hint="eastAsia" w:ascii="宋体" w:hAnsi="宋体" w:eastAsia="宋体"/>
          <w:i w:val="0"/>
          <w:iCs w:val="0"/>
          <w:color w:val="auto"/>
          <w:highlight w:val="none"/>
          <w:lang w:eastAsia="zh-CN"/>
        </w:rPr>
      </w:pPr>
      <w:bookmarkStart w:id="165" w:name="_Toc21476"/>
      <w:bookmarkEnd w:id="165"/>
      <w:bookmarkStart w:id="166" w:name="_Toc8239"/>
      <w:bookmarkEnd w:id="166"/>
      <w:bookmarkStart w:id="167" w:name="_Toc18440"/>
      <w:bookmarkEnd w:id="167"/>
      <w:bookmarkStart w:id="168" w:name="_Toc26828"/>
      <w:bookmarkEnd w:id="168"/>
      <w:bookmarkStart w:id="169" w:name="_Toc30727"/>
      <w:bookmarkStart w:id="170" w:name="_Toc3896294"/>
      <w:bookmarkStart w:id="171" w:name="_Toc15431"/>
      <w:r>
        <w:rPr>
          <w:rFonts w:hint="eastAsia" w:ascii="宋体" w:hAnsi="宋体" w:cs="宋体"/>
          <w:highlight w:val="none"/>
        </w:rPr>
        <w:br w:type="page"/>
      </w:r>
      <w:bookmarkEnd w:id="169"/>
      <w:bookmarkEnd w:id="170"/>
      <w:bookmarkStart w:id="172" w:name="_Toc14321"/>
      <w:bookmarkStart w:id="173" w:name="_Toc13821"/>
      <w:r>
        <w:rPr>
          <w:rFonts w:hint="eastAsia" w:ascii="宋体" w:hAnsi="宋体"/>
          <w:i w:val="0"/>
          <w:iCs w:val="0"/>
          <w:color w:val="auto"/>
          <w:highlight w:val="none"/>
        </w:rPr>
        <w:t xml:space="preserve">第四章 </w:t>
      </w:r>
      <w:bookmarkEnd w:id="172"/>
      <w:r>
        <w:rPr>
          <w:rFonts w:hint="eastAsia" w:ascii="宋体" w:hAnsi="宋体"/>
          <w:i w:val="0"/>
          <w:iCs w:val="0"/>
          <w:color w:val="auto"/>
          <w:highlight w:val="none"/>
          <w:lang w:eastAsia="zh-CN"/>
        </w:rPr>
        <w:t>合同草案条款及格式</w:t>
      </w:r>
      <w:bookmarkEnd w:id="173"/>
    </w:p>
    <w:bookmarkEnd w:id="171"/>
    <w:p w14:paraId="39FBB436">
      <w:pPr>
        <w:spacing w:line="360" w:lineRule="auto"/>
        <w:jc w:val="center"/>
        <w:rPr>
          <w:rFonts w:ascii="宋体" w:hAnsi="宋体"/>
          <w:highlight w:val="none"/>
        </w:rPr>
      </w:pPr>
      <w:bookmarkStart w:id="174" w:name="_Toc3896296"/>
      <w:bookmarkStart w:id="175" w:name="_Toc24075"/>
      <w:r>
        <w:rPr>
          <w:rFonts w:hint="eastAsia" w:ascii="宋体" w:hAnsi="宋体"/>
          <w:highlight w:val="none"/>
        </w:rPr>
        <w:t>(仅供参考，以实际签订内容为准)</w:t>
      </w:r>
    </w:p>
    <w:p w14:paraId="786C419C">
      <w:pPr>
        <w:rPr>
          <w:rFonts w:ascii="monospace" w:hAnsi="monospace" w:eastAsia="monospace" w:cs="monospace"/>
          <w:b/>
          <w:bCs/>
          <w:sz w:val="54"/>
          <w:szCs w:val="54"/>
          <w:highlight w:val="none"/>
          <w:shd w:val="clear" w:color="auto" w:fill="FFFFFF"/>
        </w:rPr>
      </w:pPr>
      <w:r>
        <w:rPr>
          <w:rFonts w:ascii="monospace" w:hAnsi="monospace" w:eastAsia="monospace" w:cs="monospace"/>
          <w:b/>
          <w:bCs/>
          <w:sz w:val="54"/>
          <w:szCs w:val="54"/>
          <w:highlight w:val="none"/>
          <w:shd w:val="clear" w:color="auto" w:fill="FFFFFF"/>
        </w:rPr>
        <w:br w:type="page"/>
      </w:r>
    </w:p>
    <w:p w14:paraId="18F3C0AD">
      <w:pPr>
        <w:widowControl/>
        <w:spacing w:line="600" w:lineRule="exact"/>
        <w:ind w:right="-109" w:rightChars="-52"/>
        <w:jc w:val="center"/>
        <w:rPr>
          <w:rFonts w:ascii="monospace" w:hAnsi="monospace" w:eastAsia="monospace" w:cs="monospace"/>
          <w:b/>
          <w:bCs/>
          <w:sz w:val="54"/>
          <w:szCs w:val="54"/>
          <w:highlight w:val="none"/>
          <w:shd w:val="clear" w:color="auto" w:fill="FFFFFF"/>
        </w:rPr>
      </w:pPr>
    </w:p>
    <w:p w14:paraId="72080AA1">
      <w:pPr>
        <w:widowControl/>
        <w:spacing w:line="800" w:lineRule="exact"/>
        <w:ind w:right="-109" w:rightChars="-52" w:firstLine="0" w:firstLineChars="0"/>
        <w:jc w:val="center"/>
        <w:rPr>
          <w:rFonts w:ascii="宋体" w:hAnsi="宋体" w:cs="宋体"/>
          <w:b/>
          <w:bCs/>
          <w:spacing w:val="44"/>
          <w:kern w:val="0"/>
          <w:sz w:val="44"/>
          <w:szCs w:val="44"/>
          <w:highlight w:val="none"/>
        </w:rPr>
      </w:pPr>
      <w:r>
        <w:rPr>
          <w:rFonts w:ascii="monospace" w:hAnsi="monospace" w:eastAsia="monospace" w:cs="monospace"/>
          <w:b/>
          <w:bCs/>
          <w:sz w:val="54"/>
          <w:szCs w:val="54"/>
          <w:highlight w:val="none"/>
          <w:shd w:val="clear" w:color="auto" w:fill="FFFFFF"/>
        </w:rPr>
        <w:t>政府采购合同</w:t>
      </w:r>
    </w:p>
    <w:p w14:paraId="17FCCF7D">
      <w:pPr>
        <w:widowControl/>
        <w:spacing w:line="800" w:lineRule="exact"/>
        <w:ind w:right="-109" w:rightChars="-52" w:firstLine="0" w:firstLineChars="0"/>
        <w:jc w:val="center"/>
        <w:rPr>
          <w:rFonts w:ascii="宋体" w:hAnsi="宋体" w:cs="宋体"/>
          <w:b/>
          <w:kern w:val="0"/>
          <w:sz w:val="32"/>
          <w:szCs w:val="32"/>
          <w:highlight w:val="none"/>
        </w:rPr>
      </w:pPr>
      <w:r>
        <w:rPr>
          <w:rFonts w:hint="eastAsia" w:ascii="宋体" w:hAnsi="宋体" w:cs="宋体"/>
          <w:b/>
          <w:kern w:val="0"/>
          <w:sz w:val="32"/>
          <w:szCs w:val="32"/>
          <w:highlight w:val="none"/>
        </w:rPr>
        <w:t>(电子交易项目适用)</w:t>
      </w:r>
    </w:p>
    <w:p w14:paraId="7F097502">
      <w:pPr>
        <w:bidi w:val="0"/>
        <w:rPr>
          <w:highlight w:val="none"/>
        </w:rPr>
      </w:pPr>
    </w:p>
    <w:p w14:paraId="0FF7C932">
      <w:pPr>
        <w:rPr>
          <w:rFonts w:ascii="宋体" w:hAnsi="宋体" w:cs="宋体"/>
          <w:b/>
          <w:kern w:val="0"/>
          <w:sz w:val="32"/>
          <w:szCs w:val="32"/>
          <w:highlight w:val="none"/>
        </w:rPr>
      </w:pPr>
    </w:p>
    <w:p w14:paraId="430B5C94">
      <w:pPr>
        <w:bidi w:val="0"/>
        <w:rPr>
          <w:highlight w:val="none"/>
        </w:rPr>
      </w:pPr>
    </w:p>
    <w:tbl>
      <w:tblPr>
        <w:tblStyle w:val="33"/>
        <w:tblW w:w="7691" w:type="dxa"/>
        <w:jc w:val="center"/>
        <w:tblCellSpacing w:w="0" w:type="dxa"/>
        <w:tblLayout w:type="fixed"/>
        <w:tblCellMar>
          <w:top w:w="0" w:type="dxa"/>
          <w:left w:w="0" w:type="dxa"/>
          <w:bottom w:w="0" w:type="dxa"/>
          <w:right w:w="0" w:type="dxa"/>
        </w:tblCellMar>
      </w:tblPr>
      <w:tblGrid>
        <w:gridCol w:w="7691"/>
      </w:tblGrid>
      <w:tr w14:paraId="2AE44751">
        <w:tblPrEx>
          <w:tblCellMar>
            <w:top w:w="0" w:type="dxa"/>
            <w:left w:w="0" w:type="dxa"/>
            <w:bottom w:w="0" w:type="dxa"/>
            <w:right w:w="0" w:type="dxa"/>
          </w:tblCellMar>
        </w:tblPrEx>
        <w:trPr>
          <w:trHeight w:val="510" w:hRule="atLeast"/>
          <w:tblCellSpacing w:w="0" w:type="dxa"/>
          <w:jc w:val="center"/>
        </w:trPr>
        <w:tc>
          <w:tcPr>
            <w:tcW w:w="7691" w:type="dxa"/>
          </w:tcPr>
          <w:p w14:paraId="520DEB80">
            <w:pPr>
              <w:spacing w:line="1000" w:lineRule="exact"/>
              <w:rPr>
                <w:rFonts w:hint="eastAsia" w:ascii="宋体" w:hAnsi="宋体" w:eastAsia="宋体" w:cs="宋体"/>
                <w:sz w:val="28"/>
                <w:szCs w:val="28"/>
                <w:highlight w:val="none"/>
                <w:lang w:eastAsia="zh-CN"/>
              </w:rPr>
            </w:pPr>
            <w:r>
              <w:rPr>
                <w:rFonts w:hint="eastAsia" w:ascii="宋体" w:hAnsi="宋体" w:cs="宋体"/>
                <w:spacing w:val="-1"/>
                <w:sz w:val="28"/>
                <w:szCs w:val="28"/>
                <w:highlight w:val="none"/>
              </w:rPr>
              <w:t>项目名称：</w:t>
            </w:r>
            <w:r>
              <w:rPr>
                <w:rFonts w:hint="eastAsia" w:ascii="宋体" w:hAnsi="宋体" w:cs="宋体"/>
                <w:kern w:val="0"/>
                <w:sz w:val="28"/>
                <w:szCs w:val="28"/>
                <w:highlight w:val="none"/>
                <w:u w:val="single"/>
                <w:lang w:eastAsia="zh-CN"/>
              </w:rPr>
              <w:t>云南省自然资源厅采矿用地复垦修复系统升级改造2025年项目</w:t>
            </w:r>
          </w:p>
        </w:tc>
      </w:tr>
      <w:tr w14:paraId="26C00782">
        <w:tblPrEx>
          <w:tblCellMar>
            <w:top w:w="0" w:type="dxa"/>
            <w:left w:w="0" w:type="dxa"/>
            <w:bottom w:w="0" w:type="dxa"/>
            <w:right w:w="0" w:type="dxa"/>
          </w:tblCellMar>
        </w:tblPrEx>
        <w:trPr>
          <w:trHeight w:val="510" w:hRule="atLeast"/>
          <w:tblCellSpacing w:w="0" w:type="dxa"/>
          <w:jc w:val="center"/>
        </w:trPr>
        <w:tc>
          <w:tcPr>
            <w:tcW w:w="7691" w:type="dxa"/>
          </w:tcPr>
          <w:p w14:paraId="03414448">
            <w:pPr>
              <w:spacing w:line="1000" w:lineRule="exact"/>
              <w:rPr>
                <w:rFonts w:ascii="宋体" w:hAnsi="宋体" w:cs="宋体"/>
                <w:sz w:val="28"/>
                <w:szCs w:val="28"/>
                <w:highlight w:val="none"/>
              </w:rPr>
            </w:pPr>
            <w:r>
              <w:rPr>
                <w:rFonts w:hint="eastAsia" w:ascii="宋体" w:hAnsi="宋体" w:cs="宋体"/>
                <w:spacing w:val="-1"/>
                <w:sz w:val="28"/>
                <w:szCs w:val="28"/>
                <w:highlight w:val="none"/>
              </w:rPr>
              <w:t>合同编号：</w:t>
            </w:r>
            <w:r>
              <w:rPr>
                <w:rFonts w:hint="eastAsia" w:ascii="宋体" w:hAnsi="宋体" w:cs="宋体"/>
                <w:spacing w:val="-1"/>
                <w:sz w:val="28"/>
                <w:szCs w:val="28"/>
                <w:highlight w:val="none"/>
                <w:u w:val="single"/>
              </w:rPr>
              <w:t xml:space="preserve">                      </w:t>
            </w:r>
            <w:r>
              <w:rPr>
                <w:rFonts w:hint="eastAsia" w:ascii="宋体" w:hAnsi="宋体" w:cs="宋体"/>
                <w:spacing w:val="-1"/>
                <w:sz w:val="28"/>
                <w:szCs w:val="28"/>
                <w:highlight w:val="none"/>
              </w:rPr>
              <w:t>（系统编号）</w:t>
            </w:r>
          </w:p>
        </w:tc>
      </w:tr>
      <w:tr w14:paraId="6BDA8D02">
        <w:tblPrEx>
          <w:tblCellMar>
            <w:top w:w="0" w:type="dxa"/>
            <w:left w:w="0" w:type="dxa"/>
            <w:bottom w:w="0" w:type="dxa"/>
            <w:right w:w="0" w:type="dxa"/>
          </w:tblCellMar>
        </w:tblPrEx>
        <w:trPr>
          <w:trHeight w:val="510" w:hRule="atLeast"/>
          <w:tblCellSpacing w:w="0" w:type="dxa"/>
          <w:jc w:val="center"/>
        </w:trPr>
        <w:tc>
          <w:tcPr>
            <w:tcW w:w="7691" w:type="dxa"/>
          </w:tcPr>
          <w:p w14:paraId="3AFF6768">
            <w:pPr>
              <w:spacing w:line="1000" w:lineRule="exact"/>
              <w:ind w:firstLine="1390" w:firstLineChars="500"/>
              <w:rPr>
                <w:rFonts w:ascii="宋体" w:hAnsi="宋体" w:cs="宋体"/>
                <w:sz w:val="28"/>
                <w:szCs w:val="28"/>
                <w:highlight w:val="none"/>
              </w:rPr>
            </w:pPr>
            <w:r>
              <w:rPr>
                <w:rFonts w:hint="eastAsia" w:ascii="宋体" w:hAnsi="宋体" w:cs="宋体"/>
                <w:spacing w:val="-1"/>
                <w:sz w:val="28"/>
                <w:szCs w:val="28"/>
                <w:highlight w:val="none"/>
              </w:rPr>
              <w:t>（自编号，如有）</w:t>
            </w:r>
          </w:p>
        </w:tc>
      </w:tr>
      <w:tr w14:paraId="40EF1EE9">
        <w:tblPrEx>
          <w:tblCellMar>
            <w:top w:w="0" w:type="dxa"/>
            <w:left w:w="0" w:type="dxa"/>
            <w:bottom w:w="0" w:type="dxa"/>
            <w:right w:w="0" w:type="dxa"/>
          </w:tblCellMar>
        </w:tblPrEx>
        <w:trPr>
          <w:trHeight w:val="510" w:hRule="atLeast"/>
          <w:tblCellSpacing w:w="0" w:type="dxa"/>
          <w:jc w:val="center"/>
        </w:trPr>
        <w:tc>
          <w:tcPr>
            <w:tcW w:w="7691" w:type="dxa"/>
          </w:tcPr>
          <w:p w14:paraId="126FD74C">
            <w:pPr>
              <w:spacing w:line="1000" w:lineRule="exact"/>
              <w:rPr>
                <w:rFonts w:ascii="宋体" w:hAnsi="宋体" w:cs="宋体"/>
                <w:sz w:val="28"/>
                <w:szCs w:val="28"/>
                <w:highlight w:val="none"/>
              </w:rPr>
            </w:pPr>
            <w:r>
              <w:rPr>
                <w:rFonts w:hint="eastAsia" w:ascii="宋体" w:hAnsi="宋体" w:cs="宋体"/>
                <w:spacing w:val="-2"/>
                <w:sz w:val="28"/>
                <w:szCs w:val="28"/>
                <w:highlight w:val="none"/>
              </w:rPr>
              <w:t>甲    方：</w:t>
            </w:r>
            <w:r>
              <w:rPr>
                <w:rFonts w:hint="eastAsia" w:ascii="宋体" w:hAnsi="宋体" w:cs="宋体"/>
                <w:spacing w:val="-2"/>
                <w:sz w:val="28"/>
                <w:szCs w:val="28"/>
                <w:highlight w:val="none"/>
                <w:u w:val="single"/>
              </w:rPr>
              <w:t>云南省自然资源厅国土资源信息中心</w:t>
            </w:r>
          </w:p>
        </w:tc>
      </w:tr>
      <w:tr w14:paraId="2AF79E92">
        <w:tblPrEx>
          <w:tblCellMar>
            <w:top w:w="0" w:type="dxa"/>
            <w:left w:w="0" w:type="dxa"/>
            <w:bottom w:w="0" w:type="dxa"/>
            <w:right w:w="0" w:type="dxa"/>
          </w:tblCellMar>
        </w:tblPrEx>
        <w:trPr>
          <w:trHeight w:val="510" w:hRule="atLeast"/>
          <w:tblCellSpacing w:w="0" w:type="dxa"/>
          <w:jc w:val="center"/>
        </w:trPr>
        <w:tc>
          <w:tcPr>
            <w:tcW w:w="7691" w:type="dxa"/>
          </w:tcPr>
          <w:p w14:paraId="39837D8F">
            <w:pPr>
              <w:spacing w:line="1000" w:lineRule="exact"/>
              <w:rPr>
                <w:rFonts w:ascii="宋体" w:hAnsi="宋体" w:cs="宋体"/>
                <w:sz w:val="24"/>
                <w:highlight w:val="none"/>
              </w:rPr>
            </w:pPr>
            <w:r>
              <w:rPr>
                <w:rFonts w:hint="eastAsia" w:ascii="宋体" w:hAnsi="宋体" w:cs="宋体"/>
                <w:spacing w:val="-2"/>
                <w:sz w:val="28"/>
                <w:szCs w:val="28"/>
                <w:highlight w:val="none"/>
              </w:rPr>
              <w:t>乙    方：</w:t>
            </w:r>
            <w:r>
              <w:rPr>
                <w:rFonts w:hint="eastAsia" w:ascii="宋体" w:hAnsi="宋体" w:cs="宋体"/>
                <w:spacing w:val="-2"/>
                <w:sz w:val="28"/>
                <w:szCs w:val="28"/>
                <w:highlight w:val="none"/>
                <w:u w:val="single"/>
              </w:rPr>
              <w:t xml:space="preserve">                        </w:t>
            </w:r>
            <w:r>
              <w:rPr>
                <w:rFonts w:hint="eastAsia" w:ascii="宋体" w:hAnsi="宋体" w:cs="宋体"/>
                <w:b/>
                <w:bCs/>
                <w:kern w:val="0"/>
                <w:sz w:val="28"/>
                <w:szCs w:val="28"/>
                <w:highlight w:val="none"/>
              </w:rPr>
              <w:t xml:space="preserve">   </w:t>
            </w:r>
            <w:r>
              <w:rPr>
                <w:rFonts w:hint="eastAsia" w:ascii="宋体" w:hAnsi="宋体"/>
                <w:b/>
                <w:highlight w:val="none"/>
              </w:rPr>
              <w:t xml:space="preserve">    </w:t>
            </w:r>
          </w:p>
        </w:tc>
      </w:tr>
    </w:tbl>
    <w:p w14:paraId="28C382BE">
      <w:pPr>
        <w:rPr>
          <w:rFonts w:hint="eastAsia" w:ascii="宋体" w:hAnsi="宋体"/>
          <w:sz w:val="24"/>
          <w:highlight w:val="none"/>
        </w:rPr>
      </w:pPr>
      <w:r>
        <w:rPr>
          <w:rFonts w:hint="eastAsia" w:ascii="宋体" w:hAnsi="宋体"/>
          <w:sz w:val="24"/>
          <w:highlight w:val="none"/>
        </w:rPr>
        <w:br w:type="page"/>
      </w:r>
    </w:p>
    <w:p w14:paraId="4599B8F2">
      <w:pPr>
        <w:keepNext w:val="0"/>
        <w:keepLines w:val="0"/>
        <w:pageBreakBefore w:val="0"/>
        <w:widowControl w:val="0"/>
        <w:kinsoku/>
        <w:wordWrap/>
        <w:overflowPunct/>
        <w:topLinePunct w:val="0"/>
        <w:autoSpaceDE/>
        <w:autoSpaceDN/>
        <w:bidi w:val="0"/>
        <w:adjustRightInd/>
        <w:snapToGrid/>
        <w:spacing w:before="167" w:beforeLines="50" w:line="420" w:lineRule="auto"/>
        <w:ind w:left="0" w:hanging="720" w:hangingChars="300"/>
        <w:textAlignment w:val="auto"/>
        <w:rPr>
          <w:rFonts w:hint="eastAsia" w:ascii="宋体" w:hAnsi="宋体"/>
          <w:sz w:val="24"/>
          <w:highlight w:val="none"/>
        </w:rPr>
      </w:pPr>
      <w:r>
        <w:rPr>
          <w:rFonts w:hint="eastAsia" w:ascii="宋体" w:hAnsi="宋体"/>
          <w:sz w:val="24"/>
          <w:highlight w:val="none"/>
        </w:rPr>
        <w:t>甲方（采购人公章）名称：云南省自然资源厅国土资源信息中心</w:t>
      </w:r>
    </w:p>
    <w:p w14:paraId="26B17612">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地址：云南省昆明市盘龙区北京路1018号</w:t>
      </w:r>
    </w:p>
    <w:p w14:paraId="2BFBA811">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邮编：650244</w:t>
      </w:r>
    </w:p>
    <w:p w14:paraId="15FAAD76">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法定代表人或委托代理人：</w:t>
      </w:r>
    </w:p>
    <w:p w14:paraId="6EB8217F">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项目（技术）负责人：</w:t>
      </w:r>
    </w:p>
    <w:p w14:paraId="53A0004C">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电话：</w:t>
      </w:r>
    </w:p>
    <w:p w14:paraId="116A8D45">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签订日期：</w:t>
      </w:r>
    </w:p>
    <w:p w14:paraId="76DB6913">
      <w:pPr>
        <w:keepNext w:val="0"/>
        <w:keepLines w:val="0"/>
        <w:pageBreakBefore w:val="0"/>
        <w:widowControl w:val="0"/>
        <w:kinsoku/>
        <w:wordWrap/>
        <w:overflowPunct/>
        <w:topLinePunct w:val="0"/>
        <w:autoSpaceDE/>
        <w:autoSpaceDN/>
        <w:bidi w:val="0"/>
        <w:adjustRightInd/>
        <w:snapToGrid/>
        <w:spacing w:before="332" w:beforeLines="100" w:line="420" w:lineRule="auto"/>
        <w:ind w:left="0" w:hanging="720" w:hangingChars="300"/>
        <w:textAlignment w:val="auto"/>
        <w:rPr>
          <w:rFonts w:ascii="宋体" w:hAnsi="宋体"/>
          <w:b/>
          <w:bCs/>
          <w:sz w:val="24"/>
          <w:highlight w:val="none"/>
        </w:rPr>
      </w:pPr>
      <w:r>
        <w:rPr>
          <w:rFonts w:hint="eastAsia" w:ascii="宋体" w:hAnsi="宋体"/>
          <w:sz w:val="24"/>
          <w:highlight w:val="none"/>
        </w:rPr>
        <w:t>乙方（投标人公章）名称：</w:t>
      </w:r>
    </w:p>
    <w:p w14:paraId="6271721B">
      <w:pPr>
        <w:keepNext w:val="0"/>
        <w:keepLines w:val="0"/>
        <w:pageBreakBefore w:val="0"/>
        <w:widowControl/>
        <w:kinsoku/>
        <w:wordWrap/>
        <w:overflowPunct/>
        <w:topLinePunct w:val="0"/>
        <w:autoSpaceDE/>
        <w:autoSpaceDN/>
        <w:bidi w:val="0"/>
        <w:adjustRightInd/>
        <w:snapToGrid/>
        <w:spacing w:line="420" w:lineRule="auto"/>
        <w:jc w:val="left"/>
        <w:textAlignment w:val="auto"/>
        <w:rPr>
          <w:rFonts w:hint="eastAsia" w:ascii="宋体" w:hAnsi="宋体" w:cs="宋体"/>
          <w:kern w:val="0"/>
          <w:sz w:val="24"/>
          <w:highlight w:val="none"/>
        </w:rPr>
      </w:pPr>
      <w:r>
        <w:rPr>
          <w:rFonts w:hint="eastAsia" w:ascii="宋体" w:hAnsi="宋体" w:cs="宋体"/>
          <w:kern w:val="0"/>
          <w:sz w:val="24"/>
          <w:highlight w:val="none"/>
        </w:rPr>
        <w:t>地址：</w:t>
      </w:r>
    </w:p>
    <w:p w14:paraId="03EE8013">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b/>
          <w:bCs/>
          <w:sz w:val="24"/>
          <w:szCs w:val="21"/>
          <w:highlight w:val="none"/>
        </w:rPr>
      </w:pPr>
      <w:r>
        <w:rPr>
          <w:rFonts w:hint="eastAsia" w:ascii="宋体" w:hAnsi="宋体" w:cs="宋体"/>
          <w:kern w:val="0"/>
          <w:sz w:val="24"/>
          <w:highlight w:val="none"/>
        </w:rPr>
        <w:t>邮编：</w:t>
      </w:r>
    </w:p>
    <w:p w14:paraId="41707B30">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法定代表人或委托代理人：</w:t>
      </w:r>
    </w:p>
    <w:p w14:paraId="118E2C17">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经办人：</w:t>
      </w:r>
    </w:p>
    <w:p w14:paraId="6821106E">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电话：</w:t>
      </w:r>
    </w:p>
    <w:p w14:paraId="334BF5FB">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签订日期：</w:t>
      </w:r>
    </w:p>
    <w:p w14:paraId="315F66A4">
      <w:pPr>
        <w:keepNext w:val="0"/>
        <w:keepLines w:val="0"/>
        <w:pageBreakBefore w:val="0"/>
        <w:widowControl w:val="0"/>
        <w:kinsoku/>
        <w:wordWrap/>
        <w:overflowPunct/>
        <w:topLinePunct w:val="0"/>
        <w:autoSpaceDE/>
        <w:autoSpaceDN/>
        <w:bidi w:val="0"/>
        <w:adjustRightInd/>
        <w:snapToGrid/>
        <w:spacing w:before="332" w:beforeLines="100" w:line="420" w:lineRule="auto"/>
        <w:ind w:left="0" w:hanging="720" w:hangingChars="300"/>
        <w:textAlignment w:val="auto"/>
        <w:rPr>
          <w:rFonts w:hint="eastAsia" w:ascii="宋体" w:hAnsi="宋体" w:eastAsia="宋体"/>
          <w:sz w:val="24"/>
          <w:highlight w:val="none"/>
          <w:lang w:eastAsia="zh-CN"/>
        </w:rPr>
      </w:pPr>
      <w:r>
        <w:rPr>
          <w:rFonts w:hint="eastAsia" w:ascii="宋体" w:hAnsi="宋体"/>
          <w:sz w:val="24"/>
          <w:highlight w:val="none"/>
        </w:rPr>
        <w:t>丙方（鉴证方公章）名称：</w:t>
      </w:r>
      <w:r>
        <w:rPr>
          <w:rFonts w:hint="eastAsia" w:ascii="宋体" w:hAnsi="宋体"/>
          <w:sz w:val="24"/>
          <w:highlight w:val="none"/>
          <w:lang w:eastAsia="zh-CN"/>
        </w:rPr>
        <w:t>华城云筑工程咨询管理(云南)有限公司</w:t>
      </w:r>
    </w:p>
    <w:p w14:paraId="3D2CE3F8">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地址：云南省昆明市盘龙区金辰街道大唐国际写字楼18楼1801号</w:t>
      </w:r>
    </w:p>
    <w:p w14:paraId="6F1C9208">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邮编：</w:t>
      </w:r>
    </w:p>
    <w:p w14:paraId="723959A8">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法定代表人或委托代理人：</w:t>
      </w:r>
    </w:p>
    <w:p w14:paraId="2946113D">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经办人：</w:t>
      </w:r>
    </w:p>
    <w:p w14:paraId="4B6DA005">
      <w:pPr>
        <w:keepNext w:val="0"/>
        <w:keepLines w:val="0"/>
        <w:pageBreakBefore w:val="0"/>
        <w:widowControl/>
        <w:kinsoku/>
        <w:wordWrap/>
        <w:overflowPunct/>
        <w:topLinePunct w:val="0"/>
        <w:autoSpaceDE/>
        <w:autoSpaceDN/>
        <w:bidi w:val="0"/>
        <w:adjustRightInd/>
        <w:snapToGrid/>
        <w:spacing w:line="420" w:lineRule="auto"/>
        <w:jc w:val="left"/>
        <w:textAlignment w:val="auto"/>
        <w:rPr>
          <w:rFonts w:ascii="宋体" w:hAnsi="宋体" w:cs="宋体"/>
          <w:kern w:val="0"/>
          <w:sz w:val="24"/>
          <w:highlight w:val="none"/>
        </w:rPr>
      </w:pPr>
      <w:r>
        <w:rPr>
          <w:rFonts w:hint="eastAsia" w:ascii="宋体" w:hAnsi="宋体" w:cs="宋体"/>
          <w:kern w:val="0"/>
          <w:sz w:val="24"/>
          <w:highlight w:val="none"/>
        </w:rPr>
        <w:t>电话：</w:t>
      </w:r>
    </w:p>
    <w:p w14:paraId="2F70CDC2">
      <w:pPr>
        <w:widowControl/>
        <w:spacing w:after="200"/>
        <w:jc w:val="left"/>
        <w:rPr>
          <w:rFonts w:ascii="宋体" w:hAnsi="宋体" w:cs="宋体"/>
          <w:bCs/>
          <w:sz w:val="24"/>
          <w:highlight w:val="none"/>
        </w:rPr>
      </w:pPr>
      <w:r>
        <w:rPr>
          <w:rFonts w:hint="eastAsia" w:ascii="宋体" w:hAnsi="宋体" w:cs="宋体"/>
          <w:bCs/>
          <w:sz w:val="24"/>
          <w:highlight w:val="none"/>
        </w:rPr>
        <w:br w:type="page"/>
      </w:r>
    </w:p>
    <w:p w14:paraId="5DC3A72A">
      <w:pPr>
        <w:widowControl/>
        <w:spacing w:after="200" w:line="480" w:lineRule="exact"/>
        <w:ind w:firstLine="482" w:firstLineChars="200"/>
        <w:jc w:val="left"/>
        <w:rPr>
          <w:rFonts w:hint="eastAsia" w:ascii="宋体" w:hAnsi="宋体" w:eastAsia="宋体" w:cs="宋体"/>
          <w:b/>
          <w:bCs/>
          <w:kern w:val="0"/>
          <w:sz w:val="24"/>
          <w:szCs w:val="21"/>
          <w:highlight w:val="none"/>
          <w:lang w:eastAsia="zh-CN"/>
        </w:rPr>
      </w:pPr>
      <w:r>
        <w:rPr>
          <w:rFonts w:hint="eastAsia" w:ascii="宋体" w:hAnsi="宋体" w:cs="宋体"/>
          <w:b/>
          <w:bCs/>
          <w:kern w:val="0"/>
          <w:sz w:val="24"/>
          <w:szCs w:val="21"/>
          <w:highlight w:val="none"/>
        </w:rPr>
        <w:t>甲方：云南省自然资源厅</w:t>
      </w:r>
      <w:r>
        <w:rPr>
          <w:rFonts w:hint="eastAsia" w:ascii="宋体" w:hAnsi="宋体" w:cs="宋体"/>
          <w:b/>
          <w:bCs/>
          <w:kern w:val="0"/>
          <w:sz w:val="24"/>
          <w:szCs w:val="21"/>
          <w:highlight w:val="none"/>
          <w:lang w:eastAsia="zh-CN"/>
        </w:rPr>
        <w:t>国土资源信息中心</w:t>
      </w:r>
    </w:p>
    <w:p w14:paraId="3AF3CF93">
      <w:pPr>
        <w:widowControl/>
        <w:spacing w:after="200" w:line="480" w:lineRule="exact"/>
        <w:ind w:firstLine="482" w:firstLineChars="200"/>
        <w:jc w:val="left"/>
        <w:rPr>
          <w:rFonts w:ascii="宋体" w:hAnsi="宋体" w:cs="宋体"/>
          <w:b/>
          <w:bCs/>
          <w:kern w:val="0"/>
          <w:sz w:val="24"/>
          <w:szCs w:val="21"/>
          <w:highlight w:val="none"/>
        </w:rPr>
      </w:pPr>
      <w:r>
        <w:rPr>
          <w:rFonts w:hint="eastAsia" w:ascii="宋体" w:hAnsi="宋体" w:cs="宋体"/>
          <w:b/>
          <w:bCs/>
          <w:kern w:val="0"/>
          <w:sz w:val="24"/>
          <w:szCs w:val="21"/>
          <w:highlight w:val="none"/>
        </w:rPr>
        <w:t>乙方：</w:t>
      </w:r>
    </w:p>
    <w:p w14:paraId="63C60263">
      <w:pPr>
        <w:spacing w:line="560" w:lineRule="exact"/>
        <w:ind w:firstLine="480" w:firstLineChars="200"/>
        <w:rPr>
          <w:rFonts w:ascii="宋体" w:hAnsi="宋体" w:cs="宋体"/>
          <w:sz w:val="24"/>
          <w:highlight w:val="none"/>
        </w:rPr>
      </w:pPr>
      <w:r>
        <w:rPr>
          <w:rFonts w:hint="eastAsia" w:ascii="宋体" w:hAnsi="宋体" w:cs="宋体"/>
          <w:sz w:val="24"/>
          <w:highlight w:val="none"/>
        </w:rPr>
        <w:t>根据</w:t>
      </w:r>
      <w:r>
        <w:rPr>
          <w:rFonts w:hint="eastAsia" w:ascii="宋体" w:hAnsi="宋体" w:cs="宋体"/>
          <w:sz w:val="24"/>
          <w:highlight w:val="none"/>
          <w:lang w:eastAsia="zh-CN"/>
        </w:rPr>
        <w:t>云南省自然资源厅国土资源信息中心</w:t>
      </w:r>
      <w:r>
        <w:rPr>
          <w:rFonts w:hint="eastAsia" w:ascii="宋体" w:hAnsi="宋体" w:cs="宋体"/>
          <w:sz w:val="24"/>
          <w:highlight w:val="none"/>
        </w:rPr>
        <w:t>组织的</w:t>
      </w:r>
      <w:r>
        <w:rPr>
          <w:rFonts w:hint="eastAsia" w:ascii="宋体" w:hAnsi="宋体" w:cs="宋体"/>
          <w:b/>
          <w:sz w:val="24"/>
          <w:highlight w:val="none"/>
          <w:u w:val="single"/>
          <w:lang w:eastAsia="zh-CN"/>
        </w:rPr>
        <w:t>云南省自然资源厅采矿用地复垦修复系统升级改造2025年项目</w:t>
      </w:r>
      <w:r>
        <w:rPr>
          <w:rFonts w:hint="eastAsia" w:ascii="宋体" w:hAnsi="宋体" w:cs="宋体"/>
          <w:b/>
          <w:sz w:val="24"/>
          <w:highlight w:val="none"/>
          <w:u w:val="single"/>
        </w:rPr>
        <w:t>（项目编号：   ）</w:t>
      </w:r>
      <w:r>
        <w:rPr>
          <w:rFonts w:hint="eastAsia" w:ascii="宋体" w:hAnsi="宋体" w:cs="宋体"/>
          <w:sz w:val="24"/>
          <w:highlight w:val="none"/>
        </w:rPr>
        <w:t>采购结果，由</w:t>
      </w:r>
      <w:r>
        <w:rPr>
          <w:rFonts w:hint="eastAsia" w:ascii="宋体" w:hAnsi="宋体" w:cs="宋体"/>
          <w:b/>
          <w:sz w:val="24"/>
          <w:highlight w:val="none"/>
          <w:u w:val="single"/>
        </w:rPr>
        <w:t xml:space="preserve">         （</w:t>
      </w:r>
      <w:r>
        <w:rPr>
          <w:rFonts w:hint="eastAsia" w:ascii="宋体" w:hAnsi="宋体" w:cs="宋体"/>
          <w:b/>
          <w:sz w:val="24"/>
          <w:highlight w:val="none"/>
          <w:u w:val="single"/>
          <w:lang w:eastAsia="zh-CN"/>
        </w:rPr>
        <w:t>成交人</w:t>
      </w:r>
      <w:r>
        <w:rPr>
          <w:rFonts w:hint="eastAsia" w:ascii="宋体" w:hAnsi="宋体" w:cs="宋体"/>
          <w:b/>
          <w:sz w:val="24"/>
          <w:highlight w:val="none"/>
          <w:u w:val="single"/>
        </w:rPr>
        <w:t>名称）</w:t>
      </w:r>
      <w:r>
        <w:rPr>
          <w:rFonts w:hint="eastAsia" w:ascii="宋体" w:hAnsi="宋体" w:cs="宋体"/>
          <w:sz w:val="24"/>
          <w:highlight w:val="none"/>
        </w:rPr>
        <w:t>负责完成</w:t>
      </w:r>
      <w:r>
        <w:rPr>
          <w:rFonts w:hint="eastAsia" w:ascii="宋体" w:hAnsi="宋体" w:cs="宋体"/>
          <w:sz w:val="24"/>
          <w:highlight w:val="none"/>
          <w:lang w:val="en-US" w:eastAsia="zh-CN"/>
        </w:rPr>
        <w:t>本项目</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none"/>
          <w:lang w:val="en-US" w:eastAsia="zh-CN"/>
        </w:rPr>
        <w:t>标段相关</w:t>
      </w:r>
      <w:r>
        <w:rPr>
          <w:rFonts w:hint="eastAsia" w:ascii="宋体" w:hAnsi="宋体" w:cs="宋体"/>
          <w:sz w:val="24"/>
          <w:highlight w:val="none"/>
        </w:rPr>
        <w:t>工作。根据《中华人民共和国民法典》以及有关法律法规的规定，双方本着诚实信用、平等自愿、互利有偿的原则，经双方友好协商一致，签订本合同，共同遵守执行。</w:t>
      </w:r>
    </w:p>
    <w:p w14:paraId="134CD699">
      <w:pPr>
        <w:spacing w:line="560" w:lineRule="exact"/>
        <w:ind w:firstLine="482" w:firstLineChars="200"/>
        <w:rPr>
          <w:rFonts w:ascii="宋体" w:hAnsi="宋体" w:cs="宋体"/>
          <w:b/>
          <w:bCs/>
          <w:sz w:val="24"/>
          <w:highlight w:val="none"/>
        </w:rPr>
      </w:pPr>
      <w:r>
        <w:rPr>
          <w:rFonts w:ascii="宋体" w:hAnsi="宋体" w:cs="宋体"/>
          <w:b/>
          <w:bCs/>
          <w:sz w:val="24"/>
          <w:highlight w:val="none"/>
        </w:rPr>
        <w:t>1</w:t>
      </w:r>
      <w:r>
        <w:rPr>
          <w:rFonts w:hint="eastAsia" w:ascii="宋体" w:hAnsi="宋体" w:cs="宋体"/>
          <w:b/>
          <w:bCs/>
          <w:sz w:val="24"/>
          <w:highlight w:val="none"/>
        </w:rPr>
        <w:t>.建设目标</w:t>
      </w:r>
    </w:p>
    <w:p w14:paraId="381ABFA2">
      <w:pPr>
        <w:spacing w:line="560" w:lineRule="exact"/>
        <w:ind w:firstLine="480" w:firstLineChars="200"/>
        <w:outlineLvl w:val="1"/>
        <w:rPr>
          <w:rFonts w:ascii="宋体" w:hAnsi="宋体" w:cs="仿宋"/>
          <w:sz w:val="24"/>
          <w:szCs w:val="21"/>
          <w:highlight w:val="none"/>
        </w:rPr>
      </w:pPr>
      <w:bookmarkStart w:id="176" w:name="_Toc10964"/>
      <w:r>
        <w:rPr>
          <w:rFonts w:hint="eastAsia" w:ascii="宋体" w:hAnsi="宋体" w:cs="仿宋"/>
          <w:sz w:val="24"/>
          <w:szCs w:val="21"/>
          <w:highlight w:val="none"/>
        </w:rPr>
        <w:t>按照《自然资源部办公厅关于推进存量采矿用地复垦修复验收信息化建设的通知》和《云南省自然资源厅关于有序开展存量采矿用地复垦修复腾退指标工作的通知》等文件要求，顺应自然资源部和云南省自然资源厅关于存量采矿用地复垦修复验收的信息化建设部署，开展云南省采矿用地复垦修复系统建设，支撑全省存量采矿用地项目从立项审批到实施再到验收全流程信息化管理，同时构建云南省生态修复土地复垦腾退指标库，为管理部门提供及时、准确的数据支持。</w:t>
      </w:r>
      <w:bookmarkEnd w:id="176"/>
    </w:p>
    <w:p w14:paraId="5E6C0B6F">
      <w:pPr>
        <w:spacing w:line="560" w:lineRule="exact"/>
        <w:ind w:firstLine="482" w:firstLineChars="200"/>
        <w:outlineLvl w:val="1"/>
        <w:rPr>
          <w:rFonts w:ascii="宋体" w:hAnsi="宋体" w:cs="宋体"/>
          <w:b/>
          <w:bCs/>
          <w:sz w:val="24"/>
          <w:highlight w:val="none"/>
        </w:rPr>
      </w:pPr>
      <w:bookmarkStart w:id="177" w:name="_Toc18523"/>
      <w:r>
        <w:rPr>
          <w:rFonts w:hint="eastAsia" w:ascii="宋体" w:hAnsi="宋体" w:cs="宋体"/>
          <w:b/>
          <w:bCs/>
          <w:sz w:val="24"/>
          <w:highlight w:val="none"/>
          <w:lang w:val="en-US" w:eastAsia="zh-CN"/>
        </w:rPr>
        <w:t>2</w:t>
      </w:r>
      <w:r>
        <w:rPr>
          <w:rFonts w:hint="eastAsia" w:ascii="宋体" w:hAnsi="宋体" w:cs="宋体"/>
          <w:b/>
          <w:bCs/>
          <w:sz w:val="24"/>
          <w:highlight w:val="none"/>
        </w:rPr>
        <w:t>.工作内容</w:t>
      </w:r>
      <w:bookmarkEnd w:id="177"/>
    </w:p>
    <w:p w14:paraId="36F28F28">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结合采购标的的工作目标，2026年需完成以下建设内容：</w:t>
      </w:r>
    </w:p>
    <w:p w14:paraId="661DEE5B">
      <w:pPr>
        <w:adjustRightInd w:val="0"/>
        <w:snapToGrid w:val="0"/>
        <w:spacing w:beforeLines="0" w:afterLines="0" w:line="460" w:lineRule="exact"/>
        <w:ind w:firstLine="482" w:firstLineChars="200"/>
        <w:jc w:val="left"/>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（1）合规检查</w:t>
      </w:r>
    </w:p>
    <w:p w14:paraId="0124C27D">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服务于采矿用地复垦修复项目包含的空间数据合规性检查，包括文件有效性检查和压占分析检查，其中压占分析包括“三区三线”、同类型项目、土地利用情况等。</w:t>
      </w:r>
    </w:p>
    <w:p w14:paraId="6B218B2B">
      <w:pPr>
        <w:adjustRightInd w:val="0"/>
        <w:snapToGrid w:val="0"/>
        <w:spacing w:beforeLines="0" w:afterLines="0" w:line="460" w:lineRule="exact"/>
        <w:ind w:firstLine="482" w:firstLineChars="200"/>
        <w:jc w:val="left"/>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（2）项目立项</w:t>
      </w:r>
    </w:p>
    <w:p w14:paraId="7B3E6761">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服务于采矿用地复垦修复项目的信息填报与审批工作，研发项目信息填报功能，实现项目基本信息、图斑、方案以及相关佐证材料的上传与管理；建立县、市、省三级项目审批流程，研发项目审批功能，开展项目立项的审批工作，审批完成后统一由省自然资源厅进行备案管理。</w:t>
      </w:r>
    </w:p>
    <w:p w14:paraId="75A46D60">
      <w:pPr>
        <w:adjustRightInd w:val="0"/>
        <w:snapToGrid w:val="0"/>
        <w:spacing w:beforeLines="0" w:afterLines="0" w:line="460" w:lineRule="exact"/>
        <w:ind w:firstLine="482" w:firstLineChars="200"/>
        <w:jc w:val="left"/>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（3）项目验收</w:t>
      </w:r>
    </w:p>
    <w:p w14:paraId="2BBD3AC7">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服务于采矿用地复垦修复项目的验收管理工作，构建项目验收申请功能，实现项目验收信息填报、资料上传、验收申请等；研发项目验收审批功能，按照县级初验、州市复验和省厅终验三级审批模式对项目信息进行核查与审批，同时，结合移动信息协同，实现野外论证任务的推送和现场论证数据接入，确保项目工作的真实性，提高项目的成果质量。</w:t>
      </w:r>
    </w:p>
    <w:p w14:paraId="6B007C6B">
      <w:pPr>
        <w:adjustRightInd w:val="0"/>
        <w:snapToGrid w:val="0"/>
        <w:spacing w:beforeLines="0" w:afterLines="0" w:line="460" w:lineRule="exact"/>
        <w:ind w:firstLine="482" w:firstLineChars="200"/>
        <w:jc w:val="left"/>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（4）指标管理</w:t>
      </w:r>
    </w:p>
    <w:p w14:paraId="2E957C33">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结合省、市、县各个层级的腾退土地面积指标，提供包括指标分配、监督、核查为一体的指标管理模块，实现指标任务“省、市、县、项目”层层下发与指标完成情况“项目、县、市、省”层层汇聚；结合项目的空间位置，利用GIS空间分析能力对指标异常情况进行识别与监督。</w:t>
      </w:r>
    </w:p>
    <w:p w14:paraId="77C4D530">
      <w:pPr>
        <w:adjustRightInd w:val="0"/>
        <w:snapToGrid w:val="0"/>
        <w:spacing w:beforeLines="0" w:afterLines="0" w:line="460" w:lineRule="exact"/>
        <w:ind w:firstLine="482" w:firstLineChars="200"/>
        <w:jc w:val="left"/>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（5）统计分析可视化</w:t>
      </w:r>
    </w:p>
    <w:p w14:paraId="28BE89A8">
      <w:pPr>
        <w:adjustRightInd w:val="0"/>
        <w:snapToGrid w:val="0"/>
        <w:spacing w:beforeLines="0" w:afterLines="0" w:line="460" w:lineRule="exact"/>
        <w:ind w:firstLine="480" w:firstLineChars="200"/>
        <w:jc w:val="left"/>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基于大数据技术，结合信息系统的数据汇聚能力，对系统中数据进行实时抽取和汇总，根据项目类型、进度、行政辖区等信息，从不同的角度对数量、图斑、指标、复垦面积等内容进行分析与展示。</w:t>
      </w:r>
    </w:p>
    <w:p w14:paraId="6B895BA7">
      <w:pPr>
        <w:spacing w:line="560" w:lineRule="exact"/>
        <w:ind w:firstLine="482" w:firstLineChars="200"/>
        <w:outlineLvl w:val="0"/>
        <w:rPr>
          <w:rFonts w:ascii="宋体" w:hAnsi="宋体" w:cs="宋体"/>
          <w:b/>
          <w:bCs/>
          <w:sz w:val="24"/>
          <w:highlight w:val="none"/>
        </w:rPr>
      </w:pPr>
      <w:bookmarkStart w:id="178" w:name="_Toc25876"/>
      <w:r>
        <w:rPr>
          <w:rFonts w:hint="eastAsia" w:ascii="宋体" w:hAnsi="宋体" w:cs="宋体"/>
          <w:b/>
          <w:bCs/>
          <w:sz w:val="24"/>
          <w:highlight w:val="none"/>
        </w:rPr>
        <w:t>二、服务期限</w:t>
      </w:r>
      <w:bookmarkEnd w:id="178"/>
    </w:p>
    <w:p w14:paraId="5D7397E6">
      <w:pPr>
        <w:spacing w:line="560" w:lineRule="exact"/>
        <w:ind w:firstLine="480" w:firstLineChars="200"/>
        <w:rPr>
          <w:rFonts w:ascii="宋体" w:hAnsi="宋体" w:cs="宋体"/>
          <w:sz w:val="24"/>
          <w:highlight w:val="none"/>
        </w:rPr>
      </w:pPr>
      <w:r>
        <w:rPr>
          <w:rFonts w:hint="eastAsia" w:ascii="宋体" w:hAnsi="宋体" w:cs="宋体"/>
          <w:sz w:val="24"/>
          <w:highlight w:val="none"/>
        </w:rPr>
        <w:t>项目实施时间：自合同签订之日起12个月内完成所有工作内容。</w:t>
      </w:r>
    </w:p>
    <w:p w14:paraId="12D6413D">
      <w:pPr>
        <w:spacing w:line="56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服务效率：</w:t>
      </w:r>
    </w:p>
    <w:p w14:paraId="758E0754">
      <w:pPr>
        <w:spacing w:line="56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（1）快速响应服务：系统投入运行后，应提供7×24的售后故障处理服务，做到1小时内响应，并在12个小时内排除故障。</w:t>
      </w:r>
    </w:p>
    <w:p w14:paraId="1FC8F960">
      <w:pPr>
        <w:spacing w:line="56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（2）定期跟踪服务：应定期跟踪和回访使用情况，及时了解存在的问题，并随时给予解决。</w:t>
      </w:r>
    </w:p>
    <w:p w14:paraId="46AF47DE">
      <w:pPr>
        <w:spacing w:line="56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（3）热线服务：应提供7×24的技术咨询服务。提供热线电话服务，随时回答与项目有关的技术问题，并在24小时内提出解决方案。</w:t>
      </w:r>
    </w:p>
    <w:p w14:paraId="4A0A4DE8">
      <w:pPr>
        <w:spacing w:line="560" w:lineRule="exact"/>
        <w:ind w:firstLine="482" w:firstLineChars="200"/>
        <w:rPr>
          <w:rFonts w:ascii="宋体" w:hAnsi="宋体" w:cs="宋体"/>
          <w:b/>
          <w:bCs/>
          <w:sz w:val="24"/>
          <w:highlight w:val="none"/>
        </w:rPr>
      </w:pPr>
      <w:r>
        <w:rPr>
          <w:rFonts w:hint="eastAsia" w:ascii="宋体" w:hAnsi="宋体" w:cs="宋体"/>
          <w:b/>
          <w:bCs/>
          <w:sz w:val="24"/>
          <w:highlight w:val="none"/>
        </w:rPr>
        <w:t>三、工作完成后提交的成果</w:t>
      </w:r>
    </w:p>
    <w:p w14:paraId="0B2E211A">
      <w:pPr>
        <w:spacing w:line="360" w:lineRule="auto"/>
        <w:ind w:firstLine="504" w:firstLineChars="200"/>
        <w:rPr>
          <w:rFonts w:hint="eastAsia" w:ascii="宋体" w:hAnsi="宋体" w:eastAsia="宋体" w:cs="宋体"/>
          <w:b w:val="0"/>
          <w:bCs w:val="0"/>
          <w:spacing w:val="6"/>
          <w:kern w:val="0"/>
          <w:sz w:val="24"/>
          <w:szCs w:val="24"/>
          <w:highlight w:val="none"/>
        </w:rPr>
      </w:pPr>
      <w:r>
        <w:rPr>
          <w:rFonts w:hint="eastAsia" w:ascii="宋体" w:hAnsi="宋体" w:eastAsia="宋体" w:cs="宋体"/>
          <w:b w:val="0"/>
          <w:bCs w:val="0"/>
          <w:spacing w:val="6"/>
          <w:kern w:val="0"/>
          <w:sz w:val="24"/>
          <w:szCs w:val="24"/>
          <w:highlight w:val="none"/>
        </w:rPr>
        <w:t>①系统成果：云南省采矿用地复垦修复系统1套，提供本项目系统的应用部署程序包及其可执行的源代码。</w:t>
      </w:r>
    </w:p>
    <w:p w14:paraId="587980D5">
      <w:pPr>
        <w:spacing w:line="360" w:lineRule="auto"/>
        <w:ind w:firstLine="504" w:firstLineChars="200"/>
        <w:rPr>
          <w:rFonts w:hint="eastAsia" w:ascii="宋体" w:hAnsi="宋体" w:eastAsia="宋体" w:cs="宋体"/>
          <w:b w:val="0"/>
          <w:bCs w:val="0"/>
          <w:spacing w:val="6"/>
          <w:kern w:val="0"/>
          <w:sz w:val="24"/>
          <w:szCs w:val="24"/>
          <w:highlight w:val="none"/>
        </w:rPr>
      </w:pPr>
      <w:r>
        <w:rPr>
          <w:rFonts w:hint="eastAsia" w:ascii="宋体" w:hAnsi="宋体" w:eastAsia="宋体" w:cs="宋体"/>
          <w:b w:val="0"/>
          <w:bCs w:val="0"/>
          <w:spacing w:val="6"/>
          <w:kern w:val="0"/>
          <w:sz w:val="24"/>
          <w:szCs w:val="24"/>
          <w:highlight w:val="none"/>
        </w:rPr>
        <w:t>②文档成果：为保证项目实施过程中文档的完整性，项目验收时需提交以下文档成果（包括但不限于）：需求规格说明书、实施方案、详细设计方案、系统用户手册、系统测试报告、系统试运行报告、项目总结报告。</w:t>
      </w:r>
    </w:p>
    <w:p w14:paraId="29518490">
      <w:pPr>
        <w:spacing w:line="560" w:lineRule="exact"/>
        <w:ind w:firstLine="482" w:firstLineChars="200"/>
        <w:outlineLvl w:val="0"/>
        <w:rPr>
          <w:rFonts w:ascii="宋体" w:hAnsi="宋体" w:cs="宋体"/>
          <w:b/>
          <w:bCs/>
          <w:sz w:val="24"/>
          <w:highlight w:val="none"/>
        </w:rPr>
      </w:pPr>
      <w:bookmarkStart w:id="179" w:name="_Toc12977"/>
      <w:r>
        <w:rPr>
          <w:rFonts w:hint="eastAsia" w:ascii="宋体" w:hAnsi="宋体" w:cs="宋体"/>
          <w:b/>
          <w:bCs/>
          <w:sz w:val="24"/>
          <w:highlight w:val="none"/>
        </w:rPr>
        <w:t>四、合同金额及付款方式</w:t>
      </w:r>
      <w:bookmarkEnd w:id="179"/>
    </w:p>
    <w:p w14:paraId="76CC57D2">
      <w:pPr>
        <w:spacing w:line="560" w:lineRule="exact"/>
        <w:ind w:firstLine="482" w:firstLineChars="200"/>
        <w:outlineLvl w:val="1"/>
        <w:rPr>
          <w:rFonts w:ascii="宋体" w:hAnsi="宋体" w:cs="宋体"/>
          <w:b/>
          <w:bCs/>
          <w:sz w:val="24"/>
          <w:highlight w:val="none"/>
        </w:rPr>
      </w:pPr>
      <w:bookmarkStart w:id="180" w:name="_Toc4975"/>
      <w:r>
        <w:rPr>
          <w:rFonts w:hint="eastAsia" w:ascii="宋体" w:hAnsi="宋体" w:cs="宋体"/>
          <w:b/>
          <w:bCs/>
          <w:sz w:val="24"/>
          <w:highlight w:val="none"/>
        </w:rPr>
        <w:t>1.合同金额</w:t>
      </w:r>
      <w:bookmarkEnd w:id="180"/>
    </w:p>
    <w:p w14:paraId="18AC27BB">
      <w:pPr>
        <w:spacing w:line="560" w:lineRule="exact"/>
        <w:ind w:firstLine="480" w:firstLineChars="200"/>
        <w:rPr>
          <w:rFonts w:ascii="宋体" w:hAnsi="宋体" w:cs="宋体"/>
          <w:sz w:val="24"/>
          <w:szCs w:val="21"/>
          <w:highlight w:val="none"/>
          <w:u w:val="single"/>
        </w:rPr>
      </w:pPr>
      <w:r>
        <w:rPr>
          <w:rFonts w:hint="eastAsia" w:ascii="宋体" w:hAnsi="宋体" w:cs="宋体"/>
          <w:sz w:val="24"/>
          <w:highlight w:val="none"/>
        </w:rPr>
        <w:t>本项目合同金额为：￥</w:t>
      </w:r>
      <w:r>
        <w:rPr>
          <w:rFonts w:hint="eastAsia"/>
          <w:b/>
          <w:sz w:val="24"/>
          <w:highlight w:val="none"/>
          <w:u w:val="single"/>
        </w:rPr>
        <w:t xml:space="preserve">        </w:t>
      </w:r>
      <w:r>
        <w:rPr>
          <w:rFonts w:hint="eastAsia" w:ascii="宋体" w:hAnsi="宋体" w:cs="宋体"/>
          <w:sz w:val="24"/>
          <w:highlight w:val="none"/>
        </w:rPr>
        <w:t>元，大写：</w:t>
      </w:r>
      <w:r>
        <w:rPr>
          <w:rFonts w:hint="eastAsia" w:ascii="宋体" w:hAnsi="宋体" w:cs="宋体"/>
          <w:b/>
          <w:sz w:val="24"/>
          <w:highlight w:val="none"/>
          <w:u w:val="single"/>
        </w:rPr>
        <w:t>人民币</w:t>
      </w:r>
      <w:r>
        <w:rPr>
          <w:rFonts w:hint="eastAsia"/>
          <w:b/>
          <w:sz w:val="24"/>
          <w:highlight w:val="none"/>
          <w:u w:val="single"/>
        </w:rPr>
        <w:t xml:space="preserve">        </w:t>
      </w:r>
      <w:r>
        <w:rPr>
          <w:rFonts w:ascii="宋体" w:hAnsi="宋体" w:cs="宋体"/>
          <w:b/>
          <w:sz w:val="24"/>
          <w:highlight w:val="none"/>
          <w:u w:val="single"/>
        </w:rPr>
        <w:t xml:space="preserve"> </w:t>
      </w:r>
      <w:r>
        <w:rPr>
          <w:rFonts w:hint="eastAsia" w:ascii="宋体" w:hAnsi="宋体" w:cs="宋体"/>
          <w:sz w:val="24"/>
          <w:highlight w:val="none"/>
        </w:rPr>
        <w:t>。</w:t>
      </w:r>
      <w:r>
        <w:rPr>
          <w:rFonts w:hint="eastAsia" w:ascii="宋体" w:hAnsi="宋体" w:cs="宋体"/>
          <w:sz w:val="24"/>
          <w:szCs w:val="21"/>
          <w:highlight w:val="none"/>
        </w:rPr>
        <w:t>以上价格为包干价，包含了乙方完成本合同项下工作内容所需的全部费用。包括但不限于设备费、材料费、人工费、服务费、差旅费、第三方测评费以及因乙方原因导致修改、重做所产生的费用等全部含税费用，除以上费用外，乙方不得要求甲方支付任何其他费用。甲方付款前，乙方需向甲方开具符合法律规定和甲方要求的发票，否则甲方有权拒绝付款，并不承担因此造成的任何法律责任。</w:t>
      </w:r>
    </w:p>
    <w:p w14:paraId="22C0C49A">
      <w:pPr>
        <w:spacing w:line="560" w:lineRule="exact"/>
        <w:ind w:firstLine="482" w:firstLineChars="200"/>
        <w:outlineLvl w:val="1"/>
        <w:rPr>
          <w:rFonts w:ascii="宋体" w:hAnsi="宋体" w:cs="宋体"/>
          <w:b/>
          <w:bCs/>
          <w:sz w:val="24"/>
          <w:highlight w:val="none"/>
        </w:rPr>
      </w:pPr>
      <w:bookmarkStart w:id="181" w:name="_Toc13729"/>
      <w:r>
        <w:rPr>
          <w:rFonts w:hint="eastAsia" w:ascii="宋体" w:hAnsi="宋体" w:cs="宋体"/>
          <w:b/>
          <w:bCs/>
          <w:sz w:val="24"/>
          <w:highlight w:val="none"/>
        </w:rPr>
        <w:t>2.付款方式：甲方分两次支付合同价款</w:t>
      </w:r>
      <w:bookmarkEnd w:id="181"/>
    </w:p>
    <w:p w14:paraId="66EF21D9">
      <w:pPr>
        <w:spacing w:line="560" w:lineRule="exact"/>
        <w:ind w:firstLine="480" w:firstLineChars="20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合同价款：</w:t>
      </w:r>
    </w:p>
    <w:p w14:paraId="331EF32E">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本项目合同总价款为：￥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以上价格为甲方指定地点的统一交货价，包括但不限于设备费、人工费、因乙方的原因导致的返工或重做的费用、系统培训、运维服务、技术支持服务、系统升级服务费用、评估费用等全部含税费用。除以上费用外，乙方不得要求甲方支付任何其他费用。甲方付款前，乙方需向甲方开具符合法律规定和甲方要求的发票，否则甲方有权拒绝付款，并不承担因此造成的任何法律责任。</w:t>
      </w:r>
    </w:p>
    <w:p w14:paraId="79D9D40A">
      <w:pPr>
        <w:spacing w:line="560" w:lineRule="exact"/>
        <w:ind w:firstLine="480" w:firstLineChars="200"/>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付款方式：</w:t>
      </w:r>
    </w:p>
    <w:p w14:paraId="6F204337">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合同签订后15个工作日内完成首付，首付支付比例为合同价款的70%；</w:t>
      </w:r>
      <w:r>
        <w:rPr>
          <w:rFonts w:hint="eastAsia" w:ascii="宋体" w:hAnsi="宋体" w:cs="宋体"/>
          <w:sz w:val="24"/>
          <w:highlight w:val="none"/>
          <w:lang w:val="en-US" w:eastAsia="zh-CN"/>
        </w:rPr>
        <w:t xml:space="preserve">   </w:t>
      </w:r>
      <w:r>
        <w:rPr>
          <w:rFonts w:hint="eastAsia" w:ascii="宋体" w:hAnsi="宋体" w:cs="宋体"/>
          <w:sz w:val="24"/>
          <w:highlight w:val="none"/>
        </w:rPr>
        <w:t>年</w:t>
      </w:r>
      <w:r>
        <w:rPr>
          <w:rFonts w:hint="eastAsia" w:ascii="宋体" w:hAnsi="宋体" w:cs="宋体"/>
          <w:sz w:val="24"/>
          <w:highlight w:val="none"/>
          <w:lang w:val="en-US" w:eastAsia="zh-CN"/>
        </w:rPr>
        <w:t xml:space="preserve">  </w:t>
      </w:r>
      <w:r>
        <w:rPr>
          <w:rFonts w:hint="eastAsia" w:ascii="宋体" w:hAnsi="宋体" w:cs="宋体"/>
          <w:sz w:val="24"/>
          <w:highlight w:val="none"/>
        </w:rPr>
        <w:t>月底前完成项目的初步验收，验收通过后执行二付，二付支付比例为合同价款的20%；</w:t>
      </w:r>
      <w:r>
        <w:rPr>
          <w:rFonts w:hint="eastAsia" w:ascii="宋体" w:hAnsi="宋体" w:cs="宋体"/>
          <w:sz w:val="24"/>
          <w:highlight w:val="none"/>
          <w:lang w:val="en-US" w:eastAsia="zh-CN"/>
        </w:rPr>
        <w:t xml:space="preserve">   </w:t>
      </w:r>
      <w:r>
        <w:rPr>
          <w:rFonts w:hint="eastAsia" w:ascii="宋体" w:hAnsi="宋体" w:cs="宋体"/>
          <w:sz w:val="24"/>
          <w:highlight w:val="none"/>
        </w:rPr>
        <w:t>年</w:t>
      </w:r>
      <w:r>
        <w:rPr>
          <w:rFonts w:hint="eastAsia" w:ascii="宋体" w:hAnsi="宋体" w:cs="宋体"/>
          <w:sz w:val="24"/>
          <w:highlight w:val="none"/>
          <w:lang w:val="en-US" w:eastAsia="zh-CN"/>
        </w:rPr>
        <w:t xml:space="preserve">   </w:t>
      </w:r>
      <w:r>
        <w:rPr>
          <w:rFonts w:hint="eastAsia" w:ascii="宋体" w:hAnsi="宋体" w:cs="宋体"/>
          <w:sz w:val="24"/>
          <w:highlight w:val="none"/>
        </w:rPr>
        <w:t>月底前完成项目最终验收，验收通过后执行三付，三付支付比例为合同价款10%。</w:t>
      </w:r>
    </w:p>
    <w:p w14:paraId="19471F20">
      <w:pPr>
        <w:spacing w:line="560" w:lineRule="exact"/>
        <w:ind w:firstLine="482" w:firstLineChars="200"/>
        <w:outlineLvl w:val="1"/>
        <w:rPr>
          <w:rFonts w:ascii="宋体" w:hAnsi="宋体" w:cs="宋体"/>
          <w:sz w:val="24"/>
          <w:highlight w:val="none"/>
        </w:rPr>
      </w:pPr>
      <w:bookmarkStart w:id="182" w:name="_Toc24118"/>
      <w:r>
        <w:rPr>
          <w:rFonts w:hint="eastAsia" w:ascii="宋体" w:hAnsi="宋体" w:cs="宋体"/>
          <w:b/>
          <w:bCs/>
          <w:sz w:val="24"/>
          <w:highlight w:val="none"/>
        </w:rPr>
        <w:t>3.</w:t>
      </w:r>
      <w:r>
        <w:rPr>
          <w:rFonts w:ascii="宋体" w:hAnsi="宋体" w:cs="宋体"/>
          <w:b/>
          <w:bCs/>
          <w:sz w:val="24"/>
          <w:highlight w:val="none"/>
        </w:rPr>
        <w:t>乙方收款账户信息</w:t>
      </w:r>
      <w:bookmarkEnd w:id="182"/>
    </w:p>
    <w:p w14:paraId="79DBE2CE">
      <w:pPr>
        <w:tabs>
          <w:tab w:val="left" w:pos="2357"/>
        </w:tabs>
        <w:spacing w:line="560" w:lineRule="exact"/>
        <w:ind w:firstLine="480" w:firstLineChars="200"/>
        <w:rPr>
          <w:rFonts w:ascii="宋体" w:hAnsi="宋体" w:cs="宋体"/>
          <w:sz w:val="24"/>
          <w:highlight w:val="none"/>
        </w:rPr>
      </w:pPr>
      <w:r>
        <w:rPr>
          <w:rFonts w:hint="eastAsia" w:ascii="宋体" w:hAnsi="宋体" w:cs="宋体"/>
          <w:sz w:val="24"/>
          <w:highlight w:val="none"/>
        </w:rPr>
        <w:t>开户银行：</w:t>
      </w:r>
      <w:r>
        <w:rPr>
          <w:rFonts w:hint="eastAsia"/>
          <w:b/>
          <w:sz w:val="24"/>
          <w:highlight w:val="none"/>
          <w:u w:val="single"/>
        </w:rPr>
        <w:t xml:space="preserve">                            </w:t>
      </w:r>
    </w:p>
    <w:p w14:paraId="54195AD9">
      <w:pPr>
        <w:spacing w:line="560" w:lineRule="exact"/>
        <w:ind w:firstLine="480" w:firstLineChars="200"/>
        <w:outlineLvl w:val="0"/>
        <w:rPr>
          <w:rFonts w:ascii="宋体" w:hAnsi="宋体" w:cs="宋体"/>
          <w:sz w:val="24"/>
          <w:highlight w:val="none"/>
        </w:rPr>
      </w:pPr>
      <w:bookmarkStart w:id="183" w:name="_Toc24999"/>
      <w:r>
        <w:rPr>
          <w:rFonts w:hint="eastAsia" w:ascii="宋体" w:hAnsi="宋体" w:cs="宋体"/>
          <w:sz w:val="24"/>
          <w:highlight w:val="none"/>
        </w:rPr>
        <w:t>户</w:t>
      </w:r>
      <w:r>
        <w:rPr>
          <w:rFonts w:ascii="宋体" w:hAnsi="宋体" w:cs="宋体"/>
          <w:sz w:val="24"/>
          <w:highlight w:val="none"/>
        </w:rPr>
        <w:t xml:space="preserve">    名：</w:t>
      </w:r>
      <w:bookmarkEnd w:id="183"/>
      <w:r>
        <w:rPr>
          <w:rFonts w:hint="eastAsia"/>
          <w:b/>
          <w:sz w:val="24"/>
          <w:highlight w:val="none"/>
          <w:u w:val="single"/>
        </w:rPr>
        <w:t xml:space="preserve">                            </w:t>
      </w:r>
    </w:p>
    <w:p w14:paraId="70A39A26">
      <w:pPr>
        <w:spacing w:line="560" w:lineRule="exact"/>
        <w:ind w:firstLine="480" w:firstLineChars="200"/>
        <w:rPr>
          <w:rFonts w:ascii="宋体" w:hAnsi="宋体"/>
          <w:sz w:val="24"/>
          <w:highlight w:val="none"/>
          <w:u w:val="single"/>
        </w:rPr>
      </w:pPr>
      <w:r>
        <w:rPr>
          <w:rFonts w:hint="eastAsia" w:ascii="宋体" w:hAnsi="宋体" w:cs="宋体"/>
          <w:sz w:val="24"/>
          <w:highlight w:val="none"/>
        </w:rPr>
        <w:t>账</w:t>
      </w:r>
      <w:r>
        <w:rPr>
          <w:rFonts w:ascii="宋体" w:hAnsi="宋体" w:cs="宋体"/>
          <w:sz w:val="24"/>
          <w:highlight w:val="none"/>
        </w:rPr>
        <w:t xml:space="preserve">    号：</w:t>
      </w:r>
      <w:r>
        <w:rPr>
          <w:rFonts w:hint="eastAsia"/>
          <w:b/>
          <w:sz w:val="24"/>
          <w:highlight w:val="none"/>
          <w:u w:val="single"/>
        </w:rPr>
        <w:t xml:space="preserve">                            </w:t>
      </w:r>
    </w:p>
    <w:p w14:paraId="3F10E91A">
      <w:pPr>
        <w:tabs>
          <w:tab w:val="left" w:pos="2357"/>
        </w:tabs>
        <w:spacing w:line="560" w:lineRule="exact"/>
        <w:ind w:firstLine="480" w:firstLineChars="200"/>
        <w:rPr>
          <w:rFonts w:ascii="宋体" w:hAnsi="宋体" w:cs="宋体"/>
          <w:sz w:val="24"/>
          <w:highlight w:val="none"/>
        </w:rPr>
      </w:pPr>
      <w:r>
        <w:rPr>
          <w:rFonts w:hint="eastAsia" w:ascii="宋体" w:hAnsi="宋体" w:cs="宋体"/>
          <w:sz w:val="24"/>
          <w:highlight w:val="none"/>
        </w:rPr>
        <w:t>统一信用代码：</w:t>
      </w:r>
      <w:r>
        <w:rPr>
          <w:rFonts w:hint="eastAsia"/>
          <w:b/>
          <w:sz w:val="24"/>
          <w:highlight w:val="none"/>
          <w:u w:val="single"/>
        </w:rPr>
        <w:t xml:space="preserve">                        </w:t>
      </w:r>
    </w:p>
    <w:p w14:paraId="225DB631">
      <w:pPr>
        <w:spacing w:line="560" w:lineRule="exact"/>
        <w:ind w:firstLine="482" w:firstLineChars="200"/>
        <w:jc w:val="left"/>
        <w:outlineLvl w:val="0"/>
        <w:rPr>
          <w:rFonts w:ascii="宋体" w:hAnsi="宋体"/>
          <w:b/>
          <w:bCs/>
          <w:kern w:val="0"/>
          <w:sz w:val="24"/>
          <w:highlight w:val="none"/>
        </w:rPr>
      </w:pPr>
      <w:bookmarkStart w:id="184" w:name="_Toc8118"/>
      <w:r>
        <w:rPr>
          <w:rFonts w:hint="eastAsia" w:ascii="宋体" w:hAnsi="宋体"/>
          <w:b/>
          <w:bCs/>
          <w:kern w:val="0"/>
          <w:sz w:val="24"/>
          <w:highlight w:val="none"/>
        </w:rPr>
        <w:t>五、项目验收及标准</w:t>
      </w:r>
      <w:bookmarkEnd w:id="184"/>
    </w:p>
    <w:p w14:paraId="3E3EE6D4">
      <w:pPr>
        <w:spacing w:line="560" w:lineRule="exact"/>
        <w:ind w:firstLine="480" w:firstLineChars="200"/>
        <w:rPr>
          <w:rFonts w:hint="eastAsia" w:ascii="宋体" w:hAnsi="宋体" w:cs="宋体"/>
          <w:bCs/>
          <w:sz w:val="24"/>
          <w:highlight w:val="none"/>
          <w:shd w:val="clear" w:color="auto" w:fill="FFFFFF"/>
        </w:rPr>
      </w:pPr>
      <w:r>
        <w:rPr>
          <w:rFonts w:hint="eastAsia" w:ascii="宋体" w:hAnsi="宋体" w:cs="宋体"/>
          <w:bCs/>
          <w:sz w:val="24"/>
          <w:highlight w:val="none"/>
          <w:shd w:val="clear" w:color="auto" w:fill="FFFFFF"/>
        </w:rPr>
        <w:t>符合国家、行业及地方相关标准及合同约定。项目验收按照政府采购相关法律法规、《云南省政府采购管理暂行办法》及合同具体约定进行验收。项目方案设计需经云南省自然资源厅国土资源信息中心组织方案评审后方可实施具体工作，建设完成后通过试运行满足项目要求后进行项目验收，验收工作由云南省自然资源厅国土资源信息中心组织业内专家，按照合同约定的标准，组织对乙方履约情况的验收，并出具验收意见。</w:t>
      </w:r>
    </w:p>
    <w:p w14:paraId="2D80ACE9">
      <w:pPr>
        <w:spacing w:line="560" w:lineRule="exact"/>
        <w:ind w:firstLine="482" w:firstLineChars="200"/>
        <w:jc w:val="left"/>
        <w:outlineLvl w:val="0"/>
        <w:rPr>
          <w:rFonts w:ascii="宋体" w:hAnsi="宋体"/>
          <w:b/>
          <w:bCs/>
          <w:kern w:val="0"/>
          <w:sz w:val="24"/>
          <w:highlight w:val="none"/>
        </w:rPr>
      </w:pPr>
      <w:bookmarkStart w:id="185" w:name="_Toc3219"/>
      <w:r>
        <w:rPr>
          <w:rFonts w:hint="eastAsia" w:ascii="宋体" w:hAnsi="宋体"/>
          <w:b/>
          <w:bCs/>
          <w:kern w:val="0"/>
          <w:sz w:val="24"/>
          <w:highlight w:val="none"/>
        </w:rPr>
        <w:t>六、甲乙双方的权利和义务</w:t>
      </w:r>
      <w:bookmarkEnd w:id="185"/>
    </w:p>
    <w:p w14:paraId="2712D5C3">
      <w:pPr>
        <w:spacing w:line="560" w:lineRule="exact"/>
        <w:ind w:firstLine="482" w:firstLineChars="200"/>
        <w:jc w:val="left"/>
        <w:outlineLvl w:val="1"/>
        <w:rPr>
          <w:rFonts w:ascii="宋体" w:hAnsi="宋体"/>
          <w:b/>
          <w:bCs/>
          <w:kern w:val="0"/>
          <w:sz w:val="24"/>
          <w:highlight w:val="none"/>
        </w:rPr>
      </w:pPr>
      <w:bookmarkStart w:id="186" w:name="_Toc4176"/>
      <w:r>
        <w:rPr>
          <w:rFonts w:hint="eastAsia" w:ascii="宋体" w:hAnsi="宋体"/>
          <w:b/>
          <w:bCs/>
          <w:kern w:val="0"/>
          <w:sz w:val="24"/>
          <w:highlight w:val="none"/>
        </w:rPr>
        <w:t>1.甲方的权利和义务</w:t>
      </w:r>
      <w:bookmarkEnd w:id="186"/>
    </w:p>
    <w:p w14:paraId="1A2B78BC">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（1）负责合同签订后对项目实施的监督、督促工作；</w:t>
      </w:r>
    </w:p>
    <w:p w14:paraId="3FA9C388">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（2）负责组织对项目进行验收；</w:t>
      </w:r>
    </w:p>
    <w:p w14:paraId="776AC87B">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（3）按合同约定享有乙方提供的产品成果及全部知识产权；</w:t>
      </w:r>
    </w:p>
    <w:p w14:paraId="77EC782F">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（4）按合同约定的时间、方式按时支付合同价款。</w:t>
      </w:r>
    </w:p>
    <w:p w14:paraId="4A62EB86">
      <w:pPr>
        <w:spacing w:line="560" w:lineRule="exact"/>
        <w:ind w:firstLine="482" w:firstLineChars="200"/>
        <w:jc w:val="left"/>
        <w:outlineLvl w:val="1"/>
        <w:rPr>
          <w:rFonts w:ascii="宋体" w:hAnsi="宋体"/>
          <w:b/>
          <w:bCs/>
          <w:kern w:val="0"/>
          <w:sz w:val="24"/>
          <w:highlight w:val="none"/>
        </w:rPr>
      </w:pPr>
      <w:bookmarkStart w:id="187" w:name="_Toc10188"/>
      <w:r>
        <w:rPr>
          <w:rFonts w:hint="eastAsia" w:ascii="宋体" w:hAnsi="宋体"/>
          <w:b/>
          <w:bCs/>
          <w:kern w:val="0"/>
          <w:sz w:val="24"/>
          <w:highlight w:val="none"/>
        </w:rPr>
        <w:t>2.乙方的权利和义务</w:t>
      </w:r>
      <w:bookmarkEnd w:id="187"/>
    </w:p>
    <w:p w14:paraId="1069E2F7">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（1）乙方保证按合同约定及乙方在本标段招标文件中的项目实施时间、项目实施地点、项目服务方式负责完成项目工作,保证完成的成果符合国家和云南省相关政策要求、技术规范，以及实施方案要求；</w:t>
      </w:r>
    </w:p>
    <w:p w14:paraId="2DF41403">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（2）乙方承诺其具备履行本合同项下义务的资质和能力，全面履行本合同项目的义务，未经甲方事先书面同意不得将本合同项下的权利义务转让给任何第三方；</w:t>
      </w:r>
    </w:p>
    <w:p w14:paraId="290185E3">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（3）乙方保证甲方在项目成果使用期间不受第三方提出侵犯其专利权、商标权和工业设计权的起诉；如果甲方在项目成果使用期间遭到第三方主张权利的，因此给甲方造成的一切损失由乙方承担赔偿责任；</w:t>
      </w:r>
    </w:p>
    <w:p w14:paraId="32E1B6DB">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4）参与和配合甲方对项目成果的验收工作，如经甲方验收有不符合合同约定或相关技术规范要求的工作内容，甲方有权要求乙方进行整改或返工，由此产生的相关费用由乙方承担，并需赔偿由此给甲方造成的损失；</w:t>
      </w:r>
    </w:p>
    <w:p w14:paraId="4BC89CA9">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（5）提供与中标承诺中一致的项目内容与服务；</w:t>
      </w:r>
    </w:p>
    <w:p w14:paraId="5A5E2AD0">
      <w:pPr>
        <w:spacing w:line="560" w:lineRule="exact"/>
        <w:ind w:firstLine="480" w:firstLineChars="200"/>
        <w:jc w:val="left"/>
        <w:rPr>
          <w:rFonts w:ascii="宋体" w:hAnsi="宋体" w:cs="宋体"/>
          <w:kern w:val="0"/>
          <w:sz w:val="24"/>
          <w:szCs w:val="21"/>
          <w:highlight w:val="none"/>
        </w:rPr>
      </w:pPr>
      <w:r>
        <w:rPr>
          <w:rFonts w:hint="eastAsia" w:ascii="宋体" w:hAnsi="宋体" w:cs="宋体"/>
          <w:kern w:val="0"/>
          <w:sz w:val="24"/>
          <w:szCs w:val="21"/>
          <w:highlight w:val="none"/>
        </w:rPr>
        <w:t>（6）项目验收后在1年的售后服务期限内，乙方应当在甲方成果使用过程中提供全面保障服务，乙方应对甲方提出的要求及时响应，并对出现的问题免费及时提供售后服务和技术支持；</w:t>
      </w:r>
    </w:p>
    <w:p w14:paraId="27D0C80A">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7）乙方应接受甲方的质量检查和过程监督。遵守国家相关法律法规的规定，负责项目实施过程中的安全生产工作，如造成甲方以及第三人人身或财产损失的，一切责任由乙方自行承担，因此造成甲方损失的，乙方应当承担赔偿责任；</w:t>
      </w:r>
    </w:p>
    <w:p w14:paraId="26DC8519">
      <w:pPr>
        <w:spacing w:line="560" w:lineRule="exact"/>
        <w:ind w:firstLine="480" w:firstLineChars="200"/>
        <w:rPr>
          <w:rFonts w:ascii="宋体" w:hAnsi="宋体"/>
          <w:kern w:val="0"/>
          <w:sz w:val="24"/>
          <w:highlight w:val="none"/>
        </w:rPr>
      </w:pPr>
      <w:r>
        <w:rPr>
          <w:rFonts w:hint="eastAsia" w:ascii="宋体" w:hAnsi="宋体"/>
          <w:kern w:val="0"/>
          <w:sz w:val="24"/>
          <w:highlight w:val="none"/>
        </w:rPr>
        <w:t>（8）乙方对整项工作的所有资料按照保密规定进行管理使用；</w:t>
      </w:r>
    </w:p>
    <w:p w14:paraId="756FCB21">
      <w:pPr>
        <w:spacing w:line="560" w:lineRule="exact"/>
        <w:ind w:firstLine="480" w:firstLineChars="200"/>
        <w:rPr>
          <w:rFonts w:ascii="宋体" w:hAnsi="宋体"/>
          <w:kern w:val="0"/>
          <w:sz w:val="24"/>
          <w:highlight w:val="none"/>
        </w:rPr>
      </w:pPr>
      <w:r>
        <w:rPr>
          <w:rFonts w:hint="eastAsia" w:ascii="宋体" w:hAnsi="宋体"/>
          <w:kern w:val="0"/>
          <w:sz w:val="24"/>
          <w:highlight w:val="none"/>
        </w:rPr>
        <w:t>（9）乙方有权要求甲方按照合同约定的时间、方式支付合同价款；</w:t>
      </w:r>
    </w:p>
    <w:p w14:paraId="0EDEF3D4">
      <w:pPr>
        <w:spacing w:line="560" w:lineRule="exact"/>
        <w:ind w:firstLine="480" w:firstLineChars="200"/>
        <w:rPr>
          <w:rFonts w:ascii="宋体" w:hAnsi="宋体"/>
          <w:kern w:val="0"/>
          <w:sz w:val="24"/>
          <w:szCs w:val="21"/>
          <w:highlight w:val="none"/>
        </w:rPr>
      </w:pPr>
      <w:r>
        <w:rPr>
          <w:rFonts w:hint="eastAsia" w:ascii="宋体" w:hAnsi="宋体"/>
          <w:kern w:val="0"/>
          <w:sz w:val="24"/>
          <w:highlight w:val="none"/>
        </w:rPr>
        <w:t>（10）乙方承诺对于本项目的运行支持团队成员不少于</w:t>
      </w:r>
      <w:r>
        <w:rPr>
          <w:rFonts w:hint="eastAsia" w:ascii="宋体" w:hAnsi="宋体"/>
          <w:kern w:val="0"/>
          <w:sz w:val="24"/>
          <w:highlight w:val="none"/>
          <w:u w:val="single"/>
        </w:rPr>
        <w:t xml:space="preserve">    </w:t>
      </w:r>
      <w:r>
        <w:rPr>
          <w:rFonts w:hint="eastAsia" w:ascii="宋体" w:hAnsi="宋体"/>
          <w:kern w:val="0"/>
          <w:sz w:val="24"/>
          <w:highlight w:val="none"/>
        </w:rPr>
        <w:t>人，且应具备相应的专业能力。相关团队人员经甲方确认后，为了保障项目运行的连续性和稳定性，非经甲方事先书面同意，乙方不得擅自更换相关人员。</w:t>
      </w:r>
    </w:p>
    <w:p w14:paraId="0321E0AE">
      <w:pPr>
        <w:spacing w:line="560" w:lineRule="exact"/>
        <w:ind w:firstLine="482" w:firstLineChars="200"/>
        <w:jc w:val="left"/>
        <w:outlineLvl w:val="0"/>
        <w:rPr>
          <w:rFonts w:ascii="宋体" w:hAnsi="宋体"/>
          <w:b/>
          <w:bCs/>
          <w:kern w:val="0"/>
          <w:sz w:val="24"/>
          <w:highlight w:val="none"/>
        </w:rPr>
      </w:pPr>
      <w:bookmarkStart w:id="188" w:name="_Toc13362"/>
      <w:r>
        <w:rPr>
          <w:rFonts w:hint="eastAsia" w:ascii="宋体" w:hAnsi="宋体"/>
          <w:b/>
          <w:bCs/>
          <w:kern w:val="0"/>
          <w:sz w:val="24"/>
          <w:highlight w:val="none"/>
        </w:rPr>
        <w:t>七、知识产权</w:t>
      </w:r>
      <w:bookmarkEnd w:id="188"/>
    </w:p>
    <w:p w14:paraId="299F75A5">
      <w:pPr>
        <w:spacing w:line="560" w:lineRule="exact"/>
        <w:ind w:firstLine="480" w:firstLineChars="200"/>
        <w:rPr>
          <w:rFonts w:ascii="宋体" w:hAnsi="宋体"/>
          <w:kern w:val="0"/>
          <w:sz w:val="24"/>
          <w:highlight w:val="none"/>
        </w:rPr>
      </w:pPr>
      <w:r>
        <w:rPr>
          <w:rFonts w:hint="eastAsia" w:ascii="宋体" w:hAnsi="宋体"/>
          <w:kern w:val="0"/>
          <w:sz w:val="24"/>
          <w:highlight w:val="none"/>
        </w:rPr>
        <w:t>1.本合同项目成果以及由此形成的知识产权（除乙方在本合同履行之前所拥有的知识产权外）归甲方所有，包括但不限于著作权、专利申请权、专利权、非专利技术和其他智力成果的权利和利益。未经甲方事先书面授权，乙方或任何第三方不得以任何方式主张或私自行使本项目产生成果的发表权、修改权和保护作品完整权等著作人身权以及任何著作财产权。</w:t>
      </w:r>
    </w:p>
    <w:p w14:paraId="0242846F">
      <w:pPr>
        <w:spacing w:line="560" w:lineRule="exact"/>
        <w:ind w:firstLine="480" w:firstLineChars="200"/>
        <w:outlineLvl w:val="1"/>
        <w:rPr>
          <w:rFonts w:ascii="宋体" w:hAnsi="宋体"/>
          <w:kern w:val="0"/>
          <w:sz w:val="24"/>
          <w:highlight w:val="none"/>
        </w:rPr>
      </w:pPr>
      <w:bookmarkStart w:id="189" w:name="_Toc9633"/>
      <w:r>
        <w:rPr>
          <w:rFonts w:hint="eastAsia" w:ascii="宋体" w:hAnsi="宋体"/>
          <w:kern w:val="0"/>
          <w:sz w:val="24"/>
          <w:highlight w:val="none"/>
        </w:rPr>
        <w:t>2.涉及本项目所有原始素材归甲方所有。</w:t>
      </w:r>
      <w:bookmarkEnd w:id="189"/>
    </w:p>
    <w:p w14:paraId="40AD5BCF">
      <w:pPr>
        <w:spacing w:line="560" w:lineRule="exact"/>
        <w:ind w:firstLine="480" w:firstLineChars="200"/>
        <w:rPr>
          <w:rFonts w:ascii="宋体" w:hAnsi="宋体"/>
          <w:kern w:val="0"/>
          <w:sz w:val="24"/>
          <w:highlight w:val="none"/>
        </w:rPr>
      </w:pPr>
      <w:r>
        <w:rPr>
          <w:rFonts w:hint="eastAsia" w:ascii="宋体" w:hAnsi="宋体"/>
          <w:kern w:val="0"/>
          <w:sz w:val="24"/>
          <w:highlight w:val="none"/>
        </w:rPr>
        <w:t>3.乙方为完成工作内容而引用、收集其他社会上的文件、软件所涉及的知识产权费用和法律纠纷由乙方自行负责。</w:t>
      </w:r>
    </w:p>
    <w:p w14:paraId="2E10CA9D">
      <w:pPr>
        <w:spacing w:line="560" w:lineRule="exact"/>
        <w:ind w:firstLine="480" w:firstLineChars="200"/>
        <w:rPr>
          <w:rFonts w:ascii="宋体" w:hAnsi="宋体"/>
          <w:kern w:val="0"/>
          <w:sz w:val="24"/>
          <w:highlight w:val="none"/>
        </w:rPr>
      </w:pPr>
      <w:r>
        <w:rPr>
          <w:rFonts w:hint="eastAsia" w:ascii="宋体" w:hAnsi="宋体"/>
          <w:kern w:val="0"/>
          <w:sz w:val="24"/>
          <w:highlight w:val="none"/>
        </w:rPr>
        <w:t>4.乙方保证甲方在中华人民共和国境内使用本项目成果，该成果的任何内容（以甲方提供的资料形成的作品内容外）免受第三方提起的侵犯其专利权、商标权、著作权、肖像权或其他权属纠纷，否则由乙方承担一切法律责任，因此造成甲方损失的，乙方应当承担赔偿责任。</w:t>
      </w:r>
    </w:p>
    <w:p w14:paraId="3BD89C3C">
      <w:pPr>
        <w:spacing w:line="560" w:lineRule="exact"/>
        <w:ind w:firstLine="480" w:firstLineChars="200"/>
        <w:rPr>
          <w:rFonts w:ascii="宋体" w:hAnsi="宋体"/>
          <w:kern w:val="0"/>
          <w:sz w:val="24"/>
          <w:highlight w:val="none"/>
        </w:rPr>
      </w:pPr>
      <w:r>
        <w:rPr>
          <w:rFonts w:hint="eastAsia" w:ascii="宋体" w:hAnsi="宋体"/>
          <w:kern w:val="0"/>
          <w:sz w:val="24"/>
          <w:highlight w:val="none"/>
        </w:rPr>
        <w:t>5.乙方保证依本合同为甲方提供的服务及服务成果符合国家相关法律、法规和规章规定，不存在任何权利瑕疵。如果第三人主张权利声称甲方违反了国家相关法律、法规和规章规定或侵犯其知识产权、其他人身及财产权利的，乙方应当负责解决。同时，甲方有权视具体情况解除合同，拒付合同价款，已经支付的乙方应返还，并有权追究乙方的违约责任，乙方应按合同价款的30%向甲方支付违约金，并赔偿甲方因此而遭受的全部损失。</w:t>
      </w:r>
    </w:p>
    <w:p w14:paraId="41F8E799">
      <w:pPr>
        <w:spacing w:line="560" w:lineRule="exact"/>
        <w:ind w:firstLine="482" w:firstLineChars="200"/>
        <w:jc w:val="left"/>
        <w:outlineLvl w:val="0"/>
        <w:rPr>
          <w:rFonts w:ascii="宋体" w:hAnsi="宋体"/>
          <w:b/>
          <w:bCs/>
          <w:kern w:val="0"/>
          <w:sz w:val="24"/>
          <w:highlight w:val="none"/>
        </w:rPr>
      </w:pPr>
      <w:bookmarkStart w:id="190" w:name="_Toc8158"/>
      <w:r>
        <w:rPr>
          <w:rFonts w:hint="eastAsia" w:ascii="宋体" w:hAnsi="宋体"/>
          <w:b/>
          <w:bCs/>
          <w:kern w:val="0"/>
          <w:sz w:val="24"/>
          <w:highlight w:val="none"/>
        </w:rPr>
        <w:t>八、违约责任</w:t>
      </w:r>
      <w:bookmarkEnd w:id="190"/>
    </w:p>
    <w:p w14:paraId="7F87F8A8">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⑴因乙方原因导致项目工期延误，每逾期一天向甲方支付合同总价1‰的违约金，逾期二十天未能交付相应工作成果的，甲方有权单方解除本合同、拒付合同费用，已经支付的应当返还，并追究乙方的违约责任，乙方应按合同价款总额的20%向甲方支付违约金并赔偿甲方因此而遭受的全部损失，因项目工期延误及解除合同造成的损失由乙方承担。</w:t>
      </w:r>
    </w:p>
    <w:p w14:paraId="7B156531">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 xml:space="preserve">⑵乙方不具备履行本合同资质或未经甲方事先书面同意对项目进行转包或违法分包的，项目工期不得顺延，甲方有权解除合同，不支付任何费用，已经支付的应当返还，同时甲方还可以要求乙方承担合同价款30%的违约金。并由乙方另行承担由此产生的损失（包括但不限于甲方的直接损失、工期损失等全部经济损失）以及法律责任； </w:t>
      </w:r>
    </w:p>
    <w:p w14:paraId="45F326CA">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⑶乙方在项目实施过程或提交的最终成果出现质量问题的，甲方有权要求乙方限期整改，直到合格为止。返工费用以及因此造成的迟延履行适用第1条的违约责任，其他损失由乙方全额承担。经过一次返工、整改仍不合格的，甲方有权解除合同、拒付合同价款，已经支付的应当返还并有权追究乙方违约责任，乙方应按合同总价款的30%向甲方支付违约金并由乙方另行承担由此产生的损失（包括但不限于甲方的直接损失、工期损失等全部经济损失）以及法律责任；</w:t>
      </w:r>
    </w:p>
    <w:p w14:paraId="55EA0E07">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⑷乙方明确表示或者以其行为表明不履行合同主要义务的，乙方构成根本违约，甲方有权解除合同、拒付合同价款、已经支付的应当返还并追究乙方违约责任，乙方应按合同总价款的30%向甲方支付违约金并由乙方另行承担由此产生的损失（包括但不限于甲方的直接损失、工期损失等全部经济损失）以及法律责任；</w:t>
      </w:r>
    </w:p>
    <w:p w14:paraId="1FF21701">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⑸因乙方履行合同造成甲方、第三人人身财产损失的，由乙方承担一切法律责任，造成甲方损失的，应该进行赔偿。</w:t>
      </w:r>
    </w:p>
    <w:p w14:paraId="6CA596FC">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⑹如乙方未按本合同的约定提供后续1年技术维护服务或者所提供的服务不符合甲方要求的，甲方有权追究乙方违约责任，乙方应按合同总价款的30%向甲方支付违约金并赔偿甲方因此而遭受的损失。</w:t>
      </w:r>
    </w:p>
    <w:p w14:paraId="23030D10">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⑺乙方实施本条1至6项以外的违约行为的，甲方有权解除合同、拒付合同款项、已经支付的应当返还，并追究乙方违约责任，乙方应按合同总价款的30%向甲方支付违约金并由乙方另行承担由此产生的损失（包括但不限于甲方的直接损失、工期损失等全部经济损失）以及法律责任。</w:t>
      </w:r>
    </w:p>
    <w:p w14:paraId="00BDE42F">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甲乙双方因履行合同发生纠纷，由双方当事人协商解决或应及时向有关监督管理部门反映情况，以便相关部门进行协调或处理；如协商或调解不成的，双方均可向甲方所在地有管辖权的人民法院提起诉讼。</w:t>
      </w:r>
    </w:p>
    <w:p w14:paraId="6F3BACD4">
      <w:pPr>
        <w:spacing w:line="560" w:lineRule="exact"/>
        <w:ind w:firstLine="482" w:firstLineChars="200"/>
        <w:jc w:val="left"/>
        <w:outlineLvl w:val="0"/>
        <w:rPr>
          <w:rFonts w:ascii="宋体" w:hAnsi="宋体"/>
          <w:b/>
          <w:bCs/>
          <w:kern w:val="0"/>
          <w:sz w:val="24"/>
          <w:highlight w:val="none"/>
        </w:rPr>
      </w:pPr>
      <w:bookmarkStart w:id="191" w:name="_Toc20026"/>
      <w:r>
        <w:rPr>
          <w:rFonts w:hint="eastAsia" w:ascii="宋体" w:hAnsi="宋体"/>
          <w:b/>
          <w:bCs/>
          <w:kern w:val="0"/>
          <w:sz w:val="24"/>
          <w:highlight w:val="none"/>
        </w:rPr>
        <w:t>九、保密条款</w:t>
      </w:r>
      <w:bookmarkEnd w:id="191"/>
    </w:p>
    <w:p w14:paraId="4C266C44">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lang w:val="en-US" w:eastAsia="zh-CN"/>
        </w:rPr>
        <w:t>(1)</w:t>
      </w:r>
      <w:r>
        <w:rPr>
          <w:rFonts w:hint="eastAsia" w:ascii="宋体" w:hAnsi="宋体"/>
          <w:kern w:val="0"/>
          <w:sz w:val="24"/>
          <w:highlight w:val="none"/>
        </w:rPr>
        <w:t>乙方应当对本合同的内容、因履行本合同中获知的书面、电子资料、文件、数据，均负有保密义务，未经甲方书面同意，不得以任何方式向任何第三方提供或透露。乙方应保证按国家保密规定使用、保管和收集资料，对在项目推进过程中所获得的应当对本合同的内容、因履行本合同中获知的书面、电子资料、文件、数据原始资料及调查数据中的涉密资料，严格履行保密义务，并按相关规定签订“资料保密协议”。对最终的项目工作成果也负有保密义务，未经甲方事先书面同意，不得交付任何第三方使用。</w:t>
      </w:r>
    </w:p>
    <w:p w14:paraId="7DBE937A">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lang w:val="en-US" w:eastAsia="zh-CN"/>
        </w:rPr>
        <w:t>(2)</w:t>
      </w:r>
      <w:r>
        <w:rPr>
          <w:rFonts w:hint="eastAsia" w:ascii="宋体" w:hAnsi="宋体"/>
          <w:kern w:val="0"/>
          <w:sz w:val="24"/>
          <w:highlight w:val="none"/>
        </w:rPr>
        <w:t>甲方向乙方提供的任何资料、文件和信息，在乙方服务结束后，乙方均应及时归还甲方。</w:t>
      </w:r>
    </w:p>
    <w:p w14:paraId="412D4D40">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lang w:val="en-US" w:eastAsia="zh-CN"/>
        </w:rPr>
        <w:t>(3)</w:t>
      </w:r>
      <w:r>
        <w:rPr>
          <w:rFonts w:hint="eastAsia" w:ascii="宋体" w:hAnsi="宋体"/>
          <w:kern w:val="0"/>
          <w:sz w:val="24"/>
          <w:highlight w:val="none"/>
        </w:rPr>
        <w:t>如乙方人员违反上述保密规定，应承担相应的法律责任。</w:t>
      </w:r>
    </w:p>
    <w:p w14:paraId="26911B03">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lang w:val="en-US" w:eastAsia="zh-CN"/>
        </w:rPr>
        <w:t>(4)</w:t>
      </w:r>
      <w:r>
        <w:rPr>
          <w:rFonts w:hint="eastAsia" w:ascii="宋体" w:hAnsi="宋体"/>
          <w:kern w:val="0"/>
          <w:sz w:val="24"/>
          <w:highlight w:val="none"/>
        </w:rPr>
        <w:t>本保密义务在合同履行期间、期满、解除或终止后仍然有效。</w:t>
      </w:r>
    </w:p>
    <w:p w14:paraId="64E31773">
      <w:pPr>
        <w:spacing w:line="560" w:lineRule="exact"/>
        <w:ind w:firstLine="482" w:firstLineChars="200"/>
        <w:jc w:val="left"/>
        <w:outlineLvl w:val="0"/>
        <w:rPr>
          <w:rFonts w:hint="eastAsia" w:ascii="宋体" w:hAnsi="宋体"/>
          <w:b/>
          <w:bCs/>
          <w:kern w:val="0"/>
          <w:sz w:val="24"/>
          <w:highlight w:val="none"/>
        </w:rPr>
      </w:pPr>
      <w:bookmarkStart w:id="192" w:name="_Toc4579"/>
      <w:bookmarkStart w:id="193" w:name="_Toc19566"/>
      <w:r>
        <w:rPr>
          <w:rFonts w:hint="eastAsia" w:ascii="宋体" w:hAnsi="宋体"/>
          <w:b/>
          <w:bCs/>
          <w:kern w:val="0"/>
          <w:sz w:val="24"/>
          <w:highlight w:val="none"/>
          <w:lang w:val="en-US" w:eastAsia="zh-CN"/>
        </w:rPr>
        <w:t>十、</w:t>
      </w:r>
      <w:r>
        <w:rPr>
          <w:rFonts w:hint="eastAsia" w:ascii="宋体" w:hAnsi="宋体"/>
          <w:b/>
          <w:bCs/>
          <w:kern w:val="0"/>
          <w:sz w:val="24"/>
          <w:highlight w:val="none"/>
        </w:rPr>
        <w:t>风险管控措施</w:t>
      </w:r>
      <w:bookmarkEnd w:id="192"/>
      <w:bookmarkEnd w:id="193"/>
    </w:p>
    <w:p w14:paraId="5DEE74A0">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1</w:t>
      </w:r>
      <w:r>
        <w:rPr>
          <w:rFonts w:hint="eastAsia" w:ascii="宋体" w:hAnsi="宋体"/>
          <w:kern w:val="0"/>
          <w:sz w:val="24"/>
          <w:highlight w:val="none"/>
          <w:lang w:eastAsia="zh-CN"/>
        </w:rPr>
        <w:t>.</w:t>
      </w:r>
      <w:r>
        <w:rPr>
          <w:rFonts w:hint="eastAsia" w:ascii="宋体" w:hAnsi="宋体"/>
          <w:kern w:val="0"/>
          <w:sz w:val="24"/>
          <w:highlight w:val="none"/>
        </w:rPr>
        <w:t>国家政策变化应对措施：按新政策执行。</w:t>
      </w:r>
    </w:p>
    <w:p w14:paraId="42D92159">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2</w:t>
      </w:r>
      <w:r>
        <w:rPr>
          <w:rFonts w:hint="eastAsia" w:ascii="宋体" w:hAnsi="宋体"/>
          <w:kern w:val="0"/>
          <w:sz w:val="24"/>
          <w:highlight w:val="none"/>
          <w:lang w:eastAsia="zh-CN"/>
        </w:rPr>
        <w:t>.</w:t>
      </w:r>
      <w:r>
        <w:rPr>
          <w:rFonts w:hint="eastAsia" w:ascii="宋体" w:hAnsi="宋体"/>
          <w:kern w:val="0"/>
          <w:sz w:val="24"/>
          <w:highlight w:val="none"/>
        </w:rPr>
        <w:t>实施环境变化应对措施：按相关规定执行。</w:t>
      </w:r>
    </w:p>
    <w:p w14:paraId="252F67E2">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3</w:t>
      </w:r>
      <w:r>
        <w:rPr>
          <w:rFonts w:hint="eastAsia" w:ascii="宋体" w:hAnsi="宋体"/>
          <w:kern w:val="0"/>
          <w:sz w:val="24"/>
          <w:highlight w:val="none"/>
          <w:lang w:eastAsia="zh-CN"/>
        </w:rPr>
        <w:t>.</w:t>
      </w:r>
      <w:r>
        <w:rPr>
          <w:rFonts w:hint="eastAsia" w:ascii="宋体" w:hAnsi="宋体"/>
          <w:kern w:val="0"/>
          <w:sz w:val="24"/>
          <w:highlight w:val="none"/>
        </w:rPr>
        <w:t>重大技术变化应对措施：按相关规定执行。</w:t>
      </w:r>
    </w:p>
    <w:p w14:paraId="1F34560E">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4</w:t>
      </w:r>
      <w:r>
        <w:rPr>
          <w:rFonts w:hint="eastAsia" w:ascii="宋体" w:hAnsi="宋体"/>
          <w:kern w:val="0"/>
          <w:sz w:val="24"/>
          <w:highlight w:val="none"/>
          <w:lang w:eastAsia="zh-CN"/>
        </w:rPr>
        <w:t>.</w:t>
      </w:r>
      <w:r>
        <w:rPr>
          <w:rFonts w:hint="eastAsia" w:ascii="宋体" w:hAnsi="宋体"/>
          <w:kern w:val="0"/>
          <w:sz w:val="24"/>
          <w:highlight w:val="none"/>
        </w:rPr>
        <w:t>预算项目调整应对措施：据实调整。</w:t>
      </w:r>
    </w:p>
    <w:p w14:paraId="44FA7FDD">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5</w:t>
      </w:r>
      <w:r>
        <w:rPr>
          <w:rFonts w:hint="eastAsia" w:ascii="宋体" w:hAnsi="宋体"/>
          <w:kern w:val="0"/>
          <w:sz w:val="24"/>
          <w:highlight w:val="none"/>
          <w:lang w:eastAsia="zh-CN"/>
        </w:rPr>
        <w:t>.</w:t>
      </w:r>
      <w:r>
        <w:rPr>
          <w:rFonts w:hint="eastAsia" w:ascii="宋体" w:hAnsi="宋体"/>
          <w:kern w:val="0"/>
          <w:sz w:val="24"/>
          <w:highlight w:val="none"/>
        </w:rPr>
        <w:t>因质疑投诉影响采购进度应对措施：据实立即处理配合回复，尽快恢复采购进度。</w:t>
      </w:r>
    </w:p>
    <w:p w14:paraId="14A5D777">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6</w:t>
      </w:r>
      <w:r>
        <w:rPr>
          <w:rFonts w:hint="eastAsia" w:ascii="宋体" w:hAnsi="宋体"/>
          <w:kern w:val="0"/>
          <w:sz w:val="24"/>
          <w:highlight w:val="none"/>
          <w:lang w:eastAsia="zh-CN"/>
        </w:rPr>
        <w:t>.</w:t>
      </w:r>
      <w:r>
        <w:rPr>
          <w:rFonts w:hint="eastAsia" w:ascii="宋体" w:hAnsi="宋体"/>
          <w:kern w:val="0"/>
          <w:sz w:val="24"/>
          <w:highlight w:val="none"/>
        </w:rPr>
        <w:t>采购失败应对措施：总结失败原因并调整后进行二次采购。</w:t>
      </w:r>
    </w:p>
    <w:p w14:paraId="11F45735">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7</w:t>
      </w:r>
      <w:r>
        <w:rPr>
          <w:rFonts w:hint="eastAsia" w:ascii="宋体" w:hAnsi="宋体"/>
          <w:kern w:val="0"/>
          <w:sz w:val="24"/>
          <w:highlight w:val="none"/>
          <w:lang w:eastAsia="zh-CN"/>
        </w:rPr>
        <w:t>.</w:t>
      </w:r>
      <w:r>
        <w:rPr>
          <w:rFonts w:hint="eastAsia" w:ascii="宋体" w:hAnsi="宋体"/>
          <w:kern w:val="0"/>
          <w:sz w:val="24"/>
          <w:highlight w:val="none"/>
        </w:rPr>
        <w:t>不按规定签订或者履行合同应对措施：按照相关规定执行。</w:t>
      </w:r>
    </w:p>
    <w:p w14:paraId="023CDD62">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t>8</w:t>
      </w:r>
      <w:r>
        <w:rPr>
          <w:rFonts w:hint="eastAsia" w:ascii="宋体" w:hAnsi="宋体"/>
          <w:kern w:val="0"/>
          <w:sz w:val="24"/>
          <w:highlight w:val="none"/>
          <w:lang w:eastAsia="zh-CN"/>
        </w:rPr>
        <w:t>.</w:t>
      </w:r>
      <w:r>
        <w:rPr>
          <w:rFonts w:hint="eastAsia" w:ascii="宋体" w:hAnsi="宋体"/>
          <w:kern w:val="0"/>
          <w:sz w:val="24"/>
          <w:highlight w:val="none"/>
        </w:rPr>
        <w:t>出现损害国家利益和社会公共利益情形应对措施：以国家利益和社会公共利益情形为第一主体调整方案执行。</w:t>
      </w:r>
    </w:p>
    <w:p w14:paraId="4D200DBB">
      <w:pPr>
        <w:spacing w:line="560" w:lineRule="exact"/>
        <w:ind w:firstLine="482" w:firstLineChars="200"/>
        <w:jc w:val="left"/>
        <w:rPr>
          <w:rFonts w:ascii="宋体" w:hAnsi="宋体"/>
          <w:b/>
          <w:bCs/>
          <w:kern w:val="0"/>
          <w:sz w:val="24"/>
          <w:highlight w:val="none"/>
        </w:rPr>
      </w:pPr>
      <w:r>
        <w:rPr>
          <w:rFonts w:hint="eastAsia" w:ascii="宋体" w:hAnsi="宋体"/>
          <w:b/>
          <w:bCs/>
          <w:kern w:val="0"/>
          <w:sz w:val="24"/>
          <w:highlight w:val="none"/>
        </w:rPr>
        <w:t>十</w:t>
      </w:r>
      <w:r>
        <w:rPr>
          <w:rFonts w:hint="eastAsia" w:ascii="宋体" w:hAnsi="宋体"/>
          <w:b/>
          <w:bCs/>
          <w:kern w:val="0"/>
          <w:sz w:val="24"/>
          <w:highlight w:val="none"/>
          <w:lang w:val="en-US" w:eastAsia="zh-CN"/>
        </w:rPr>
        <w:t>一</w:t>
      </w:r>
      <w:r>
        <w:rPr>
          <w:rFonts w:hint="eastAsia" w:ascii="宋体" w:hAnsi="宋体"/>
          <w:b/>
          <w:bCs/>
          <w:kern w:val="0"/>
          <w:sz w:val="24"/>
          <w:highlight w:val="none"/>
        </w:rPr>
        <w:t>、甲方有权拒付合同价以外的任何费用；乙方有权拒绝合同整体范围以外的条件。</w:t>
      </w:r>
    </w:p>
    <w:p w14:paraId="76CE7896">
      <w:pPr>
        <w:spacing w:line="560" w:lineRule="exact"/>
        <w:ind w:firstLine="482" w:firstLineChars="200"/>
        <w:jc w:val="left"/>
        <w:outlineLvl w:val="0"/>
        <w:rPr>
          <w:rFonts w:ascii="宋体" w:hAnsi="宋体"/>
          <w:b/>
          <w:bCs/>
          <w:kern w:val="0"/>
          <w:sz w:val="24"/>
          <w:highlight w:val="none"/>
        </w:rPr>
      </w:pPr>
      <w:bookmarkStart w:id="194" w:name="_Toc10461"/>
      <w:r>
        <w:rPr>
          <w:rFonts w:hint="eastAsia" w:ascii="宋体" w:hAnsi="宋体"/>
          <w:b/>
          <w:bCs/>
          <w:kern w:val="0"/>
          <w:sz w:val="24"/>
          <w:highlight w:val="none"/>
        </w:rPr>
        <w:t>十</w:t>
      </w:r>
      <w:r>
        <w:rPr>
          <w:rFonts w:hint="eastAsia" w:ascii="宋体" w:hAnsi="宋体"/>
          <w:b/>
          <w:bCs/>
          <w:kern w:val="0"/>
          <w:sz w:val="24"/>
          <w:highlight w:val="none"/>
          <w:lang w:val="en-US" w:eastAsia="zh-CN"/>
        </w:rPr>
        <w:t>二</w:t>
      </w:r>
      <w:r>
        <w:rPr>
          <w:rFonts w:hint="eastAsia" w:ascii="宋体" w:hAnsi="宋体"/>
          <w:b/>
          <w:bCs/>
          <w:kern w:val="0"/>
          <w:sz w:val="24"/>
          <w:highlight w:val="none"/>
        </w:rPr>
        <w:t>、不可抗力条款</w:t>
      </w:r>
      <w:bookmarkEnd w:id="194"/>
      <w:r>
        <w:rPr>
          <w:rFonts w:hint="eastAsia" w:ascii="宋体" w:hAnsi="宋体"/>
          <w:b/>
          <w:bCs/>
          <w:kern w:val="0"/>
          <w:sz w:val="24"/>
          <w:highlight w:val="none"/>
        </w:rPr>
        <w:t xml:space="preserve"> </w:t>
      </w:r>
    </w:p>
    <w:p w14:paraId="05DACAEA">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合同履行过程中，由于不可抗力（仅指包括政策变化、自然灾害、战争、新冠肺炎疫情、疫情防控）等因素导致双方不能履行或不能完全履行合同条款的，发生不可抗力的一方应在不可抗力发生之日起的20日内通知对方，甲乙双方根据不可抗力影响的范围、时间确定免除发生不可抗力一方全部或部分责任。按有关法律法规的规定处理根据具体情况可部分或全部免除违约责任。</w:t>
      </w:r>
    </w:p>
    <w:p w14:paraId="500C8290">
      <w:pPr>
        <w:spacing w:line="560" w:lineRule="exact"/>
        <w:ind w:firstLine="482" w:firstLineChars="200"/>
        <w:jc w:val="left"/>
        <w:outlineLvl w:val="0"/>
        <w:rPr>
          <w:rFonts w:ascii="宋体" w:hAnsi="宋体"/>
          <w:b/>
          <w:bCs/>
          <w:kern w:val="0"/>
          <w:sz w:val="24"/>
          <w:highlight w:val="none"/>
        </w:rPr>
      </w:pPr>
      <w:bookmarkStart w:id="195" w:name="_Toc4987"/>
      <w:r>
        <w:rPr>
          <w:rFonts w:hint="eastAsia" w:ascii="宋体" w:hAnsi="宋体"/>
          <w:b/>
          <w:bCs/>
          <w:kern w:val="0"/>
          <w:sz w:val="24"/>
          <w:highlight w:val="none"/>
        </w:rPr>
        <w:t>十</w:t>
      </w:r>
      <w:r>
        <w:rPr>
          <w:rFonts w:hint="eastAsia" w:ascii="宋体" w:hAnsi="宋体"/>
          <w:b/>
          <w:bCs/>
          <w:kern w:val="0"/>
          <w:sz w:val="24"/>
          <w:highlight w:val="none"/>
          <w:lang w:val="en-US" w:eastAsia="zh-CN"/>
        </w:rPr>
        <w:t>三</w:t>
      </w:r>
      <w:r>
        <w:rPr>
          <w:rFonts w:hint="eastAsia" w:ascii="宋体" w:hAnsi="宋体"/>
          <w:b/>
          <w:bCs/>
          <w:kern w:val="0"/>
          <w:sz w:val="24"/>
          <w:highlight w:val="none"/>
        </w:rPr>
        <w:t>、争议的解决</w:t>
      </w:r>
      <w:bookmarkEnd w:id="195"/>
    </w:p>
    <w:p w14:paraId="6F37B565">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甲乙双方在履行合同过程中发生纠纷，由双方当事人协商解决或应及时向有关监督管理部门反映情况，以便相关部门进行协调或处理；如协商或调解不成的，双方均可向甲方所在地有管辖权的人民法院提起诉讼。</w:t>
      </w:r>
    </w:p>
    <w:p w14:paraId="24BAA2CF">
      <w:pPr>
        <w:numPr>
          <w:ilvl w:val="255"/>
          <w:numId w:val="0"/>
        </w:numPr>
        <w:spacing w:line="560" w:lineRule="exact"/>
        <w:ind w:firstLine="482" w:firstLineChars="200"/>
        <w:jc w:val="left"/>
        <w:rPr>
          <w:rFonts w:hint="default" w:ascii="宋体" w:hAnsi="宋体" w:eastAsia="宋体"/>
          <w:b/>
          <w:kern w:val="0"/>
          <w:sz w:val="24"/>
          <w:highlight w:val="none"/>
          <w:lang w:val="en-US" w:eastAsia="zh-CN"/>
        </w:rPr>
      </w:pPr>
      <w:r>
        <w:rPr>
          <w:rFonts w:hint="eastAsia" w:ascii="宋体" w:hAnsi="宋体"/>
          <w:b/>
          <w:kern w:val="0"/>
          <w:sz w:val="24"/>
          <w:highlight w:val="none"/>
          <w:lang w:val="en-US" w:eastAsia="zh-CN"/>
        </w:rPr>
        <w:t>十四、其他</w:t>
      </w:r>
    </w:p>
    <w:p w14:paraId="25447D1F">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 1 \* GB3 \* MERGEFORMAT </w:instrText>
      </w:r>
      <w:r>
        <w:rPr>
          <w:rFonts w:hint="eastAsia" w:ascii="宋体" w:hAnsi="宋体"/>
          <w:kern w:val="0"/>
          <w:sz w:val="24"/>
          <w:highlight w:val="none"/>
        </w:rPr>
        <w:fldChar w:fldCharType="separate"/>
      </w:r>
      <w:r>
        <w:rPr>
          <w:rFonts w:hint="eastAsia" w:ascii="宋体" w:hAnsi="宋体"/>
          <w:kern w:val="0"/>
          <w:sz w:val="24"/>
          <w:highlight w:val="none"/>
        </w:rPr>
        <w:t>①</w:t>
      </w:r>
      <w:r>
        <w:rPr>
          <w:rFonts w:hint="eastAsia" w:ascii="宋体" w:hAnsi="宋体"/>
          <w:kern w:val="0"/>
          <w:sz w:val="24"/>
          <w:highlight w:val="none"/>
        </w:rPr>
        <w:fldChar w:fldCharType="end"/>
      </w:r>
      <w:r>
        <w:rPr>
          <w:rFonts w:hint="eastAsia" w:ascii="宋体" w:hAnsi="宋体"/>
          <w:kern w:val="0"/>
          <w:sz w:val="24"/>
          <w:highlight w:val="none"/>
        </w:rPr>
        <w:t>项目产生的全部成果资料、甲方提供的所有资料等，乙方在项目完工后，整理装订成册移交给甲方，知识产权归甲方所有（乙方在本合同履行之前所拥有的知识产权除外），甲方可独立申请包括但不限于专利、版权、课题申报等知识产权项目。</w:t>
      </w:r>
    </w:p>
    <w:p w14:paraId="1A87F6C3">
      <w:pPr>
        <w:spacing w:line="560" w:lineRule="exact"/>
        <w:ind w:firstLine="480" w:firstLineChars="200"/>
        <w:jc w:val="left"/>
        <w:rPr>
          <w:rFonts w:hint="eastAsia" w:ascii="宋体" w:hAnsi="宋体"/>
          <w:kern w:val="0"/>
          <w:sz w:val="24"/>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 2 \* GB3 \* MERGEFORMAT </w:instrText>
      </w:r>
      <w:r>
        <w:rPr>
          <w:rFonts w:hint="eastAsia" w:ascii="宋体" w:hAnsi="宋体"/>
          <w:kern w:val="0"/>
          <w:sz w:val="24"/>
          <w:highlight w:val="none"/>
        </w:rPr>
        <w:fldChar w:fldCharType="separate"/>
      </w:r>
      <w:r>
        <w:rPr>
          <w:rFonts w:hint="eastAsia" w:ascii="宋体" w:hAnsi="宋体"/>
          <w:kern w:val="0"/>
          <w:sz w:val="24"/>
          <w:highlight w:val="none"/>
        </w:rPr>
        <w:t>②</w:t>
      </w:r>
      <w:r>
        <w:rPr>
          <w:rFonts w:hint="eastAsia" w:ascii="宋体" w:hAnsi="宋体"/>
          <w:kern w:val="0"/>
          <w:sz w:val="24"/>
          <w:highlight w:val="none"/>
        </w:rPr>
        <w:fldChar w:fldCharType="end"/>
      </w:r>
      <w:r>
        <w:rPr>
          <w:rFonts w:hint="eastAsia" w:ascii="宋体" w:hAnsi="宋体"/>
          <w:kern w:val="0"/>
          <w:sz w:val="24"/>
          <w:highlight w:val="none"/>
        </w:rPr>
        <w:t>在本合同有效期内，</w:t>
      </w:r>
      <w:bookmarkStart w:id="196" w:name="_Hlk27144497"/>
      <w:r>
        <w:rPr>
          <w:rFonts w:hint="eastAsia" w:ascii="宋体" w:hAnsi="宋体"/>
          <w:kern w:val="0"/>
          <w:sz w:val="24"/>
          <w:highlight w:val="none"/>
        </w:rPr>
        <w:t>甲方项目联系人：</w:t>
      </w:r>
      <w:r>
        <w:rPr>
          <w:rFonts w:hint="eastAsia" w:ascii="宋体" w:hAnsi="宋体"/>
          <w:kern w:val="0"/>
          <w:sz w:val="24"/>
          <w:highlight w:val="none"/>
          <w:u w:val="single"/>
        </w:rPr>
        <w:t xml:space="preserve">    </w:t>
      </w:r>
      <w:r>
        <w:rPr>
          <w:rFonts w:hint="eastAsia" w:ascii="宋体" w:hAnsi="宋体"/>
          <w:kern w:val="0"/>
          <w:sz w:val="24"/>
          <w:highlight w:val="none"/>
        </w:rPr>
        <w:t>联系电话：</w:t>
      </w:r>
      <w:r>
        <w:rPr>
          <w:rFonts w:hint="eastAsia" w:ascii="宋体" w:hAnsi="宋体"/>
          <w:kern w:val="0"/>
          <w:sz w:val="24"/>
          <w:highlight w:val="none"/>
          <w:u w:val="single"/>
        </w:rPr>
        <w:t xml:space="preserve">    </w:t>
      </w:r>
      <w:r>
        <w:rPr>
          <w:rFonts w:hint="eastAsia" w:ascii="宋体" w:hAnsi="宋体"/>
          <w:kern w:val="0"/>
          <w:sz w:val="24"/>
          <w:highlight w:val="none"/>
        </w:rPr>
        <w:t>，</w:t>
      </w:r>
      <w:bookmarkEnd w:id="196"/>
      <w:r>
        <w:rPr>
          <w:rFonts w:hint="eastAsia" w:ascii="宋体" w:hAnsi="宋体"/>
          <w:kern w:val="0"/>
          <w:sz w:val="24"/>
          <w:highlight w:val="none"/>
        </w:rPr>
        <w:t>乙方联系人：</w:t>
      </w:r>
      <w:r>
        <w:rPr>
          <w:rFonts w:hint="eastAsia" w:ascii="宋体" w:hAnsi="宋体"/>
          <w:kern w:val="0"/>
          <w:sz w:val="24"/>
          <w:highlight w:val="none"/>
          <w:u w:val="single"/>
        </w:rPr>
        <w:t xml:space="preserve">    </w:t>
      </w:r>
      <w:r>
        <w:rPr>
          <w:rFonts w:hint="eastAsia" w:ascii="宋体" w:hAnsi="宋体"/>
          <w:kern w:val="0"/>
          <w:sz w:val="24"/>
          <w:highlight w:val="none"/>
        </w:rPr>
        <w:t>联系电话：</w:t>
      </w:r>
      <w:r>
        <w:rPr>
          <w:rFonts w:hint="eastAsia" w:ascii="宋体" w:hAnsi="宋体"/>
          <w:kern w:val="0"/>
          <w:sz w:val="24"/>
          <w:highlight w:val="none"/>
          <w:u w:val="single"/>
        </w:rPr>
        <w:t xml:space="preserve">    </w:t>
      </w:r>
      <w:r>
        <w:rPr>
          <w:rFonts w:hint="eastAsia" w:ascii="宋体" w:hAnsi="宋体"/>
          <w:kern w:val="0"/>
          <w:sz w:val="24"/>
          <w:highlight w:val="none"/>
        </w:rPr>
        <w:t>；项目联系人负责在项目进度上进行协调，一方更换项目联系人的，应当及时以书面形式通知对方，否则应当承担由此产生的一切法律责任。</w:t>
      </w:r>
    </w:p>
    <w:p w14:paraId="0B4BB9DE">
      <w:pPr>
        <w:spacing w:line="560" w:lineRule="exact"/>
        <w:ind w:firstLine="482" w:firstLineChars="200"/>
        <w:jc w:val="left"/>
        <w:rPr>
          <w:rFonts w:hint="eastAsia" w:ascii="宋体" w:hAnsi="宋体"/>
          <w:kern w:val="0"/>
          <w:sz w:val="24"/>
          <w:highlight w:val="none"/>
        </w:rPr>
      </w:pPr>
      <w:r>
        <w:rPr>
          <w:rFonts w:hint="eastAsia" w:ascii="宋体" w:hAnsi="宋体"/>
          <w:b/>
          <w:kern w:val="0"/>
          <w:sz w:val="24"/>
          <w:highlight w:val="none"/>
        </w:rPr>
        <w:t>十</w:t>
      </w:r>
      <w:r>
        <w:rPr>
          <w:rFonts w:hint="eastAsia" w:ascii="宋体" w:hAnsi="宋体"/>
          <w:b/>
          <w:kern w:val="0"/>
          <w:sz w:val="24"/>
          <w:highlight w:val="none"/>
          <w:lang w:val="en-US" w:eastAsia="zh-CN"/>
        </w:rPr>
        <w:t>五</w:t>
      </w:r>
      <w:r>
        <w:rPr>
          <w:rFonts w:hint="eastAsia" w:ascii="宋体" w:hAnsi="宋体"/>
          <w:b/>
          <w:kern w:val="0"/>
          <w:sz w:val="24"/>
          <w:highlight w:val="none"/>
        </w:rPr>
        <w:t>、</w:t>
      </w:r>
      <w:r>
        <w:rPr>
          <w:rFonts w:hint="eastAsia" w:ascii="宋体" w:hAnsi="宋体"/>
          <w:kern w:val="0"/>
          <w:sz w:val="24"/>
          <w:highlight w:val="none"/>
        </w:rPr>
        <w:t>本合同其他未尽事宜，双方应本着实事求是友好协商的原则加以解决。双方协商一致的，签订补充协议。补充协议与本合同具有同等效力。涉及本项目的招标文件、投标文件、补充通知、中标通知书等均为合同的有效组成部分，与本合同具有同等法律效力。在执行本合同的过程中，所有技术解决方案、会议纪要、补充协议、往来信函等经双方签署确认的文件均成为本合同的有效组成部分，与本合同具有同等法律效力。</w:t>
      </w:r>
    </w:p>
    <w:p w14:paraId="099921F2">
      <w:pPr>
        <w:spacing w:line="560" w:lineRule="exact"/>
        <w:ind w:firstLine="482" w:firstLineChars="200"/>
        <w:jc w:val="left"/>
        <w:rPr>
          <w:rFonts w:ascii="宋体" w:hAnsi="宋体"/>
          <w:kern w:val="0"/>
          <w:sz w:val="24"/>
          <w:highlight w:val="none"/>
        </w:rPr>
      </w:pPr>
      <w:r>
        <w:rPr>
          <w:rFonts w:hint="eastAsia" w:ascii="宋体" w:hAnsi="宋体"/>
          <w:b/>
          <w:bCs/>
          <w:kern w:val="0"/>
          <w:sz w:val="24"/>
          <w:highlight w:val="none"/>
        </w:rPr>
        <w:t>十</w:t>
      </w:r>
      <w:r>
        <w:rPr>
          <w:rFonts w:hint="eastAsia" w:ascii="宋体" w:hAnsi="宋体"/>
          <w:b/>
          <w:bCs/>
          <w:kern w:val="0"/>
          <w:sz w:val="24"/>
          <w:highlight w:val="none"/>
          <w:lang w:val="en-US" w:eastAsia="zh-CN"/>
        </w:rPr>
        <w:t>六</w:t>
      </w:r>
      <w:r>
        <w:rPr>
          <w:rFonts w:hint="eastAsia" w:ascii="宋体" w:hAnsi="宋体"/>
          <w:b/>
          <w:bCs/>
          <w:kern w:val="0"/>
          <w:sz w:val="24"/>
          <w:highlight w:val="none"/>
        </w:rPr>
        <w:t>、</w:t>
      </w:r>
      <w:r>
        <w:rPr>
          <w:rFonts w:hint="eastAsia" w:ascii="宋体" w:hAnsi="宋体"/>
          <w:kern w:val="0"/>
          <w:sz w:val="24"/>
          <w:highlight w:val="none"/>
        </w:rPr>
        <w:t>本合同自双方法定代表人或授权代表签字、盖章之日起生效。本合同壹式柒份，甲方执叁份，乙方执叁份（含用于结算支付的壹份），丙方执壹份，具有同等法律效力。</w:t>
      </w:r>
    </w:p>
    <w:p w14:paraId="6C334160">
      <w:pPr>
        <w:spacing w:line="560" w:lineRule="exact"/>
        <w:ind w:firstLine="482" w:firstLineChars="200"/>
        <w:jc w:val="left"/>
        <w:outlineLvl w:val="0"/>
        <w:rPr>
          <w:rFonts w:ascii="宋体" w:hAnsi="宋体"/>
          <w:b/>
          <w:kern w:val="0"/>
          <w:sz w:val="24"/>
          <w:highlight w:val="none"/>
        </w:rPr>
      </w:pPr>
      <w:bookmarkStart w:id="197" w:name="_Toc1198"/>
      <w:r>
        <w:rPr>
          <w:rFonts w:hint="eastAsia" w:ascii="宋体" w:hAnsi="宋体"/>
          <w:b/>
          <w:kern w:val="0"/>
          <w:sz w:val="24"/>
          <w:highlight w:val="none"/>
        </w:rPr>
        <w:t>十</w:t>
      </w:r>
      <w:r>
        <w:rPr>
          <w:rFonts w:hint="eastAsia" w:ascii="宋体" w:hAnsi="宋体"/>
          <w:b/>
          <w:kern w:val="0"/>
          <w:sz w:val="24"/>
          <w:highlight w:val="none"/>
          <w:lang w:val="en-US" w:eastAsia="zh-CN"/>
        </w:rPr>
        <w:t>七</w:t>
      </w:r>
      <w:r>
        <w:rPr>
          <w:rFonts w:hint="eastAsia" w:ascii="宋体" w:hAnsi="宋体"/>
          <w:b/>
          <w:kern w:val="0"/>
          <w:sz w:val="24"/>
          <w:highlight w:val="none"/>
        </w:rPr>
        <w:t>、本合同不可分割之部分：</w:t>
      </w:r>
      <w:bookmarkEnd w:id="197"/>
    </w:p>
    <w:p w14:paraId="15215B11">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1.招标文件；</w:t>
      </w:r>
    </w:p>
    <w:p w14:paraId="16A6B94F">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2.</w:t>
      </w:r>
      <w:r>
        <w:rPr>
          <w:rFonts w:hint="eastAsia" w:ascii="宋体" w:hAnsi="宋体"/>
          <w:kern w:val="0"/>
          <w:sz w:val="24"/>
          <w:highlight w:val="none"/>
          <w:lang w:eastAsia="zh-CN"/>
        </w:rPr>
        <w:t>成交人</w:t>
      </w:r>
      <w:r>
        <w:rPr>
          <w:rFonts w:hint="eastAsia" w:ascii="宋体" w:hAnsi="宋体"/>
          <w:kern w:val="0"/>
          <w:sz w:val="24"/>
          <w:highlight w:val="none"/>
        </w:rPr>
        <w:t>投标文件、承诺书及澄清；</w:t>
      </w:r>
    </w:p>
    <w:p w14:paraId="2510E3C7">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3.合同书及附件（包括但不限于中标通知书、保密承诺书、乙方相关资质证明文件、项目组人员资格证明文件）；</w:t>
      </w:r>
    </w:p>
    <w:p w14:paraId="4FF95C14">
      <w:pPr>
        <w:spacing w:line="560" w:lineRule="exact"/>
        <w:ind w:firstLine="480" w:firstLineChars="200"/>
        <w:jc w:val="left"/>
        <w:outlineLvl w:val="1"/>
        <w:rPr>
          <w:rFonts w:ascii="宋体" w:hAnsi="宋体"/>
          <w:kern w:val="0"/>
          <w:sz w:val="24"/>
          <w:highlight w:val="none"/>
        </w:rPr>
      </w:pPr>
      <w:bookmarkStart w:id="198" w:name="_Toc7906"/>
      <w:r>
        <w:rPr>
          <w:rFonts w:hint="eastAsia" w:ascii="宋体" w:hAnsi="宋体"/>
          <w:kern w:val="0"/>
          <w:sz w:val="24"/>
          <w:highlight w:val="none"/>
        </w:rPr>
        <w:t>4.补充协议（如有）。</w:t>
      </w:r>
      <w:bookmarkEnd w:id="198"/>
    </w:p>
    <w:p w14:paraId="01CE9F48">
      <w:pPr>
        <w:adjustRightInd w:val="0"/>
        <w:snapToGrid w:val="0"/>
        <w:spacing w:line="560" w:lineRule="exact"/>
        <w:ind w:firstLine="480" w:firstLineChars="200"/>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 以下无正文。</w:t>
      </w:r>
    </w:p>
    <w:p w14:paraId="52D8F307">
      <w:pPr>
        <w:rPr>
          <w:rFonts w:hint="eastAsia" w:ascii="宋体" w:hAnsi="宋体"/>
          <w:sz w:val="24"/>
          <w:highlight w:val="none"/>
          <w:shd w:val="clear" w:color="auto" w:fill="FFFFFF"/>
        </w:rPr>
      </w:pPr>
      <w:r>
        <w:rPr>
          <w:rFonts w:hint="eastAsia" w:ascii="宋体" w:hAnsi="宋体"/>
          <w:sz w:val="24"/>
          <w:highlight w:val="none"/>
          <w:shd w:val="clear" w:color="auto" w:fill="FFFFFF"/>
        </w:rPr>
        <w:br w:type="page"/>
      </w:r>
    </w:p>
    <w:p w14:paraId="0C52B6AC">
      <w:pPr>
        <w:spacing w:after="200" w:line="480" w:lineRule="exact"/>
        <w:ind w:firstLine="643" w:firstLineChars="200"/>
        <w:jc w:val="center"/>
        <w:rPr>
          <w:rFonts w:ascii="宋体" w:hAnsi="宋体"/>
          <w:b/>
          <w:bCs/>
          <w:kern w:val="0"/>
          <w:sz w:val="32"/>
          <w:szCs w:val="32"/>
          <w:highlight w:val="none"/>
        </w:rPr>
      </w:pPr>
      <w:r>
        <w:rPr>
          <w:rFonts w:hint="eastAsia" w:ascii="宋体" w:hAnsi="宋体"/>
          <w:b/>
          <w:bCs/>
          <w:kern w:val="0"/>
          <w:sz w:val="32"/>
          <w:szCs w:val="32"/>
          <w:highlight w:val="none"/>
        </w:rPr>
        <w:t>保密承诺书</w:t>
      </w:r>
    </w:p>
    <w:p w14:paraId="2A755E56">
      <w:pPr>
        <w:spacing w:line="560" w:lineRule="exact"/>
        <w:jc w:val="left"/>
        <w:rPr>
          <w:rFonts w:ascii="宋体" w:hAnsi="宋体"/>
          <w:b/>
          <w:kern w:val="44"/>
          <w:sz w:val="24"/>
          <w:highlight w:val="none"/>
        </w:rPr>
      </w:pPr>
      <w:r>
        <w:rPr>
          <w:rFonts w:hint="eastAsia" w:ascii="宋体" w:hAnsi="宋体"/>
          <w:b/>
          <w:sz w:val="24"/>
          <w:highlight w:val="none"/>
        </w:rPr>
        <w:t>致：云南省自然资源厅国土资源信息中心</w:t>
      </w:r>
    </w:p>
    <w:p w14:paraId="6C2180EF">
      <w:pPr>
        <w:spacing w:line="560" w:lineRule="exact"/>
        <w:ind w:firstLine="480" w:firstLineChars="200"/>
        <w:rPr>
          <w:rFonts w:ascii="宋体" w:hAnsi="宋体"/>
          <w:kern w:val="0"/>
          <w:sz w:val="24"/>
          <w:highlight w:val="none"/>
        </w:rPr>
      </w:pPr>
      <w:r>
        <w:rPr>
          <w:rFonts w:hint="eastAsia" w:ascii="宋体" w:hAnsi="宋体"/>
          <w:kern w:val="0"/>
          <w:sz w:val="24"/>
          <w:highlight w:val="none"/>
        </w:rPr>
        <w:t>为了加强对</w:t>
      </w:r>
      <w:r>
        <w:rPr>
          <w:rFonts w:hint="eastAsia" w:ascii="宋体" w:hAnsi="宋体" w:cs="宋体"/>
          <w:b/>
          <w:sz w:val="24"/>
          <w:highlight w:val="none"/>
          <w:u w:val="single"/>
          <w:lang w:eastAsia="zh-CN"/>
        </w:rPr>
        <w:t>云南省自然资源厅采矿用地复垦修复系统升级改造2025年项目</w:t>
      </w:r>
      <w:r>
        <w:rPr>
          <w:rFonts w:hint="eastAsia" w:ascii="宋体" w:hAnsi="宋体"/>
          <w:kern w:val="0"/>
          <w:sz w:val="24"/>
          <w:highlight w:val="none"/>
        </w:rPr>
        <w:t>（以下简称“本项目”）的技术信息、数据资料和运营信息等的安全和保密管理，本合同乙方特订立此保密承诺书。</w:t>
      </w:r>
    </w:p>
    <w:p w14:paraId="1990EBF0">
      <w:pPr>
        <w:spacing w:line="560" w:lineRule="exact"/>
        <w:ind w:firstLine="482" w:firstLineChars="200"/>
        <w:jc w:val="left"/>
        <w:rPr>
          <w:rFonts w:ascii="宋体" w:hAnsi="宋体"/>
          <w:b/>
          <w:bCs/>
          <w:kern w:val="0"/>
          <w:sz w:val="24"/>
          <w:highlight w:val="none"/>
        </w:rPr>
      </w:pPr>
      <w:r>
        <w:rPr>
          <w:rFonts w:hint="eastAsia" w:ascii="宋体" w:hAnsi="宋体"/>
          <w:b/>
          <w:bCs/>
          <w:kern w:val="0"/>
          <w:sz w:val="24"/>
          <w:highlight w:val="none"/>
        </w:rPr>
        <w:t>一、保密的内容和范围</w:t>
      </w:r>
    </w:p>
    <w:p w14:paraId="54BE051F">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乙方应承担的保密义务为本合同甲方关于本项目的“工作秘密”范围，包括但不限于以下内容：</w:t>
      </w:r>
    </w:p>
    <w:p w14:paraId="2DC1BE75">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（一）技术信息：包括技术方案、设计要求、服务内容、实现方法、运作流程、技术指标、软件系统、数据库、运行环境、作业平台、测试结果、测试数据、使用手册、技术文档、涉及技术秘密的业务函电等等。</w:t>
      </w:r>
    </w:p>
    <w:p w14:paraId="65343937">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（二）数据资料：包括项目建设所产生的数据/资料成果（含过程成果），以及甲方为项目实施而提供给乙方的不动产地籍调查与登记数据等资料。</w:t>
      </w:r>
    </w:p>
    <w:p w14:paraId="4D86CF15">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（三）运营信息：包括甲方名称、甲方地址及联系方式、需求信息、采购资料、定价政策、谈判价格及方案、项目组人员构成、费用预算、利润情况及不公开的财务资料等。</w:t>
      </w:r>
    </w:p>
    <w:p w14:paraId="76662341">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（四）其他事项：甲方依照法律规定和有关协议的约定要求乙方承担保密义务的其他事项。</w:t>
      </w:r>
    </w:p>
    <w:p w14:paraId="698C1E38">
      <w:pPr>
        <w:spacing w:line="560" w:lineRule="exact"/>
        <w:ind w:firstLine="482" w:firstLineChars="200"/>
        <w:jc w:val="left"/>
        <w:rPr>
          <w:rFonts w:ascii="宋体" w:hAnsi="宋体"/>
          <w:b/>
          <w:bCs/>
          <w:kern w:val="0"/>
          <w:sz w:val="24"/>
          <w:highlight w:val="none"/>
        </w:rPr>
      </w:pPr>
      <w:r>
        <w:rPr>
          <w:rFonts w:hint="eastAsia" w:ascii="宋体" w:hAnsi="宋体"/>
          <w:b/>
          <w:bCs/>
          <w:kern w:val="0"/>
          <w:sz w:val="24"/>
          <w:highlight w:val="none"/>
        </w:rPr>
        <w:t xml:space="preserve">二、乙方的保密承诺 </w:t>
      </w:r>
    </w:p>
    <w:p w14:paraId="2CC76A76">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（一）主动采取加密措施对上述所列及之项目的工作秘密进行保护，防止不承担同等保密义务的任何第三者知悉及使用。</w:t>
      </w:r>
    </w:p>
    <w:p w14:paraId="561FDDCE">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（二）不得刺探或者以其他不正当手段，获取与本职工作或本身业务无关的甲方关于本项目的工作秘密。</w:t>
      </w:r>
    </w:p>
    <w:p w14:paraId="4106CBE5">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三）未经甲方的事先书面批准，乙方承诺不得直接或间接以任何形式或任何方式把保密信息或其中的任何部分，披露、透露给任何第三方或者公开。乙方有义务妥善保管上述保密信息，不得复制、泄漏或遗失。如有违反，乙方将承担因此给甲方带来的一切损失。乙方亦不得依据甲方提供的任何保密信息，就任何问题，向任何第三方作出任何建议。</w:t>
      </w:r>
    </w:p>
    <w:p w14:paraId="2CB7EEAF">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（四）不得允许或协助不承担同等保密义务的任何第三方使用甲方关于本项目的工作秘密。</w:t>
      </w:r>
    </w:p>
    <w:p w14:paraId="0F4F5933">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五）乙方承诺如向其职员透露或使其接触从甲方获取的保密信息和或其中的任何部分，这些职员应是项目组成员、项目管理人员、项目成果直接应用人员或者领导人员，且乙方在透露或使其接触前已经从该职员获得了必要的且不低于本承诺要求的保密和不透露的承诺。</w:t>
      </w:r>
    </w:p>
    <w:p w14:paraId="426AA5C7">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（六）不论因何种原因终止参与甲方关于本项目的工作后，都不得利用本项目之工作秘密为其他机构服务。</w:t>
      </w:r>
    </w:p>
    <w:p w14:paraId="64254407">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（七）如发现本项目的工作秘密被泄露或者自己过失泄露秘密，应当采取有效措施防止泄密进一步扩大，并及时向甲方报告。</w:t>
      </w:r>
    </w:p>
    <w:p w14:paraId="5E89260E">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八）本项目工作秘密之备份和复制品与原技术信息、数据资料和运营信息效力等同，受本协议的保护。乙方提交的本合同约定的成果经甲方确认之日起10个工作日内，项目实施前甲方按合同约定提供给乙方的各项资料，乙方需及时返还。服务期结束后，乙方不得保留与本项目相关的文件、代码、图片、系统运维相关配置信息等资料，如因乙方或其相关人员的原因造成网络安全事件，甲方有权追究其责任。</w:t>
      </w:r>
    </w:p>
    <w:p w14:paraId="100FD9DE">
      <w:pPr>
        <w:spacing w:line="560" w:lineRule="exact"/>
        <w:ind w:firstLine="482" w:firstLineChars="200"/>
        <w:jc w:val="left"/>
        <w:rPr>
          <w:rFonts w:ascii="宋体" w:hAnsi="宋体"/>
          <w:b/>
          <w:kern w:val="0"/>
          <w:sz w:val="24"/>
          <w:highlight w:val="none"/>
        </w:rPr>
      </w:pPr>
      <w:r>
        <w:rPr>
          <w:rFonts w:hint="eastAsia" w:ascii="宋体" w:hAnsi="宋体"/>
          <w:b/>
          <w:kern w:val="0"/>
          <w:sz w:val="24"/>
          <w:highlight w:val="none"/>
        </w:rPr>
        <w:t xml:space="preserve">三、安全保密期限 </w:t>
      </w:r>
    </w:p>
    <w:p w14:paraId="41BECBA0">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国家、地方、行业法律法规有规定从其规定，若无则为5年，从本承诺书生效之日起开始计算。</w:t>
      </w:r>
    </w:p>
    <w:p w14:paraId="0E4E3785">
      <w:pPr>
        <w:spacing w:line="560" w:lineRule="exact"/>
        <w:ind w:firstLine="482" w:firstLineChars="200"/>
        <w:jc w:val="left"/>
        <w:rPr>
          <w:rFonts w:ascii="宋体" w:hAnsi="宋体"/>
          <w:b/>
          <w:kern w:val="0"/>
          <w:sz w:val="24"/>
          <w:highlight w:val="none"/>
        </w:rPr>
      </w:pPr>
      <w:r>
        <w:rPr>
          <w:rFonts w:hint="eastAsia" w:ascii="宋体" w:hAnsi="宋体"/>
          <w:b/>
          <w:kern w:val="0"/>
          <w:sz w:val="24"/>
          <w:highlight w:val="none"/>
        </w:rPr>
        <w:t>四、安全保密人员</w:t>
      </w:r>
    </w:p>
    <w:p w14:paraId="16826706">
      <w:pPr>
        <w:autoSpaceDE w:val="0"/>
        <w:autoSpaceDN w:val="0"/>
        <w:adjustRightInd w:val="0"/>
        <w:spacing w:line="560" w:lineRule="exact"/>
        <w:ind w:firstLine="480" w:firstLineChars="200"/>
        <w:jc w:val="left"/>
        <w:rPr>
          <w:rFonts w:ascii="仿宋" w:hAnsi="仿宋"/>
          <w:sz w:val="24"/>
          <w:highlight w:val="none"/>
        </w:rPr>
      </w:pPr>
      <w:r>
        <w:rPr>
          <w:rFonts w:hint="eastAsia" w:ascii="宋体" w:hAnsi="宋体"/>
          <w:kern w:val="0"/>
          <w:sz w:val="24"/>
          <w:highlight w:val="none"/>
        </w:rPr>
        <w:t>本项目组成员为安全保密人员。项目工作人员不得随意将资料信息、数据泄露于外界。根据保密管理办法，项目确定专人负责对项目所涉保密事项实施保密，下发保密责任书，签订责任状。定期进行保密教育，使项目工作人员增强保密意识，掌握必备的保密知识和技能。</w:t>
      </w:r>
    </w:p>
    <w:p w14:paraId="02229951">
      <w:pPr>
        <w:spacing w:line="560" w:lineRule="exact"/>
        <w:ind w:firstLine="482" w:firstLineChars="200"/>
        <w:jc w:val="left"/>
        <w:rPr>
          <w:rFonts w:ascii="宋体" w:hAnsi="宋体"/>
          <w:b/>
          <w:kern w:val="0"/>
          <w:sz w:val="24"/>
          <w:highlight w:val="none"/>
        </w:rPr>
      </w:pPr>
      <w:r>
        <w:rPr>
          <w:rFonts w:hint="eastAsia" w:ascii="宋体" w:hAnsi="宋体"/>
          <w:b/>
          <w:kern w:val="0"/>
          <w:sz w:val="24"/>
          <w:highlight w:val="none"/>
        </w:rPr>
        <w:t>五、违约责任</w:t>
      </w:r>
    </w:p>
    <w:p w14:paraId="199EE2A3">
      <w:pPr>
        <w:spacing w:line="560" w:lineRule="exact"/>
        <w:ind w:firstLine="480" w:firstLineChars="200"/>
        <w:jc w:val="left"/>
        <w:rPr>
          <w:rFonts w:ascii="宋体" w:hAnsi="宋体"/>
          <w:kern w:val="0"/>
          <w:sz w:val="24"/>
          <w:highlight w:val="none"/>
        </w:rPr>
      </w:pPr>
      <w:r>
        <w:rPr>
          <w:rFonts w:hint="eastAsia" w:ascii="宋体" w:hAnsi="宋体"/>
          <w:kern w:val="0"/>
          <w:sz w:val="24"/>
          <w:highlight w:val="none"/>
        </w:rPr>
        <w:t>乙方如果违反其在本协议项下的保密义务，必须赔偿甲方因上述违约而导致的全部实际损失，包括但不限于律师费、调查费、公证费、诉讼或仲裁费等费用支出。</w:t>
      </w:r>
    </w:p>
    <w:p w14:paraId="2DD462C1">
      <w:pPr>
        <w:shd w:val="clear" w:color="auto" w:fill="FFFFFF"/>
        <w:adjustRightInd w:val="0"/>
        <w:snapToGrid w:val="0"/>
        <w:spacing w:line="560" w:lineRule="exact"/>
        <w:ind w:firstLine="480" w:firstLineChars="200"/>
        <w:rPr>
          <w:sz w:val="24"/>
          <w:highlight w:val="none"/>
          <w:shd w:val="clear" w:color="auto" w:fill="FFFFFF"/>
        </w:rPr>
      </w:pPr>
      <w:r>
        <w:rPr>
          <w:sz w:val="24"/>
          <w:highlight w:val="none"/>
          <w:shd w:val="clear" w:color="auto" w:fill="FFFFFF"/>
        </w:rPr>
        <w:t xml:space="preserve">  </w:t>
      </w:r>
    </w:p>
    <w:p w14:paraId="229D5DB2">
      <w:pPr>
        <w:shd w:val="clear" w:color="auto" w:fill="FFFFFF"/>
        <w:adjustRightInd w:val="0"/>
        <w:snapToGrid w:val="0"/>
        <w:spacing w:line="560" w:lineRule="exact"/>
        <w:ind w:firstLine="480" w:firstLineChars="200"/>
        <w:rPr>
          <w:sz w:val="24"/>
          <w:highlight w:val="none"/>
          <w:shd w:val="clear" w:color="auto" w:fill="FFFFFF"/>
        </w:rPr>
      </w:pPr>
      <w:r>
        <w:rPr>
          <w:sz w:val="24"/>
          <w:highlight w:val="none"/>
          <w:shd w:val="clear" w:color="auto" w:fill="FFFFFF"/>
        </w:rPr>
        <w:t xml:space="preserve"> </w:t>
      </w:r>
    </w:p>
    <w:p w14:paraId="56C36EEF">
      <w:pPr>
        <w:shd w:val="clear" w:color="auto" w:fill="FFFFFF"/>
        <w:adjustRightInd w:val="0"/>
        <w:snapToGrid w:val="0"/>
        <w:spacing w:line="560" w:lineRule="exact"/>
        <w:ind w:firstLine="480" w:firstLineChars="200"/>
        <w:rPr>
          <w:sz w:val="24"/>
          <w:highlight w:val="none"/>
          <w:shd w:val="clear" w:color="auto" w:fill="FFFFFF"/>
        </w:rPr>
      </w:pPr>
      <w:r>
        <w:rPr>
          <w:sz w:val="24"/>
          <w:highlight w:val="none"/>
          <w:shd w:val="clear" w:color="auto" w:fill="FFFFFF"/>
        </w:rPr>
        <w:t xml:space="preserve"> </w:t>
      </w:r>
    </w:p>
    <w:p w14:paraId="1AF4C37F">
      <w:pPr>
        <w:shd w:val="clear" w:color="auto" w:fill="FFFFFF"/>
        <w:adjustRightInd w:val="0"/>
        <w:snapToGrid w:val="0"/>
        <w:spacing w:line="560" w:lineRule="exact"/>
        <w:ind w:firstLine="480" w:firstLineChars="200"/>
        <w:rPr>
          <w:b/>
          <w:sz w:val="24"/>
          <w:highlight w:val="none"/>
          <w:shd w:val="clear" w:color="auto" w:fill="FFFFFF"/>
        </w:rPr>
      </w:pPr>
      <w:r>
        <w:rPr>
          <w:rFonts w:hint="eastAsia"/>
          <w:sz w:val="24"/>
          <w:highlight w:val="none"/>
          <w:shd w:val="clear" w:color="auto" w:fill="FFFFFF"/>
        </w:rPr>
        <w:t xml:space="preserve"> </w:t>
      </w:r>
      <w:r>
        <w:rPr>
          <w:sz w:val="24"/>
          <w:highlight w:val="none"/>
          <w:shd w:val="clear" w:color="auto" w:fill="FFFFFF"/>
        </w:rPr>
        <w:t xml:space="preserve">                            </w:t>
      </w:r>
      <w:r>
        <w:rPr>
          <w:rFonts w:hint="eastAsia"/>
          <w:sz w:val="24"/>
          <w:highlight w:val="none"/>
          <w:shd w:val="clear" w:color="auto" w:fill="FFFFFF"/>
        </w:rPr>
        <w:t xml:space="preserve"> </w:t>
      </w:r>
      <w:r>
        <w:rPr>
          <w:rFonts w:hint="eastAsia" w:ascii="宋体" w:hAnsi="宋体"/>
          <w:b/>
          <w:sz w:val="24"/>
          <w:highlight w:val="none"/>
          <w:shd w:val="clear" w:color="auto" w:fill="FFFFFF"/>
        </w:rPr>
        <w:t>乙方：</w:t>
      </w:r>
    </w:p>
    <w:p w14:paraId="5A8920D7">
      <w:pPr>
        <w:shd w:val="clear" w:color="auto" w:fill="FFFFFF"/>
        <w:adjustRightInd w:val="0"/>
        <w:snapToGrid w:val="0"/>
        <w:spacing w:line="560" w:lineRule="exact"/>
        <w:ind w:firstLine="480" w:firstLineChars="200"/>
        <w:rPr>
          <w:rFonts w:ascii="宋体" w:hAnsi="宋体"/>
          <w:kern w:val="0"/>
          <w:sz w:val="24"/>
          <w:highlight w:val="none"/>
        </w:rPr>
      </w:pPr>
      <w:r>
        <w:rPr>
          <w:rFonts w:hint="eastAsia"/>
          <w:sz w:val="24"/>
          <w:highlight w:val="none"/>
          <w:shd w:val="clear" w:color="auto" w:fill="FFFFFF"/>
        </w:rPr>
        <w:t xml:space="preserve"> </w:t>
      </w:r>
      <w:r>
        <w:rPr>
          <w:sz w:val="24"/>
          <w:highlight w:val="none"/>
          <w:shd w:val="clear" w:color="auto" w:fill="FFFFFF"/>
        </w:rPr>
        <w:t xml:space="preserve">         </w:t>
      </w:r>
      <w:r>
        <w:rPr>
          <w:rFonts w:hint="eastAsia"/>
          <w:sz w:val="24"/>
          <w:highlight w:val="none"/>
          <w:shd w:val="clear" w:color="auto" w:fill="FFFFFF"/>
        </w:rPr>
        <w:t xml:space="preserve">                    </w:t>
      </w:r>
      <w:r>
        <w:rPr>
          <w:rFonts w:hint="eastAsia" w:ascii="宋体" w:hAnsi="宋体"/>
          <w:sz w:val="24"/>
          <w:highlight w:val="none"/>
        </w:rPr>
        <w:t>日   期：</w:t>
      </w:r>
      <w:r>
        <w:rPr>
          <w:rFonts w:hint="eastAsia"/>
          <w:sz w:val="24"/>
          <w:highlight w:val="none"/>
        </w:rPr>
        <w:t xml:space="preserve"> </w:t>
      </w:r>
      <w:r>
        <w:rPr>
          <w:sz w:val="24"/>
          <w:highlight w:val="none"/>
        </w:rPr>
        <w:t xml:space="preserve">    </w:t>
      </w:r>
      <w:r>
        <w:rPr>
          <w:rFonts w:hint="eastAsia" w:ascii="宋体" w:hAnsi="宋体"/>
          <w:sz w:val="24"/>
          <w:highlight w:val="none"/>
        </w:rPr>
        <w:t>年</w:t>
      </w:r>
      <w:r>
        <w:rPr>
          <w:rFonts w:hint="eastAsia"/>
          <w:sz w:val="24"/>
          <w:highlight w:val="none"/>
        </w:rPr>
        <w:t xml:space="preserve"> </w:t>
      </w:r>
      <w:r>
        <w:rPr>
          <w:sz w:val="24"/>
          <w:highlight w:val="none"/>
        </w:rPr>
        <w:t xml:space="preserve">     </w:t>
      </w:r>
      <w:r>
        <w:rPr>
          <w:rFonts w:hint="eastAsia" w:ascii="宋体" w:hAnsi="宋体"/>
          <w:sz w:val="24"/>
          <w:highlight w:val="none"/>
        </w:rPr>
        <w:t>月</w:t>
      </w:r>
      <w:r>
        <w:rPr>
          <w:rFonts w:hint="eastAsia"/>
          <w:sz w:val="24"/>
          <w:highlight w:val="none"/>
        </w:rPr>
        <w:t xml:space="preserve"> </w:t>
      </w:r>
      <w:r>
        <w:rPr>
          <w:sz w:val="24"/>
          <w:highlight w:val="none"/>
        </w:rPr>
        <w:t xml:space="preserve">    </w:t>
      </w:r>
      <w:r>
        <w:rPr>
          <w:rFonts w:hint="eastAsia" w:ascii="宋体" w:hAnsi="宋体"/>
          <w:sz w:val="24"/>
          <w:highlight w:val="none"/>
        </w:rPr>
        <w:t>日</w:t>
      </w:r>
      <w:r>
        <w:rPr>
          <w:rFonts w:hint="eastAsia"/>
          <w:sz w:val="24"/>
          <w:highlight w:val="none"/>
        </w:rPr>
        <w:t xml:space="preserve"> </w:t>
      </w:r>
      <w:r>
        <w:rPr>
          <w:sz w:val="24"/>
          <w:highlight w:val="none"/>
        </w:rPr>
        <w:t xml:space="preserve"> </w:t>
      </w:r>
    </w:p>
    <w:p w14:paraId="487AC33E">
      <w:pPr>
        <w:rPr>
          <w:rFonts w:ascii="宋体" w:hAnsi="宋体"/>
          <w:sz w:val="24"/>
          <w:highlight w:val="none"/>
        </w:rPr>
      </w:pPr>
    </w:p>
    <w:p w14:paraId="6F3AB46D">
      <w:pPr>
        <w:rPr>
          <w:rFonts w:ascii="宋体" w:hAnsi="宋体" w:cs="宋体"/>
          <w:vanish/>
          <w:highlight w:val="none"/>
        </w:rPr>
      </w:pPr>
    </w:p>
    <w:p w14:paraId="61413B00">
      <w:pPr>
        <w:spacing w:afterLines="100" w:line="360" w:lineRule="auto"/>
        <w:rPr>
          <w:rFonts w:ascii="宋体" w:hAnsi="宋体"/>
          <w:sz w:val="24"/>
          <w:highlight w:val="none"/>
        </w:rPr>
      </w:pPr>
    </w:p>
    <w:p w14:paraId="0383F660">
      <w:pPr>
        <w:widowControl/>
        <w:spacing w:line="480" w:lineRule="exact"/>
        <w:jc w:val="left"/>
        <w:rPr>
          <w:rFonts w:ascii="宋体" w:hAnsi="宋体" w:cs="宋体"/>
          <w:b/>
          <w:bCs/>
          <w:sz w:val="24"/>
          <w:highlight w:val="none"/>
        </w:rPr>
      </w:pPr>
    </w:p>
    <w:p w14:paraId="34CC04B0">
      <w:pPr>
        <w:widowControl/>
        <w:spacing w:line="48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br w:type="page"/>
      </w:r>
    </w:p>
    <w:p w14:paraId="7CE21C20">
      <w:pPr>
        <w:pStyle w:val="2"/>
        <w:numPr>
          <w:ilvl w:val="0"/>
          <w:numId w:val="4"/>
        </w:numPr>
        <w:spacing w:before="0" w:after="0" w:line="720" w:lineRule="auto"/>
        <w:jc w:val="center"/>
        <w:rPr>
          <w:rFonts w:hint="eastAsia" w:ascii="宋体" w:hAnsi="宋体" w:cs="宋体"/>
          <w:highlight w:val="none"/>
          <w:lang w:val="en-US" w:eastAsia="zh-CN"/>
        </w:rPr>
      </w:pPr>
      <w:bookmarkStart w:id="199" w:name="_Toc17421"/>
      <w:r>
        <w:rPr>
          <w:rFonts w:hint="eastAsia" w:ascii="宋体" w:hAnsi="宋体" w:cs="宋体"/>
          <w:highlight w:val="none"/>
          <w:lang w:val="en-US" w:eastAsia="zh-CN"/>
        </w:rPr>
        <w:t>采购需求</w:t>
      </w:r>
      <w:bookmarkEnd w:id="199"/>
    </w:p>
    <w:p w14:paraId="23C42B2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rPr>
      </w:pPr>
      <w:bookmarkStart w:id="200" w:name="_Toc16948"/>
      <w:bookmarkStart w:id="201" w:name="_Toc423"/>
      <w:r>
        <w:rPr>
          <w:rFonts w:hint="eastAsia" w:ascii="仿宋" w:hAnsi="仿宋" w:eastAsia="仿宋" w:cs="仿宋"/>
          <w:b/>
          <w:bCs/>
          <w:sz w:val="28"/>
          <w:szCs w:val="36"/>
        </w:rPr>
        <w:t>（一）采购标的需实现的功能或者目标，以及为落实政府采购政策需满足的要求；</w:t>
      </w:r>
      <w:bookmarkEnd w:id="200"/>
      <w:bookmarkEnd w:id="201"/>
    </w:p>
    <w:p w14:paraId="7B4A40DE">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562" w:firstLineChars="200"/>
        <w:textAlignment w:val="auto"/>
        <w:outlineLvl w:val="9"/>
        <w:rPr>
          <w:rFonts w:hint="eastAsia" w:ascii="仿宋" w:hAnsi="仿宋" w:eastAsia="仿宋" w:cs="仿宋"/>
          <w:sz w:val="28"/>
          <w:szCs w:val="28"/>
          <w:highlight w:val="none"/>
        </w:rPr>
      </w:pPr>
      <w:r>
        <w:rPr>
          <w:rFonts w:hint="eastAsia" w:ascii="仿宋" w:hAnsi="仿宋" w:eastAsia="仿宋" w:cs="仿宋"/>
          <w:b/>
          <w:bCs/>
          <w:kern w:val="2"/>
          <w:sz w:val="28"/>
          <w:szCs w:val="28"/>
          <w:highlight w:val="none"/>
          <w:lang w:val="en-US" w:eastAsia="zh-CN"/>
        </w:rPr>
        <w:t>1.</w:t>
      </w:r>
      <w:r>
        <w:rPr>
          <w:rFonts w:hint="eastAsia" w:ascii="仿宋" w:hAnsi="仿宋" w:eastAsia="仿宋" w:cs="仿宋"/>
          <w:b/>
          <w:bCs/>
          <w:kern w:val="2"/>
          <w:sz w:val="28"/>
          <w:szCs w:val="28"/>
          <w:highlight w:val="none"/>
          <w:lang w:val="zh-CN" w:eastAsia="zh-CN"/>
        </w:rPr>
        <w:t>要实现的功能或者目标</w:t>
      </w:r>
      <w:r>
        <w:rPr>
          <w:rFonts w:hint="eastAsia" w:ascii="仿宋" w:hAnsi="仿宋" w:eastAsia="仿宋" w:cs="仿宋"/>
          <w:kern w:val="2"/>
          <w:sz w:val="28"/>
          <w:szCs w:val="28"/>
          <w:highlight w:val="none"/>
          <w:lang w:val="zh-CN" w:eastAsia="zh-CN"/>
        </w:rPr>
        <w:t>：</w:t>
      </w:r>
      <w:r>
        <w:rPr>
          <w:rFonts w:hint="eastAsia" w:ascii="仿宋" w:hAnsi="仿宋" w:eastAsia="仿宋" w:cs="仿宋"/>
          <w:sz w:val="28"/>
          <w:szCs w:val="28"/>
          <w:highlight w:val="none"/>
        </w:rPr>
        <w:t>按照</w:t>
      </w:r>
      <w:r>
        <w:rPr>
          <w:rFonts w:hint="eastAsia" w:ascii="仿宋" w:hAnsi="仿宋" w:eastAsia="仿宋" w:cs="仿宋"/>
          <w:sz w:val="28"/>
          <w:szCs w:val="28"/>
          <w:lang w:val="en-US" w:eastAsia="zh-CN"/>
        </w:rPr>
        <w:t>《自然资源部办公厅关于推进存量采矿用地复垦修复验收信息化建设的通知》和《云南省自然资源厅关于有序开展存量采矿用地复垦修复腾退指标工作的通知》</w:t>
      </w:r>
      <w:r>
        <w:rPr>
          <w:rFonts w:hint="eastAsia" w:ascii="仿宋" w:hAnsi="仿宋" w:eastAsia="仿宋" w:cs="仿宋"/>
          <w:sz w:val="28"/>
          <w:szCs w:val="28"/>
          <w:highlight w:val="none"/>
        </w:rPr>
        <w:t>等文件要求，顺应自然资源部</w:t>
      </w:r>
      <w:r>
        <w:rPr>
          <w:rFonts w:hint="eastAsia" w:ascii="仿宋" w:hAnsi="仿宋" w:eastAsia="仿宋" w:cs="仿宋"/>
          <w:sz w:val="28"/>
          <w:szCs w:val="28"/>
          <w:highlight w:val="none"/>
          <w:lang w:val="en-US" w:eastAsia="zh-CN"/>
        </w:rPr>
        <w:t>和云南省自然资源厅关于存量采矿用地复垦修复验收的信息化</w:t>
      </w:r>
      <w:r>
        <w:rPr>
          <w:rFonts w:hint="eastAsia" w:ascii="仿宋" w:hAnsi="仿宋" w:eastAsia="仿宋" w:cs="仿宋"/>
          <w:sz w:val="28"/>
          <w:szCs w:val="28"/>
          <w:highlight w:val="none"/>
        </w:rPr>
        <w:t>建设部署，</w:t>
      </w:r>
      <w:r>
        <w:rPr>
          <w:rFonts w:hint="eastAsia" w:ascii="仿宋" w:hAnsi="仿宋" w:eastAsia="仿宋" w:cs="仿宋"/>
          <w:kern w:val="2"/>
          <w:sz w:val="28"/>
          <w:szCs w:val="28"/>
          <w:highlight w:val="none"/>
          <w:lang w:val="zh-CN" w:eastAsia="zh-CN"/>
        </w:rPr>
        <w:t>开展云南省采矿用地复垦修复系统</w:t>
      </w:r>
      <w:r>
        <w:rPr>
          <w:rFonts w:hint="eastAsia" w:ascii="仿宋" w:hAnsi="仿宋" w:eastAsia="仿宋" w:cs="仿宋"/>
          <w:kern w:val="2"/>
          <w:sz w:val="28"/>
          <w:szCs w:val="28"/>
          <w:highlight w:val="none"/>
          <w:lang w:val="en-US" w:eastAsia="zh-CN"/>
        </w:rPr>
        <w:t>建设</w:t>
      </w:r>
      <w:r>
        <w:rPr>
          <w:rFonts w:hint="eastAsia" w:ascii="仿宋" w:hAnsi="仿宋" w:eastAsia="仿宋" w:cs="仿宋"/>
          <w:kern w:val="2"/>
          <w:sz w:val="28"/>
          <w:szCs w:val="28"/>
          <w:highlight w:val="none"/>
          <w:lang w:val="zh-CN" w:eastAsia="zh-CN"/>
        </w:rPr>
        <w:t>，支撑全省存量采矿用地项目从立项审批到实施再到验收全流程信息化管理，同时构建云南省生态修复土地复垦腾退指标库，为管理部门提供及时、准确的数据支持。</w:t>
      </w:r>
    </w:p>
    <w:p w14:paraId="2DD20889">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36"/>
        </w:rPr>
      </w:pPr>
      <w:r>
        <w:rPr>
          <w:rFonts w:hint="eastAsia" w:ascii="仿宋" w:hAnsi="仿宋" w:eastAsia="仿宋" w:cs="仿宋"/>
          <w:b/>
          <w:bCs/>
          <w:kern w:val="2"/>
          <w:sz w:val="28"/>
          <w:szCs w:val="28"/>
          <w:highlight w:val="none"/>
          <w:lang w:val="en-US" w:eastAsia="zh-CN"/>
        </w:rPr>
        <w:t>2.</w:t>
      </w:r>
      <w:r>
        <w:rPr>
          <w:rFonts w:hint="eastAsia" w:ascii="仿宋" w:hAnsi="仿宋" w:eastAsia="仿宋" w:cs="仿宋"/>
          <w:b/>
          <w:bCs/>
          <w:kern w:val="2"/>
          <w:sz w:val="28"/>
          <w:szCs w:val="28"/>
          <w:highlight w:val="none"/>
          <w:lang w:val="zh-CN" w:eastAsia="zh-CN"/>
        </w:rPr>
        <w:t>为落实政府采购政策需满足的需求</w:t>
      </w:r>
      <w:r>
        <w:rPr>
          <w:rFonts w:hint="eastAsia" w:ascii="仿宋" w:hAnsi="仿宋" w:eastAsia="仿宋" w:cs="仿宋"/>
          <w:kern w:val="2"/>
          <w:sz w:val="28"/>
          <w:szCs w:val="28"/>
          <w:highlight w:val="none"/>
          <w:lang w:val="zh-CN" w:eastAsia="zh-CN"/>
        </w:rPr>
        <w:t>：符合《中华人民共和国政府采购法》、《中华人民共和国政府采购法实施条例》、《政府采购货物和服务招标投标管理办法》(财政部令第87号)等有关法律、法规和规章的规定。鼓励节能政策：在技术、服务等指标同等条件下，优先采购属于国家公布的节能清单中产品。鼓励环保政策：在性能、技术、服务等指标同等条件下，优先采购国家公布的环保产品清单中的产品。扶持中小企业政策：《统计上大中小微型企业划分办法（2017）》的通知”、《政府采购促进中小企业发展管理办法》（财库〔2020〕46号）的规定，对小型和微型企业产品的价格给予6%的扣除，用扣除后的价格参与评审。</w:t>
      </w:r>
    </w:p>
    <w:p w14:paraId="3CE5E80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rPr>
      </w:pPr>
      <w:bookmarkStart w:id="202" w:name="_Toc6292"/>
      <w:bookmarkStart w:id="203" w:name="_Toc26684"/>
      <w:r>
        <w:rPr>
          <w:rFonts w:hint="eastAsia" w:ascii="仿宋" w:hAnsi="仿宋" w:eastAsia="仿宋" w:cs="仿宋"/>
          <w:b/>
          <w:bCs/>
          <w:sz w:val="28"/>
          <w:szCs w:val="36"/>
        </w:rPr>
        <w:t>（二）采购标的需执行的国家相关标准、行业标准、地方标准或者其他标准、规范</w:t>
      </w:r>
      <w:bookmarkEnd w:id="202"/>
      <w:bookmarkEnd w:id="203"/>
    </w:p>
    <w:p w14:paraId="04F60BF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1.《自然资源部关于做好采矿用地保障的通知》 自然资发〔2022〕202号</w:t>
      </w:r>
    </w:p>
    <w:p w14:paraId="596D0AD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2.《自然资源部办公厅关于明确存量采矿用地复垦修复土地验收有关要求的通知》 自然资办发〔2023〕26号</w:t>
      </w:r>
    </w:p>
    <w:p w14:paraId="3695758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 xml:space="preserve">3.《自然资源部办公厅关于推进存量采矿用地复垦修复验收信息化建设的通知》自然资办函〔2024〕103号 </w:t>
      </w:r>
    </w:p>
    <w:p w14:paraId="40F7550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4.《云南省自然资源厅关于有序开展存量采矿用地复垦修复工作的通知》(云自然资修复〔2024〔286号)</w:t>
      </w:r>
    </w:p>
    <w:p w14:paraId="64074D1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5.《国土空间生态保护修复工程验收规范》DZ/T0392-2022</w:t>
      </w:r>
    </w:p>
    <w:p w14:paraId="464A68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val="en-US" w:eastAsia="zh-CN"/>
        </w:rPr>
      </w:pPr>
      <w:r>
        <w:rPr>
          <w:rFonts w:hint="eastAsia" w:ascii="仿宋" w:hAnsi="仿宋" w:eastAsia="仿宋" w:cs="仿宋"/>
          <w:b w:val="0"/>
          <w:bCs w:val="0"/>
          <w:sz w:val="28"/>
          <w:szCs w:val="36"/>
          <w:lang w:val="en-US" w:eastAsia="zh-CN"/>
        </w:rPr>
        <w:t>6.《云南省国土空间生态修复规划（2021－2035年）》云南省自然资源厅</w:t>
      </w:r>
    </w:p>
    <w:p w14:paraId="2FDB7D2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7</w:t>
      </w:r>
      <w:r>
        <w:rPr>
          <w:rFonts w:hint="eastAsia" w:ascii="仿宋" w:hAnsi="仿宋" w:eastAsia="仿宋" w:cs="仿宋"/>
          <w:b w:val="0"/>
          <w:bCs w:val="0"/>
          <w:sz w:val="28"/>
          <w:szCs w:val="36"/>
        </w:rPr>
        <w:t>.《云南省自然资源厅信息化建设总体方案》（2023年4月）；</w:t>
      </w:r>
    </w:p>
    <w:p w14:paraId="5537C6B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8.</w:t>
      </w:r>
      <w:r>
        <w:rPr>
          <w:rFonts w:hint="eastAsia" w:ascii="仿宋" w:hAnsi="仿宋" w:eastAsia="仿宋" w:cs="仿宋"/>
          <w:b w:val="0"/>
          <w:bCs w:val="0"/>
          <w:sz w:val="28"/>
          <w:szCs w:val="36"/>
        </w:rPr>
        <w:t>《地理信息系统软件测试规范》(GB/T 33447—2016)；</w:t>
      </w:r>
    </w:p>
    <w:p w14:paraId="301BEA7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9.</w:t>
      </w:r>
      <w:r>
        <w:rPr>
          <w:rFonts w:hint="eastAsia" w:ascii="仿宋" w:hAnsi="仿宋" w:eastAsia="仿宋" w:cs="仿宋"/>
          <w:b w:val="0"/>
          <w:bCs w:val="0"/>
          <w:sz w:val="28"/>
          <w:szCs w:val="36"/>
        </w:rPr>
        <w:t>《计算机软件测试文档编制规范》(GB/T 9386—2008)；</w:t>
      </w:r>
    </w:p>
    <w:p w14:paraId="4C13576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10.</w:t>
      </w:r>
      <w:r>
        <w:rPr>
          <w:rFonts w:hint="eastAsia" w:ascii="仿宋" w:hAnsi="仿宋" w:eastAsia="仿宋" w:cs="仿宋"/>
          <w:b w:val="0"/>
          <w:bCs w:val="0"/>
          <w:sz w:val="28"/>
          <w:szCs w:val="36"/>
        </w:rPr>
        <w:t>《计算机软件需求规格说明规范》(GB/T 9385—2008)；</w:t>
      </w:r>
    </w:p>
    <w:p w14:paraId="2E674A8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11.</w:t>
      </w:r>
      <w:r>
        <w:rPr>
          <w:rFonts w:hint="eastAsia" w:ascii="仿宋" w:hAnsi="仿宋" w:eastAsia="仿宋" w:cs="仿宋"/>
          <w:b w:val="0"/>
          <w:bCs w:val="0"/>
          <w:sz w:val="28"/>
          <w:szCs w:val="36"/>
        </w:rPr>
        <w:t>《系统与软件工程用户文档的管理者要求》(GB/T 16680—2015)；</w:t>
      </w:r>
    </w:p>
    <w:p w14:paraId="529CD5E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12.</w:t>
      </w:r>
      <w:r>
        <w:rPr>
          <w:rFonts w:hint="eastAsia" w:ascii="仿宋" w:hAnsi="仿宋" w:eastAsia="仿宋" w:cs="仿宋"/>
          <w:b w:val="0"/>
          <w:bCs w:val="0"/>
          <w:sz w:val="28"/>
          <w:szCs w:val="36"/>
        </w:rPr>
        <w:t>《计算机软件测试规范》(GB/T 15532-2008)；</w:t>
      </w:r>
    </w:p>
    <w:p w14:paraId="524CCCE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13.</w:t>
      </w:r>
      <w:r>
        <w:rPr>
          <w:rFonts w:hint="eastAsia" w:ascii="仿宋" w:hAnsi="仿宋" w:eastAsia="仿宋" w:cs="仿宋"/>
          <w:b w:val="0"/>
          <w:bCs w:val="0"/>
          <w:sz w:val="28"/>
          <w:szCs w:val="36"/>
        </w:rPr>
        <w:t>《软件工程软件评审与审核》(GB/T 32421-2015)；</w:t>
      </w:r>
    </w:p>
    <w:p w14:paraId="2445CA1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14.</w:t>
      </w:r>
      <w:r>
        <w:rPr>
          <w:rFonts w:hint="eastAsia" w:ascii="仿宋" w:hAnsi="仿宋" w:eastAsia="仿宋" w:cs="仿宋"/>
          <w:b w:val="0"/>
          <w:bCs w:val="0"/>
          <w:sz w:val="28"/>
          <w:szCs w:val="36"/>
        </w:rPr>
        <w:t>《系统与软件工程用户文档的设计者和开发者要求》(GB/T 32424—2015)；</w:t>
      </w:r>
    </w:p>
    <w:p w14:paraId="1F8C98E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15.</w:t>
      </w:r>
      <w:r>
        <w:rPr>
          <w:rFonts w:hint="eastAsia" w:ascii="仿宋" w:hAnsi="仿宋" w:eastAsia="仿宋" w:cs="仿宋"/>
          <w:b w:val="0"/>
          <w:bCs w:val="0"/>
          <w:sz w:val="28"/>
          <w:szCs w:val="36"/>
        </w:rPr>
        <w:t>《计算机软件配置管理计划规范》(GB/T 12260-90)；</w:t>
      </w:r>
    </w:p>
    <w:p w14:paraId="5001BEE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16.</w:t>
      </w:r>
      <w:r>
        <w:rPr>
          <w:rFonts w:hint="eastAsia" w:ascii="仿宋" w:hAnsi="仿宋" w:eastAsia="仿宋" w:cs="仿宋"/>
          <w:b w:val="0"/>
          <w:bCs w:val="0"/>
          <w:sz w:val="28"/>
          <w:szCs w:val="36"/>
        </w:rPr>
        <w:t>《信息系统密码应用测评要求》（GM/T0115-2021）；</w:t>
      </w:r>
    </w:p>
    <w:p w14:paraId="354694F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17.</w:t>
      </w:r>
      <w:r>
        <w:rPr>
          <w:rFonts w:hint="eastAsia" w:ascii="仿宋" w:hAnsi="仿宋" w:eastAsia="仿宋" w:cs="仿宋"/>
          <w:b w:val="0"/>
          <w:bCs w:val="0"/>
          <w:sz w:val="28"/>
          <w:szCs w:val="36"/>
        </w:rPr>
        <w:t>《基础地理信息数据库基本规定》（GB/T 30319-2013）；</w:t>
      </w:r>
    </w:p>
    <w:p w14:paraId="6071A9B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18.</w:t>
      </w:r>
      <w:r>
        <w:rPr>
          <w:rFonts w:hint="eastAsia" w:ascii="仿宋" w:hAnsi="仿宋" w:eastAsia="仿宋" w:cs="仿宋"/>
          <w:b w:val="0"/>
          <w:bCs w:val="0"/>
          <w:sz w:val="28"/>
          <w:szCs w:val="36"/>
        </w:rPr>
        <w:t>《地理空间框架基本规定》（GB/T 30317-2013）；</w:t>
      </w:r>
    </w:p>
    <w:p w14:paraId="213AC23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19.</w:t>
      </w:r>
      <w:r>
        <w:rPr>
          <w:rFonts w:hint="eastAsia" w:ascii="仿宋" w:hAnsi="仿宋" w:eastAsia="仿宋" w:cs="仿宋"/>
          <w:b w:val="0"/>
          <w:bCs w:val="0"/>
          <w:sz w:val="28"/>
          <w:szCs w:val="36"/>
        </w:rPr>
        <w:t>《基础地理信息要素分类与代码》（GB/T 13923-2006）；</w:t>
      </w:r>
    </w:p>
    <w:p w14:paraId="51556B6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rPr>
      </w:pPr>
      <w:r>
        <w:rPr>
          <w:rFonts w:hint="eastAsia" w:ascii="仿宋" w:hAnsi="仿宋" w:eastAsia="仿宋" w:cs="仿宋"/>
          <w:b w:val="0"/>
          <w:bCs w:val="0"/>
          <w:sz w:val="28"/>
          <w:szCs w:val="36"/>
          <w:lang w:val="en-US" w:eastAsia="zh-CN"/>
        </w:rPr>
        <w:t>20.</w:t>
      </w:r>
      <w:r>
        <w:rPr>
          <w:rFonts w:hint="eastAsia" w:ascii="仿宋" w:hAnsi="仿宋" w:eastAsia="仿宋" w:cs="仿宋"/>
          <w:b w:val="0"/>
          <w:bCs w:val="0"/>
          <w:sz w:val="28"/>
          <w:szCs w:val="36"/>
        </w:rPr>
        <w:t>《地理信息分类与编码规则》（GB/T 25529-2010）；</w:t>
      </w:r>
    </w:p>
    <w:p w14:paraId="480C99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36"/>
          <w:lang w:eastAsia="zh-CN"/>
        </w:rPr>
      </w:pPr>
      <w:r>
        <w:rPr>
          <w:rFonts w:hint="eastAsia" w:ascii="仿宋" w:hAnsi="仿宋" w:eastAsia="仿宋" w:cs="仿宋"/>
          <w:b w:val="0"/>
          <w:bCs w:val="0"/>
          <w:sz w:val="28"/>
          <w:szCs w:val="36"/>
          <w:lang w:val="en-US" w:eastAsia="zh-CN"/>
        </w:rPr>
        <w:t>21.</w:t>
      </w:r>
      <w:r>
        <w:rPr>
          <w:rFonts w:hint="eastAsia" w:ascii="仿宋" w:hAnsi="仿宋" w:eastAsia="仿宋" w:cs="仿宋"/>
          <w:b w:val="0"/>
          <w:bCs w:val="0"/>
          <w:sz w:val="28"/>
          <w:szCs w:val="36"/>
        </w:rPr>
        <w:t>《基础地理信息数字成果元数据》（GB/T 39608-2020）</w:t>
      </w:r>
      <w:r>
        <w:rPr>
          <w:rFonts w:hint="eastAsia" w:ascii="仿宋" w:hAnsi="仿宋" w:eastAsia="仿宋" w:cs="仿宋"/>
          <w:b w:val="0"/>
          <w:bCs w:val="0"/>
          <w:sz w:val="28"/>
          <w:szCs w:val="36"/>
          <w:lang w:eastAsia="zh-CN"/>
        </w:rPr>
        <w:t>。</w:t>
      </w:r>
    </w:p>
    <w:p w14:paraId="1F40B1EE">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rPr>
      </w:pPr>
      <w:bookmarkStart w:id="204" w:name="_Toc8773"/>
      <w:bookmarkStart w:id="205" w:name="_Toc3804"/>
      <w:r>
        <w:rPr>
          <w:rFonts w:hint="eastAsia" w:ascii="仿宋" w:hAnsi="仿宋" w:eastAsia="仿宋" w:cs="仿宋"/>
          <w:b/>
          <w:bCs/>
          <w:sz w:val="28"/>
          <w:szCs w:val="36"/>
        </w:rPr>
        <w:t>（三）采购标的需满足的质量、安全、技术规格、物理特性等要求</w:t>
      </w:r>
      <w:bookmarkEnd w:id="204"/>
      <w:bookmarkEnd w:id="205"/>
    </w:p>
    <w:p w14:paraId="77D0045D">
      <w:pPr>
        <w:keepNext w:val="0"/>
        <w:keepLines w:val="0"/>
        <w:pageBreakBefore w:val="0"/>
        <w:kinsoku/>
        <w:wordWrap/>
        <w:overflowPunct/>
        <w:topLinePunct w:val="0"/>
        <w:autoSpaceDE/>
        <w:autoSpaceDN/>
        <w:bidi w:val="0"/>
        <w:adjustRightInd/>
        <w:snapToGrid/>
        <w:spacing w:line="560" w:lineRule="exact"/>
        <w:ind w:left="0" w:firstLine="586" w:firstLineChars="200"/>
        <w:textAlignment w:val="auto"/>
        <w:outlineLvl w:val="9"/>
        <w:rPr>
          <w:rFonts w:hint="eastAsia" w:ascii="仿宋" w:hAnsi="仿宋" w:eastAsia="仿宋" w:cs="仿宋"/>
          <w:spacing w:val="6"/>
          <w:kern w:val="0"/>
          <w:sz w:val="28"/>
          <w:szCs w:val="28"/>
          <w:highlight w:val="none"/>
          <w:lang w:val="en-US" w:eastAsia="zh-CN"/>
        </w:rPr>
      </w:pPr>
      <w:r>
        <w:rPr>
          <w:rFonts w:hint="eastAsia" w:ascii="仿宋" w:hAnsi="仿宋" w:eastAsia="仿宋" w:cs="仿宋"/>
          <w:b/>
          <w:bCs/>
          <w:spacing w:val="6"/>
          <w:kern w:val="0"/>
          <w:sz w:val="28"/>
          <w:szCs w:val="28"/>
          <w:highlight w:val="none"/>
          <w:lang w:val="en-US" w:eastAsia="zh-CN"/>
        </w:rPr>
        <w:t>1.建设内容</w:t>
      </w:r>
    </w:p>
    <w:p w14:paraId="399E077D">
      <w:pPr>
        <w:keepNext w:val="0"/>
        <w:keepLines w:val="0"/>
        <w:pageBreakBefore w:val="0"/>
        <w:kinsoku/>
        <w:wordWrap/>
        <w:overflowPunct/>
        <w:topLinePunct w:val="0"/>
        <w:autoSpaceDE/>
        <w:autoSpaceDN/>
        <w:bidi w:val="0"/>
        <w:adjustRightInd/>
        <w:snapToGrid/>
        <w:spacing w:line="560" w:lineRule="exact"/>
        <w:ind w:left="0" w:firstLine="584" w:firstLineChars="200"/>
        <w:textAlignment w:val="auto"/>
        <w:outlineLvl w:val="9"/>
      </w:pPr>
      <w:r>
        <w:rPr>
          <w:rFonts w:hint="eastAsia" w:ascii="仿宋" w:hAnsi="仿宋" w:eastAsia="仿宋" w:cs="仿宋"/>
          <w:spacing w:val="6"/>
          <w:kern w:val="0"/>
          <w:sz w:val="28"/>
          <w:szCs w:val="28"/>
          <w:highlight w:val="none"/>
          <w:lang w:val="en-US" w:eastAsia="zh-CN"/>
        </w:rPr>
        <w:t>结合采购标的</w:t>
      </w:r>
      <w:r>
        <w:rPr>
          <w:rFonts w:hint="eastAsia" w:ascii="仿宋" w:hAnsi="仿宋" w:eastAsia="仿宋" w:cs="仿宋"/>
          <w:spacing w:val="6"/>
          <w:kern w:val="0"/>
          <w:sz w:val="28"/>
          <w:szCs w:val="28"/>
          <w:highlight w:val="none"/>
          <w:lang w:val="zh-CN" w:eastAsia="zh-CN"/>
        </w:rPr>
        <w:t>的工作目标，202</w:t>
      </w:r>
      <w:r>
        <w:rPr>
          <w:rFonts w:hint="eastAsia" w:ascii="仿宋" w:hAnsi="仿宋" w:eastAsia="仿宋" w:cs="仿宋"/>
          <w:spacing w:val="6"/>
          <w:kern w:val="0"/>
          <w:sz w:val="28"/>
          <w:szCs w:val="28"/>
          <w:highlight w:val="none"/>
          <w:lang w:val="en-US" w:eastAsia="zh-CN"/>
        </w:rPr>
        <w:t>6</w:t>
      </w:r>
      <w:r>
        <w:rPr>
          <w:rFonts w:hint="eastAsia" w:ascii="仿宋" w:hAnsi="仿宋" w:eastAsia="仿宋" w:cs="仿宋"/>
          <w:spacing w:val="6"/>
          <w:kern w:val="0"/>
          <w:sz w:val="28"/>
          <w:szCs w:val="28"/>
          <w:highlight w:val="none"/>
          <w:lang w:val="zh-CN" w:eastAsia="zh-CN"/>
        </w:rPr>
        <w:t>年需完成以下</w:t>
      </w:r>
      <w:r>
        <w:rPr>
          <w:rFonts w:hint="eastAsia" w:ascii="仿宋" w:hAnsi="仿宋" w:eastAsia="仿宋" w:cs="仿宋"/>
          <w:spacing w:val="6"/>
          <w:kern w:val="0"/>
          <w:sz w:val="28"/>
          <w:szCs w:val="28"/>
          <w:highlight w:val="none"/>
          <w:lang w:val="en-US" w:eastAsia="zh-CN"/>
        </w:rPr>
        <w:t>建设内容：</w:t>
      </w:r>
    </w:p>
    <w:p w14:paraId="7C916D1C">
      <w:pPr>
        <w:numPr>
          <w:ilvl w:val="0"/>
          <w:numId w:val="0"/>
        </w:numPr>
        <w:spacing w:line="460" w:lineRule="exact"/>
        <w:ind w:left="0" w:leftChars="0" w:firstLine="562" w:firstLineChars="200"/>
        <w:outlineLvl w:val="9"/>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（1）</w:t>
      </w:r>
      <w:r>
        <w:rPr>
          <w:rFonts w:hint="eastAsia" w:ascii="仿宋" w:hAnsi="仿宋" w:eastAsia="仿宋" w:cs="仿宋"/>
          <w:b/>
          <w:bCs/>
          <w:sz w:val="28"/>
          <w:szCs w:val="28"/>
          <w:lang w:val="en-US" w:eastAsia="zh-CN"/>
        </w:rPr>
        <w:t>合规检查</w:t>
      </w:r>
    </w:p>
    <w:p w14:paraId="280F331E">
      <w:pPr>
        <w:pStyle w:val="83"/>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服务于采矿用地复垦修复项目包含的空间数据合规性检查，包括文件有效性检查和压占分析检查，其中压占分析包括国土空间生态修复规划、“三区三线”、同类型项目、土地利用情况等。</w:t>
      </w:r>
    </w:p>
    <w:p w14:paraId="2400268D">
      <w:pPr>
        <w:numPr>
          <w:ilvl w:val="0"/>
          <w:numId w:val="0"/>
        </w:numPr>
        <w:spacing w:line="460" w:lineRule="exact"/>
        <w:ind w:left="0" w:leftChars="0" w:firstLine="562" w:firstLineChars="200"/>
        <w:outlineLvl w:val="9"/>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（2）项目立项</w:t>
      </w:r>
    </w:p>
    <w:p w14:paraId="26EF1E05">
      <w:pPr>
        <w:pStyle w:val="83"/>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服务于采矿用地复垦修复项目的信息填报与审批工作，研发项目信息填报功能，实现项目基本信息、图斑、方案以及相关佐证材料的上传与管理；建立县、市、省三级项目审批流程，研发项目审批功能，开展项目立项的审批工作，审批完成后统一由省自然资源厅进行备案管理。</w:t>
      </w:r>
    </w:p>
    <w:p w14:paraId="78CFC409">
      <w:pPr>
        <w:numPr>
          <w:ilvl w:val="0"/>
          <w:numId w:val="0"/>
        </w:numPr>
        <w:spacing w:line="460" w:lineRule="exact"/>
        <w:ind w:left="0" w:leftChars="0" w:firstLine="562" w:firstLineChars="200"/>
        <w:outlineLvl w:val="9"/>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（3）项目验收</w:t>
      </w:r>
    </w:p>
    <w:p w14:paraId="5030A2D1">
      <w:pPr>
        <w:pStyle w:val="83"/>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服务于采矿用地复垦修复项目的验收管理工作，构建项目验收申请功能，实现项目验收信息填报、资料上传、验收申请等；研发项目验收审批功能，按照县级初验、州市复验和省厅终验三级审批模式对项目信息进行核查与审批，同时，结合移动信息协同，实现野外论证任务的推送和现场论证数据接入，确保项目工作的真实性，提高项目的成果质量。</w:t>
      </w:r>
    </w:p>
    <w:p w14:paraId="3B6F23AD">
      <w:pPr>
        <w:numPr>
          <w:ilvl w:val="0"/>
          <w:numId w:val="0"/>
        </w:numPr>
        <w:spacing w:line="460" w:lineRule="exact"/>
        <w:ind w:left="0" w:leftChars="0" w:firstLine="562" w:firstLineChars="200"/>
        <w:outlineLvl w:val="9"/>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（4）指标管理</w:t>
      </w:r>
    </w:p>
    <w:p w14:paraId="163C0948">
      <w:pPr>
        <w:pStyle w:val="83"/>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结合省、市、县各个层级的腾退土地面积指标，</w:t>
      </w:r>
      <w:r>
        <w:rPr>
          <w:rFonts w:hint="eastAsia" w:ascii="仿宋" w:hAnsi="仿宋" w:eastAsia="仿宋" w:cs="仿宋"/>
          <w:color w:val="000000" w:themeColor="text1"/>
          <w:sz w:val="28"/>
          <w:szCs w:val="28"/>
          <w14:textFill>
            <w14:solidFill>
              <w14:schemeClr w14:val="tx1"/>
            </w14:solidFill>
          </w14:textFill>
        </w:rPr>
        <w:t>建立云南省生态修复土地复垦腾退指标库，</w:t>
      </w:r>
      <w:r>
        <w:rPr>
          <w:rStyle w:val="35"/>
          <w:rFonts w:hint="eastAsia" w:ascii="仿宋" w:hAnsi="仿宋" w:eastAsia="仿宋" w:cs="仿宋"/>
          <w:b w:val="0"/>
          <w:bCs w:val="0"/>
          <w:color w:val="000000" w:themeColor="text1"/>
          <w:sz w:val="28"/>
          <w:szCs w:val="28"/>
          <w14:textFill>
            <w14:solidFill>
              <w14:schemeClr w14:val="tx1"/>
            </w14:solidFill>
          </w14:textFill>
        </w:rPr>
        <w:t>关联城乡建设用地增减挂钩系统</w:t>
      </w:r>
      <w:r>
        <w:rPr>
          <w:rFonts w:hint="eastAsia" w:ascii="仿宋" w:hAnsi="仿宋" w:eastAsia="仿宋" w:cs="仿宋"/>
          <w:color w:val="000000" w:themeColor="text1"/>
          <w:sz w:val="28"/>
          <w:szCs w:val="28"/>
          <w14:textFill>
            <w14:solidFill>
              <w14:schemeClr w14:val="tx1"/>
            </w14:solidFill>
          </w14:textFill>
        </w:rPr>
        <w:t>，打通数据互通共享通道，实现指标数据双向对接、业务流程联动衔接，统一指标口径与管理规则，</w:t>
      </w:r>
      <w:r>
        <w:rPr>
          <w:rFonts w:hint="eastAsia" w:ascii="仿宋" w:hAnsi="仿宋" w:eastAsia="仿宋" w:cs="仿宋"/>
          <w:color w:val="000000" w:themeColor="text1"/>
          <w:sz w:val="28"/>
          <w:szCs w:val="28"/>
          <w:lang w:val="en-US" w:eastAsia="zh-CN"/>
          <w14:textFill>
            <w14:solidFill>
              <w14:schemeClr w14:val="tx1"/>
            </w14:solidFill>
          </w14:textFill>
        </w:rPr>
        <w:t>并建立长效动态更新与日常维护机制，实现指标任务“省、市、县、项目”层层下发与指标完成情况“项目、县、市、省”层层汇聚；结合项目的空间位置，利用GIS空间分析能力对指标异常情况进行识别与监督。</w:t>
      </w:r>
    </w:p>
    <w:p w14:paraId="34F31418">
      <w:pPr>
        <w:numPr>
          <w:ilvl w:val="0"/>
          <w:numId w:val="0"/>
        </w:numPr>
        <w:spacing w:line="460" w:lineRule="exact"/>
        <w:ind w:left="0" w:leftChars="0" w:firstLine="562" w:firstLineChars="200"/>
        <w:outlineLvl w:val="9"/>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（5）统计分析可视化</w:t>
      </w:r>
    </w:p>
    <w:p w14:paraId="26424419">
      <w:pPr>
        <w:pStyle w:val="83"/>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基于国土空间生态修复动态监管平台为基础框架，</w:t>
      </w:r>
      <w:r>
        <w:rPr>
          <w:rFonts w:hint="eastAsia" w:ascii="仿宋" w:hAnsi="仿宋" w:eastAsia="仿宋" w:cs="仿宋"/>
          <w:color w:val="000000" w:themeColor="text1"/>
          <w:sz w:val="28"/>
          <w:szCs w:val="28"/>
          <w14:textFill>
            <w14:solidFill>
              <w14:schemeClr w14:val="tx1"/>
            </w14:solidFill>
          </w14:textFill>
        </w:rPr>
        <w:t>实现数据统计分析与可视化展示，全面接入生态修复规划 “一张图” ，融合空间地理信息，直观呈现指标分布、利用现状及动态变化情况，强化全域统筹研判与可视化监管能力。</w:t>
      </w:r>
    </w:p>
    <w:p w14:paraId="3485C597">
      <w:pPr>
        <w:pStyle w:val="83"/>
        <w:keepNext w:val="0"/>
        <w:keepLines w:val="0"/>
        <w:pageBreakBefore w:val="0"/>
        <w:kinsoku/>
        <w:wordWrap/>
        <w:overflowPunct/>
        <w:topLinePunct w:val="0"/>
        <w:autoSpaceDE/>
        <w:autoSpaceDN/>
        <w:bidi w:val="0"/>
        <w:adjustRightInd w:val="0"/>
        <w:snapToGrid w:val="0"/>
        <w:spacing w:line="560" w:lineRule="exact"/>
        <w:ind w:firstLine="562" w:firstLineChars="200"/>
        <w:jc w:val="left"/>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14:textFill>
            <w14:solidFill>
              <w14:schemeClr w14:val="tx1"/>
            </w14:solidFill>
          </w14:textFill>
        </w:rPr>
        <w:t>.技术要求</w:t>
      </w:r>
      <w:r>
        <w:rPr>
          <w:rFonts w:hint="eastAsia" w:ascii="仿宋" w:hAnsi="仿宋" w:eastAsia="仿宋" w:cs="仿宋"/>
          <w:color w:val="000000" w:themeColor="text1"/>
          <w:sz w:val="28"/>
          <w:szCs w:val="28"/>
          <w14:textFill>
            <w14:solidFill>
              <w14:schemeClr w14:val="tx1"/>
            </w14:solidFill>
          </w14:textFill>
        </w:rPr>
        <w:t>：</w:t>
      </w:r>
    </w:p>
    <w:p w14:paraId="0D5D3B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（1）系统依托自然资源云框架下的国土专网总体框架，充分利用云计算、大数据等先进理念和技术手段进行建设。</w:t>
      </w:r>
    </w:p>
    <w:p w14:paraId="3C0885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（2）接入云南省国土空间生态修复动态监管平台的用户体系，面向不同角色的管理员提供对应的操作功能。</w:t>
      </w:r>
    </w:p>
    <w:p w14:paraId="349782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（3）技术选型和架构设计需符合云南省国土空间生态修复动态监管平台要求，具有良好的开放性、兼容性、可扩展性。</w:t>
      </w:r>
    </w:p>
    <w:p w14:paraId="749563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（4）采用分布式集群部署，保证系统可伸缩性，防止系统发生故障，具备从故障中自动恢复的能力，减少应用程序的停机时间，保证系统高可用性。</w:t>
      </w:r>
    </w:p>
    <w:p w14:paraId="34E85E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highlight w:val="none"/>
        </w:rPr>
      </w:pPr>
      <w:r>
        <w:rPr>
          <w:rFonts w:hint="eastAsia" w:ascii="仿宋" w:hAnsi="仿宋" w:eastAsia="仿宋" w:cs="仿宋"/>
          <w:b w:val="0"/>
          <w:bCs w:val="0"/>
          <w:kern w:val="2"/>
          <w:sz w:val="28"/>
          <w:szCs w:val="28"/>
          <w:highlight w:val="none"/>
          <w:lang w:val="en-US" w:eastAsia="zh-CN" w:bidi="ar-SA"/>
        </w:rPr>
        <w:t>（5）</w:t>
      </w:r>
      <w:r>
        <w:rPr>
          <w:rFonts w:hint="eastAsia" w:ascii="仿宋" w:hAnsi="仿宋" w:eastAsia="仿宋" w:cs="仿宋"/>
          <w:kern w:val="2"/>
          <w:sz w:val="28"/>
          <w:szCs w:val="28"/>
          <w:highlight w:val="none"/>
        </w:rPr>
        <w:t>采用本地双活架构，通过实时同步保障数据不丢失、依托离线隔离备份抵御勒索攻击，构建双重安全防护体系。</w:t>
      </w:r>
    </w:p>
    <w:p w14:paraId="34B4A17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eastAsia="zh-CN"/>
        </w:rPr>
        <w:t>（</w:t>
      </w:r>
      <w:r>
        <w:rPr>
          <w:rFonts w:hint="eastAsia" w:ascii="仿宋" w:hAnsi="仿宋" w:eastAsia="仿宋" w:cs="仿宋"/>
          <w:kern w:val="2"/>
          <w:sz w:val="28"/>
          <w:szCs w:val="28"/>
          <w:highlight w:val="none"/>
          <w:lang w:val="en-US" w:eastAsia="zh-CN"/>
        </w:rPr>
        <w:t>6</w:t>
      </w:r>
      <w:r>
        <w:rPr>
          <w:rFonts w:hint="eastAsia" w:ascii="仿宋" w:hAnsi="仿宋" w:eastAsia="仿宋" w:cs="仿宋"/>
          <w:kern w:val="2"/>
          <w:sz w:val="28"/>
          <w:szCs w:val="28"/>
          <w:highlight w:val="none"/>
          <w:lang w:eastAsia="zh-CN"/>
        </w:rPr>
        <w:t>）</w:t>
      </w:r>
      <w:r>
        <w:rPr>
          <w:rFonts w:hint="eastAsia" w:ascii="仿宋" w:hAnsi="仿宋" w:eastAsia="仿宋" w:cs="仿宋"/>
          <w:b w:val="0"/>
          <w:bCs w:val="0"/>
          <w:kern w:val="2"/>
          <w:sz w:val="28"/>
          <w:szCs w:val="28"/>
          <w:highlight w:val="none"/>
        </w:rPr>
        <w:t>依据相关信息化要求，</w:t>
      </w:r>
      <w:r>
        <w:rPr>
          <w:rFonts w:hint="eastAsia" w:ascii="仿宋" w:hAnsi="仿宋" w:eastAsia="仿宋" w:cs="仿宋"/>
          <w:b w:val="0"/>
          <w:bCs w:val="0"/>
          <w:kern w:val="2"/>
          <w:sz w:val="28"/>
          <w:szCs w:val="28"/>
          <w:highlight w:val="none"/>
          <w:lang w:val="en-US" w:eastAsia="zh-CN"/>
        </w:rPr>
        <w:t>系统将</w:t>
      </w:r>
      <w:r>
        <w:rPr>
          <w:rFonts w:hint="eastAsia" w:ascii="仿宋" w:hAnsi="仿宋" w:eastAsia="仿宋" w:cs="仿宋"/>
          <w:b w:val="0"/>
          <w:bCs w:val="0"/>
          <w:kern w:val="2"/>
          <w:sz w:val="28"/>
          <w:szCs w:val="28"/>
          <w:highlight w:val="none"/>
        </w:rPr>
        <w:t>按照信创标准建设，</w:t>
      </w:r>
      <w:r>
        <w:rPr>
          <w:rFonts w:hint="eastAsia" w:ascii="仿宋" w:hAnsi="仿宋" w:eastAsia="仿宋" w:cs="仿宋"/>
          <w:kern w:val="2"/>
          <w:sz w:val="28"/>
          <w:szCs w:val="28"/>
          <w:highlight w:val="none"/>
        </w:rPr>
        <w:t>配套国产操作系统</w:t>
      </w:r>
      <w:r>
        <w:rPr>
          <w:rFonts w:hint="eastAsia" w:ascii="仿宋" w:hAnsi="仿宋" w:eastAsia="仿宋" w:cs="仿宋"/>
          <w:kern w:val="2"/>
          <w:sz w:val="28"/>
          <w:szCs w:val="28"/>
          <w:highlight w:val="none"/>
          <w:lang w:eastAsia="zh-CN"/>
        </w:rPr>
        <w:t>，</w:t>
      </w:r>
      <w:r>
        <w:rPr>
          <w:rFonts w:hint="eastAsia" w:ascii="仿宋" w:hAnsi="仿宋" w:eastAsia="仿宋" w:cs="仿宋"/>
          <w:kern w:val="2"/>
          <w:sz w:val="28"/>
          <w:szCs w:val="28"/>
          <w:highlight w:val="none"/>
        </w:rPr>
        <w:t>选用银河麒麟、统信 UOS；数据库采用达梦、瀚高、禹贡等；GIS 平台适配国产自主 GIS 软件</w:t>
      </w:r>
      <w:r>
        <w:rPr>
          <w:rFonts w:hint="eastAsia" w:ascii="仿宋" w:hAnsi="仿宋" w:eastAsia="仿宋" w:cs="仿宋"/>
          <w:kern w:val="2"/>
          <w:sz w:val="28"/>
          <w:szCs w:val="28"/>
          <w:highlight w:val="none"/>
          <w:lang w:val="en-US" w:eastAsia="zh-CN"/>
        </w:rPr>
        <w:t>等</w:t>
      </w:r>
      <w:r>
        <w:rPr>
          <w:rFonts w:hint="eastAsia" w:ascii="仿宋" w:hAnsi="仿宋" w:eastAsia="仿宋" w:cs="仿宋"/>
          <w:kern w:val="2"/>
          <w:sz w:val="28"/>
          <w:szCs w:val="28"/>
          <w:highlight w:val="none"/>
        </w:rPr>
        <w:t>。</w:t>
      </w:r>
    </w:p>
    <w:p w14:paraId="1B637F6F">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3.质量要求</w:t>
      </w:r>
      <w:r>
        <w:rPr>
          <w:rFonts w:hint="eastAsia" w:ascii="仿宋" w:hAnsi="仿宋" w:eastAsia="仿宋" w:cs="仿宋"/>
          <w:kern w:val="2"/>
          <w:sz w:val="28"/>
          <w:szCs w:val="28"/>
          <w:highlight w:val="none"/>
          <w:lang w:val="en-US" w:eastAsia="zh-CN" w:bidi="ar-SA"/>
        </w:rPr>
        <w:t>：完成采购标的要求的建设内容，</w:t>
      </w:r>
      <w:r>
        <w:rPr>
          <w:rFonts w:hint="eastAsia" w:ascii="仿宋" w:hAnsi="仿宋" w:eastAsia="仿宋" w:cs="仿宋"/>
          <w:spacing w:val="6"/>
          <w:kern w:val="0"/>
          <w:sz w:val="28"/>
          <w:szCs w:val="28"/>
        </w:rPr>
        <w:t>成果内容满足省自然资源厅要求，符合国家、云南省现行相关标准、规范</w:t>
      </w:r>
      <w:r>
        <w:rPr>
          <w:rFonts w:hint="eastAsia" w:ascii="仿宋" w:hAnsi="仿宋" w:eastAsia="仿宋" w:cs="仿宋"/>
          <w:color w:val="000000" w:themeColor="text1"/>
          <w:sz w:val="28"/>
          <w:szCs w:val="28"/>
          <w14:textFill>
            <w14:solidFill>
              <w14:schemeClr w14:val="tx1"/>
            </w14:solidFill>
          </w14:textFill>
        </w:rPr>
        <w:t>的要求，并</w:t>
      </w:r>
      <w:r>
        <w:rPr>
          <w:rFonts w:hint="eastAsia" w:ascii="仿宋" w:hAnsi="仿宋" w:eastAsia="仿宋" w:cs="仿宋"/>
          <w:color w:val="000000" w:themeColor="text1"/>
          <w:sz w:val="28"/>
          <w:szCs w:val="28"/>
          <w:lang w:val="en-US" w:eastAsia="zh-CN"/>
          <w14:textFill>
            <w14:solidFill>
              <w14:schemeClr w14:val="tx1"/>
            </w14:solidFill>
          </w14:textFill>
        </w:rPr>
        <w:t>能</w:t>
      </w:r>
      <w:r>
        <w:rPr>
          <w:rFonts w:hint="eastAsia" w:ascii="仿宋" w:hAnsi="仿宋" w:eastAsia="仿宋" w:cs="仿宋"/>
          <w:color w:val="000000" w:themeColor="text1"/>
          <w:sz w:val="28"/>
          <w:szCs w:val="28"/>
          <w14:textFill>
            <w14:solidFill>
              <w14:schemeClr w14:val="tx1"/>
            </w14:solidFill>
          </w14:textFill>
        </w:rPr>
        <w:t>通过专家验收。</w:t>
      </w:r>
    </w:p>
    <w:p w14:paraId="2A78934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kern w:val="2"/>
          <w:sz w:val="28"/>
          <w:szCs w:val="28"/>
          <w:highlight w:val="none"/>
          <w:lang w:val="en-US" w:eastAsia="zh-CN" w:bidi="ar-SA"/>
        </w:rPr>
      </w:pPr>
      <w:bookmarkStart w:id="206" w:name="_Toc1790"/>
      <w:r>
        <w:rPr>
          <w:rFonts w:hint="eastAsia" w:ascii="仿宋" w:hAnsi="仿宋" w:eastAsia="仿宋" w:cs="仿宋"/>
          <w:b/>
          <w:bCs/>
          <w:kern w:val="2"/>
          <w:sz w:val="28"/>
          <w:szCs w:val="28"/>
          <w:highlight w:val="none"/>
          <w:lang w:val="en-US" w:eastAsia="zh-CN" w:bidi="ar-SA"/>
        </w:rPr>
        <w:t>4.安全要求</w:t>
      </w:r>
      <w:r>
        <w:rPr>
          <w:rFonts w:hint="eastAsia" w:ascii="仿宋" w:hAnsi="仿宋" w:eastAsia="仿宋" w:cs="仿宋"/>
          <w:kern w:val="2"/>
          <w:sz w:val="28"/>
          <w:szCs w:val="28"/>
          <w:highlight w:val="none"/>
          <w:lang w:val="en-US" w:eastAsia="zh-CN" w:bidi="ar-SA"/>
        </w:rPr>
        <w:t>：</w:t>
      </w:r>
      <w:bookmarkStart w:id="207" w:name="_Toc19838"/>
      <w:r>
        <w:rPr>
          <w:rFonts w:hint="eastAsia" w:ascii="仿宋" w:hAnsi="仿宋" w:eastAsia="仿宋" w:cs="仿宋"/>
          <w:kern w:val="2"/>
          <w:sz w:val="28"/>
          <w:szCs w:val="28"/>
          <w:highlight w:val="none"/>
          <w:lang w:val="en-US" w:eastAsia="zh-CN" w:bidi="ar-SA"/>
        </w:rPr>
        <w:t>系统开发必须符合国家和地方系统安全相关管理规定，要有严格的用户和使用权限要求，项目实施期间，需严格遵守省自然资源厅数据保密管理制度，履行数据保密义务。</w:t>
      </w:r>
      <w:bookmarkEnd w:id="206"/>
    </w:p>
    <w:p w14:paraId="30FB055E">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rPr>
      </w:pPr>
      <w:bookmarkStart w:id="208" w:name="_Toc19399"/>
      <w:r>
        <w:rPr>
          <w:rFonts w:hint="eastAsia" w:ascii="仿宋" w:hAnsi="仿宋" w:eastAsia="仿宋" w:cs="仿宋"/>
          <w:b/>
          <w:bCs/>
          <w:sz w:val="28"/>
          <w:szCs w:val="36"/>
        </w:rPr>
        <w:t>（四）采购标的的数量、采购项目交付或者实施的时间和地点</w:t>
      </w:r>
      <w:bookmarkEnd w:id="207"/>
      <w:bookmarkEnd w:id="208"/>
    </w:p>
    <w:p w14:paraId="69F580B2">
      <w:pPr>
        <w:keepNext w:val="0"/>
        <w:keepLines w:val="0"/>
        <w:pageBreakBefore w:val="0"/>
        <w:kinsoku/>
        <w:wordWrap/>
        <w:overflowPunct/>
        <w:topLinePunct w:val="0"/>
        <w:autoSpaceDE/>
        <w:autoSpaceDN/>
        <w:bidi w:val="0"/>
        <w:adjustRightInd/>
        <w:snapToGrid/>
        <w:spacing w:line="560" w:lineRule="exact"/>
        <w:ind w:left="0" w:leftChars="0" w:firstLine="604" w:firstLineChars="206"/>
        <w:textAlignment w:val="auto"/>
        <w:outlineLvl w:val="2"/>
        <w:rPr>
          <w:rFonts w:hint="eastAsia" w:ascii="仿宋" w:hAnsi="仿宋" w:eastAsia="仿宋" w:cs="仿宋"/>
          <w:spacing w:val="6"/>
          <w:kern w:val="0"/>
          <w:sz w:val="28"/>
          <w:szCs w:val="28"/>
          <w:highlight w:val="none"/>
        </w:rPr>
      </w:pPr>
      <w:bookmarkStart w:id="209" w:name="_Toc25153"/>
      <w:bookmarkStart w:id="210" w:name="_Toc17437"/>
      <w:r>
        <w:rPr>
          <w:rFonts w:hint="eastAsia" w:ascii="仿宋" w:hAnsi="仿宋" w:eastAsia="仿宋" w:cs="仿宋"/>
          <w:b/>
          <w:bCs/>
          <w:spacing w:val="6"/>
          <w:kern w:val="0"/>
          <w:sz w:val="28"/>
          <w:szCs w:val="28"/>
          <w:highlight w:val="none"/>
        </w:rPr>
        <w:t>1.采购标的的数量</w:t>
      </w:r>
      <w:r>
        <w:rPr>
          <w:rFonts w:hint="eastAsia" w:ascii="仿宋" w:hAnsi="仿宋" w:eastAsia="仿宋" w:cs="仿宋"/>
          <w:spacing w:val="6"/>
          <w:kern w:val="0"/>
          <w:sz w:val="28"/>
          <w:szCs w:val="28"/>
          <w:highlight w:val="none"/>
        </w:rPr>
        <w:t>：</w:t>
      </w:r>
      <w:bookmarkEnd w:id="209"/>
      <w:bookmarkEnd w:id="210"/>
    </w:p>
    <w:p w14:paraId="22A1E411">
      <w:pPr>
        <w:keepNext w:val="0"/>
        <w:keepLines w:val="0"/>
        <w:pageBreakBefore w:val="0"/>
        <w:kinsoku/>
        <w:wordWrap/>
        <w:overflowPunct/>
        <w:topLinePunct w:val="0"/>
        <w:autoSpaceDE/>
        <w:autoSpaceDN/>
        <w:bidi w:val="0"/>
        <w:adjustRightInd/>
        <w:snapToGrid/>
        <w:spacing w:line="560" w:lineRule="exact"/>
        <w:ind w:left="0" w:firstLine="601" w:firstLineChars="206"/>
        <w:textAlignment w:val="auto"/>
        <w:outlineLvl w:val="9"/>
        <w:rPr>
          <w:rFonts w:hint="eastAsia" w:ascii="仿宋" w:hAnsi="仿宋" w:eastAsia="仿宋" w:cs="仿宋"/>
          <w:spacing w:val="6"/>
          <w:kern w:val="0"/>
          <w:sz w:val="28"/>
          <w:szCs w:val="28"/>
          <w:highlight w:val="none"/>
        </w:rPr>
      </w:pPr>
      <w:r>
        <w:rPr>
          <w:rFonts w:hint="eastAsia" w:ascii="仿宋" w:hAnsi="仿宋" w:eastAsia="仿宋" w:cs="仿宋"/>
          <w:spacing w:val="6"/>
          <w:kern w:val="0"/>
          <w:sz w:val="28"/>
          <w:szCs w:val="28"/>
          <w:highlight w:val="none"/>
          <w:lang w:val="en-US" w:eastAsia="zh-CN"/>
        </w:rPr>
        <w:t>①系统</w:t>
      </w:r>
      <w:r>
        <w:rPr>
          <w:rFonts w:hint="eastAsia" w:ascii="仿宋" w:hAnsi="仿宋" w:eastAsia="仿宋" w:cs="仿宋"/>
          <w:spacing w:val="6"/>
          <w:kern w:val="0"/>
          <w:sz w:val="28"/>
          <w:szCs w:val="28"/>
          <w:highlight w:val="none"/>
        </w:rPr>
        <w:t>成果：</w:t>
      </w:r>
      <w:r>
        <w:rPr>
          <w:rFonts w:hint="eastAsia" w:ascii="仿宋" w:hAnsi="仿宋" w:eastAsia="仿宋" w:cs="仿宋"/>
          <w:spacing w:val="6"/>
          <w:kern w:val="0"/>
          <w:sz w:val="28"/>
          <w:szCs w:val="28"/>
          <w:highlight w:val="none"/>
          <w:lang w:val="en-US" w:eastAsia="zh-CN"/>
        </w:rPr>
        <w:t>云南省采矿用地复垦修复系统1套，提供本项目系统</w:t>
      </w:r>
      <w:r>
        <w:rPr>
          <w:rFonts w:hint="eastAsia" w:ascii="仿宋" w:hAnsi="仿宋" w:eastAsia="仿宋" w:cs="仿宋"/>
          <w:spacing w:val="6"/>
          <w:kern w:val="0"/>
          <w:sz w:val="28"/>
          <w:szCs w:val="28"/>
          <w:highlight w:val="none"/>
        </w:rPr>
        <w:t>的应用部署程序包</w:t>
      </w:r>
      <w:r>
        <w:rPr>
          <w:rFonts w:hint="eastAsia" w:ascii="仿宋" w:hAnsi="仿宋" w:eastAsia="仿宋" w:cs="仿宋"/>
          <w:spacing w:val="6"/>
          <w:kern w:val="0"/>
          <w:sz w:val="28"/>
          <w:szCs w:val="28"/>
          <w:highlight w:val="none"/>
          <w:lang w:val="en-US" w:eastAsia="zh-CN"/>
        </w:rPr>
        <w:t>及其</w:t>
      </w:r>
      <w:r>
        <w:rPr>
          <w:rFonts w:hint="eastAsia" w:ascii="仿宋" w:hAnsi="仿宋" w:eastAsia="仿宋" w:cs="仿宋"/>
          <w:spacing w:val="6"/>
          <w:kern w:val="0"/>
          <w:sz w:val="28"/>
          <w:szCs w:val="28"/>
          <w:highlight w:val="none"/>
        </w:rPr>
        <w:t>可执行的源代码。</w:t>
      </w:r>
    </w:p>
    <w:p w14:paraId="10140301">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firstLine="584" w:firstLineChars="200"/>
        <w:jc w:val="left"/>
        <w:textAlignment w:val="auto"/>
        <w:outlineLvl w:val="9"/>
        <w:rPr>
          <w:rFonts w:hint="eastAsia" w:ascii="仿宋" w:hAnsi="仿宋" w:eastAsia="仿宋" w:cs="仿宋"/>
          <w:b/>
          <w:bCs/>
          <w:spacing w:val="6"/>
          <w:kern w:val="0"/>
          <w:sz w:val="28"/>
          <w:szCs w:val="28"/>
          <w:highlight w:val="none"/>
          <w:lang w:val="en-US" w:eastAsia="zh-CN"/>
        </w:rPr>
      </w:pPr>
      <w:r>
        <w:rPr>
          <w:rFonts w:hint="eastAsia" w:ascii="仿宋" w:hAnsi="仿宋" w:eastAsia="仿宋" w:cs="仿宋"/>
          <w:spacing w:val="6"/>
          <w:kern w:val="0"/>
          <w:sz w:val="28"/>
          <w:szCs w:val="28"/>
          <w:highlight w:val="none"/>
          <w:lang w:val="en-US" w:eastAsia="zh-CN"/>
        </w:rPr>
        <w:t>②</w:t>
      </w:r>
      <w:r>
        <w:rPr>
          <w:rFonts w:hint="eastAsia" w:ascii="仿宋" w:hAnsi="仿宋" w:eastAsia="仿宋" w:cs="仿宋"/>
          <w:spacing w:val="6"/>
          <w:kern w:val="0"/>
          <w:sz w:val="28"/>
          <w:szCs w:val="28"/>
          <w:highlight w:val="none"/>
        </w:rPr>
        <w:t>文档成果：</w:t>
      </w:r>
      <w:r>
        <w:rPr>
          <w:rFonts w:hint="eastAsia" w:ascii="仿宋" w:hAnsi="仿宋" w:eastAsia="仿宋" w:cs="仿宋"/>
          <w:spacing w:val="6"/>
          <w:kern w:val="0"/>
          <w:sz w:val="28"/>
          <w:szCs w:val="28"/>
          <w:highlight w:val="none"/>
          <w:lang w:val="en-US" w:eastAsia="zh-CN"/>
        </w:rPr>
        <w:t>为</w:t>
      </w:r>
      <w:r>
        <w:rPr>
          <w:rFonts w:hint="eastAsia" w:ascii="仿宋" w:hAnsi="仿宋" w:eastAsia="仿宋" w:cs="仿宋"/>
          <w:spacing w:val="6"/>
          <w:kern w:val="0"/>
          <w:sz w:val="28"/>
          <w:szCs w:val="28"/>
          <w:highlight w:val="none"/>
        </w:rPr>
        <w:t>保证项目实施过程中文档的完整性，</w:t>
      </w:r>
      <w:r>
        <w:rPr>
          <w:rFonts w:hint="eastAsia" w:ascii="仿宋" w:hAnsi="仿宋" w:eastAsia="仿宋" w:cs="仿宋"/>
          <w:spacing w:val="6"/>
          <w:kern w:val="0"/>
          <w:sz w:val="28"/>
          <w:szCs w:val="28"/>
          <w:highlight w:val="none"/>
          <w:lang w:val="en-US" w:eastAsia="zh-CN"/>
        </w:rPr>
        <w:t>项目验收时需提交以下文档成果（</w:t>
      </w:r>
      <w:r>
        <w:rPr>
          <w:rFonts w:hint="eastAsia" w:ascii="仿宋" w:hAnsi="仿宋" w:eastAsia="仿宋" w:cs="仿宋"/>
          <w:spacing w:val="6"/>
          <w:kern w:val="0"/>
          <w:sz w:val="28"/>
          <w:szCs w:val="28"/>
          <w:highlight w:val="none"/>
        </w:rPr>
        <w:t>包括但不限于</w:t>
      </w:r>
      <w:r>
        <w:rPr>
          <w:rFonts w:hint="eastAsia" w:ascii="仿宋" w:hAnsi="仿宋" w:eastAsia="仿宋" w:cs="仿宋"/>
          <w:spacing w:val="6"/>
          <w:kern w:val="0"/>
          <w:sz w:val="28"/>
          <w:szCs w:val="28"/>
          <w:highlight w:val="none"/>
          <w:lang w:val="en-US" w:eastAsia="zh-CN"/>
        </w:rPr>
        <w:t>）：需求规格说明书、实施方案、详细设计方案、系统用户手册、系统测试报告、系统试运行报告、项目总结报告</w:t>
      </w:r>
      <w:bookmarkStart w:id="211" w:name="_Hlk159158018"/>
      <w:r>
        <w:rPr>
          <w:rFonts w:hint="eastAsia" w:ascii="仿宋" w:hAnsi="仿宋" w:eastAsia="仿宋" w:cs="仿宋"/>
          <w:spacing w:val="6"/>
          <w:kern w:val="0"/>
          <w:sz w:val="28"/>
          <w:szCs w:val="28"/>
          <w:highlight w:val="none"/>
          <w:lang w:val="en-US" w:eastAsia="zh-CN"/>
        </w:rPr>
        <w:t>。</w:t>
      </w:r>
      <w:bookmarkEnd w:id="211"/>
    </w:p>
    <w:p w14:paraId="4F2EAA67">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0" w:leftChars="0" w:firstLine="586" w:firstLineChars="200"/>
        <w:jc w:val="left"/>
        <w:textAlignment w:val="auto"/>
        <w:outlineLvl w:val="2"/>
        <w:rPr>
          <w:rFonts w:hint="eastAsia" w:ascii="仿宋" w:hAnsi="仿宋" w:eastAsia="仿宋" w:cs="仿宋"/>
          <w:spacing w:val="6"/>
          <w:kern w:val="0"/>
          <w:sz w:val="28"/>
          <w:szCs w:val="28"/>
          <w:highlight w:val="none"/>
        </w:rPr>
      </w:pPr>
      <w:bookmarkStart w:id="212" w:name="_Toc17376"/>
      <w:bookmarkStart w:id="213" w:name="_Toc30531"/>
      <w:r>
        <w:rPr>
          <w:rFonts w:hint="eastAsia" w:ascii="仿宋" w:hAnsi="仿宋" w:eastAsia="仿宋" w:cs="仿宋"/>
          <w:b/>
          <w:bCs/>
          <w:spacing w:val="6"/>
          <w:kern w:val="0"/>
          <w:sz w:val="28"/>
          <w:szCs w:val="28"/>
          <w:highlight w:val="none"/>
          <w:lang w:val="en-US" w:eastAsia="zh-CN"/>
        </w:rPr>
        <w:t>2.</w:t>
      </w:r>
      <w:r>
        <w:rPr>
          <w:rFonts w:hint="eastAsia" w:ascii="仿宋" w:hAnsi="仿宋" w:eastAsia="仿宋" w:cs="仿宋"/>
          <w:b/>
          <w:bCs/>
          <w:spacing w:val="6"/>
          <w:kern w:val="0"/>
          <w:sz w:val="28"/>
          <w:szCs w:val="28"/>
          <w:highlight w:val="none"/>
        </w:rPr>
        <w:t>实施时间</w:t>
      </w:r>
      <w:r>
        <w:rPr>
          <w:rFonts w:hint="eastAsia" w:ascii="仿宋" w:hAnsi="仿宋" w:eastAsia="仿宋" w:cs="仿宋"/>
          <w:spacing w:val="6"/>
          <w:kern w:val="0"/>
          <w:sz w:val="28"/>
          <w:szCs w:val="28"/>
          <w:highlight w:val="none"/>
        </w:rPr>
        <w:t>：</w:t>
      </w:r>
      <w:r>
        <w:rPr>
          <w:rFonts w:hint="eastAsia" w:ascii="仿宋" w:hAnsi="仿宋" w:eastAsia="仿宋" w:cs="仿宋"/>
          <w:spacing w:val="6"/>
          <w:kern w:val="0"/>
          <w:sz w:val="28"/>
          <w:szCs w:val="28"/>
          <w:highlight w:val="none"/>
          <w:lang w:val="en-US" w:eastAsia="zh-CN"/>
        </w:rPr>
        <w:t>自合同签订之日起12个月内</w:t>
      </w:r>
      <w:r>
        <w:rPr>
          <w:rFonts w:hint="eastAsia" w:ascii="仿宋" w:hAnsi="仿宋" w:eastAsia="仿宋" w:cs="仿宋"/>
          <w:spacing w:val="6"/>
          <w:kern w:val="0"/>
          <w:sz w:val="28"/>
          <w:szCs w:val="28"/>
          <w:highlight w:val="none"/>
        </w:rPr>
        <w:t>完成所有工作</w:t>
      </w:r>
      <w:r>
        <w:rPr>
          <w:rFonts w:hint="eastAsia" w:ascii="仿宋" w:hAnsi="仿宋" w:eastAsia="仿宋" w:cs="仿宋"/>
          <w:spacing w:val="6"/>
          <w:kern w:val="0"/>
          <w:sz w:val="28"/>
          <w:szCs w:val="28"/>
          <w:highlight w:val="none"/>
          <w:lang w:val="en-US" w:eastAsia="zh-CN"/>
        </w:rPr>
        <w:t>内容</w:t>
      </w:r>
      <w:r>
        <w:rPr>
          <w:rFonts w:hint="eastAsia" w:ascii="仿宋" w:hAnsi="仿宋" w:eastAsia="仿宋" w:cs="仿宋"/>
          <w:spacing w:val="6"/>
          <w:kern w:val="0"/>
          <w:sz w:val="28"/>
          <w:szCs w:val="28"/>
          <w:highlight w:val="none"/>
        </w:rPr>
        <w:t>。</w:t>
      </w:r>
      <w:bookmarkEnd w:id="212"/>
      <w:bookmarkEnd w:id="213"/>
    </w:p>
    <w:p w14:paraId="268A4A89">
      <w:pPr>
        <w:keepNext w:val="0"/>
        <w:keepLines w:val="0"/>
        <w:pageBreakBefore w:val="0"/>
        <w:kinsoku/>
        <w:wordWrap/>
        <w:overflowPunct/>
        <w:topLinePunct w:val="0"/>
        <w:autoSpaceDE/>
        <w:autoSpaceDN/>
        <w:bidi w:val="0"/>
        <w:adjustRightInd/>
        <w:snapToGrid/>
        <w:spacing w:line="560" w:lineRule="exact"/>
        <w:ind w:left="0" w:leftChars="0" w:firstLine="586" w:firstLineChars="200"/>
        <w:textAlignment w:val="auto"/>
        <w:outlineLvl w:val="2"/>
        <w:rPr>
          <w:rFonts w:hint="eastAsia" w:ascii="仿宋" w:hAnsi="仿宋" w:eastAsia="仿宋" w:cs="仿宋"/>
          <w:b/>
          <w:bCs/>
          <w:sz w:val="28"/>
          <w:szCs w:val="36"/>
        </w:rPr>
      </w:pPr>
      <w:bookmarkStart w:id="214" w:name="_Toc23067"/>
      <w:bookmarkStart w:id="215" w:name="_Toc26661"/>
      <w:r>
        <w:rPr>
          <w:rFonts w:hint="eastAsia" w:ascii="仿宋" w:hAnsi="仿宋" w:eastAsia="仿宋" w:cs="仿宋"/>
          <w:b/>
          <w:bCs/>
          <w:spacing w:val="6"/>
          <w:kern w:val="0"/>
          <w:sz w:val="28"/>
          <w:szCs w:val="28"/>
          <w:highlight w:val="none"/>
          <w:lang w:val="en-US" w:eastAsia="zh-CN"/>
        </w:rPr>
        <w:t>3.实施地点：</w:t>
      </w:r>
      <w:r>
        <w:rPr>
          <w:rFonts w:hint="eastAsia" w:ascii="仿宋" w:hAnsi="仿宋" w:eastAsia="仿宋" w:cs="仿宋"/>
          <w:kern w:val="0"/>
          <w:sz w:val="28"/>
          <w:szCs w:val="28"/>
          <w:highlight w:val="none"/>
        </w:rPr>
        <w:t>采购人指定地点。</w:t>
      </w:r>
      <w:bookmarkEnd w:id="214"/>
      <w:bookmarkEnd w:id="215"/>
    </w:p>
    <w:p w14:paraId="567851E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highlight w:val="yellow"/>
        </w:rPr>
      </w:pPr>
      <w:bookmarkStart w:id="216" w:name="_Toc25949"/>
      <w:bookmarkStart w:id="217" w:name="_Toc2669"/>
      <w:r>
        <w:rPr>
          <w:rFonts w:hint="eastAsia" w:ascii="仿宋" w:hAnsi="仿宋" w:eastAsia="仿宋" w:cs="仿宋"/>
          <w:b/>
          <w:bCs/>
          <w:sz w:val="28"/>
          <w:szCs w:val="36"/>
          <w:highlight w:val="yellow"/>
        </w:rPr>
        <w:t>（五）采购标的需满足的服务标准、期限、效率等要求</w:t>
      </w:r>
      <w:bookmarkEnd w:id="216"/>
      <w:bookmarkEnd w:id="217"/>
      <w:r>
        <w:rPr>
          <w:rFonts w:hint="eastAsia" w:ascii="仿宋" w:hAnsi="仿宋" w:eastAsia="仿宋" w:cs="仿宋"/>
          <w:b/>
          <w:bCs/>
          <w:sz w:val="28"/>
          <w:szCs w:val="36"/>
          <w:highlight w:val="yellow"/>
          <w:lang w:eastAsia="zh-CN"/>
        </w:rPr>
        <w:t>（</w:t>
      </w:r>
      <w:r>
        <w:rPr>
          <w:rFonts w:hint="eastAsia" w:ascii="仿宋" w:hAnsi="仿宋" w:eastAsia="仿宋" w:cs="仿宋"/>
          <w:b/>
          <w:bCs/>
          <w:sz w:val="28"/>
          <w:szCs w:val="36"/>
          <w:highlight w:val="yellow"/>
          <w:lang w:val="en-US" w:eastAsia="zh-CN"/>
        </w:rPr>
        <w:t>维保期</w:t>
      </w:r>
      <w:r>
        <w:rPr>
          <w:rFonts w:hint="eastAsia" w:ascii="仿宋" w:hAnsi="仿宋" w:eastAsia="仿宋" w:cs="仿宋"/>
          <w:b/>
          <w:bCs/>
          <w:sz w:val="28"/>
          <w:szCs w:val="36"/>
          <w:highlight w:val="yellow"/>
          <w:lang w:eastAsia="zh-CN"/>
        </w:rPr>
        <w:t>）</w:t>
      </w:r>
    </w:p>
    <w:p w14:paraId="5496C9CB">
      <w:pPr>
        <w:keepNext w:val="0"/>
        <w:keepLines w:val="0"/>
        <w:pageBreakBefore w:val="0"/>
        <w:widowControl w:val="0"/>
        <w:kinsoku/>
        <w:wordWrap/>
        <w:overflowPunct/>
        <w:topLinePunct w:val="0"/>
        <w:autoSpaceDE/>
        <w:autoSpaceDN/>
        <w:bidi w:val="0"/>
        <w:adjustRightInd/>
        <w:snapToGrid/>
        <w:spacing w:line="560" w:lineRule="exact"/>
        <w:ind w:firstLine="584" w:firstLineChars="200"/>
        <w:textAlignment w:val="auto"/>
        <w:rPr>
          <w:rFonts w:hint="eastAsia" w:ascii="仿宋" w:hAnsi="仿宋" w:eastAsia="仿宋" w:cs="仿宋"/>
          <w:b/>
          <w:bCs/>
          <w:sz w:val="28"/>
          <w:szCs w:val="28"/>
        </w:rPr>
      </w:pPr>
      <w:r>
        <w:rPr>
          <w:rFonts w:hint="eastAsia" w:ascii="仿宋" w:hAnsi="仿宋" w:eastAsia="仿宋" w:cs="仿宋"/>
          <w:spacing w:val="6"/>
          <w:kern w:val="0"/>
          <w:sz w:val="28"/>
          <w:szCs w:val="28"/>
          <w:highlight w:val="none"/>
          <w:lang w:val="en-US" w:eastAsia="zh-CN"/>
        </w:rPr>
        <w:t>1.</w:t>
      </w:r>
      <w:r>
        <w:rPr>
          <w:rFonts w:hint="eastAsia" w:ascii="仿宋" w:hAnsi="仿宋" w:eastAsia="仿宋" w:cs="仿宋"/>
          <w:b/>
          <w:bCs/>
          <w:spacing w:val="6"/>
          <w:kern w:val="0"/>
          <w:sz w:val="28"/>
          <w:szCs w:val="28"/>
          <w:highlight w:val="none"/>
          <w:lang w:val="en-US" w:eastAsia="zh-CN"/>
        </w:rPr>
        <w:t>服务标准</w:t>
      </w:r>
      <w:r>
        <w:rPr>
          <w:rFonts w:hint="eastAsia" w:ascii="仿宋" w:hAnsi="仿宋" w:eastAsia="仿宋" w:cs="仿宋"/>
          <w:spacing w:val="6"/>
          <w:kern w:val="0"/>
          <w:sz w:val="28"/>
          <w:szCs w:val="28"/>
          <w:highlight w:val="none"/>
          <w:lang w:val="en-US" w:eastAsia="zh-CN"/>
        </w:rPr>
        <w:t>：</w:t>
      </w:r>
      <w:r>
        <w:rPr>
          <w:rFonts w:hint="eastAsia" w:ascii="仿宋" w:hAnsi="仿宋" w:eastAsia="仿宋" w:cs="仿宋"/>
          <w:spacing w:val="6"/>
          <w:kern w:val="0"/>
          <w:sz w:val="28"/>
          <w:szCs w:val="28"/>
          <w:highlight w:val="none"/>
        </w:rPr>
        <w:t>按照本</w:t>
      </w:r>
      <w:r>
        <w:rPr>
          <w:rFonts w:hint="eastAsia" w:ascii="仿宋" w:hAnsi="仿宋" w:eastAsia="仿宋" w:cs="仿宋"/>
          <w:spacing w:val="6"/>
          <w:kern w:val="0"/>
          <w:sz w:val="28"/>
          <w:szCs w:val="28"/>
          <w:highlight w:val="none"/>
          <w:lang w:val="en-US" w:eastAsia="zh-CN"/>
        </w:rPr>
        <w:t>采购</w:t>
      </w:r>
      <w:r>
        <w:rPr>
          <w:rFonts w:hint="eastAsia" w:ascii="仿宋" w:hAnsi="仿宋" w:eastAsia="仿宋" w:cs="仿宋"/>
          <w:spacing w:val="6"/>
          <w:kern w:val="0"/>
          <w:sz w:val="28"/>
          <w:szCs w:val="28"/>
          <w:highlight w:val="none"/>
        </w:rPr>
        <w:t>需求中“</w:t>
      </w:r>
      <w:r>
        <w:rPr>
          <w:rFonts w:hint="eastAsia" w:ascii="仿宋" w:hAnsi="仿宋" w:eastAsia="仿宋" w:cs="仿宋"/>
          <w:spacing w:val="6"/>
          <w:kern w:val="0"/>
          <w:sz w:val="28"/>
          <w:szCs w:val="28"/>
          <w:highlight w:val="none"/>
          <w:lang w:eastAsia="zh-CN"/>
        </w:rPr>
        <w:t>（</w:t>
      </w:r>
      <w:r>
        <w:rPr>
          <w:rFonts w:hint="eastAsia" w:ascii="仿宋" w:hAnsi="仿宋" w:eastAsia="仿宋" w:cs="仿宋"/>
          <w:spacing w:val="6"/>
          <w:kern w:val="0"/>
          <w:sz w:val="28"/>
          <w:szCs w:val="28"/>
          <w:highlight w:val="none"/>
          <w:lang w:val="en-US" w:eastAsia="zh-CN"/>
        </w:rPr>
        <w:t>二</w:t>
      </w:r>
      <w:r>
        <w:rPr>
          <w:rFonts w:hint="eastAsia" w:ascii="仿宋" w:hAnsi="仿宋" w:eastAsia="仿宋" w:cs="仿宋"/>
          <w:spacing w:val="6"/>
          <w:kern w:val="0"/>
          <w:sz w:val="28"/>
          <w:szCs w:val="28"/>
          <w:highlight w:val="none"/>
          <w:lang w:eastAsia="zh-CN"/>
        </w:rPr>
        <w:t>）</w:t>
      </w:r>
      <w:r>
        <w:rPr>
          <w:rFonts w:hint="eastAsia" w:ascii="仿宋" w:hAnsi="仿宋" w:eastAsia="仿宋" w:cs="仿宋"/>
          <w:spacing w:val="6"/>
          <w:kern w:val="0"/>
          <w:sz w:val="28"/>
          <w:szCs w:val="28"/>
          <w:highlight w:val="none"/>
        </w:rPr>
        <w:t>采购标的需执行的国家相关标准、行业标准、地方标准或者其他标准、规范”等相关技术规范执行；</w:t>
      </w:r>
    </w:p>
    <w:p w14:paraId="590F8AE3">
      <w:pPr>
        <w:pStyle w:val="13"/>
        <w:keepNext w:val="0"/>
        <w:keepLines w:val="0"/>
        <w:pageBreakBefore w:val="0"/>
        <w:widowControl w:val="0"/>
        <w:kinsoku/>
        <w:wordWrap/>
        <w:overflowPunct/>
        <w:topLinePunct w:val="0"/>
        <w:autoSpaceDE/>
        <w:autoSpaceDN/>
        <w:bidi w:val="0"/>
        <w:adjustRightInd/>
        <w:snapToGrid/>
        <w:spacing w:after="0" w:line="560" w:lineRule="exact"/>
        <w:ind w:firstLine="584"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spacing w:val="6"/>
          <w:kern w:val="0"/>
          <w:sz w:val="28"/>
          <w:szCs w:val="28"/>
          <w:highlight w:val="none"/>
          <w:lang w:val="en-US" w:eastAsia="zh-CN" w:bidi="ar-SA"/>
        </w:rPr>
        <w:t>2.</w:t>
      </w:r>
      <w:r>
        <w:rPr>
          <w:rFonts w:hint="eastAsia" w:ascii="仿宋" w:hAnsi="仿宋" w:eastAsia="仿宋" w:cs="仿宋"/>
          <w:b/>
          <w:bCs/>
          <w:spacing w:val="6"/>
          <w:kern w:val="0"/>
          <w:sz w:val="28"/>
          <w:szCs w:val="28"/>
          <w:highlight w:val="none"/>
          <w:lang w:val="en-US" w:eastAsia="zh-CN" w:bidi="ar-SA"/>
        </w:rPr>
        <w:t>服务期限</w:t>
      </w:r>
      <w:r>
        <w:rPr>
          <w:rFonts w:hint="eastAsia" w:ascii="仿宋" w:hAnsi="仿宋" w:eastAsia="仿宋" w:cs="仿宋"/>
          <w:spacing w:val="6"/>
          <w:kern w:val="0"/>
          <w:sz w:val="28"/>
          <w:szCs w:val="28"/>
          <w:highlight w:val="none"/>
          <w:lang w:val="en-US" w:eastAsia="zh-CN" w:bidi="ar-SA"/>
        </w:rPr>
        <w:t>：</w:t>
      </w:r>
      <w:r>
        <w:rPr>
          <w:rFonts w:hint="eastAsia" w:ascii="仿宋" w:hAnsi="仿宋" w:eastAsia="仿宋" w:cs="仿宋"/>
          <w:color w:val="000000" w:themeColor="text1"/>
          <w:sz w:val="28"/>
          <w:szCs w:val="28"/>
          <w14:textFill>
            <w14:solidFill>
              <w14:schemeClr w14:val="tx1"/>
            </w14:solidFill>
          </w14:textFill>
        </w:rPr>
        <w:t>自合同签订之日起</w:t>
      </w:r>
      <w:r>
        <w:rPr>
          <w:rFonts w:hint="eastAsia" w:ascii="仿宋" w:hAnsi="仿宋" w:eastAsia="仿宋" w:cs="仿宋"/>
          <w:color w:val="000000" w:themeColor="text1"/>
          <w:sz w:val="28"/>
          <w:szCs w:val="28"/>
          <w:highlight w:val="none"/>
          <w:lang w:val="en-US" w:eastAsia="zh-CN"/>
          <w14:textFill>
            <w14:solidFill>
              <w14:schemeClr w14:val="tx1"/>
            </w14:solidFill>
          </w14:textFill>
        </w:rPr>
        <w:t>12</w:t>
      </w:r>
      <w:r>
        <w:rPr>
          <w:rFonts w:hint="eastAsia" w:ascii="仿宋" w:hAnsi="仿宋" w:eastAsia="仿宋" w:cs="仿宋"/>
          <w:color w:val="000000" w:themeColor="text1"/>
          <w:sz w:val="28"/>
          <w:szCs w:val="28"/>
          <w14:textFill>
            <w14:solidFill>
              <w14:schemeClr w14:val="tx1"/>
            </w14:solidFill>
          </w14:textFill>
        </w:rPr>
        <w:t>个月内完成所有工作内容</w:t>
      </w:r>
      <w:r>
        <w:rPr>
          <w:rFonts w:hint="eastAsia" w:ascii="仿宋" w:hAnsi="仿宋" w:eastAsia="仿宋" w:cs="仿宋"/>
          <w:color w:val="000000" w:themeColor="text1"/>
          <w:sz w:val="28"/>
          <w:szCs w:val="28"/>
          <w:lang w:eastAsia="zh-CN"/>
          <w14:textFill>
            <w14:solidFill>
              <w14:schemeClr w14:val="tx1"/>
            </w14:solidFill>
          </w14:textFill>
        </w:rPr>
        <w:t>。</w:t>
      </w:r>
    </w:p>
    <w:p w14:paraId="35569924">
      <w:pPr>
        <w:pStyle w:val="16"/>
        <w:keepNext w:val="0"/>
        <w:keepLines w:val="0"/>
        <w:pageBreakBefore w:val="0"/>
        <w:kinsoku/>
        <w:wordWrap/>
        <w:overflowPunct/>
        <w:topLinePunct w:val="0"/>
        <w:autoSpaceDE/>
        <w:autoSpaceDN/>
        <w:bidi w:val="0"/>
        <w:adjustRightInd/>
        <w:snapToGrid/>
        <w:spacing w:line="560" w:lineRule="exact"/>
        <w:ind w:left="0" w:leftChars="0" w:firstLine="584" w:firstLineChars="200"/>
        <w:textAlignment w:val="auto"/>
        <w:rPr>
          <w:rFonts w:hint="eastAsia" w:ascii="仿宋" w:hAnsi="仿宋" w:eastAsia="仿宋" w:cs="仿宋"/>
          <w:spacing w:val="6"/>
          <w:kern w:val="0"/>
          <w:sz w:val="28"/>
          <w:szCs w:val="28"/>
          <w:highlight w:val="none"/>
          <w:lang w:val="en-US" w:eastAsia="zh-CN" w:bidi="ar-SA"/>
        </w:rPr>
      </w:pPr>
      <w:r>
        <w:rPr>
          <w:rFonts w:hint="eastAsia" w:ascii="仿宋" w:hAnsi="仿宋" w:eastAsia="仿宋" w:cs="仿宋"/>
          <w:spacing w:val="6"/>
          <w:kern w:val="0"/>
          <w:sz w:val="28"/>
          <w:szCs w:val="28"/>
          <w:highlight w:val="none"/>
          <w:lang w:val="en-US" w:eastAsia="zh-CN" w:bidi="ar-SA"/>
        </w:rPr>
        <w:t>3.</w:t>
      </w:r>
      <w:r>
        <w:rPr>
          <w:rFonts w:hint="eastAsia" w:ascii="仿宋" w:hAnsi="仿宋" w:eastAsia="仿宋" w:cs="仿宋"/>
          <w:b/>
          <w:bCs/>
          <w:spacing w:val="6"/>
          <w:kern w:val="0"/>
          <w:sz w:val="28"/>
          <w:szCs w:val="28"/>
          <w:highlight w:val="none"/>
          <w:lang w:val="en-US" w:eastAsia="zh-CN" w:bidi="ar-SA"/>
        </w:rPr>
        <w:t>服务要求</w:t>
      </w:r>
      <w:r>
        <w:rPr>
          <w:rFonts w:hint="eastAsia" w:ascii="仿宋" w:hAnsi="仿宋" w:eastAsia="仿宋" w:cs="仿宋"/>
          <w:spacing w:val="6"/>
          <w:kern w:val="0"/>
          <w:sz w:val="28"/>
          <w:szCs w:val="28"/>
          <w:highlight w:val="none"/>
          <w:lang w:val="en-US" w:eastAsia="zh-CN" w:bidi="ar-SA"/>
        </w:rPr>
        <w:t>：</w:t>
      </w:r>
    </w:p>
    <w:p w14:paraId="42CBA28B">
      <w:pPr>
        <w:keepNext w:val="0"/>
        <w:keepLines w:val="0"/>
        <w:pageBreakBefore w:val="0"/>
        <w:widowControl/>
        <w:kinsoku/>
        <w:wordWrap/>
        <w:overflowPunct/>
        <w:topLinePunct w:val="0"/>
        <w:autoSpaceDE/>
        <w:autoSpaceDN/>
        <w:bidi w:val="0"/>
        <w:adjustRightInd/>
        <w:snapToGrid/>
        <w:spacing w:line="560" w:lineRule="exact"/>
        <w:ind w:firstLine="584" w:firstLineChars="200"/>
        <w:jc w:val="left"/>
        <w:textAlignment w:val="auto"/>
        <w:rPr>
          <w:rFonts w:hint="eastAsia" w:ascii="仿宋" w:hAnsi="仿宋" w:eastAsia="仿宋" w:cs="仿宋"/>
          <w:spacing w:val="6"/>
          <w:kern w:val="0"/>
          <w:sz w:val="28"/>
          <w:szCs w:val="28"/>
          <w:highlight w:val="none"/>
          <w:lang w:val="en-US" w:eastAsia="zh-CN" w:bidi="ar-SA"/>
        </w:rPr>
      </w:pPr>
      <w:r>
        <w:rPr>
          <w:rFonts w:hint="eastAsia" w:ascii="仿宋" w:hAnsi="仿宋" w:eastAsia="仿宋" w:cs="仿宋"/>
          <w:spacing w:val="6"/>
          <w:kern w:val="0"/>
          <w:sz w:val="28"/>
          <w:szCs w:val="28"/>
          <w:highlight w:val="none"/>
          <w:lang w:val="en-US" w:eastAsia="zh-CN" w:bidi="ar-SA"/>
        </w:rPr>
        <w:t>（1）快速响应服务：系统投入运行后，应提供7×24的售后故障处理服务，做到1小时内响应，并在12个小时内排除故障。</w:t>
      </w:r>
    </w:p>
    <w:p w14:paraId="1D5067DB">
      <w:pPr>
        <w:keepNext w:val="0"/>
        <w:keepLines w:val="0"/>
        <w:pageBreakBefore w:val="0"/>
        <w:widowControl/>
        <w:kinsoku/>
        <w:wordWrap/>
        <w:overflowPunct/>
        <w:topLinePunct w:val="0"/>
        <w:autoSpaceDE/>
        <w:autoSpaceDN/>
        <w:bidi w:val="0"/>
        <w:adjustRightInd/>
        <w:snapToGrid/>
        <w:spacing w:line="560" w:lineRule="exact"/>
        <w:ind w:firstLine="584" w:firstLineChars="200"/>
        <w:jc w:val="left"/>
        <w:textAlignment w:val="auto"/>
        <w:rPr>
          <w:rFonts w:hint="eastAsia" w:ascii="仿宋" w:hAnsi="仿宋" w:eastAsia="仿宋" w:cs="仿宋"/>
          <w:spacing w:val="6"/>
          <w:kern w:val="0"/>
          <w:sz w:val="28"/>
          <w:szCs w:val="28"/>
          <w:highlight w:val="none"/>
          <w:lang w:val="en-US" w:eastAsia="zh-CN" w:bidi="ar-SA"/>
        </w:rPr>
      </w:pPr>
      <w:r>
        <w:rPr>
          <w:rFonts w:hint="eastAsia" w:ascii="仿宋" w:hAnsi="仿宋" w:eastAsia="仿宋" w:cs="仿宋"/>
          <w:spacing w:val="6"/>
          <w:kern w:val="0"/>
          <w:sz w:val="28"/>
          <w:szCs w:val="28"/>
          <w:highlight w:val="none"/>
          <w:lang w:val="en-US" w:eastAsia="zh-CN" w:bidi="ar-SA"/>
        </w:rPr>
        <w:t>（2）定期跟踪服务：应定期跟踪和回访使用情况，及时了解存在的问题，并随时给予解决。</w:t>
      </w:r>
    </w:p>
    <w:p w14:paraId="445628F9">
      <w:pPr>
        <w:keepNext w:val="0"/>
        <w:keepLines w:val="0"/>
        <w:pageBreakBefore w:val="0"/>
        <w:kinsoku/>
        <w:wordWrap/>
        <w:overflowPunct/>
        <w:topLinePunct w:val="0"/>
        <w:autoSpaceDE/>
        <w:autoSpaceDN/>
        <w:bidi w:val="0"/>
        <w:adjustRightInd/>
        <w:snapToGrid/>
        <w:spacing w:line="560" w:lineRule="exact"/>
        <w:ind w:firstLine="584" w:firstLineChars="200"/>
        <w:textAlignment w:val="auto"/>
        <w:rPr>
          <w:rFonts w:hint="eastAsia" w:ascii="仿宋" w:hAnsi="仿宋" w:eastAsia="仿宋" w:cs="仿宋"/>
          <w:spacing w:val="6"/>
          <w:kern w:val="0"/>
          <w:sz w:val="28"/>
          <w:szCs w:val="28"/>
          <w:highlight w:val="none"/>
          <w:lang w:val="en-US" w:eastAsia="zh-CN" w:bidi="ar-SA"/>
        </w:rPr>
      </w:pPr>
      <w:r>
        <w:rPr>
          <w:rFonts w:hint="eastAsia" w:ascii="仿宋" w:hAnsi="仿宋" w:eastAsia="仿宋" w:cs="仿宋"/>
          <w:spacing w:val="6"/>
          <w:kern w:val="0"/>
          <w:sz w:val="28"/>
          <w:szCs w:val="28"/>
          <w:highlight w:val="none"/>
          <w:lang w:val="en-US" w:eastAsia="zh-CN" w:bidi="ar-SA"/>
        </w:rPr>
        <w:t>（3）热线服务：应提供7×24的技术咨询服务。提供热线电话服务，随时回答与项目有关的技术问题，并在24小时内提出解决方案。</w:t>
      </w:r>
    </w:p>
    <w:p w14:paraId="4CCD9B79">
      <w:pPr>
        <w:pStyle w:val="16"/>
        <w:keepNext w:val="0"/>
        <w:keepLines w:val="0"/>
        <w:pageBreakBefore w:val="0"/>
        <w:kinsoku/>
        <w:wordWrap/>
        <w:overflowPunct/>
        <w:topLinePunct w:val="0"/>
        <w:autoSpaceDE/>
        <w:autoSpaceDN/>
        <w:bidi w:val="0"/>
        <w:adjustRightInd/>
        <w:snapToGrid/>
        <w:spacing w:line="560" w:lineRule="exact"/>
        <w:ind w:left="0" w:leftChars="0" w:firstLine="586" w:firstLineChars="200"/>
        <w:textAlignment w:val="auto"/>
        <w:rPr>
          <w:rFonts w:hint="eastAsia" w:ascii="仿宋" w:hAnsi="仿宋" w:eastAsia="仿宋" w:cs="仿宋"/>
          <w:spacing w:val="6"/>
          <w:kern w:val="0"/>
          <w:sz w:val="28"/>
          <w:szCs w:val="28"/>
          <w:highlight w:val="none"/>
          <w:lang w:val="zh-CN" w:eastAsia="zh-CN" w:bidi="ar-SA"/>
        </w:rPr>
      </w:pPr>
      <w:bookmarkStart w:id="218" w:name="_Toc86317881"/>
      <w:r>
        <w:rPr>
          <w:rFonts w:hint="eastAsia" w:ascii="仿宋" w:hAnsi="仿宋" w:eastAsia="仿宋" w:cs="仿宋"/>
          <w:b/>
          <w:bCs/>
          <w:spacing w:val="6"/>
          <w:kern w:val="0"/>
          <w:sz w:val="28"/>
          <w:szCs w:val="28"/>
          <w:highlight w:val="none"/>
          <w:lang w:val="en-US" w:eastAsia="zh-CN" w:bidi="ar-SA"/>
        </w:rPr>
        <w:t>4.</w:t>
      </w:r>
      <w:r>
        <w:rPr>
          <w:rFonts w:hint="eastAsia" w:ascii="仿宋" w:hAnsi="仿宋" w:eastAsia="仿宋" w:cs="仿宋"/>
          <w:b/>
          <w:bCs/>
          <w:spacing w:val="6"/>
          <w:kern w:val="0"/>
          <w:sz w:val="28"/>
          <w:szCs w:val="28"/>
          <w:highlight w:val="none"/>
          <w:lang w:val="zh-CN" w:eastAsia="zh-CN" w:bidi="ar-SA"/>
        </w:rPr>
        <w:t>培训要求</w:t>
      </w:r>
      <w:bookmarkEnd w:id="218"/>
      <w:r>
        <w:rPr>
          <w:rFonts w:hint="eastAsia" w:ascii="仿宋" w:hAnsi="仿宋" w:eastAsia="仿宋" w:cs="仿宋"/>
          <w:b/>
          <w:bCs/>
          <w:spacing w:val="6"/>
          <w:kern w:val="0"/>
          <w:sz w:val="28"/>
          <w:szCs w:val="28"/>
          <w:highlight w:val="none"/>
          <w:lang w:val="zh-CN" w:eastAsia="zh-CN" w:bidi="ar-SA"/>
        </w:rPr>
        <w:t>：</w:t>
      </w:r>
    </w:p>
    <w:p w14:paraId="42E8301D">
      <w:pPr>
        <w:keepNext w:val="0"/>
        <w:keepLines w:val="0"/>
        <w:pageBreakBefore w:val="0"/>
        <w:widowControl w:val="0"/>
        <w:kinsoku/>
        <w:wordWrap/>
        <w:overflowPunct/>
        <w:topLinePunct w:val="0"/>
        <w:autoSpaceDE/>
        <w:autoSpaceDN/>
        <w:bidi w:val="0"/>
        <w:adjustRightInd/>
        <w:snapToGrid/>
        <w:spacing w:line="560" w:lineRule="exact"/>
        <w:ind w:firstLine="584" w:firstLineChars="200"/>
        <w:textAlignment w:val="auto"/>
        <w:rPr>
          <w:rFonts w:hint="eastAsia" w:ascii="仿宋" w:hAnsi="仿宋" w:eastAsia="仿宋" w:cs="仿宋"/>
          <w:spacing w:val="6"/>
          <w:kern w:val="0"/>
          <w:sz w:val="28"/>
          <w:szCs w:val="28"/>
          <w:highlight w:val="none"/>
          <w:lang w:val="en-US" w:eastAsia="zh-CN"/>
        </w:rPr>
      </w:pPr>
      <w:r>
        <w:rPr>
          <w:rFonts w:hint="eastAsia" w:ascii="仿宋" w:hAnsi="仿宋" w:eastAsia="仿宋" w:cs="仿宋"/>
          <w:spacing w:val="6"/>
          <w:kern w:val="0"/>
          <w:sz w:val="28"/>
          <w:szCs w:val="28"/>
          <w:highlight w:val="none"/>
          <w:lang w:val="en-US" w:eastAsia="zh-CN"/>
        </w:rPr>
        <w:t>承担单位需提供具体的培训方案，对采购人掌握系统建设、运行、维护等技术进行全面培训，</w:t>
      </w:r>
      <w:r>
        <w:rPr>
          <w:rFonts w:hint="eastAsia" w:ascii="仿宋" w:hAnsi="仿宋" w:eastAsia="仿宋" w:cs="仿宋"/>
          <w:spacing w:val="6"/>
          <w:sz w:val="28"/>
          <w:szCs w:val="28"/>
          <w:highlight w:val="none"/>
        </w:rPr>
        <w:t>培训内容涵盖系统操作手册编制、操作视频制作，同步开展线上 + 线下实操教学。</w:t>
      </w:r>
      <w:r>
        <w:rPr>
          <w:rFonts w:hint="eastAsia" w:ascii="仿宋" w:hAnsi="仿宋" w:eastAsia="仿宋" w:cs="仿宋"/>
          <w:spacing w:val="6"/>
          <w:kern w:val="0"/>
          <w:sz w:val="28"/>
          <w:szCs w:val="28"/>
          <w:highlight w:val="none"/>
          <w:lang w:val="en-US" w:eastAsia="zh-CN"/>
        </w:rPr>
        <w:t>，培训对象主要包括系统管理员和使用人员。培训方案需包括但不限于培训的体系、目标、对象、时间、地点、内容等。</w:t>
      </w:r>
    </w:p>
    <w:p w14:paraId="6B0CC1A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36"/>
        </w:rPr>
      </w:pPr>
      <w:bookmarkStart w:id="219" w:name="_Toc29068"/>
      <w:bookmarkStart w:id="220" w:name="_Toc29594"/>
      <w:r>
        <w:rPr>
          <w:rFonts w:hint="eastAsia" w:ascii="仿宋" w:hAnsi="仿宋" w:eastAsia="仿宋" w:cs="仿宋"/>
          <w:b/>
          <w:bCs/>
          <w:sz w:val="28"/>
          <w:szCs w:val="36"/>
        </w:rPr>
        <w:t>（六）采购标的的验收标准</w:t>
      </w:r>
      <w:bookmarkEnd w:id="219"/>
      <w:bookmarkEnd w:id="220"/>
    </w:p>
    <w:p w14:paraId="1DCDD93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1"/>
        <w:rPr>
          <w:rFonts w:hint="eastAsia" w:ascii="仿宋" w:hAnsi="仿宋" w:eastAsia="仿宋" w:cs="仿宋"/>
          <w:b w:val="0"/>
          <w:bCs w:val="0"/>
          <w:sz w:val="28"/>
          <w:szCs w:val="36"/>
          <w:lang w:eastAsia="zh-CN"/>
        </w:rPr>
      </w:pPr>
      <w:bookmarkStart w:id="221" w:name="_Toc31641"/>
      <w:bookmarkStart w:id="222" w:name="_Toc15269"/>
      <w:r>
        <w:rPr>
          <w:rFonts w:hint="eastAsia" w:ascii="仿宋" w:hAnsi="仿宋" w:eastAsia="仿宋" w:cs="仿宋"/>
          <w:b w:val="0"/>
          <w:bCs w:val="0"/>
          <w:sz w:val="28"/>
          <w:szCs w:val="36"/>
        </w:rPr>
        <w:t>符合国家、行业及地方</w:t>
      </w:r>
      <w:r>
        <w:rPr>
          <w:rFonts w:hint="eastAsia" w:ascii="仿宋" w:hAnsi="仿宋" w:eastAsia="仿宋" w:cs="仿宋"/>
          <w:b w:val="0"/>
          <w:bCs w:val="0"/>
          <w:sz w:val="28"/>
          <w:szCs w:val="36"/>
          <w:lang w:eastAsia="zh-CN"/>
        </w:rPr>
        <w:t>相关</w:t>
      </w:r>
      <w:r>
        <w:rPr>
          <w:rFonts w:hint="eastAsia" w:ascii="仿宋" w:hAnsi="仿宋" w:eastAsia="仿宋" w:cs="仿宋"/>
          <w:b w:val="0"/>
          <w:bCs w:val="0"/>
          <w:sz w:val="28"/>
          <w:szCs w:val="36"/>
        </w:rPr>
        <w:t>标准及合同约定。项目验收按照政府采购相关法律法规、《云南省政府采购管理暂行办法》</w:t>
      </w:r>
      <w:bookmarkStart w:id="223" w:name="_Hlk159157959"/>
      <w:r>
        <w:rPr>
          <w:rFonts w:hint="eastAsia" w:ascii="仿宋" w:hAnsi="仿宋" w:eastAsia="仿宋" w:cs="仿宋"/>
          <w:b w:val="0"/>
          <w:bCs w:val="0"/>
          <w:sz w:val="28"/>
          <w:szCs w:val="36"/>
          <w:lang w:eastAsia="zh-CN"/>
        </w:rPr>
        <w:t>、《关于进一步加强政府采购需求</w:t>
      </w:r>
    </w:p>
    <w:p w14:paraId="4CBD6BC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1"/>
        <w:rPr>
          <w:rFonts w:hint="eastAsia" w:ascii="仿宋" w:hAnsi="仿宋" w:eastAsia="仿宋" w:cs="仿宋"/>
          <w:b w:val="0"/>
          <w:bCs w:val="0"/>
          <w:sz w:val="28"/>
          <w:szCs w:val="36"/>
        </w:rPr>
      </w:pPr>
      <w:r>
        <w:rPr>
          <w:rFonts w:hint="eastAsia" w:ascii="仿宋" w:hAnsi="仿宋" w:eastAsia="仿宋" w:cs="仿宋"/>
          <w:b w:val="0"/>
          <w:bCs w:val="0"/>
          <w:sz w:val="28"/>
          <w:szCs w:val="36"/>
          <w:lang w:eastAsia="zh-CN"/>
        </w:rPr>
        <w:t>和履约验收管理的指导意见》</w:t>
      </w:r>
      <w:r>
        <w:rPr>
          <w:rFonts w:hint="eastAsia" w:ascii="仿宋" w:hAnsi="仿宋" w:eastAsia="仿宋" w:cs="仿宋"/>
          <w:b w:val="0"/>
          <w:bCs w:val="0"/>
          <w:sz w:val="28"/>
          <w:szCs w:val="36"/>
        </w:rPr>
        <w:t>及合同具体约定</w:t>
      </w:r>
      <w:bookmarkEnd w:id="223"/>
      <w:r>
        <w:rPr>
          <w:rFonts w:hint="eastAsia" w:ascii="仿宋" w:hAnsi="仿宋" w:eastAsia="仿宋" w:cs="仿宋"/>
          <w:b w:val="0"/>
          <w:bCs w:val="0"/>
          <w:sz w:val="28"/>
          <w:szCs w:val="36"/>
        </w:rPr>
        <w:t>进行验收。项目方案设计需经云南省自然资源厅国土资源信息中心组织方案评审后方可实施具体工作，建设完成后通过试运行满足项目要求后进行项目验收，验收工作由云南省自然资源厅国土资源信息中心组织业内专家，按照合同约定的标准，组织对乙方履约情况的验收，并出具验收意见。</w:t>
      </w:r>
      <w:bookmarkEnd w:id="221"/>
    </w:p>
    <w:p w14:paraId="280B11A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仿宋" w:hAnsi="仿宋" w:eastAsia="仿宋" w:cs="仿宋"/>
          <w:b/>
          <w:bCs/>
          <w:sz w:val="28"/>
          <w:szCs w:val="28"/>
        </w:rPr>
      </w:pPr>
      <w:bookmarkStart w:id="224" w:name="_Toc17213"/>
      <w:r>
        <w:rPr>
          <w:rFonts w:hint="eastAsia" w:ascii="仿宋" w:hAnsi="仿宋" w:eastAsia="仿宋" w:cs="仿宋"/>
          <w:b/>
          <w:bCs/>
          <w:sz w:val="28"/>
          <w:szCs w:val="36"/>
        </w:rPr>
        <w:t>（七）采购标的的其他技术、服务等要求</w:t>
      </w:r>
      <w:bookmarkEnd w:id="222"/>
      <w:bookmarkEnd w:id="224"/>
    </w:p>
    <w:p w14:paraId="6F931A1D">
      <w:pPr>
        <w:keepNext w:val="0"/>
        <w:keepLines w:val="0"/>
        <w:pageBreakBefore w:val="0"/>
        <w:widowControl w:val="0"/>
        <w:kinsoku/>
        <w:wordWrap/>
        <w:overflowPunct/>
        <w:topLinePunct w:val="0"/>
        <w:autoSpaceDE/>
        <w:autoSpaceDN/>
        <w:bidi w:val="0"/>
        <w:adjustRightInd/>
        <w:snapToGrid/>
        <w:spacing w:line="560" w:lineRule="exact"/>
        <w:ind w:firstLine="524" w:firstLineChars="200"/>
        <w:textAlignment w:val="auto"/>
        <w:rPr>
          <w:rFonts w:hint="eastAsia" w:ascii="仿宋" w:hAnsi="仿宋" w:eastAsia="仿宋" w:cs="仿宋"/>
          <w:b/>
          <w:bCs/>
          <w:sz w:val="32"/>
          <w:szCs w:val="40"/>
          <w:lang w:val="en-US" w:eastAsia="zh-CN"/>
        </w:rPr>
      </w:pPr>
      <w:r>
        <w:rPr>
          <w:rFonts w:hint="eastAsia" w:ascii="仿宋" w:hAnsi="仿宋" w:eastAsia="仿宋" w:cs="仿宋"/>
          <w:spacing w:val="6"/>
          <w:kern w:val="0"/>
          <w:sz w:val="25"/>
          <w:szCs w:val="25"/>
          <w:highlight w:val="none"/>
          <w:lang w:val="en-US" w:eastAsia="zh-CN"/>
        </w:rPr>
        <w:t>无。</w:t>
      </w:r>
    </w:p>
    <w:p w14:paraId="0C97E77E">
      <w:pPr>
        <w:spacing w:line="360" w:lineRule="auto"/>
        <w:ind w:firstLine="484" w:firstLineChars="202"/>
        <w:rPr>
          <w:rFonts w:ascii="宋体" w:hAnsi="宋体"/>
          <w:sz w:val="24"/>
        </w:rPr>
      </w:pPr>
    </w:p>
    <w:p w14:paraId="2C586DC1">
      <w:pPr>
        <w:rPr>
          <w:rFonts w:hint="eastAsia" w:ascii="宋体" w:hAnsi="宋体" w:cs="宋体"/>
          <w:highlight w:val="none"/>
        </w:rPr>
      </w:pPr>
      <w:r>
        <w:rPr>
          <w:rFonts w:hint="eastAsia" w:ascii="宋体" w:hAnsi="宋体" w:cs="宋体"/>
          <w:highlight w:val="none"/>
        </w:rPr>
        <w:br w:type="page"/>
      </w:r>
    </w:p>
    <w:p w14:paraId="42A121A1">
      <w:pPr>
        <w:pStyle w:val="2"/>
        <w:spacing w:before="0" w:after="0" w:line="360" w:lineRule="auto"/>
        <w:jc w:val="center"/>
        <w:rPr>
          <w:rFonts w:hint="eastAsia"/>
          <w:highlight w:val="none"/>
        </w:rPr>
      </w:pPr>
      <w:bookmarkStart w:id="225" w:name="_Toc3802"/>
      <w:r>
        <w:rPr>
          <w:rFonts w:hint="eastAsia" w:ascii="宋体" w:hAnsi="宋体" w:cs="宋体"/>
          <w:highlight w:val="none"/>
        </w:rPr>
        <w:t>第六章 响应文件格式</w:t>
      </w:r>
      <w:bookmarkEnd w:id="174"/>
      <w:bookmarkEnd w:id="175"/>
      <w:bookmarkEnd w:id="225"/>
    </w:p>
    <w:p w14:paraId="04D53045">
      <w:pPr>
        <w:rPr>
          <w:rFonts w:hint="eastAsia" w:ascii="宋体" w:hAnsi="宋体" w:cs="宋体"/>
          <w:highlight w:val="none"/>
        </w:rPr>
      </w:pPr>
      <w:r>
        <w:rPr>
          <w:rFonts w:hint="eastAsia" w:ascii="宋体" w:hAnsi="宋体" w:cs="宋体"/>
          <w:highlight w:val="none"/>
        </w:rPr>
        <w:t xml:space="preserve"> </w:t>
      </w:r>
    </w:p>
    <w:p w14:paraId="7E974D07">
      <w:pPr>
        <w:rPr>
          <w:rFonts w:hint="eastAsia" w:ascii="宋体" w:hAnsi="宋体" w:cs="宋体"/>
          <w:highlight w:val="none"/>
        </w:rPr>
      </w:pPr>
      <w:r>
        <w:rPr>
          <w:rFonts w:hint="eastAsia" w:ascii="宋体" w:hAnsi="宋体" w:cs="宋体"/>
          <w:highlight w:val="none"/>
        </w:rPr>
        <w:t xml:space="preserve"> </w:t>
      </w:r>
    </w:p>
    <w:p w14:paraId="4B78120A">
      <w:pPr>
        <w:rPr>
          <w:rFonts w:hint="eastAsia" w:ascii="宋体" w:hAnsi="宋体" w:cs="宋体"/>
          <w:highlight w:val="none"/>
        </w:rPr>
      </w:pPr>
      <w:r>
        <w:rPr>
          <w:rFonts w:hint="eastAsia" w:ascii="宋体" w:hAnsi="宋体" w:cs="宋体"/>
          <w:highlight w:val="none"/>
        </w:rPr>
        <w:t xml:space="preserve"> </w:t>
      </w:r>
    </w:p>
    <w:p w14:paraId="693A4035">
      <w:pPr>
        <w:rPr>
          <w:rFonts w:hint="eastAsia" w:ascii="宋体" w:hAnsi="宋体" w:cs="宋体"/>
          <w:highlight w:val="none"/>
        </w:rPr>
      </w:pPr>
      <w:r>
        <w:rPr>
          <w:rFonts w:hint="eastAsia" w:ascii="宋体" w:hAnsi="宋体" w:cs="宋体"/>
          <w:highlight w:val="none"/>
        </w:rPr>
        <w:t xml:space="preserve"> </w:t>
      </w:r>
    </w:p>
    <w:p w14:paraId="3F2B3CB7">
      <w:pPr>
        <w:spacing w:line="480" w:lineRule="auto"/>
        <w:jc w:val="center"/>
        <w:rPr>
          <w:rFonts w:hint="eastAsia" w:ascii="宋体" w:hAnsi="宋体" w:cs="宋体"/>
          <w:b/>
          <w:bCs/>
          <w:sz w:val="44"/>
          <w:szCs w:val="44"/>
          <w:highlight w:val="none"/>
        </w:rPr>
      </w:pPr>
      <w:r>
        <w:rPr>
          <w:rFonts w:hint="eastAsia" w:ascii="宋体" w:hAnsi="宋体" w:cs="宋体"/>
          <w:b/>
          <w:bCs/>
          <w:sz w:val="44"/>
          <w:szCs w:val="44"/>
          <w:highlight w:val="none"/>
          <w:u w:val="single"/>
        </w:rPr>
        <w:t xml:space="preserve">                        </w:t>
      </w:r>
      <w:r>
        <w:rPr>
          <w:rFonts w:hint="eastAsia" w:ascii="宋体" w:hAnsi="宋体" w:cs="宋体"/>
          <w:b/>
          <w:bCs/>
          <w:sz w:val="44"/>
          <w:szCs w:val="44"/>
          <w:highlight w:val="none"/>
        </w:rPr>
        <w:t>（项目名称）</w:t>
      </w:r>
    </w:p>
    <w:p w14:paraId="2E240791">
      <w:pPr>
        <w:spacing w:line="480" w:lineRule="auto"/>
        <w:jc w:val="center"/>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lang w:eastAsia="zh-CN"/>
        </w:rPr>
        <w:t>项目编号：</w:t>
      </w:r>
      <w:r>
        <w:rPr>
          <w:rFonts w:hint="eastAsia" w:ascii="宋体" w:hAnsi="宋体" w:cs="宋体"/>
          <w:b/>
          <w:bCs/>
          <w:sz w:val="44"/>
          <w:szCs w:val="44"/>
          <w:highlight w:val="none"/>
          <w:u w:val="single"/>
        </w:rPr>
        <w:t xml:space="preserve">      </w:t>
      </w:r>
      <w:r>
        <w:rPr>
          <w:rFonts w:hint="eastAsia" w:ascii="宋体" w:hAnsi="宋体" w:cs="宋体"/>
          <w:b/>
          <w:bCs/>
          <w:sz w:val="44"/>
          <w:szCs w:val="44"/>
          <w:highlight w:val="none"/>
          <w:u w:val="single"/>
          <w:lang w:val="en-US" w:eastAsia="zh-CN"/>
        </w:rPr>
        <w:t xml:space="preserve">  </w:t>
      </w:r>
      <w:r>
        <w:rPr>
          <w:rFonts w:hint="eastAsia" w:ascii="宋体" w:hAnsi="宋体" w:cs="宋体"/>
          <w:b/>
          <w:bCs/>
          <w:sz w:val="44"/>
          <w:szCs w:val="44"/>
          <w:highlight w:val="none"/>
          <w:u w:val="single"/>
        </w:rPr>
        <w:t xml:space="preserve">    </w:t>
      </w:r>
      <w:r>
        <w:rPr>
          <w:rFonts w:hint="eastAsia" w:ascii="宋体" w:hAnsi="宋体" w:cs="宋体"/>
          <w:b/>
          <w:bCs/>
          <w:sz w:val="44"/>
          <w:szCs w:val="44"/>
          <w:highlight w:val="none"/>
        </w:rPr>
        <w:t>）</w:t>
      </w:r>
    </w:p>
    <w:p w14:paraId="5A5137B6">
      <w:pPr>
        <w:spacing w:line="480" w:lineRule="auto"/>
        <w:rPr>
          <w:rFonts w:hint="eastAsia" w:ascii="宋体" w:hAnsi="宋体" w:cs="宋体"/>
          <w:b/>
          <w:bCs/>
          <w:sz w:val="44"/>
          <w:szCs w:val="44"/>
          <w:highlight w:val="none"/>
        </w:rPr>
      </w:pPr>
    </w:p>
    <w:p w14:paraId="287F33D1">
      <w:pPr>
        <w:spacing w:line="480" w:lineRule="auto"/>
        <w:rPr>
          <w:rFonts w:hint="eastAsia" w:ascii="宋体" w:hAnsi="宋体" w:cs="宋体"/>
          <w:b/>
          <w:bCs/>
          <w:sz w:val="44"/>
          <w:szCs w:val="44"/>
          <w:highlight w:val="none"/>
        </w:rPr>
      </w:pPr>
    </w:p>
    <w:p w14:paraId="7ECA1AEF">
      <w:pPr>
        <w:spacing w:line="480" w:lineRule="auto"/>
        <w:rPr>
          <w:rFonts w:hint="eastAsia" w:ascii="宋体" w:hAnsi="宋体" w:cs="宋体"/>
          <w:b/>
          <w:bCs/>
          <w:sz w:val="44"/>
          <w:szCs w:val="44"/>
          <w:highlight w:val="none"/>
        </w:rPr>
      </w:pPr>
    </w:p>
    <w:p w14:paraId="5406EFA1">
      <w:pPr>
        <w:spacing w:line="48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 </w:t>
      </w:r>
    </w:p>
    <w:p w14:paraId="4799CF3E">
      <w:pPr>
        <w:spacing w:line="48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 </w:t>
      </w:r>
    </w:p>
    <w:p w14:paraId="502C9CF4">
      <w:pPr>
        <w:spacing w:line="480" w:lineRule="auto"/>
        <w:jc w:val="center"/>
        <w:rPr>
          <w:rFonts w:hint="eastAsia" w:ascii="宋体" w:hAnsi="宋体" w:cs="宋体"/>
          <w:b/>
          <w:bCs/>
          <w:sz w:val="72"/>
          <w:szCs w:val="72"/>
          <w:highlight w:val="none"/>
        </w:rPr>
      </w:pPr>
      <w:r>
        <w:rPr>
          <w:rFonts w:hint="eastAsia" w:ascii="宋体" w:hAnsi="宋体" w:cs="宋体"/>
          <w:b/>
          <w:bCs/>
          <w:sz w:val="72"/>
          <w:szCs w:val="72"/>
          <w:highlight w:val="none"/>
        </w:rPr>
        <w:t>响 应 文 件</w:t>
      </w:r>
    </w:p>
    <w:p w14:paraId="399887B0">
      <w:pPr>
        <w:spacing w:line="480" w:lineRule="auto"/>
        <w:rPr>
          <w:rFonts w:hint="eastAsia" w:ascii="宋体" w:hAnsi="宋体" w:cs="宋体"/>
          <w:b/>
          <w:bCs/>
          <w:sz w:val="44"/>
          <w:szCs w:val="44"/>
          <w:highlight w:val="none"/>
        </w:rPr>
      </w:pPr>
    </w:p>
    <w:p w14:paraId="4AE32004">
      <w:pPr>
        <w:spacing w:line="480" w:lineRule="auto"/>
        <w:rPr>
          <w:rFonts w:hint="eastAsia" w:ascii="宋体" w:hAnsi="宋体" w:cs="宋体"/>
          <w:b/>
          <w:bCs/>
          <w:sz w:val="44"/>
          <w:szCs w:val="44"/>
          <w:highlight w:val="none"/>
        </w:rPr>
      </w:pPr>
    </w:p>
    <w:p w14:paraId="3C80293D">
      <w:pPr>
        <w:spacing w:line="480" w:lineRule="auto"/>
        <w:rPr>
          <w:rFonts w:hint="eastAsia" w:ascii="宋体" w:hAnsi="宋体" w:cs="宋体"/>
          <w:b/>
          <w:bCs/>
          <w:sz w:val="44"/>
          <w:szCs w:val="44"/>
          <w:highlight w:val="none"/>
        </w:rPr>
      </w:pPr>
    </w:p>
    <w:p w14:paraId="106D659B">
      <w:pPr>
        <w:pStyle w:val="13"/>
        <w:rPr>
          <w:rFonts w:hint="eastAsia" w:ascii="宋体" w:hAnsi="宋体" w:cs="宋体"/>
          <w:highlight w:val="none"/>
        </w:rPr>
      </w:pPr>
    </w:p>
    <w:p w14:paraId="756BEF3A">
      <w:pPr>
        <w:pStyle w:val="13"/>
        <w:rPr>
          <w:rFonts w:hint="eastAsia" w:ascii="宋体" w:hAnsi="宋体" w:cs="宋体"/>
          <w:highlight w:val="none"/>
        </w:rPr>
      </w:pPr>
    </w:p>
    <w:p w14:paraId="6EB7BDCC">
      <w:pPr>
        <w:spacing w:line="480" w:lineRule="auto"/>
        <w:rPr>
          <w:rFonts w:hint="eastAsia" w:ascii="宋体" w:hAnsi="宋体" w:cs="宋体"/>
          <w:b/>
          <w:bCs/>
          <w:sz w:val="28"/>
          <w:szCs w:val="28"/>
          <w:highlight w:val="none"/>
        </w:rPr>
      </w:pPr>
      <w:r>
        <w:rPr>
          <w:rFonts w:hint="eastAsia" w:ascii="宋体" w:hAnsi="宋体" w:cs="宋体"/>
          <w:b/>
          <w:bCs/>
          <w:sz w:val="28"/>
          <w:szCs w:val="28"/>
          <w:highlight w:val="none"/>
        </w:rPr>
        <w:t>供应商：</w:t>
      </w:r>
      <w:r>
        <w:rPr>
          <w:rFonts w:hint="eastAsia" w:ascii="宋体" w:hAnsi="宋体" w:cs="宋体"/>
          <w:b/>
          <w:bCs/>
          <w:sz w:val="28"/>
          <w:szCs w:val="28"/>
          <w:highlight w:val="none"/>
          <w:u w:val="single"/>
        </w:rPr>
        <w:tab/>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w:t>
      </w:r>
      <w:r>
        <w:rPr>
          <w:rFonts w:hint="eastAsia" w:ascii="宋体" w:hAnsi="宋体" w:cs="宋体"/>
          <w:b/>
          <w:bCs/>
          <w:sz w:val="28"/>
          <w:szCs w:val="28"/>
          <w:highlight w:val="none"/>
          <w:lang w:eastAsia="zh-CN"/>
        </w:rPr>
        <w:t>盖章或电子签章</w:t>
      </w:r>
      <w:r>
        <w:rPr>
          <w:rFonts w:hint="eastAsia" w:ascii="宋体" w:hAnsi="宋体" w:cs="宋体"/>
          <w:b/>
          <w:bCs/>
          <w:sz w:val="28"/>
          <w:szCs w:val="28"/>
          <w:highlight w:val="none"/>
        </w:rPr>
        <w:t>）</w:t>
      </w:r>
    </w:p>
    <w:p w14:paraId="7BCC57D6">
      <w:pPr>
        <w:spacing w:line="480" w:lineRule="auto"/>
        <w:rPr>
          <w:rFonts w:hint="eastAsia" w:ascii="宋体" w:hAnsi="宋体" w:cs="宋体"/>
          <w:b/>
          <w:bCs/>
          <w:sz w:val="28"/>
          <w:szCs w:val="28"/>
          <w:highlight w:val="none"/>
        </w:rPr>
      </w:pPr>
    </w:p>
    <w:p w14:paraId="751697A3">
      <w:pPr>
        <w:spacing w:line="480" w:lineRule="auto"/>
        <w:rPr>
          <w:rFonts w:hint="eastAsia" w:ascii="宋体" w:hAnsi="宋体" w:cs="宋体"/>
          <w:b/>
          <w:bCs/>
          <w:sz w:val="28"/>
          <w:szCs w:val="28"/>
          <w:highlight w:val="none"/>
        </w:rPr>
      </w:pPr>
      <w:r>
        <w:rPr>
          <w:rFonts w:hint="eastAsia" w:ascii="宋体" w:hAnsi="宋体" w:cs="宋体"/>
          <w:b/>
          <w:bCs/>
          <w:sz w:val="28"/>
          <w:szCs w:val="28"/>
          <w:highlight w:val="none"/>
          <w:lang w:eastAsia="zh-CN"/>
        </w:rPr>
        <w:t>法定代表人（单位负责人）</w:t>
      </w:r>
      <w:r>
        <w:rPr>
          <w:rFonts w:hint="eastAsia" w:ascii="宋体" w:hAnsi="宋体" w:cs="宋体"/>
          <w:b/>
          <w:bCs/>
          <w:sz w:val="28"/>
          <w:szCs w:val="28"/>
          <w:highlight w:val="none"/>
        </w:rPr>
        <w:t>或其委托代理人：</w:t>
      </w:r>
      <w:r>
        <w:rPr>
          <w:rFonts w:hint="eastAsia" w:ascii="宋体" w:hAnsi="宋体" w:cs="宋体"/>
          <w:b/>
          <w:bCs/>
          <w:sz w:val="28"/>
          <w:szCs w:val="28"/>
          <w:highlight w:val="none"/>
        </w:rPr>
        <w:tab/>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w:t>
      </w:r>
      <w:r>
        <w:rPr>
          <w:rFonts w:hint="eastAsia" w:ascii="宋体" w:hAnsi="宋体" w:cs="宋体"/>
          <w:b/>
          <w:bCs/>
          <w:sz w:val="28"/>
          <w:szCs w:val="28"/>
          <w:highlight w:val="none"/>
          <w:lang w:eastAsia="zh-CN"/>
        </w:rPr>
        <w:t>签字或电子签章</w:t>
      </w:r>
      <w:r>
        <w:rPr>
          <w:rFonts w:hint="eastAsia" w:ascii="宋体" w:hAnsi="宋体" w:cs="宋体"/>
          <w:b/>
          <w:bCs/>
          <w:sz w:val="28"/>
          <w:szCs w:val="28"/>
          <w:highlight w:val="none"/>
        </w:rPr>
        <w:t>）</w:t>
      </w:r>
    </w:p>
    <w:p w14:paraId="51A52072">
      <w:pPr>
        <w:spacing w:line="480" w:lineRule="auto"/>
        <w:ind w:firstLine="1405" w:firstLineChars="500"/>
        <w:rPr>
          <w:rFonts w:hint="eastAsia" w:ascii="宋体" w:hAnsi="宋体" w:cs="宋体"/>
          <w:b/>
          <w:bCs/>
          <w:sz w:val="28"/>
          <w:szCs w:val="28"/>
          <w:highlight w:val="none"/>
        </w:rPr>
      </w:pPr>
    </w:p>
    <w:p w14:paraId="321C4E1B">
      <w:pPr>
        <w:spacing w:line="48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日期： </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年</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月</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日</w:t>
      </w:r>
      <w:bookmarkStart w:id="226" w:name="_Toc184"/>
      <w:bookmarkEnd w:id="226"/>
      <w:bookmarkStart w:id="227" w:name="_Toc14917"/>
      <w:bookmarkEnd w:id="227"/>
      <w:bookmarkStart w:id="228" w:name="_Toc25438"/>
    </w:p>
    <w:p w14:paraId="020EF5A3">
      <w:pPr>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2E56CB57">
      <w:pPr>
        <w:pStyle w:val="4"/>
        <w:widowControl/>
        <w:autoSpaceDE w:val="0"/>
        <w:spacing w:before="0" w:after="0" w:line="240" w:lineRule="auto"/>
        <w:rPr>
          <w:rFonts w:hint="eastAsia" w:ascii="宋体" w:hAnsi="宋体" w:eastAsia="宋体" w:cs="宋体"/>
          <w:b/>
          <w:bCs/>
          <w:szCs w:val="28"/>
          <w:highlight w:val="none"/>
        </w:rPr>
      </w:pPr>
      <w:bookmarkStart w:id="229" w:name="_Toc16403"/>
      <w:r>
        <w:rPr>
          <w:rFonts w:hint="eastAsia" w:ascii="宋体" w:hAnsi="宋体" w:eastAsia="宋体" w:cs="宋体"/>
          <w:b/>
          <w:bCs/>
          <w:szCs w:val="28"/>
          <w:highlight w:val="none"/>
        </w:rPr>
        <w:t>初次报价表</w:t>
      </w:r>
      <w:bookmarkEnd w:id="229"/>
    </w:p>
    <w:p w14:paraId="43ABDF97">
      <w:pPr>
        <w:spacing w:line="480" w:lineRule="exact"/>
        <w:ind w:left="1200" w:hanging="1200" w:hanging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项目名称：</w:t>
      </w:r>
      <w:r>
        <w:rPr>
          <w:rFonts w:hint="eastAsia" w:ascii="宋体" w:hAnsi="宋体" w:cs="宋体"/>
          <w:sz w:val="24"/>
          <w:szCs w:val="24"/>
          <w:highlight w:val="none"/>
          <w:u w:val="single"/>
          <w:lang w:val="en-US" w:eastAsia="zh-CN"/>
        </w:rPr>
        <w:t xml:space="preserve">                                     </w:t>
      </w:r>
    </w:p>
    <w:p w14:paraId="026D413D">
      <w:pPr>
        <w:spacing w:line="480" w:lineRule="exact"/>
        <w:rPr>
          <w:rFonts w:hint="eastAsia" w:ascii="宋体" w:hAnsi="宋体" w:cs="宋体"/>
          <w:sz w:val="24"/>
          <w:szCs w:val="24"/>
          <w:highlight w:val="none"/>
          <w:u w:val="single"/>
          <w:lang w:val="en-US" w:eastAsia="zh-CN"/>
        </w:rPr>
      </w:pPr>
      <w:r>
        <w:rPr>
          <w:rFonts w:hint="eastAsia" w:ascii="宋体" w:hAnsi="宋体" w:cs="宋体"/>
          <w:sz w:val="24"/>
          <w:szCs w:val="24"/>
          <w:highlight w:val="none"/>
          <w:lang w:val="en-US" w:eastAsia="zh-CN"/>
        </w:rPr>
        <w:t>项目编号：</w:t>
      </w:r>
      <w:r>
        <w:rPr>
          <w:rFonts w:hint="eastAsia" w:ascii="宋体" w:hAnsi="宋体" w:cs="宋体"/>
          <w:sz w:val="24"/>
          <w:szCs w:val="24"/>
          <w:highlight w:val="none"/>
          <w:u w:val="single"/>
          <w:lang w:val="en-US" w:eastAsia="zh-CN"/>
        </w:rPr>
        <w:t xml:space="preserve">                  </w:t>
      </w:r>
    </w:p>
    <w:tbl>
      <w:tblPr>
        <w:tblStyle w:val="33"/>
        <w:tblW w:w="9952" w:type="dxa"/>
        <w:tblInd w:w="0" w:type="dxa"/>
        <w:tblLayout w:type="fixed"/>
        <w:tblCellMar>
          <w:top w:w="0" w:type="dxa"/>
          <w:left w:w="108" w:type="dxa"/>
          <w:bottom w:w="0" w:type="dxa"/>
          <w:right w:w="108" w:type="dxa"/>
        </w:tblCellMar>
      </w:tblPr>
      <w:tblGrid>
        <w:gridCol w:w="2686"/>
        <w:gridCol w:w="2773"/>
        <w:gridCol w:w="2419"/>
        <w:gridCol w:w="2074"/>
      </w:tblGrid>
      <w:tr w14:paraId="38B0D9EE">
        <w:tblPrEx>
          <w:tblCellMar>
            <w:top w:w="0" w:type="dxa"/>
            <w:left w:w="108" w:type="dxa"/>
            <w:bottom w:w="0" w:type="dxa"/>
            <w:right w:w="108" w:type="dxa"/>
          </w:tblCellMar>
        </w:tblPrEx>
        <w:trPr>
          <w:cantSplit/>
          <w:trHeight w:val="620" w:hRule="atLeast"/>
        </w:trPr>
        <w:tc>
          <w:tcPr>
            <w:tcW w:w="2686" w:type="dxa"/>
            <w:vMerge w:val="restart"/>
            <w:tcBorders>
              <w:top w:val="single" w:color="auto" w:sz="4" w:space="0"/>
              <w:left w:val="single" w:color="auto" w:sz="4" w:space="0"/>
              <w:right w:val="single" w:color="auto" w:sz="4" w:space="0"/>
            </w:tcBorders>
            <w:vAlign w:val="center"/>
          </w:tcPr>
          <w:p w14:paraId="037FC0D7">
            <w:pPr>
              <w:adjustRightInd w:val="0"/>
              <w:snapToGrid w:val="0"/>
              <w:spacing w:line="440" w:lineRule="exact"/>
              <w:jc w:val="center"/>
              <w:rPr>
                <w:rFonts w:ascii="宋体" w:hAnsi="宋体"/>
                <w:b/>
                <w:bCs/>
                <w:color w:val="auto"/>
                <w:kern w:val="2"/>
                <w:sz w:val="24"/>
                <w:szCs w:val="24"/>
                <w:highlight w:val="none"/>
              </w:rPr>
            </w:pPr>
            <w:r>
              <w:rPr>
                <w:rFonts w:ascii="宋体" w:hAnsi="宋体"/>
                <w:b/>
                <w:bCs/>
                <w:color w:val="auto"/>
                <w:kern w:val="2"/>
                <w:sz w:val="24"/>
                <w:szCs w:val="24"/>
                <w:highlight w:val="none"/>
              </w:rPr>
              <w:t>供应商名称</w:t>
            </w:r>
          </w:p>
        </w:tc>
        <w:tc>
          <w:tcPr>
            <w:tcW w:w="2773" w:type="dxa"/>
            <w:vMerge w:val="restart"/>
            <w:tcBorders>
              <w:top w:val="single" w:color="auto" w:sz="4" w:space="0"/>
              <w:left w:val="nil"/>
              <w:right w:val="single" w:color="auto" w:sz="4" w:space="0"/>
            </w:tcBorders>
            <w:vAlign w:val="center"/>
          </w:tcPr>
          <w:p w14:paraId="08F0CA48">
            <w:pPr>
              <w:adjustRightInd w:val="0"/>
              <w:snapToGrid w:val="0"/>
              <w:spacing w:line="440" w:lineRule="exact"/>
              <w:jc w:val="center"/>
              <w:rPr>
                <w:rFonts w:hint="eastAsia" w:ascii="宋体" w:hAnsi="宋体"/>
                <w:b/>
                <w:bCs/>
                <w:color w:val="auto"/>
                <w:kern w:val="2"/>
                <w:sz w:val="24"/>
                <w:szCs w:val="24"/>
                <w:highlight w:val="none"/>
                <w:lang w:eastAsia="zh-CN"/>
              </w:rPr>
            </w:pPr>
            <w:r>
              <w:rPr>
                <w:rFonts w:hint="eastAsia" w:ascii="宋体" w:hAnsi="宋体"/>
                <w:b/>
                <w:bCs/>
                <w:color w:val="auto"/>
                <w:kern w:val="2"/>
                <w:sz w:val="24"/>
                <w:szCs w:val="24"/>
                <w:highlight w:val="none"/>
                <w:lang w:val="en-US" w:eastAsia="zh-CN"/>
              </w:rPr>
              <w:t>磋商总</w:t>
            </w:r>
            <w:r>
              <w:rPr>
                <w:rFonts w:hint="eastAsia" w:ascii="宋体" w:hAnsi="宋体"/>
                <w:b/>
                <w:bCs/>
                <w:kern w:val="2"/>
                <w:sz w:val="24"/>
                <w:szCs w:val="24"/>
                <w:highlight w:val="none"/>
                <w:lang w:eastAsia="zh-CN"/>
              </w:rPr>
              <w:t>报</w:t>
            </w:r>
            <w:r>
              <w:rPr>
                <w:rFonts w:hint="eastAsia" w:ascii="宋体" w:hAnsi="宋体"/>
                <w:b/>
                <w:bCs/>
                <w:kern w:val="2"/>
                <w:sz w:val="24"/>
                <w:szCs w:val="24"/>
                <w:highlight w:val="none"/>
              </w:rPr>
              <w:t>价</w:t>
            </w:r>
          </w:p>
          <w:p w14:paraId="67BED7DA">
            <w:pPr>
              <w:adjustRightInd w:val="0"/>
              <w:snapToGrid w:val="0"/>
              <w:spacing w:line="440" w:lineRule="exact"/>
              <w:jc w:val="center"/>
              <w:rPr>
                <w:rFonts w:hint="eastAsia" w:ascii="宋体" w:hAnsi="宋体" w:eastAsia="宋体"/>
                <w:b/>
                <w:bCs/>
                <w:color w:val="auto"/>
                <w:kern w:val="2"/>
                <w:sz w:val="24"/>
                <w:szCs w:val="24"/>
                <w:highlight w:val="none"/>
                <w:lang w:eastAsia="zh-CN"/>
              </w:rPr>
            </w:pPr>
            <w:r>
              <w:rPr>
                <w:rFonts w:hint="eastAsia" w:ascii="宋体" w:hAnsi="宋体"/>
                <w:b/>
                <w:bCs/>
                <w:color w:val="auto"/>
                <w:kern w:val="2"/>
                <w:sz w:val="24"/>
                <w:szCs w:val="24"/>
                <w:highlight w:val="none"/>
                <w:lang w:eastAsia="zh-CN"/>
              </w:rPr>
              <w:t>（元）</w:t>
            </w:r>
          </w:p>
        </w:tc>
        <w:tc>
          <w:tcPr>
            <w:tcW w:w="2419" w:type="dxa"/>
            <w:vMerge w:val="restart"/>
            <w:tcBorders>
              <w:top w:val="single" w:color="auto" w:sz="4" w:space="0"/>
              <w:left w:val="nil"/>
              <w:right w:val="single" w:color="auto" w:sz="4" w:space="0"/>
            </w:tcBorders>
            <w:vAlign w:val="center"/>
          </w:tcPr>
          <w:p w14:paraId="742419B7">
            <w:pPr>
              <w:adjustRightInd w:val="0"/>
              <w:snapToGrid w:val="0"/>
              <w:spacing w:line="440" w:lineRule="exact"/>
              <w:jc w:val="center"/>
              <w:rPr>
                <w:rFonts w:hint="eastAsia" w:ascii="宋体" w:hAnsi="宋体" w:eastAsia="宋体"/>
                <w:b/>
                <w:bCs/>
                <w:color w:val="auto"/>
                <w:kern w:val="2"/>
                <w:sz w:val="24"/>
                <w:szCs w:val="24"/>
                <w:highlight w:val="none"/>
                <w:lang w:eastAsia="zh-CN"/>
              </w:rPr>
            </w:pPr>
            <w:r>
              <w:rPr>
                <w:rFonts w:hint="eastAsia" w:ascii="宋体" w:hAnsi="宋体"/>
                <w:b/>
                <w:bCs/>
                <w:color w:val="auto"/>
                <w:kern w:val="2"/>
                <w:sz w:val="24"/>
                <w:szCs w:val="24"/>
                <w:highlight w:val="none"/>
                <w:lang w:eastAsia="zh-CN"/>
              </w:rPr>
              <w:t>服务期</w:t>
            </w:r>
          </w:p>
        </w:tc>
        <w:tc>
          <w:tcPr>
            <w:tcW w:w="2074" w:type="dxa"/>
            <w:vMerge w:val="restart"/>
            <w:tcBorders>
              <w:top w:val="single" w:color="auto" w:sz="4" w:space="0"/>
              <w:left w:val="nil"/>
              <w:right w:val="single" w:color="auto" w:sz="4" w:space="0"/>
            </w:tcBorders>
            <w:vAlign w:val="center"/>
          </w:tcPr>
          <w:p w14:paraId="6F10DBFB">
            <w:pPr>
              <w:adjustRightInd w:val="0"/>
              <w:snapToGrid w:val="0"/>
              <w:spacing w:line="440" w:lineRule="exact"/>
              <w:jc w:val="center"/>
              <w:rPr>
                <w:rFonts w:hint="eastAsia" w:ascii="宋体" w:hAnsi="宋体" w:eastAsia="宋体"/>
                <w:b/>
                <w:bCs/>
                <w:color w:val="auto"/>
                <w:kern w:val="2"/>
                <w:sz w:val="24"/>
                <w:szCs w:val="24"/>
                <w:highlight w:val="none"/>
                <w:lang w:val="en-US" w:eastAsia="zh-CN"/>
              </w:rPr>
            </w:pPr>
            <w:r>
              <w:rPr>
                <w:rFonts w:hint="eastAsia" w:ascii="宋体" w:hAnsi="宋体"/>
                <w:b/>
                <w:bCs/>
                <w:color w:val="auto"/>
                <w:kern w:val="2"/>
                <w:sz w:val="24"/>
                <w:szCs w:val="24"/>
                <w:highlight w:val="none"/>
                <w:lang w:val="en-US" w:eastAsia="zh-CN"/>
              </w:rPr>
              <w:t>服务地点</w:t>
            </w:r>
          </w:p>
        </w:tc>
      </w:tr>
      <w:tr w14:paraId="6A95654A">
        <w:tblPrEx>
          <w:tblCellMar>
            <w:top w:w="0" w:type="dxa"/>
            <w:left w:w="108" w:type="dxa"/>
            <w:bottom w:w="0" w:type="dxa"/>
            <w:right w:w="108" w:type="dxa"/>
          </w:tblCellMar>
        </w:tblPrEx>
        <w:trPr>
          <w:cantSplit/>
          <w:trHeight w:val="666" w:hRule="atLeast"/>
        </w:trPr>
        <w:tc>
          <w:tcPr>
            <w:tcW w:w="2686" w:type="dxa"/>
            <w:vMerge w:val="continue"/>
            <w:tcBorders>
              <w:left w:val="single" w:color="auto" w:sz="4" w:space="0"/>
              <w:bottom w:val="single" w:color="auto" w:sz="4" w:space="0"/>
              <w:right w:val="single" w:color="auto" w:sz="4" w:space="0"/>
            </w:tcBorders>
            <w:vAlign w:val="center"/>
          </w:tcPr>
          <w:p w14:paraId="74618521">
            <w:pPr>
              <w:adjustRightInd w:val="0"/>
              <w:snapToGrid w:val="0"/>
              <w:spacing w:line="440" w:lineRule="exact"/>
              <w:jc w:val="center"/>
              <w:rPr>
                <w:rFonts w:ascii="宋体" w:hAnsi="宋体"/>
                <w:b/>
                <w:bCs/>
                <w:color w:val="auto"/>
                <w:kern w:val="2"/>
                <w:sz w:val="24"/>
                <w:szCs w:val="24"/>
                <w:highlight w:val="none"/>
              </w:rPr>
            </w:pPr>
          </w:p>
        </w:tc>
        <w:tc>
          <w:tcPr>
            <w:tcW w:w="2773" w:type="dxa"/>
            <w:vMerge w:val="continue"/>
            <w:tcBorders>
              <w:left w:val="nil"/>
              <w:bottom w:val="single" w:color="auto" w:sz="4" w:space="0"/>
              <w:right w:val="single" w:color="auto" w:sz="4" w:space="0"/>
            </w:tcBorders>
            <w:vAlign w:val="center"/>
          </w:tcPr>
          <w:p w14:paraId="2481F978">
            <w:pPr>
              <w:adjustRightInd w:val="0"/>
              <w:snapToGrid w:val="0"/>
              <w:spacing w:line="440" w:lineRule="exact"/>
              <w:jc w:val="center"/>
              <w:rPr>
                <w:rFonts w:hint="eastAsia" w:ascii="宋体" w:hAnsi="宋体"/>
                <w:b/>
                <w:bCs/>
                <w:color w:val="auto"/>
                <w:kern w:val="2"/>
                <w:sz w:val="24"/>
                <w:szCs w:val="24"/>
                <w:highlight w:val="none"/>
                <w:lang w:val="en-US" w:eastAsia="zh-CN"/>
              </w:rPr>
            </w:pPr>
          </w:p>
        </w:tc>
        <w:tc>
          <w:tcPr>
            <w:tcW w:w="2419" w:type="dxa"/>
            <w:vMerge w:val="continue"/>
            <w:tcBorders>
              <w:left w:val="nil"/>
              <w:bottom w:val="single" w:color="auto" w:sz="4" w:space="0"/>
              <w:right w:val="single" w:color="auto" w:sz="4" w:space="0"/>
            </w:tcBorders>
            <w:vAlign w:val="center"/>
          </w:tcPr>
          <w:p w14:paraId="58E7E13A">
            <w:pPr>
              <w:adjustRightInd w:val="0"/>
              <w:snapToGrid w:val="0"/>
              <w:spacing w:line="440" w:lineRule="exact"/>
              <w:jc w:val="center"/>
              <w:rPr>
                <w:rFonts w:hint="eastAsia" w:ascii="宋体" w:hAnsi="宋体"/>
                <w:b/>
                <w:bCs/>
                <w:color w:val="auto"/>
                <w:kern w:val="2"/>
                <w:sz w:val="24"/>
                <w:szCs w:val="24"/>
                <w:highlight w:val="none"/>
                <w:lang w:eastAsia="zh-CN"/>
              </w:rPr>
            </w:pPr>
          </w:p>
        </w:tc>
        <w:tc>
          <w:tcPr>
            <w:tcW w:w="2074" w:type="dxa"/>
            <w:vMerge w:val="continue"/>
            <w:tcBorders>
              <w:left w:val="nil"/>
              <w:bottom w:val="single" w:color="auto" w:sz="4" w:space="0"/>
              <w:right w:val="single" w:color="auto" w:sz="4" w:space="0"/>
            </w:tcBorders>
            <w:vAlign w:val="center"/>
          </w:tcPr>
          <w:p w14:paraId="0C08343A">
            <w:pPr>
              <w:adjustRightInd w:val="0"/>
              <w:snapToGrid w:val="0"/>
              <w:spacing w:line="440" w:lineRule="exact"/>
              <w:jc w:val="center"/>
              <w:rPr>
                <w:rFonts w:hint="eastAsia" w:ascii="宋体" w:hAnsi="宋体"/>
                <w:b/>
                <w:bCs/>
                <w:color w:val="auto"/>
                <w:kern w:val="2"/>
                <w:sz w:val="24"/>
                <w:szCs w:val="24"/>
                <w:highlight w:val="none"/>
                <w:lang w:val="en-US" w:eastAsia="zh-CN"/>
              </w:rPr>
            </w:pPr>
          </w:p>
        </w:tc>
      </w:tr>
      <w:tr w14:paraId="094FB3EE">
        <w:tblPrEx>
          <w:tblCellMar>
            <w:top w:w="0" w:type="dxa"/>
            <w:left w:w="108" w:type="dxa"/>
            <w:bottom w:w="0" w:type="dxa"/>
            <w:right w:w="108" w:type="dxa"/>
          </w:tblCellMar>
        </w:tblPrEx>
        <w:trPr>
          <w:cantSplit/>
          <w:trHeight w:val="2467" w:hRule="atLeast"/>
        </w:trPr>
        <w:tc>
          <w:tcPr>
            <w:tcW w:w="2686" w:type="dxa"/>
            <w:tcBorders>
              <w:top w:val="single" w:color="auto" w:sz="4" w:space="0"/>
              <w:left w:val="single" w:color="auto" w:sz="4" w:space="0"/>
              <w:bottom w:val="single" w:color="auto" w:sz="4" w:space="0"/>
              <w:right w:val="single" w:color="auto" w:sz="4" w:space="0"/>
            </w:tcBorders>
            <w:vAlign w:val="center"/>
          </w:tcPr>
          <w:p w14:paraId="3C826F8A">
            <w:pPr>
              <w:spacing w:line="460" w:lineRule="exact"/>
              <w:jc w:val="center"/>
              <w:rPr>
                <w:rFonts w:ascii="宋体" w:hAnsi="宋体"/>
                <w:b/>
                <w:bCs/>
                <w:color w:val="auto"/>
                <w:kern w:val="2"/>
                <w:sz w:val="24"/>
                <w:szCs w:val="24"/>
                <w:highlight w:val="none"/>
              </w:rPr>
            </w:pPr>
          </w:p>
        </w:tc>
        <w:tc>
          <w:tcPr>
            <w:tcW w:w="2773" w:type="dxa"/>
            <w:tcBorders>
              <w:top w:val="single" w:color="auto" w:sz="4" w:space="0"/>
              <w:left w:val="nil"/>
              <w:bottom w:val="single" w:color="auto" w:sz="4" w:space="0"/>
              <w:right w:val="single" w:color="auto" w:sz="4" w:space="0"/>
            </w:tcBorders>
            <w:vAlign w:val="center"/>
          </w:tcPr>
          <w:p w14:paraId="25F6C631">
            <w:pPr>
              <w:spacing w:line="460" w:lineRule="exact"/>
              <w:rPr>
                <w:rFonts w:hint="eastAsia" w:ascii="宋体" w:hAnsi="宋体" w:eastAsia="宋体" w:cs="Times New Roman"/>
                <w:b/>
                <w:bCs/>
                <w:color w:val="auto"/>
                <w:kern w:val="2"/>
                <w:sz w:val="24"/>
                <w:szCs w:val="24"/>
                <w:highlight w:val="none"/>
                <w:lang w:val="en-US" w:eastAsia="zh-CN"/>
              </w:rPr>
            </w:pPr>
            <w:r>
              <w:rPr>
                <w:rFonts w:hint="eastAsia" w:ascii="宋体" w:hAnsi="宋体" w:eastAsia="宋体" w:cs="Times New Roman"/>
                <w:b/>
                <w:bCs/>
                <w:color w:val="auto"/>
                <w:kern w:val="2"/>
                <w:sz w:val="24"/>
                <w:szCs w:val="24"/>
                <w:highlight w:val="none"/>
                <w:lang w:val="en-US" w:eastAsia="zh-CN"/>
              </w:rPr>
              <w:t>小写：</w:t>
            </w:r>
          </w:p>
          <w:p w14:paraId="3CAF71D1">
            <w:pPr>
              <w:spacing w:line="460" w:lineRule="exact"/>
              <w:rPr>
                <w:rFonts w:hint="default"/>
                <w:lang w:val="en-US" w:eastAsia="zh-CN"/>
              </w:rPr>
            </w:pPr>
            <w:r>
              <w:rPr>
                <w:rFonts w:hint="eastAsia" w:ascii="宋体" w:hAnsi="宋体" w:eastAsia="宋体" w:cs="Times New Roman"/>
                <w:b/>
                <w:bCs/>
                <w:color w:val="auto"/>
                <w:kern w:val="2"/>
                <w:sz w:val="24"/>
                <w:szCs w:val="24"/>
                <w:highlight w:val="none"/>
                <w:lang w:val="en-US" w:eastAsia="zh-CN"/>
              </w:rPr>
              <w:t>大写：</w:t>
            </w:r>
          </w:p>
        </w:tc>
        <w:tc>
          <w:tcPr>
            <w:tcW w:w="2419" w:type="dxa"/>
            <w:tcBorders>
              <w:top w:val="single" w:color="auto" w:sz="4" w:space="0"/>
              <w:left w:val="nil"/>
              <w:bottom w:val="single" w:color="auto" w:sz="4" w:space="0"/>
              <w:right w:val="single" w:color="auto" w:sz="4" w:space="0"/>
            </w:tcBorders>
            <w:vAlign w:val="center"/>
          </w:tcPr>
          <w:p w14:paraId="6CFD49A9">
            <w:pPr>
              <w:spacing w:line="460" w:lineRule="exact"/>
              <w:jc w:val="center"/>
              <w:rPr>
                <w:rFonts w:ascii="宋体" w:hAnsi="宋体"/>
                <w:b/>
                <w:bCs/>
                <w:color w:val="auto"/>
                <w:kern w:val="2"/>
                <w:sz w:val="24"/>
                <w:szCs w:val="24"/>
                <w:highlight w:val="none"/>
              </w:rPr>
            </w:pPr>
          </w:p>
        </w:tc>
        <w:tc>
          <w:tcPr>
            <w:tcW w:w="2074" w:type="dxa"/>
            <w:tcBorders>
              <w:top w:val="single" w:color="auto" w:sz="4" w:space="0"/>
              <w:left w:val="nil"/>
              <w:bottom w:val="single" w:color="auto" w:sz="4" w:space="0"/>
              <w:right w:val="single" w:color="auto" w:sz="4" w:space="0"/>
            </w:tcBorders>
            <w:vAlign w:val="center"/>
          </w:tcPr>
          <w:p w14:paraId="451E05E7">
            <w:pPr>
              <w:spacing w:line="460" w:lineRule="exact"/>
              <w:jc w:val="center"/>
              <w:rPr>
                <w:rFonts w:ascii="宋体" w:hAnsi="宋体"/>
                <w:b/>
                <w:bCs/>
                <w:color w:val="auto"/>
                <w:kern w:val="2"/>
                <w:sz w:val="24"/>
                <w:szCs w:val="24"/>
                <w:highlight w:val="none"/>
              </w:rPr>
            </w:pPr>
          </w:p>
        </w:tc>
      </w:tr>
    </w:tbl>
    <w:p w14:paraId="6535793A">
      <w:pPr>
        <w:pStyle w:val="65"/>
        <w:spacing w:line="360" w:lineRule="auto"/>
        <w:rPr>
          <w:rFonts w:hint="eastAsia" w:hAnsi="宋体" w:cs="宋体"/>
          <w:b/>
          <w:szCs w:val="21"/>
          <w:highlight w:val="none"/>
        </w:rPr>
      </w:pPr>
    </w:p>
    <w:p w14:paraId="53A6BD12">
      <w:pPr>
        <w:pStyle w:val="13"/>
        <w:rPr>
          <w:rFonts w:hint="eastAsia" w:ascii="宋体" w:hAnsi="宋体" w:cs="宋体"/>
          <w:highlight w:val="none"/>
        </w:rPr>
      </w:pPr>
    </w:p>
    <w:p w14:paraId="49C8E1D0">
      <w:pPr>
        <w:pStyle w:val="16"/>
        <w:ind w:left="0" w:leftChars="0" w:firstLine="0" w:firstLineChars="0"/>
        <w:rPr>
          <w:rFonts w:hint="eastAsia"/>
        </w:rPr>
      </w:pPr>
    </w:p>
    <w:p w14:paraId="0C7E2D05">
      <w:pPr>
        <w:rPr>
          <w:rFonts w:hint="eastAsia" w:ascii="宋体" w:hAnsi="宋体" w:cs="宋体"/>
          <w:b/>
          <w:bCs/>
          <w:sz w:val="24"/>
          <w:szCs w:val="24"/>
          <w:highlight w:val="none"/>
        </w:rPr>
      </w:pPr>
      <w:r>
        <w:rPr>
          <w:rFonts w:hint="eastAsia" w:ascii="宋体" w:hAnsi="宋体" w:cs="宋体"/>
          <w:b/>
          <w:bCs/>
          <w:sz w:val="24"/>
          <w:szCs w:val="24"/>
          <w:highlight w:val="none"/>
        </w:rPr>
        <w:t>供应商：</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盖章或电子签章</w:t>
      </w:r>
      <w:r>
        <w:rPr>
          <w:rFonts w:hint="eastAsia" w:ascii="宋体" w:hAnsi="宋体" w:cs="宋体"/>
          <w:b/>
          <w:bCs/>
          <w:sz w:val="24"/>
          <w:szCs w:val="24"/>
          <w:highlight w:val="none"/>
        </w:rPr>
        <w:t>）</w:t>
      </w:r>
    </w:p>
    <w:p w14:paraId="73AAD4D3">
      <w:pPr>
        <w:rPr>
          <w:rFonts w:hint="eastAsia" w:ascii="宋体" w:hAnsi="宋体" w:cs="宋体"/>
          <w:b/>
          <w:bCs/>
          <w:sz w:val="24"/>
          <w:szCs w:val="24"/>
          <w:highlight w:val="none"/>
        </w:rPr>
      </w:pPr>
    </w:p>
    <w:p w14:paraId="33202A79">
      <w:pPr>
        <w:rPr>
          <w:rFonts w:hint="eastAsia" w:ascii="宋体" w:hAnsi="宋体" w:cs="宋体"/>
          <w:b/>
          <w:bCs/>
          <w:sz w:val="24"/>
          <w:szCs w:val="24"/>
          <w:highlight w:val="none"/>
        </w:rPr>
      </w:pPr>
      <w:r>
        <w:rPr>
          <w:rFonts w:hint="eastAsia" w:ascii="宋体" w:hAnsi="宋体" w:cs="宋体"/>
          <w:b/>
          <w:bCs/>
          <w:sz w:val="24"/>
          <w:szCs w:val="24"/>
          <w:highlight w:val="none"/>
          <w:lang w:eastAsia="zh-CN"/>
        </w:rPr>
        <w:t>法定代表人（单位负责人）</w:t>
      </w:r>
      <w:r>
        <w:rPr>
          <w:rFonts w:hint="eastAsia" w:ascii="宋体" w:hAnsi="宋体" w:cs="宋体"/>
          <w:b/>
          <w:bCs/>
          <w:sz w:val="24"/>
          <w:szCs w:val="24"/>
          <w:highlight w:val="none"/>
        </w:rPr>
        <w:t>或其委托代理人：</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签字或电子签章</w:t>
      </w:r>
      <w:r>
        <w:rPr>
          <w:rFonts w:hint="eastAsia" w:ascii="宋体" w:hAnsi="宋体" w:cs="宋体"/>
          <w:b/>
          <w:bCs/>
          <w:sz w:val="24"/>
          <w:szCs w:val="24"/>
          <w:highlight w:val="none"/>
        </w:rPr>
        <w:t>）</w:t>
      </w:r>
    </w:p>
    <w:p w14:paraId="673E0F0A">
      <w:pPr>
        <w:rPr>
          <w:rFonts w:hint="eastAsia" w:ascii="宋体" w:hAnsi="宋体" w:cs="宋体"/>
          <w:b/>
          <w:bCs/>
          <w:sz w:val="24"/>
          <w:szCs w:val="24"/>
          <w:highlight w:val="none"/>
        </w:rPr>
      </w:pPr>
    </w:p>
    <w:p w14:paraId="7B46016A">
      <w:pPr>
        <w:rPr>
          <w:rFonts w:hint="eastAsia" w:ascii="宋体" w:hAnsi="宋体" w:cs="宋体"/>
          <w:b/>
          <w:bCs/>
          <w:sz w:val="24"/>
          <w:szCs w:val="24"/>
          <w:highlight w:val="none"/>
        </w:rPr>
      </w:pPr>
      <w:r>
        <w:rPr>
          <w:rFonts w:hint="eastAsia" w:ascii="宋体" w:hAnsi="宋体" w:cs="宋体"/>
          <w:b/>
          <w:bCs/>
          <w:sz w:val="24"/>
          <w:szCs w:val="24"/>
          <w:highlight w:val="none"/>
        </w:rPr>
        <w:t>日期：</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年</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月</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日</w:t>
      </w:r>
    </w:p>
    <w:p w14:paraId="2DBA8B41">
      <w:pPr>
        <w:pStyle w:val="9"/>
        <w:rPr>
          <w:rFonts w:hint="eastAsia"/>
        </w:rPr>
      </w:pPr>
    </w:p>
    <w:p w14:paraId="64CBA717">
      <w:pPr>
        <w:rPr>
          <w:rFonts w:hint="eastAsia" w:ascii="宋体" w:hAnsi="宋体" w:cs="宋体"/>
          <w:highlight w:val="none"/>
        </w:rPr>
      </w:pPr>
      <w:r>
        <w:rPr>
          <w:rFonts w:hint="eastAsia" w:ascii="宋体" w:hAnsi="宋体" w:cs="宋体"/>
          <w:b/>
          <w:bCs/>
          <w:sz w:val="28"/>
          <w:szCs w:val="28"/>
          <w:highlight w:val="none"/>
        </w:rPr>
        <w:br w:type="page"/>
      </w:r>
      <w:bookmarkStart w:id="230" w:name="_Toc3896297"/>
    </w:p>
    <w:p w14:paraId="59E16A2F">
      <w:pPr>
        <w:rPr>
          <w:rFonts w:hint="eastAsia" w:ascii="宋体" w:hAnsi="宋体" w:cs="宋体"/>
          <w:highlight w:val="none"/>
        </w:rPr>
      </w:pPr>
    </w:p>
    <w:p w14:paraId="47625A09">
      <w:pPr>
        <w:rPr>
          <w:rFonts w:hint="eastAsia" w:ascii="宋体" w:hAnsi="宋体" w:cs="宋体"/>
          <w:highlight w:val="none"/>
        </w:rPr>
      </w:pPr>
    </w:p>
    <w:p w14:paraId="3A485B54">
      <w:pPr>
        <w:rPr>
          <w:rFonts w:hint="eastAsia" w:ascii="宋体" w:hAnsi="宋体" w:cs="宋体"/>
          <w:highlight w:val="none"/>
        </w:rPr>
      </w:pPr>
    </w:p>
    <w:p w14:paraId="6EFC24C2">
      <w:pPr>
        <w:rPr>
          <w:rFonts w:hint="eastAsia" w:ascii="宋体" w:hAnsi="宋体" w:cs="宋体"/>
          <w:highlight w:val="none"/>
        </w:rPr>
      </w:pPr>
    </w:p>
    <w:p w14:paraId="0DDF2CEE">
      <w:pPr>
        <w:rPr>
          <w:rFonts w:hint="eastAsia" w:ascii="宋体" w:hAnsi="宋体" w:cs="宋体"/>
          <w:highlight w:val="none"/>
        </w:rPr>
      </w:pPr>
    </w:p>
    <w:p w14:paraId="67573431">
      <w:pPr>
        <w:rPr>
          <w:rFonts w:hint="eastAsia" w:ascii="宋体" w:hAnsi="宋体" w:cs="宋体"/>
          <w:highlight w:val="none"/>
        </w:rPr>
      </w:pPr>
    </w:p>
    <w:p w14:paraId="7D446D25">
      <w:pPr>
        <w:rPr>
          <w:rFonts w:hint="eastAsia" w:ascii="宋体" w:hAnsi="宋体" w:cs="宋体"/>
          <w:highlight w:val="none"/>
        </w:rPr>
      </w:pPr>
    </w:p>
    <w:p w14:paraId="45542A61">
      <w:pPr>
        <w:rPr>
          <w:rFonts w:hint="eastAsia" w:ascii="宋体" w:hAnsi="宋体" w:cs="宋体"/>
          <w:highlight w:val="none"/>
        </w:rPr>
      </w:pPr>
    </w:p>
    <w:p w14:paraId="3C7AF691">
      <w:pPr>
        <w:rPr>
          <w:rFonts w:hint="eastAsia" w:ascii="宋体" w:hAnsi="宋体" w:cs="宋体"/>
          <w:highlight w:val="none"/>
        </w:rPr>
      </w:pPr>
    </w:p>
    <w:p w14:paraId="03DE690E">
      <w:pPr>
        <w:rPr>
          <w:rFonts w:hint="eastAsia" w:ascii="宋体" w:hAnsi="宋体" w:cs="宋体"/>
          <w:highlight w:val="none"/>
        </w:rPr>
      </w:pPr>
    </w:p>
    <w:p w14:paraId="490EB4D5">
      <w:pPr>
        <w:rPr>
          <w:rFonts w:hint="eastAsia" w:ascii="宋体" w:hAnsi="宋体" w:cs="宋体"/>
          <w:highlight w:val="none"/>
        </w:rPr>
      </w:pPr>
    </w:p>
    <w:p w14:paraId="26014F52">
      <w:pPr>
        <w:rPr>
          <w:rFonts w:hint="eastAsia" w:ascii="宋体" w:hAnsi="宋体" w:cs="宋体"/>
          <w:highlight w:val="none"/>
        </w:rPr>
      </w:pPr>
    </w:p>
    <w:p w14:paraId="48DF7035">
      <w:pPr>
        <w:rPr>
          <w:rFonts w:hint="eastAsia" w:ascii="宋体" w:hAnsi="宋体" w:cs="宋体"/>
          <w:highlight w:val="none"/>
        </w:rPr>
      </w:pPr>
    </w:p>
    <w:p w14:paraId="703CBF24">
      <w:pPr>
        <w:rPr>
          <w:rFonts w:hint="eastAsia" w:ascii="宋体" w:hAnsi="宋体" w:cs="宋体"/>
          <w:highlight w:val="none"/>
        </w:rPr>
      </w:pPr>
    </w:p>
    <w:p w14:paraId="57ED3667">
      <w:pPr>
        <w:rPr>
          <w:rFonts w:hint="eastAsia" w:ascii="宋体" w:hAnsi="宋体" w:cs="宋体"/>
          <w:highlight w:val="none"/>
        </w:rPr>
      </w:pPr>
    </w:p>
    <w:p w14:paraId="054BCF12">
      <w:pPr>
        <w:rPr>
          <w:rFonts w:hint="eastAsia" w:ascii="宋体" w:hAnsi="宋体" w:cs="宋体"/>
          <w:highlight w:val="none"/>
        </w:rPr>
      </w:pPr>
    </w:p>
    <w:p w14:paraId="1A0EF6E7">
      <w:pPr>
        <w:rPr>
          <w:rFonts w:hint="eastAsia" w:ascii="宋体" w:hAnsi="宋体" w:cs="宋体"/>
          <w:highlight w:val="none"/>
        </w:rPr>
      </w:pPr>
    </w:p>
    <w:p w14:paraId="01B157C2">
      <w:pPr>
        <w:rPr>
          <w:rFonts w:hint="eastAsia" w:ascii="宋体" w:hAnsi="宋体" w:cs="宋体"/>
          <w:highlight w:val="none"/>
        </w:rPr>
      </w:pPr>
    </w:p>
    <w:p w14:paraId="43DEDA67">
      <w:pPr>
        <w:jc w:val="center"/>
        <w:outlineLvl w:val="2"/>
        <w:rPr>
          <w:rFonts w:hint="eastAsia" w:ascii="宋体" w:hAnsi="宋体" w:cs="宋体"/>
          <w:b/>
          <w:bCs/>
          <w:sz w:val="44"/>
          <w:szCs w:val="44"/>
          <w:highlight w:val="none"/>
        </w:rPr>
      </w:pPr>
      <w:bookmarkStart w:id="231" w:name="_Toc15659"/>
      <w:r>
        <w:rPr>
          <w:rFonts w:hint="eastAsia" w:ascii="宋体" w:hAnsi="宋体" w:cs="宋体"/>
          <w:b/>
          <w:bCs/>
          <w:sz w:val="44"/>
          <w:szCs w:val="44"/>
          <w:highlight w:val="none"/>
        </w:rPr>
        <w:t>资格审查部分</w:t>
      </w:r>
      <w:bookmarkEnd w:id="230"/>
      <w:bookmarkEnd w:id="231"/>
    </w:p>
    <w:p w14:paraId="2DD54C0E">
      <w:pPr>
        <w:rPr>
          <w:rFonts w:hint="eastAsia"/>
          <w:highlight w:val="none"/>
        </w:rPr>
      </w:pPr>
    </w:p>
    <w:bookmarkEnd w:id="228"/>
    <w:p w14:paraId="1AEE93E4">
      <w:pP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br w:type="page"/>
      </w:r>
    </w:p>
    <w:p w14:paraId="61015374">
      <w:pPr>
        <w:numPr>
          <w:ilvl w:val="0"/>
          <w:numId w:val="0"/>
        </w:numPr>
        <w:spacing w:line="360" w:lineRule="auto"/>
        <w:jc w:val="left"/>
        <w:rPr>
          <w:rFonts w:hint="eastAsia" w:ascii="宋体" w:hAnsi="宋体"/>
          <w:b/>
          <w:bCs/>
          <w:sz w:val="24"/>
          <w:szCs w:val="24"/>
          <w:highlight w:val="none"/>
        </w:rPr>
      </w:pPr>
      <w:r>
        <w:rPr>
          <w:rFonts w:hint="eastAsia" w:ascii="宋体" w:hAnsi="宋体"/>
          <w:b/>
          <w:bCs/>
          <w:sz w:val="24"/>
          <w:szCs w:val="24"/>
          <w:highlight w:val="none"/>
          <w:lang w:val="en-US" w:eastAsia="zh-CN"/>
        </w:rPr>
        <w:t>（一）</w:t>
      </w:r>
      <w:r>
        <w:rPr>
          <w:rFonts w:hint="eastAsia" w:ascii="宋体" w:hAnsi="宋体"/>
          <w:b/>
          <w:bCs/>
          <w:sz w:val="24"/>
          <w:szCs w:val="24"/>
          <w:highlight w:val="none"/>
        </w:rPr>
        <w:t>具有独立承担民事责任的能力</w:t>
      </w:r>
    </w:p>
    <w:p w14:paraId="553C9C65">
      <w:pPr>
        <w:pStyle w:val="13"/>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cs="宋体"/>
          <w:sz w:val="24"/>
          <w:highlight w:val="none"/>
        </w:rPr>
      </w:pPr>
      <w:r>
        <w:rPr>
          <w:rFonts w:hint="eastAsia" w:hAnsi="宋体" w:cs="宋体"/>
          <w:color w:val="auto"/>
          <w:sz w:val="24"/>
          <w:szCs w:val="24"/>
          <w:highlight w:val="none"/>
          <w:lang w:eastAsia="zh-CN"/>
        </w:rPr>
        <w:t>提供法人或者其他组织的营业执照等证明文件（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分公司参与磋商的，还须提供总公司出具的授权书；同一家公司的总公司和下属的不同分公司不能同时参与同一项目磋商。</w:t>
      </w:r>
    </w:p>
    <w:p w14:paraId="52692DB6">
      <w:pPr>
        <w:rPr>
          <w:rFonts w:hint="eastAsia" w:ascii="宋体" w:hAnsi="宋体" w:cs="宋体"/>
          <w:sz w:val="24"/>
          <w:highlight w:val="none"/>
        </w:rPr>
      </w:pPr>
    </w:p>
    <w:p w14:paraId="10CF8093">
      <w:pPr>
        <w:rPr>
          <w:rFonts w:hint="eastAsia"/>
        </w:rPr>
      </w:pPr>
    </w:p>
    <w:p w14:paraId="27C15796">
      <w:pPr>
        <w:numPr>
          <w:ilvl w:val="0"/>
          <w:numId w:val="0"/>
        </w:numPr>
        <w:spacing w:line="360" w:lineRule="auto"/>
        <w:jc w:val="lef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（二）具有良好的商业信誉和健全的财务会计制度</w:t>
      </w:r>
    </w:p>
    <w:p w14:paraId="316ACDB0">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须提供相关证明材料，内容可为以下四者之一：1）2023年度至今任意一年度经审计的审计报告及财务报表，财务报表包括“四表一注”，即资产负债表、利润表、现金流量表、所有者权益变动表及其附注，根据《关于加强审计报告查验工作的通知》（财会〔2023〕15号）规定，在2022年10月以后出具的审计报告须在注册会计师行业统一监管平台（网址：http://acc.mof.gov.cn）取得赋码，未取得赋码的财务报告视为无效（注：非营利性单位或者社会团体或者其他机关事业单位以符合财务会计制度为准）；2）自响应文件提交截止时间前三个月内基本开户银行出具的资信证明；3）财政部门认可的政府采购专业担保机构出具的投标担保函，须同时提供专业担保机构经财政部门认可的证明文件；4）成立未满一年或成立至今未产生经营活动的供应商提供自成立至今的财务报表或财务情况说明。</w:t>
      </w:r>
    </w:p>
    <w:p w14:paraId="088FD053">
      <w:pPr>
        <w:rPr>
          <w:rFonts w:hint="eastAsia" w:ascii="宋体" w:hAnsi="宋体" w:cs="宋体"/>
          <w:sz w:val="24"/>
          <w:highlight w:val="none"/>
          <w:lang w:val="en-US" w:eastAsia="zh-CN"/>
        </w:rPr>
      </w:pPr>
    </w:p>
    <w:p w14:paraId="501510F6">
      <w:pPr>
        <w:rPr>
          <w:rFonts w:hint="eastAsia" w:ascii="宋体" w:hAnsi="宋体" w:cs="宋体"/>
          <w:sz w:val="24"/>
          <w:highlight w:val="none"/>
          <w:lang w:val="en-US" w:eastAsia="zh-CN"/>
        </w:rPr>
      </w:pPr>
    </w:p>
    <w:p w14:paraId="5463F641">
      <w:pPr>
        <w:numPr>
          <w:ilvl w:val="0"/>
          <w:numId w:val="0"/>
        </w:numPr>
        <w:spacing w:line="360" w:lineRule="auto"/>
        <w:jc w:val="lef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（三）具有履行合同所必需的设备和专业技术能力</w:t>
      </w:r>
    </w:p>
    <w:p w14:paraId="77764C0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提供证明材料或书面声明。</w:t>
      </w:r>
    </w:p>
    <w:p w14:paraId="27611AC5">
      <w:pPr>
        <w:rPr>
          <w:rFonts w:hint="eastAsia" w:ascii="宋体" w:hAnsi="宋体" w:cs="宋体"/>
          <w:sz w:val="24"/>
          <w:highlight w:val="none"/>
          <w:lang w:val="en-US" w:eastAsia="zh-CN"/>
        </w:rPr>
      </w:pPr>
    </w:p>
    <w:p w14:paraId="0390763C">
      <w:pPr>
        <w:rPr>
          <w:rFonts w:hint="eastAsia" w:ascii="宋体" w:hAnsi="宋体" w:cs="宋体"/>
          <w:sz w:val="24"/>
          <w:highlight w:val="none"/>
          <w:lang w:val="en-US" w:eastAsia="zh-CN"/>
        </w:rPr>
      </w:pPr>
    </w:p>
    <w:p w14:paraId="7859ED04">
      <w:pPr>
        <w:numPr>
          <w:ilvl w:val="0"/>
          <w:numId w:val="0"/>
        </w:numPr>
        <w:spacing w:line="360" w:lineRule="auto"/>
        <w:jc w:val="lef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（四）具有依法缴纳税收和社会保障资金的良好记录</w:t>
      </w:r>
    </w:p>
    <w:p w14:paraId="0E801DC2">
      <w:pPr>
        <w:pStyle w:val="13"/>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lang w:eastAsia="zh-CN"/>
          <w14:textFill>
            <w14:solidFill>
              <w14:schemeClr w14:val="tx1"/>
            </w14:solidFill>
          </w14:textFill>
        </w:rPr>
        <w:t>提供2025年</w:t>
      </w:r>
      <w:r>
        <w:rPr>
          <w:rFonts w:hint="eastAsia" w:ascii="宋体" w:hAnsi="宋体" w:cs="Times New Roman"/>
          <w:color w:val="000000" w:themeColor="text1"/>
          <w:sz w:val="24"/>
          <w:highlight w:val="none"/>
          <w:lang w:val="en-US" w:eastAsia="zh-CN"/>
          <w14:textFill>
            <w14:solidFill>
              <w14:schemeClr w14:val="tx1"/>
            </w14:solidFill>
          </w14:textFill>
        </w:rPr>
        <w:t>6</w:t>
      </w:r>
      <w:r>
        <w:rPr>
          <w:rFonts w:hint="eastAsia" w:ascii="宋体" w:hAnsi="宋体" w:cs="Times New Roman"/>
          <w:color w:val="000000" w:themeColor="text1"/>
          <w:sz w:val="24"/>
          <w:highlight w:val="none"/>
          <w:lang w:eastAsia="zh-CN"/>
          <w14:textFill>
            <w14:solidFill>
              <w14:schemeClr w14:val="tx1"/>
            </w14:solidFill>
          </w14:textFill>
        </w:rPr>
        <w:t>月至今任意一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Times New Roman"/>
          <w:color w:val="000000" w:themeColor="text1"/>
          <w:sz w:val="24"/>
          <w:highlight w:val="none"/>
          <w:lang w:eastAsia="zh-CN"/>
          <w14:textFill>
            <w14:solidFill>
              <w14:schemeClr w14:val="tx1"/>
            </w14:solidFill>
          </w14:textFill>
        </w:rPr>
        <w:t>。</w:t>
      </w:r>
    </w:p>
    <w:p w14:paraId="66031DA4">
      <w:pPr>
        <w:pStyle w:val="13"/>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color w:val="FF0000"/>
          <w:sz w:val="24"/>
          <w:highlight w:val="none"/>
          <w:lang w:eastAsia="zh-CN"/>
        </w:rPr>
        <w:br w:type="page"/>
      </w:r>
      <w:r>
        <w:rPr>
          <w:rFonts w:hint="eastAsia" w:ascii="宋体" w:hAnsi="宋体" w:eastAsia="宋体" w:cs="Times New Roman"/>
          <w:b/>
          <w:bCs/>
          <w:sz w:val="24"/>
          <w:szCs w:val="24"/>
          <w:highlight w:val="none"/>
          <w:lang w:val="en-US" w:eastAsia="zh-CN"/>
        </w:rPr>
        <w:t>（五）在经营活动中没有重大违法记录</w:t>
      </w:r>
    </w:p>
    <w:p w14:paraId="532FD4EE">
      <w:pPr>
        <w:pStyle w:val="13"/>
        <w:ind w:firstLine="480" w:firstLineChars="200"/>
        <w:rPr>
          <w:rFonts w:hint="eastAsia" w:ascii="宋体" w:hAnsi="宋体" w:cs="宋体"/>
          <w:sz w:val="24"/>
          <w:highlight w:val="none"/>
        </w:rPr>
      </w:pPr>
      <w:r>
        <w:rPr>
          <w:rFonts w:hint="eastAsia" w:ascii="宋体" w:hAnsi="宋体"/>
          <w:sz w:val="24"/>
          <w:highlight w:val="none"/>
        </w:rPr>
        <w:t>提供参加</w:t>
      </w:r>
      <w:r>
        <w:rPr>
          <w:rFonts w:hint="eastAsia" w:ascii="宋体" w:hAnsi="宋体"/>
          <w:sz w:val="24"/>
          <w:highlight w:val="none"/>
          <w:lang w:val="en-US" w:eastAsia="zh-CN"/>
        </w:rPr>
        <w:t>本次</w:t>
      </w:r>
      <w:r>
        <w:rPr>
          <w:rFonts w:hint="eastAsia" w:ascii="宋体" w:hAnsi="宋体"/>
          <w:sz w:val="24"/>
          <w:highlight w:val="none"/>
        </w:rPr>
        <w:t>政府采购活动前三年内在经营活动中没有重大违法记录的书面声明</w:t>
      </w:r>
      <w:r>
        <w:rPr>
          <w:rFonts w:hint="eastAsia" w:ascii="宋体" w:hAnsi="宋体" w:cs="宋体"/>
          <w:sz w:val="24"/>
          <w:highlight w:val="none"/>
        </w:rPr>
        <w:t>。</w:t>
      </w:r>
    </w:p>
    <w:p w14:paraId="5A1F5259">
      <w:pPr>
        <w:pStyle w:val="13"/>
        <w:jc w:val="center"/>
        <w:rPr>
          <w:rFonts w:hint="eastAsia" w:ascii="宋体" w:hAnsi="宋体"/>
          <w:b/>
          <w:color w:val="auto"/>
          <w:sz w:val="24"/>
          <w:highlight w:val="none"/>
        </w:rPr>
      </w:pPr>
    </w:p>
    <w:p w14:paraId="6FA0CCF2">
      <w:pPr>
        <w:pStyle w:val="13"/>
        <w:jc w:val="center"/>
        <w:rPr>
          <w:rFonts w:hint="eastAsia" w:ascii="宋体" w:hAnsi="宋体" w:cs="宋体"/>
          <w:sz w:val="24"/>
          <w:highlight w:val="none"/>
        </w:rPr>
      </w:pPr>
      <w:r>
        <w:rPr>
          <w:rFonts w:hint="eastAsia" w:ascii="宋体" w:hAnsi="宋体"/>
          <w:b/>
          <w:color w:val="auto"/>
          <w:sz w:val="24"/>
          <w:highlight w:val="none"/>
        </w:rPr>
        <w:t>声明函</w:t>
      </w:r>
    </w:p>
    <w:p w14:paraId="355D8F6F">
      <w:pPr>
        <w:jc w:val="center"/>
        <w:rPr>
          <w:rFonts w:ascii="宋体" w:hAnsi="宋体"/>
          <w:color w:val="auto"/>
          <w:sz w:val="24"/>
          <w:highlight w:val="none"/>
        </w:rPr>
      </w:pPr>
    </w:p>
    <w:p w14:paraId="36FA5881">
      <w:pPr>
        <w:tabs>
          <w:tab w:val="left" w:pos="5580"/>
        </w:tabs>
        <w:spacing w:before="120" w:line="360" w:lineRule="auto"/>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云南省自然资源厅国土资源信息中心</w:t>
      </w:r>
      <w:r>
        <w:rPr>
          <w:rFonts w:hint="eastAsia" w:ascii="宋体" w:hAnsi="宋体"/>
          <w:color w:val="auto"/>
          <w:sz w:val="24"/>
          <w:highlight w:val="none"/>
          <w:u w:val="single"/>
        </w:rPr>
        <w:t xml:space="preserve"> </w:t>
      </w:r>
    </w:p>
    <w:p w14:paraId="766279A8">
      <w:pPr>
        <w:tabs>
          <w:tab w:val="left" w:pos="5580"/>
        </w:tabs>
        <w:spacing w:before="120" w:line="360" w:lineRule="auto"/>
        <w:ind w:firstLine="480" w:firstLineChars="200"/>
        <w:rPr>
          <w:rFonts w:ascii="宋体" w:hAnsi="宋体"/>
          <w:color w:val="auto"/>
          <w:sz w:val="24"/>
          <w:highlight w:val="none"/>
        </w:rPr>
      </w:pPr>
    </w:p>
    <w:p w14:paraId="791E4B1F">
      <w:pPr>
        <w:tabs>
          <w:tab w:val="left" w:pos="5580"/>
        </w:tabs>
        <w:spacing w:before="120" w:line="360" w:lineRule="auto"/>
        <w:ind w:firstLine="480" w:firstLineChars="200"/>
        <w:rPr>
          <w:rFonts w:ascii="宋体" w:hAnsi="宋体"/>
          <w:color w:val="auto"/>
          <w:sz w:val="24"/>
          <w:highlight w:val="none"/>
        </w:rPr>
      </w:pPr>
      <w:r>
        <w:rPr>
          <w:rFonts w:hint="eastAsia" w:ascii="宋体" w:hAnsi="宋体"/>
          <w:color w:val="auto"/>
          <w:sz w:val="24"/>
          <w:highlight w:val="none"/>
        </w:rPr>
        <w:t>我公司郑重承诺在参加本项目政府采购活动前三年内，在经营活动中无重大违法记录。（重大违法记录，是指供应商因违法经营受到刑事处罚或者责令停产停业、吊销许可证或者执照、较大数额罚款等行政处罚）</w:t>
      </w:r>
    </w:p>
    <w:p w14:paraId="5EDFF969">
      <w:pPr>
        <w:tabs>
          <w:tab w:val="left" w:pos="5580"/>
        </w:tabs>
        <w:spacing w:before="120" w:line="360" w:lineRule="auto"/>
        <w:ind w:firstLine="480" w:firstLineChars="200"/>
        <w:rPr>
          <w:rFonts w:ascii="宋体" w:hAnsi="宋体"/>
          <w:color w:val="auto"/>
          <w:sz w:val="24"/>
          <w:highlight w:val="none"/>
        </w:rPr>
      </w:pPr>
      <w:r>
        <w:rPr>
          <w:rFonts w:hint="eastAsia" w:ascii="宋体" w:hAnsi="宋体"/>
          <w:color w:val="auto"/>
          <w:sz w:val="24"/>
          <w:highlight w:val="none"/>
        </w:rPr>
        <w:t>特此声明。</w:t>
      </w:r>
    </w:p>
    <w:p w14:paraId="5DA18FF2">
      <w:pPr>
        <w:ind w:firstLine="1200" w:firstLineChars="500"/>
        <w:rPr>
          <w:rFonts w:hint="eastAsia" w:ascii="宋体" w:hAnsi="宋体"/>
          <w:color w:val="auto"/>
          <w:sz w:val="24"/>
          <w:highlight w:val="none"/>
        </w:rPr>
      </w:pPr>
    </w:p>
    <w:p w14:paraId="12CD76DF">
      <w:pPr>
        <w:ind w:firstLine="1205" w:firstLineChars="500"/>
        <w:rPr>
          <w:rFonts w:hint="eastAsia" w:ascii="宋体" w:hAnsi="宋体"/>
          <w:b/>
          <w:bCs/>
          <w:color w:val="auto"/>
          <w:sz w:val="24"/>
          <w:szCs w:val="24"/>
          <w:highlight w:val="none"/>
        </w:rPr>
      </w:pPr>
    </w:p>
    <w:p w14:paraId="6D962D85">
      <w:pPr>
        <w:ind w:firstLine="1205" w:firstLineChars="500"/>
        <w:rPr>
          <w:rFonts w:hint="eastAsia" w:ascii="宋体" w:hAnsi="宋体"/>
          <w:b/>
          <w:bCs/>
          <w:color w:val="auto"/>
          <w:sz w:val="24"/>
          <w:szCs w:val="24"/>
          <w:highlight w:val="none"/>
        </w:rPr>
      </w:pPr>
    </w:p>
    <w:p w14:paraId="146234CE">
      <w:pPr>
        <w:ind w:firstLine="1205" w:firstLineChars="500"/>
        <w:rPr>
          <w:rFonts w:hint="eastAsia" w:ascii="宋体" w:hAnsi="宋体"/>
          <w:b/>
          <w:bCs/>
          <w:color w:val="auto"/>
          <w:sz w:val="24"/>
          <w:szCs w:val="24"/>
          <w:highlight w:val="none"/>
        </w:rPr>
      </w:pPr>
    </w:p>
    <w:p w14:paraId="5D9C4404">
      <w:pPr>
        <w:ind w:firstLine="1205" w:firstLineChars="500"/>
        <w:rPr>
          <w:rFonts w:hint="eastAsia" w:ascii="宋体" w:hAnsi="宋体"/>
          <w:b/>
          <w:bCs/>
          <w:color w:val="auto"/>
          <w:sz w:val="24"/>
          <w:szCs w:val="24"/>
          <w:highlight w:val="none"/>
        </w:rPr>
      </w:pPr>
    </w:p>
    <w:p w14:paraId="30656C52">
      <w:pPr>
        <w:ind w:firstLine="1205" w:firstLineChars="500"/>
        <w:rPr>
          <w:rFonts w:hint="eastAsia" w:ascii="宋体" w:hAnsi="宋体"/>
          <w:b/>
          <w:bCs/>
          <w:color w:val="auto"/>
          <w:sz w:val="24"/>
          <w:szCs w:val="24"/>
          <w:highlight w:val="none"/>
        </w:rPr>
      </w:pPr>
    </w:p>
    <w:p w14:paraId="1793EB2F">
      <w:pPr>
        <w:rPr>
          <w:rFonts w:hint="eastAsia" w:ascii="宋体" w:hAnsi="宋体"/>
          <w:b/>
          <w:bCs/>
          <w:color w:val="auto"/>
          <w:sz w:val="24"/>
          <w:szCs w:val="24"/>
          <w:highlight w:val="none"/>
        </w:rPr>
      </w:pPr>
      <w:r>
        <w:rPr>
          <w:rFonts w:hint="eastAsia" w:ascii="宋体" w:hAnsi="宋体"/>
          <w:b/>
          <w:bCs/>
          <w:color w:val="auto"/>
          <w:sz w:val="24"/>
          <w:szCs w:val="24"/>
          <w:highlight w:val="none"/>
        </w:rPr>
        <w:t>供应商：</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w:t>
      </w:r>
      <w:r>
        <w:rPr>
          <w:rFonts w:hint="eastAsia" w:ascii="宋体" w:hAnsi="宋体"/>
          <w:b/>
          <w:bCs/>
          <w:color w:val="auto"/>
          <w:sz w:val="24"/>
          <w:szCs w:val="24"/>
          <w:highlight w:val="none"/>
          <w:lang w:eastAsia="zh-CN"/>
        </w:rPr>
        <w:t>盖章或电子签章</w:t>
      </w:r>
      <w:r>
        <w:rPr>
          <w:rFonts w:hint="eastAsia" w:ascii="宋体" w:hAnsi="宋体"/>
          <w:b/>
          <w:bCs/>
          <w:color w:val="auto"/>
          <w:sz w:val="24"/>
          <w:szCs w:val="24"/>
          <w:highlight w:val="none"/>
        </w:rPr>
        <w:t>）</w:t>
      </w:r>
    </w:p>
    <w:p w14:paraId="4AF36FBC">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p>
    <w:p w14:paraId="677986A1">
      <w:pPr>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法定代表人（单位负责人）</w:t>
      </w:r>
      <w:r>
        <w:rPr>
          <w:rFonts w:hint="eastAsia" w:ascii="宋体" w:hAnsi="宋体"/>
          <w:b/>
          <w:bCs/>
          <w:color w:val="auto"/>
          <w:sz w:val="24"/>
          <w:szCs w:val="24"/>
          <w:highlight w:val="none"/>
        </w:rPr>
        <w:t>或其委托代理人：</w:t>
      </w:r>
      <w:r>
        <w:rPr>
          <w:rFonts w:hint="eastAsia" w:ascii="宋体" w:hAnsi="宋体"/>
          <w:b/>
          <w:bCs/>
          <w:color w:val="auto"/>
          <w:sz w:val="24"/>
          <w:szCs w:val="24"/>
          <w:highlight w:val="non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w:t>
      </w:r>
      <w:r>
        <w:rPr>
          <w:rFonts w:hint="eastAsia" w:ascii="宋体" w:hAnsi="宋体" w:cs="宋体"/>
          <w:b/>
          <w:bCs/>
          <w:sz w:val="24"/>
          <w:szCs w:val="24"/>
          <w:highlight w:val="none"/>
          <w:lang w:eastAsia="zh-CN"/>
        </w:rPr>
        <w:t>签字或电子签章</w:t>
      </w:r>
      <w:r>
        <w:rPr>
          <w:rFonts w:hint="eastAsia" w:ascii="宋体" w:hAnsi="宋体"/>
          <w:b/>
          <w:bCs/>
          <w:color w:val="auto"/>
          <w:sz w:val="24"/>
          <w:szCs w:val="24"/>
          <w:highlight w:val="none"/>
        </w:rPr>
        <w:t>）</w:t>
      </w:r>
    </w:p>
    <w:p w14:paraId="0CC6FFC0">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p>
    <w:p w14:paraId="56D6DBF9">
      <w:pPr>
        <w:rPr>
          <w:rStyle w:val="43"/>
          <w:rFonts w:hint="eastAsia"/>
          <w:color w:val="auto"/>
          <w:highlight w:val="none"/>
        </w:rPr>
      </w:pPr>
      <w:r>
        <w:rPr>
          <w:rFonts w:hint="eastAsia" w:ascii="宋体" w:hAnsi="宋体"/>
          <w:b/>
          <w:bCs/>
          <w:color w:val="auto"/>
          <w:sz w:val="24"/>
          <w:szCs w:val="24"/>
          <w:highlight w:val="none"/>
        </w:rPr>
        <w:t>日期：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bookmarkStart w:id="232" w:name="_Toc4022"/>
      <w:bookmarkEnd w:id="232"/>
      <w:bookmarkStart w:id="233" w:name="_Toc15638"/>
      <w:bookmarkEnd w:id="233"/>
      <w:bookmarkStart w:id="234" w:name="_Toc16296"/>
      <w:bookmarkEnd w:id="234"/>
      <w:bookmarkStart w:id="235" w:name="_Toc29133"/>
      <w:bookmarkEnd w:id="235"/>
    </w:p>
    <w:p w14:paraId="580051C0">
      <w:pPr>
        <w:pStyle w:val="13"/>
        <w:ind w:firstLine="480" w:firstLineChars="200"/>
        <w:rPr>
          <w:rFonts w:hint="eastAsia" w:ascii="宋体" w:hAnsi="宋体" w:cs="宋体"/>
          <w:sz w:val="24"/>
          <w:highlight w:val="none"/>
        </w:rPr>
      </w:pPr>
    </w:p>
    <w:p w14:paraId="367A70F9">
      <w:pPr>
        <w:rPr>
          <w:rFonts w:hint="eastAsia" w:ascii="宋体" w:hAnsi="宋体"/>
          <w:b/>
          <w:bCs/>
          <w:sz w:val="24"/>
          <w:szCs w:val="24"/>
          <w:highlight w:val="none"/>
        </w:rPr>
      </w:pPr>
      <w:bookmarkStart w:id="236" w:name="_Toc3896306"/>
      <w:r>
        <w:rPr>
          <w:rFonts w:hint="eastAsia" w:ascii="宋体" w:hAnsi="宋体"/>
          <w:b/>
          <w:bCs/>
          <w:sz w:val="24"/>
          <w:szCs w:val="24"/>
          <w:highlight w:val="none"/>
        </w:rPr>
        <w:br w:type="page"/>
      </w:r>
    </w:p>
    <w:p w14:paraId="19A0932D">
      <w:pPr>
        <w:pStyle w:val="8"/>
        <w:keepNext w:val="0"/>
        <w:keepLines w:val="0"/>
        <w:pageBreakBefore w:val="0"/>
        <w:widowControl/>
        <w:kinsoku/>
        <w:wordWrap/>
        <w:overflowPunct/>
        <w:topLinePunct w:val="0"/>
        <w:autoSpaceDE/>
        <w:autoSpaceDN/>
        <w:bidi w:val="0"/>
        <w:adjustRightInd/>
        <w:snapToGrid/>
        <w:spacing w:line="588" w:lineRule="exact"/>
        <w:textAlignment w:val="auto"/>
        <w:rPr>
          <w:rFonts w:hint="eastAsia" w:ascii="宋体" w:hAnsi="宋体" w:cs="宋体"/>
          <w:sz w:val="24"/>
          <w:highlight w:val="none"/>
        </w:rPr>
      </w:pPr>
      <w:r>
        <w:rPr>
          <w:rFonts w:hint="eastAsia" w:ascii="宋体" w:hAnsi="宋体" w:eastAsia="宋体" w:cs="Times New Roman"/>
          <w:b/>
          <w:bCs/>
          <w:kern w:val="2"/>
          <w:sz w:val="24"/>
          <w:szCs w:val="24"/>
          <w:highlight w:val="none"/>
          <w:lang w:val="en-US" w:eastAsia="zh-CN" w:bidi="ar-SA"/>
        </w:rPr>
        <w:t>（六）其他</w:t>
      </w:r>
    </w:p>
    <w:p w14:paraId="1E40857C">
      <w:pPr>
        <w:spacing w:before="158" w:beforeLines="50" w:line="360" w:lineRule="auto"/>
        <w:ind w:firstLine="720" w:firstLineChars="300"/>
        <w:jc w:val="both"/>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单位负责人为同一人或者存在直接控股、管理关系的不同供应商，不得参加同一合同项下的政府采购活动，为本项目提供整体设计、规范编制或者项目管理、监理、检测等服务的供应商，不得再参加本次采购活动（提供承诺函）；</w:t>
      </w:r>
    </w:p>
    <w:p w14:paraId="567A228E">
      <w:pPr>
        <w:spacing w:before="158" w:beforeLines="50" w:line="360" w:lineRule="auto"/>
        <w:ind w:firstLine="720" w:firstLineChars="300"/>
        <w:jc w:val="both"/>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2.供应商承诺在近三年内经营活动中公司及法定代表人无行贿犯罪记录（提供承诺函）；</w:t>
      </w:r>
    </w:p>
    <w:p w14:paraId="491F5879">
      <w:pPr>
        <w:spacing w:before="158" w:beforeLines="50" w:line="360" w:lineRule="auto"/>
        <w:ind w:firstLine="720" w:firstLineChars="300"/>
        <w:jc w:val="both"/>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3.本项目不接受联合体（提供承诺函）。</w:t>
      </w:r>
    </w:p>
    <w:p w14:paraId="614D93BA">
      <w:pPr>
        <w:rPr>
          <w:rFonts w:hint="eastAsia" w:ascii="宋体" w:hAnsi="宋体"/>
          <w:b/>
          <w:bCs/>
          <w:sz w:val="24"/>
          <w:szCs w:val="24"/>
          <w:highlight w:val="none"/>
        </w:rPr>
      </w:pPr>
      <w:r>
        <w:rPr>
          <w:rFonts w:hint="eastAsia" w:ascii="宋体" w:hAnsi="宋体"/>
          <w:b/>
          <w:bCs/>
          <w:sz w:val="24"/>
          <w:szCs w:val="24"/>
          <w:highlight w:val="none"/>
        </w:rPr>
        <w:br w:type="page"/>
      </w:r>
    </w:p>
    <w:p w14:paraId="7A0B592A">
      <w:pPr>
        <w:rPr>
          <w:rFonts w:hint="eastAsia"/>
        </w:rPr>
      </w:pPr>
    </w:p>
    <w:p w14:paraId="79C2BC1E">
      <w:pPr>
        <w:rPr>
          <w:rFonts w:hint="eastAsia" w:ascii="宋体" w:hAnsi="宋体"/>
          <w:b/>
          <w:bCs/>
          <w:sz w:val="24"/>
          <w:szCs w:val="24"/>
          <w:highlight w:val="none"/>
        </w:rPr>
      </w:pPr>
    </w:p>
    <w:p w14:paraId="7877EEB8">
      <w:pPr>
        <w:pStyle w:val="8"/>
        <w:rPr>
          <w:rFonts w:hint="eastAsia" w:ascii="宋体" w:hAnsi="宋体"/>
          <w:b/>
          <w:bCs/>
          <w:sz w:val="24"/>
          <w:szCs w:val="24"/>
          <w:highlight w:val="none"/>
        </w:rPr>
      </w:pPr>
    </w:p>
    <w:p w14:paraId="231C7FA5">
      <w:pPr>
        <w:rPr>
          <w:rFonts w:hint="eastAsia" w:ascii="宋体" w:hAnsi="宋体"/>
          <w:b/>
          <w:bCs/>
          <w:sz w:val="24"/>
          <w:szCs w:val="24"/>
          <w:highlight w:val="none"/>
        </w:rPr>
      </w:pPr>
    </w:p>
    <w:p w14:paraId="259BE467">
      <w:pPr>
        <w:pStyle w:val="8"/>
        <w:ind w:left="0" w:leftChars="0" w:firstLine="0" w:firstLineChars="0"/>
        <w:rPr>
          <w:rFonts w:hint="eastAsia"/>
          <w:highlight w:val="none"/>
        </w:rPr>
      </w:pPr>
    </w:p>
    <w:p w14:paraId="76C2A525">
      <w:pPr>
        <w:rPr>
          <w:rFonts w:hint="eastAsia" w:ascii="宋体" w:hAnsi="宋体" w:cs="宋体"/>
          <w:b/>
          <w:bCs/>
          <w:sz w:val="44"/>
          <w:szCs w:val="44"/>
          <w:highlight w:val="none"/>
        </w:rPr>
      </w:pPr>
    </w:p>
    <w:p w14:paraId="592CB354">
      <w:pPr>
        <w:rPr>
          <w:rFonts w:hint="eastAsia" w:ascii="宋体" w:hAnsi="宋体" w:cs="宋体"/>
          <w:b/>
          <w:bCs/>
          <w:sz w:val="44"/>
          <w:szCs w:val="44"/>
          <w:highlight w:val="none"/>
        </w:rPr>
      </w:pPr>
    </w:p>
    <w:p w14:paraId="2A05E446">
      <w:pPr>
        <w:rPr>
          <w:rFonts w:hint="eastAsia" w:ascii="宋体" w:hAnsi="宋体" w:cs="宋体"/>
          <w:b/>
          <w:bCs/>
          <w:sz w:val="44"/>
          <w:szCs w:val="44"/>
          <w:highlight w:val="none"/>
        </w:rPr>
      </w:pPr>
    </w:p>
    <w:p w14:paraId="57582403">
      <w:pPr>
        <w:rPr>
          <w:rFonts w:hint="eastAsia" w:ascii="宋体" w:hAnsi="宋体" w:cs="宋体"/>
          <w:b/>
          <w:bCs/>
          <w:sz w:val="44"/>
          <w:szCs w:val="44"/>
          <w:highlight w:val="none"/>
        </w:rPr>
      </w:pPr>
    </w:p>
    <w:p w14:paraId="648489E5">
      <w:pPr>
        <w:rPr>
          <w:rFonts w:hint="eastAsia" w:ascii="宋体" w:hAnsi="宋体" w:cs="宋体"/>
          <w:b/>
          <w:bCs/>
          <w:sz w:val="44"/>
          <w:szCs w:val="44"/>
          <w:highlight w:val="none"/>
        </w:rPr>
      </w:pPr>
    </w:p>
    <w:p w14:paraId="39F59236">
      <w:pPr>
        <w:rPr>
          <w:rFonts w:hint="eastAsia" w:ascii="宋体" w:hAnsi="宋体" w:cs="宋体"/>
          <w:b/>
          <w:bCs/>
          <w:sz w:val="44"/>
          <w:szCs w:val="44"/>
          <w:highlight w:val="none"/>
        </w:rPr>
      </w:pPr>
    </w:p>
    <w:p w14:paraId="3C237CA3">
      <w:pPr>
        <w:jc w:val="center"/>
        <w:outlineLvl w:val="2"/>
        <w:rPr>
          <w:rFonts w:hint="eastAsia" w:ascii="宋体" w:hAnsi="宋体" w:cs="宋体"/>
          <w:b/>
          <w:bCs/>
          <w:sz w:val="44"/>
          <w:szCs w:val="44"/>
          <w:highlight w:val="none"/>
        </w:rPr>
      </w:pPr>
      <w:bookmarkStart w:id="237" w:name="_Toc27845"/>
      <w:r>
        <w:rPr>
          <w:rFonts w:hint="eastAsia" w:ascii="宋体" w:hAnsi="宋体" w:cs="宋体"/>
          <w:b/>
          <w:bCs/>
          <w:sz w:val="44"/>
          <w:szCs w:val="44"/>
          <w:highlight w:val="none"/>
          <w:lang w:val="en-US" w:eastAsia="zh-CN"/>
        </w:rPr>
        <w:t>商务技术</w:t>
      </w:r>
      <w:r>
        <w:rPr>
          <w:rFonts w:hint="eastAsia" w:ascii="宋体" w:hAnsi="宋体" w:cs="宋体"/>
          <w:b/>
          <w:bCs/>
          <w:sz w:val="44"/>
          <w:szCs w:val="44"/>
          <w:highlight w:val="none"/>
        </w:rPr>
        <w:t>部分</w:t>
      </w:r>
      <w:bookmarkEnd w:id="236"/>
      <w:bookmarkEnd w:id="237"/>
    </w:p>
    <w:p w14:paraId="45A1E743">
      <w:pPr>
        <w:rPr>
          <w:rFonts w:hint="eastAsia" w:ascii="宋体" w:hAnsi="宋体" w:cs="宋体"/>
          <w:sz w:val="28"/>
          <w:szCs w:val="28"/>
          <w:highlight w:val="none"/>
        </w:rPr>
      </w:pPr>
      <w:bookmarkStart w:id="238" w:name="_Toc31298"/>
      <w:bookmarkEnd w:id="238"/>
      <w:bookmarkStart w:id="239" w:name="_Toc28459"/>
      <w:bookmarkEnd w:id="239"/>
      <w:bookmarkStart w:id="240" w:name="_Toc15981"/>
      <w:bookmarkEnd w:id="240"/>
      <w:bookmarkStart w:id="241" w:name="_Toc10984"/>
      <w:bookmarkEnd w:id="241"/>
      <w:bookmarkStart w:id="242" w:name="_Toc29456"/>
    </w:p>
    <w:p w14:paraId="0C691A0A">
      <w:pPr>
        <w:spacing w:line="240" w:lineRule="exact"/>
        <w:rPr>
          <w:rFonts w:hint="eastAsia" w:ascii="宋体" w:hAnsi="宋体" w:cs="宋体"/>
          <w:sz w:val="28"/>
          <w:szCs w:val="28"/>
          <w:highlight w:val="none"/>
        </w:rPr>
      </w:pPr>
      <w:r>
        <w:rPr>
          <w:rFonts w:hint="eastAsia" w:ascii="宋体" w:hAnsi="宋体" w:cs="宋体"/>
          <w:sz w:val="28"/>
          <w:szCs w:val="28"/>
          <w:highlight w:val="none"/>
        </w:rPr>
        <w:br w:type="page"/>
      </w:r>
    </w:p>
    <w:bookmarkEnd w:id="242"/>
    <w:p w14:paraId="65207E9C">
      <w:pPr>
        <w:pStyle w:val="4"/>
        <w:widowControl/>
        <w:autoSpaceDE w:val="0"/>
        <w:spacing w:before="0" w:after="0" w:line="240" w:lineRule="auto"/>
        <w:rPr>
          <w:rFonts w:hint="eastAsia" w:ascii="宋体" w:hAnsi="宋体" w:eastAsia="宋体" w:cs="宋体"/>
          <w:b/>
          <w:bCs/>
          <w:szCs w:val="28"/>
          <w:highlight w:val="none"/>
          <w:lang w:val="en-US" w:eastAsia="zh-CN"/>
        </w:rPr>
      </w:pPr>
      <w:bookmarkStart w:id="243" w:name="_Toc17435"/>
      <w:bookmarkEnd w:id="243"/>
      <w:bookmarkStart w:id="244" w:name="_Toc7617"/>
      <w:bookmarkStart w:id="245" w:name="_Toc3896308"/>
      <w:bookmarkStart w:id="246" w:name="_Toc2521"/>
      <w:r>
        <w:rPr>
          <w:rFonts w:hint="eastAsia" w:ascii="宋体" w:hAnsi="宋体" w:cs="宋体"/>
          <w:b/>
          <w:bCs/>
          <w:szCs w:val="28"/>
          <w:highlight w:val="none"/>
          <w:lang w:val="en-US" w:eastAsia="zh-CN"/>
        </w:rPr>
        <w:t>一</w:t>
      </w:r>
      <w:r>
        <w:rPr>
          <w:rFonts w:hint="eastAsia" w:ascii="宋体" w:hAnsi="宋体" w:eastAsia="宋体" w:cs="宋体"/>
          <w:b/>
          <w:bCs/>
          <w:szCs w:val="28"/>
          <w:highlight w:val="none"/>
          <w:lang w:val="en-US" w:eastAsia="zh-CN"/>
        </w:rPr>
        <w:t>、磋商函</w:t>
      </w:r>
      <w:bookmarkEnd w:id="244"/>
      <w:bookmarkEnd w:id="245"/>
      <w:bookmarkEnd w:id="246"/>
    </w:p>
    <w:p w14:paraId="031142C8">
      <w:pPr>
        <w:spacing w:line="360" w:lineRule="auto"/>
        <w:rPr>
          <w:rFonts w:hint="eastAsia" w:ascii="宋体" w:hAnsi="宋体" w:cs="宋体"/>
          <w:sz w:val="24"/>
          <w:szCs w:val="24"/>
          <w:highlight w:val="none"/>
          <w:u w:val="single"/>
        </w:rPr>
      </w:pPr>
    </w:p>
    <w:p w14:paraId="5D16CB22">
      <w:pPr>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（采购人名称）：</w:t>
      </w:r>
    </w:p>
    <w:p w14:paraId="3534FC46">
      <w:pPr>
        <w:autoSpaceDE w:val="0"/>
        <w:autoSpaceDN w:val="0"/>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我方已仔细研究了</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（项目名称）竞争性磋商文件的全部内容，</w:t>
      </w:r>
      <w:r>
        <w:rPr>
          <w:rFonts w:hint="eastAsia" w:ascii="宋体" w:hAnsi="宋体" w:cs="宋体"/>
          <w:sz w:val="24"/>
          <w:highlight w:val="none"/>
        </w:rPr>
        <w:t>且对竞争性磋商文件无任何异议</w:t>
      </w:r>
      <w:r>
        <w:rPr>
          <w:rFonts w:hint="eastAsia" w:ascii="宋体" w:hAnsi="宋体" w:cs="宋体"/>
          <w:sz w:val="24"/>
          <w:highlight w:val="none"/>
          <w:lang w:eastAsia="zh-CN"/>
        </w:rPr>
        <w:t>，</w:t>
      </w:r>
      <w:r>
        <w:rPr>
          <w:rFonts w:hint="eastAsia" w:ascii="宋体" w:hAnsi="宋体" w:cs="仿宋_GB2312"/>
          <w:color w:val="auto"/>
          <w:sz w:val="24"/>
          <w:highlight w:val="none"/>
        </w:rPr>
        <w:t>并愿意以最后</w:t>
      </w:r>
      <w:r>
        <w:rPr>
          <w:rFonts w:hint="eastAsia" w:ascii="宋体" w:hAnsi="宋体" w:cs="仿宋_GB2312"/>
          <w:color w:val="auto"/>
          <w:sz w:val="24"/>
          <w:highlight w:val="none"/>
          <w:lang w:val="en-US" w:eastAsia="zh-CN"/>
        </w:rPr>
        <w:t>磋商</w:t>
      </w:r>
      <w:r>
        <w:rPr>
          <w:rFonts w:hint="eastAsia" w:ascii="宋体" w:hAnsi="宋体" w:cs="仿宋_GB2312"/>
          <w:color w:val="auto"/>
          <w:sz w:val="24"/>
          <w:highlight w:val="none"/>
        </w:rPr>
        <w:t>报价，</w:t>
      </w:r>
      <w:r>
        <w:rPr>
          <w:rFonts w:hint="eastAsia" w:ascii="宋体" w:hAnsi="宋体" w:cs="TimesNewRomanPSMT"/>
          <w:color w:val="auto"/>
          <w:sz w:val="24"/>
          <w:highlight w:val="none"/>
        </w:rPr>
        <w:t>向你方</w:t>
      </w:r>
      <w:r>
        <w:rPr>
          <w:rFonts w:hint="eastAsia" w:ascii="宋体" w:hAnsi="宋体"/>
          <w:color w:val="auto"/>
          <w:sz w:val="24"/>
          <w:highlight w:val="none"/>
        </w:rPr>
        <w:t>提供竞争</w:t>
      </w:r>
      <w:r>
        <w:rPr>
          <w:rFonts w:hint="eastAsia" w:ascii="宋体" w:hAnsi="宋体"/>
          <w:color w:val="auto"/>
          <w:sz w:val="24"/>
          <w:highlight w:val="none"/>
          <w:lang w:eastAsia="zh-CN"/>
        </w:rPr>
        <w:t>磋商</w:t>
      </w:r>
      <w:r>
        <w:rPr>
          <w:rFonts w:hint="eastAsia" w:ascii="宋体" w:hAnsi="宋体"/>
          <w:color w:val="auto"/>
          <w:sz w:val="24"/>
          <w:highlight w:val="none"/>
        </w:rPr>
        <w:t>文件要求的</w:t>
      </w:r>
      <w:r>
        <w:rPr>
          <w:rFonts w:hint="eastAsia" w:ascii="宋体" w:hAnsi="宋体"/>
          <w:color w:val="auto"/>
          <w:sz w:val="24"/>
          <w:highlight w:val="none"/>
          <w:lang w:val="en-US" w:eastAsia="zh-CN"/>
        </w:rPr>
        <w:t>服务</w:t>
      </w:r>
      <w:r>
        <w:rPr>
          <w:rFonts w:hint="eastAsia" w:ascii="宋体" w:hAnsi="宋体" w:cs="仿宋_GB2312"/>
          <w:color w:val="auto"/>
          <w:sz w:val="24"/>
          <w:highlight w:val="none"/>
        </w:rPr>
        <w:t>。</w:t>
      </w:r>
    </w:p>
    <w:p w14:paraId="4C866E41">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我方承诺在磋商有效期内不撤销响应文件。否则，你方可不予退还我方的磋商保证金。</w:t>
      </w:r>
    </w:p>
    <w:p w14:paraId="2F969E3A">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w:t>
      </w:r>
      <w:r>
        <w:rPr>
          <w:rFonts w:hint="eastAsia" w:ascii="宋体" w:hAnsi="宋体" w:cs="TimesNewRomanPSMT"/>
          <w:color w:val="auto"/>
          <w:sz w:val="24"/>
          <w:highlight w:val="none"/>
        </w:rPr>
        <w:t>本</w:t>
      </w:r>
      <w:r>
        <w:rPr>
          <w:rFonts w:hint="eastAsia" w:ascii="宋体" w:hAnsi="宋体" w:cs="TimesNewRomanPSMT"/>
          <w:color w:val="auto"/>
          <w:sz w:val="24"/>
          <w:highlight w:val="none"/>
          <w:lang w:val="en-US" w:eastAsia="zh-CN"/>
        </w:rPr>
        <w:t>磋商</w:t>
      </w:r>
      <w:r>
        <w:rPr>
          <w:rFonts w:hint="eastAsia" w:ascii="宋体" w:hAnsi="宋体" w:cs="TimesNewRomanPSMT"/>
          <w:color w:val="auto"/>
          <w:sz w:val="24"/>
          <w:highlight w:val="none"/>
        </w:rPr>
        <w:t>的</w:t>
      </w:r>
      <w:r>
        <w:rPr>
          <w:rFonts w:hint="eastAsia" w:ascii="宋体" w:hAnsi="宋体" w:cs="TimesNewRomanPSMT"/>
          <w:color w:val="auto"/>
          <w:sz w:val="24"/>
          <w:highlight w:val="none"/>
          <w:lang w:val="en-US" w:eastAsia="zh-CN"/>
        </w:rPr>
        <w:t>磋商</w:t>
      </w:r>
      <w:r>
        <w:rPr>
          <w:rFonts w:hint="eastAsia" w:ascii="宋体" w:hAnsi="宋体" w:cs="TimesNewRomanPSMT"/>
          <w:color w:val="auto"/>
          <w:sz w:val="24"/>
          <w:highlight w:val="none"/>
        </w:rPr>
        <w:t>有效期为</w:t>
      </w:r>
      <w:r>
        <w:rPr>
          <w:rFonts w:hint="eastAsia" w:ascii="宋体" w:hAnsi="宋体" w:cs="TimesNewRomanPSMT"/>
          <w:color w:val="000000"/>
          <w:sz w:val="24"/>
          <w:highlight w:val="none"/>
        </w:rPr>
        <w:t>自</w:t>
      </w:r>
      <w:r>
        <w:rPr>
          <w:rFonts w:hint="eastAsia" w:ascii="宋体" w:hAnsi="宋体" w:cs="TimesNewRomanPSMT"/>
          <w:color w:val="000000"/>
          <w:sz w:val="24"/>
          <w:highlight w:val="none"/>
          <w:lang w:eastAsia="zh-CN"/>
        </w:rPr>
        <w:t>响应文件递交截止</w:t>
      </w:r>
      <w:r>
        <w:rPr>
          <w:rFonts w:hint="eastAsia" w:ascii="宋体" w:hAnsi="宋体" w:cs="TimesNewRomanPSMT"/>
          <w:color w:val="000000"/>
          <w:sz w:val="24"/>
          <w:highlight w:val="none"/>
        </w:rPr>
        <w:t>之日起</w:t>
      </w:r>
      <w:r>
        <w:rPr>
          <w:rFonts w:hint="eastAsia" w:ascii="宋体" w:hAnsi="宋体" w:cs="TimesNewRomanPSMT"/>
          <w:color w:val="000000"/>
          <w:sz w:val="24"/>
          <w:highlight w:val="none"/>
          <w:u w:val="single"/>
          <w:lang w:val="en-US" w:eastAsia="zh-CN"/>
        </w:rPr>
        <w:t>90</w:t>
      </w:r>
      <w:r>
        <w:rPr>
          <w:rFonts w:hint="eastAsia" w:ascii="宋体" w:hAnsi="宋体" w:cs="TimesNewRomanPSMT"/>
          <w:color w:val="000000"/>
          <w:sz w:val="24"/>
          <w:highlight w:val="none"/>
        </w:rPr>
        <w:t>个日历天</w:t>
      </w:r>
      <w:r>
        <w:rPr>
          <w:rFonts w:hint="eastAsia" w:ascii="宋体" w:hAnsi="宋体" w:cs="TimesNewRomanPSMT"/>
          <w:color w:val="auto"/>
          <w:sz w:val="24"/>
          <w:highlight w:val="none"/>
        </w:rPr>
        <w:t>。</w:t>
      </w:r>
    </w:p>
    <w:p w14:paraId="782973B4">
      <w:pPr>
        <w:pStyle w:val="13"/>
        <w:ind w:firstLine="480" w:firstLineChars="200"/>
        <w:rPr>
          <w:rFonts w:hint="eastAsia" w:ascii="宋体" w:hAnsi="宋体" w:cs="宋体"/>
          <w:kern w:val="0"/>
          <w:sz w:val="24"/>
          <w:highlight w:val="none"/>
        </w:rPr>
      </w:pPr>
      <w:r>
        <w:rPr>
          <w:rFonts w:hint="eastAsia" w:ascii="宋体" w:hAnsi="宋体" w:cs="宋体"/>
          <w:kern w:val="0"/>
          <w:sz w:val="24"/>
          <w:highlight w:val="none"/>
        </w:rPr>
        <w:t>3.我方承诺所提交的响应文件及有关资料是完整的、真实的、准确的和有效的，否则，我方承担由此造成的任何损失及引起的任何后果。</w:t>
      </w:r>
    </w:p>
    <w:p w14:paraId="00434511">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4．如我方成交：</w:t>
      </w:r>
    </w:p>
    <w:p w14:paraId="6BEEC34E">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（1）我方承诺在收到成交通知书后，在成交通知书规定的期限内与你方签订合同。</w:t>
      </w:r>
    </w:p>
    <w:p w14:paraId="15FE4C4E">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（2）我方承诺按照竞争性磋商文件规定向你方递交履约保证金。</w:t>
      </w:r>
    </w:p>
    <w:p w14:paraId="1ED17E13">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（3）我方承诺按合同约定的期限和地点，按竞争性磋商文件要求完成</w:t>
      </w:r>
      <w:r>
        <w:rPr>
          <w:rFonts w:hint="eastAsia" w:ascii="宋体" w:hAnsi="宋体" w:cs="宋体"/>
          <w:sz w:val="24"/>
          <w:highlight w:val="none"/>
          <w:lang w:eastAsia="zh-CN"/>
        </w:rPr>
        <w:t>服务</w:t>
      </w:r>
      <w:r>
        <w:rPr>
          <w:rFonts w:hint="eastAsia" w:ascii="宋体" w:hAnsi="宋体" w:cs="宋体"/>
          <w:sz w:val="24"/>
          <w:highlight w:val="none"/>
        </w:rPr>
        <w:t>。</w:t>
      </w:r>
    </w:p>
    <w:p w14:paraId="561F97DF">
      <w:pPr>
        <w:autoSpaceDE w:val="0"/>
        <w:autoSpaceDN w:val="0"/>
        <w:adjustRightInd w:val="0"/>
        <w:snapToGrid w:val="0"/>
        <w:spacing w:line="360" w:lineRule="auto"/>
        <w:ind w:firstLine="480" w:firstLineChars="200"/>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lang w:eastAsia="zh-CN"/>
        </w:rPr>
        <w:t>）</w:t>
      </w:r>
      <w:r>
        <w:rPr>
          <w:rFonts w:hint="eastAsia" w:ascii="宋体" w:hAnsi="宋体" w:cs="宋体"/>
          <w:sz w:val="24"/>
          <w:highlight w:val="none"/>
        </w:rPr>
        <w:t>除商务条款偏离表列出的偏差外，我方响应</w:t>
      </w:r>
      <w:r>
        <w:rPr>
          <w:rFonts w:hint="eastAsia" w:ascii="宋体" w:hAnsi="宋体" w:cs="宋体"/>
          <w:sz w:val="24"/>
          <w:highlight w:val="none"/>
          <w:lang w:val="en-US" w:eastAsia="zh-CN"/>
        </w:rPr>
        <w:t>磋商</w:t>
      </w:r>
      <w:r>
        <w:rPr>
          <w:rFonts w:hint="eastAsia" w:ascii="宋体" w:hAnsi="宋体" w:cs="宋体"/>
          <w:sz w:val="24"/>
          <w:highlight w:val="none"/>
        </w:rPr>
        <w:t>文件的全部要求。</w:t>
      </w:r>
    </w:p>
    <w:p w14:paraId="03C31C6C">
      <w:pPr>
        <w:autoSpaceDE w:val="0"/>
        <w:autoSpaceDN w:val="0"/>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u w:val="single"/>
        </w:rPr>
        <w:t xml:space="preserve">                </w:t>
      </w:r>
      <w:r>
        <w:rPr>
          <w:rFonts w:hint="eastAsia" w:ascii="宋体" w:hAnsi="宋体" w:cs="宋体"/>
          <w:sz w:val="24"/>
          <w:highlight w:val="none"/>
        </w:rPr>
        <w:t>（其他补充说明）。</w:t>
      </w:r>
    </w:p>
    <w:p w14:paraId="4A65BB78">
      <w:pPr>
        <w:pStyle w:val="13"/>
        <w:ind w:firstLine="480" w:firstLineChars="200"/>
        <w:rPr>
          <w:rFonts w:hint="eastAsia" w:ascii="宋体" w:hAnsi="宋体" w:cs="宋体"/>
          <w:kern w:val="0"/>
          <w:sz w:val="24"/>
          <w:highlight w:val="none"/>
        </w:rPr>
      </w:pPr>
    </w:p>
    <w:p w14:paraId="7BCA2C58">
      <w:pPr>
        <w:pStyle w:val="13"/>
        <w:ind w:firstLine="480" w:firstLineChars="200"/>
        <w:rPr>
          <w:rFonts w:hint="eastAsia" w:ascii="宋体" w:hAnsi="宋体" w:cs="宋体"/>
          <w:kern w:val="0"/>
          <w:sz w:val="24"/>
          <w:highlight w:val="none"/>
        </w:rPr>
      </w:pPr>
    </w:p>
    <w:p w14:paraId="0C7F8CA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供应商：</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盖章或电子签章</w:t>
      </w:r>
      <w:r>
        <w:rPr>
          <w:rFonts w:hint="eastAsia" w:ascii="宋体" w:hAnsi="宋体" w:cs="宋体"/>
          <w:b/>
          <w:bCs/>
          <w:sz w:val="24"/>
          <w:szCs w:val="24"/>
          <w:highlight w:val="none"/>
        </w:rPr>
        <w:t>）</w:t>
      </w:r>
    </w:p>
    <w:p w14:paraId="4375356E">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lang w:eastAsia="zh-CN"/>
        </w:rPr>
        <w:t>法定代表人（单位负责人）</w:t>
      </w:r>
      <w:r>
        <w:rPr>
          <w:rFonts w:hint="eastAsia" w:ascii="宋体" w:hAnsi="宋体" w:cs="宋体"/>
          <w:b/>
          <w:bCs/>
          <w:sz w:val="24"/>
          <w:szCs w:val="24"/>
          <w:highlight w:val="none"/>
        </w:rPr>
        <w:t>或其委托代理人：</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签字或电子签章</w:t>
      </w:r>
      <w:r>
        <w:rPr>
          <w:rFonts w:hint="eastAsia" w:ascii="宋体" w:hAnsi="宋体" w:cs="宋体"/>
          <w:b/>
          <w:bCs/>
          <w:sz w:val="24"/>
          <w:szCs w:val="24"/>
          <w:highlight w:val="none"/>
        </w:rPr>
        <w:t>）</w:t>
      </w:r>
    </w:p>
    <w:p w14:paraId="4D493419">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地</w:t>
      </w:r>
      <w:r>
        <w:rPr>
          <w:rFonts w:hint="eastAsia" w:ascii="宋体" w:hAnsi="宋体" w:cs="宋体"/>
          <w:b/>
          <w:bCs/>
          <w:sz w:val="24"/>
          <w:szCs w:val="24"/>
          <w:highlight w:val="none"/>
        </w:rPr>
        <w:tab/>
      </w:r>
      <w:r>
        <w:rPr>
          <w:rFonts w:hint="eastAsia" w:ascii="宋体" w:hAnsi="宋体" w:cs="宋体"/>
          <w:b/>
          <w:bCs/>
          <w:sz w:val="24"/>
          <w:szCs w:val="24"/>
          <w:highlight w:val="none"/>
        </w:rPr>
        <w:t>址：</w:t>
      </w:r>
      <w:r>
        <w:rPr>
          <w:rFonts w:hint="eastAsia" w:ascii="宋体" w:hAnsi="宋体" w:cs="宋体"/>
          <w:b/>
          <w:bCs/>
          <w:sz w:val="24"/>
          <w:szCs w:val="24"/>
          <w:highlight w:val="none"/>
          <w:u w:val="single"/>
        </w:rPr>
        <w:t xml:space="preserve">                                           </w:t>
      </w:r>
    </w:p>
    <w:p w14:paraId="367563B3">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电</w:t>
      </w:r>
      <w:r>
        <w:rPr>
          <w:rFonts w:hint="eastAsia" w:ascii="宋体" w:hAnsi="宋体" w:cs="宋体"/>
          <w:b/>
          <w:bCs/>
          <w:sz w:val="24"/>
          <w:szCs w:val="24"/>
          <w:highlight w:val="none"/>
        </w:rPr>
        <w:tab/>
      </w:r>
      <w:r>
        <w:rPr>
          <w:rFonts w:hint="eastAsia" w:ascii="宋体" w:hAnsi="宋体" w:cs="宋体"/>
          <w:b/>
          <w:bCs/>
          <w:sz w:val="24"/>
          <w:szCs w:val="24"/>
          <w:highlight w:val="none"/>
        </w:rPr>
        <w:t>话：</w:t>
      </w:r>
      <w:r>
        <w:rPr>
          <w:rFonts w:hint="eastAsia" w:ascii="宋体" w:hAnsi="宋体" w:cs="宋体"/>
          <w:b/>
          <w:bCs/>
          <w:sz w:val="24"/>
          <w:szCs w:val="24"/>
          <w:highlight w:val="none"/>
          <w:u w:val="single"/>
        </w:rPr>
        <w:t xml:space="preserve">                                           </w:t>
      </w:r>
    </w:p>
    <w:p w14:paraId="25287053">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日 期：</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年</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月</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日</w:t>
      </w:r>
    </w:p>
    <w:p w14:paraId="737DCAFF">
      <w:pPr>
        <w:pStyle w:val="4"/>
        <w:widowControl/>
        <w:autoSpaceDE w:val="0"/>
        <w:spacing w:before="0" w:after="0" w:line="240" w:lineRule="auto"/>
        <w:rPr>
          <w:rFonts w:hint="eastAsia" w:ascii="宋体" w:hAnsi="宋体" w:cs="宋体"/>
          <w:szCs w:val="28"/>
          <w:highlight w:val="none"/>
        </w:rPr>
      </w:pPr>
      <w:bookmarkStart w:id="247" w:name="_Toc17119"/>
      <w:bookmarkEnd w:id="247"/>
      <w:bookmarkStart w:id="248" w:name="_Toc13197"/>
      <w:r>
        <w:rPr>
          <w:rFonts w:hint="eastAsia" w:ascii="宋体" w:hAnsi="宋体" w:cs="宋体"/>
          <w:szCs w:val="28"/>
          <w:highlight w:val="none"/>
        </w:rPr>
        <w:br w:type="page"/>
      </w:r>
      <w:bookmarkStart w:id="249" w:name="_Toc28194"/>
      <w:bookmarkStart w:id="250" w:name="_Toc3896309"/>
      <w:r>
        <w:rPr>
          <w:rFonts w:hint="eastAsia" w:ascii="宋体" w:hAnsi="宋体" w:cs="宋体"/>
          <w:b/>
          <w:bCs/>
          <w:szCs w:val="28"/>
          <w:highlight w:val="none"/>
          <w:lang w:val="en-US" w:eastAsia="zh-CN"/>
        </w:rPr>
        <w:t>二</w:t>
      </w:r>
      <w:r>
        <w:rPr>
          <w:rFonts w:hint="eastAsia" w:ascii="宋体" w:hAnsi="宋体" w:eastAsia="宋体" w:cs="宋体"/>
          <w:b/>
          <w:bCs/>
          <w:szCs w:val="28"/>
          <w:highlight w:val="none"/>
          <w:lang w:val="en-US" w:eastAsia="zh-CN"/>
        </w:rPr>
        <w:t>、</w:t>
      </w:r>
      <w:r>
        <w:rPr>
          <w:rFonts w:hint="eastAsia" w:ascii="宋体" w:hAnsi="宋体" w:cs="宋体"/>
          <w:b/>
          <w:bCs/>
          <w:szCs w:val="28"/>
          <w:highlight w:val="none"/>
          <w:lang w:val="en-US" w:eastAsia="zh-CN"/>
        </w:rPr>
        <w:t>法定代表人（单位负责人）</w:t>
      </w:r>
      <w:r>
        <w:rPr>
          <w:rFonts w:hint="eastAsia" w:ascii="宋体" w:hAnsi="宋体" w:eastAsia="宋体" w:cs="宋体"/>
          <w:b/>
          <w:bCs/>
          <w:szCs w:val="28"/>
          <w:highlight w:val="none"/>
          <w:lang w:val="en-US" w:eastAsia="zh-CN"/>
        </w:rPr>
        <w:t>身份证明</w:t>
      </w:r>
      <w:bookmarkEnd w:id="248"/>
      <w:r>
        <w:rPr>
          <w:rFonts w:hint="eastAsia" w:ascii="宋体" w:hAnsi="宋体" w:eastAsia="宋体" w:cs="宋体"/>
          <w:b/>
          <w:bCs/>
          <w:szCs w:val="28"/>
          <w:highlight w:val="none"/>
          <w:lang w:val="en-US" w:eastAsia="zh-CN"/>
        </w:rPr>
        <w:t>书</w:t>
      </w:r>
      <w:bookmarkEnd w:id="249"/>
      <w:bookmarkEnd w:id="250"/>
    </w:p>
    <w:p w14:paraId="23058652">
      <w:pPr>
        <w:spacing w:line="200" w:lineRule="exact"/>
        <w:rPr>
          <w:rFonts w:hint="eastAsia" w:ascii="宋体" w:hAnsi="宋体" w:cs="宋体"/>
          <w:highlight w:val="none"/>
        </w:rPr>
      </w:pPr>
      <w:r>
        <w:rPr>
          <w:rFonts w:hint="eastAsia" w:ascii="宋体" w:hAnsi="宋体" w:cs="宋体"/>
          <w:highlight w:val="none"/>
        </w:rPr>
        <w:t xml:space="preserve"> </w:t>
      </w:r>
    </w:p>
    <w:p w14:paraId="7F29B76B">
      <w:pPr>
        <w:spacing w:line="200" w:lineRule="exact"/>
        <w:rPr>
          <w:rFonts w:hint="eastAsia" w:ascii="宋体" w:hAnsi="宋体" w:cs="宋体"/>
          <w:highlight w:val="none"/>
        </w:rPr>
      </w:pPr>
      <w:r>
        <w:rPr>
          <w:rFonts w:hint="eastAsia" w:ascii="宋体" w:hAnsi="宋体" w:cs="宋体"/>
          <w:highlight w:val="none"/>
        </w:rPr>
        <w:t xml:space="preserve"> </w:t>
      </w:r>
    </w:p>
    <w:p w14:paraId="1455E3FD">
      <w:pPr>
        <w:spacing w:line="200" w:lineRule="exact"/>
        <w:rPr>
          <w:rFonts w:hint="eastAsia" w:ascii="宋体" w:hAnsi="宋体" w:cs="宋体"/>
          <w:highlight w:val="none"/>
        </w:rPr>
      </w:pPr>
      <w:r>
        <w:rPr>
          <w:rFonts w:hint="eastAsia" w:ascii="宋体" w:hAnsi="宋体" w:cs="宋体"/>
          <w:highlight w:val="none"/>
        </w:rPr>
        <w:t xml:space="preserve"> </w:t>
      </w:r>
    </w:p>
    <w:p w14:paraId="677E9DD5">
      <w:pPr>
        <w:autoSpaceDE w:val="0"/>
        <w:autoSpaceDN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14:paraId="03DC8E87">
      <w:pPr>
        <w:autoSpaceDE w:val="0"/>
        <w:autoSpaceDN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704EDD34">
      <w:pPr>
        <w:autoSpaceDE w:val="0"/>
        <w:autoSpaceDN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 xml:space="preserve">                        </w:t>
      </w:r>
    </w:p>
    <w:p w14:paraId="765E2FA8">
      <w:pPr>
        <w:autoSpaceDE w:val="0"/>
        <w:autoSpaceDN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0A556A06">
      <w:pPr>
        <w:autoSpaceDE w:val="0"/>
        <w:autoSpaceDN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经营期限：</w:t>
      </w:r>
      <w:r>
        <w:rPr>
          <w:rFonts w:hint="eastAsia" w:ascii="宋体" w:hAnsi="宋体" w:cs="宋体"/>
          <w:sz w:val="24"/>
          <w:highlight w:val="none"/>
          <w:u w:val="single"/>
        </w:rPr>
        <w:t xml:space="preserve">                         </w:t>
      </w:r>
    </w:p>
    <w:p w14:paraId="6ADA61BA">
      <w:pPr>
        <w:spacing w:line="360" w:lineRule="auto"/>
        <w:ind w:firstLine="480" w:firstLineChars="200"/>
        <w:rPr>
          <w:rFonts w:hint="eastAsia" w:ascii="宋体" w:hAnsi="宋体" w:cs="宋体"/>
          <w:sz w:val="24"/>
          <w:szCs w:val="24"/>
          <w:highlight w:val="none"/>
        </w:rPr>
      </w:pPr>
    </w:p>
    <w:p w14:paraId="4D5C60D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职务：</w:t>
      </w:r>
      <w:r>
        <w:rPr>
          <w:rFonts w:hint="eastAsia" w:ascii="宋体" w:hAnsi="宋体" w:cs="宋体"/>
          <w:sz w:val="24"/>
          <w:szCs w:val="24"/>
          <w:highlight w:val="none"/>
          <w:u w:val="single"/>
        </w:rPr>
        <w:t xml:space="preserve">          </w:t>
      </w:r>
    </w:p>
    <w:p w14:paraId="50233FC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系</w:t>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（供应商名称）的</w:t>
      </w:r>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w:t>
      </w:r>
    </w:p>
    <w:p w14:paraId="0EDDCDA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特此证明。</w:t>
      </w:r>
    </w:p>
    <w:p w14:paraId="07F4005D">
      <w:pPr>
        <w:spacing w:line="360" w:lineRule="auto"/>
        <w:ind w:firstLine="1205" w:firstLineChars="500"/>
        <w:rPr>
          <w:rFonts w:hint="eastAsia" w:ascii="宋体" w:hAnsi="宋体" w:cs="宋体"/>
          <w:b/>
          <w:bCs/>
          <w:sz w:val="24"/>
          <w:szCs w:val="24"/>
          <w:highlight w:val="none"/>
        </w:rPr>
      </w:pPr>
    </w:p>
    <w:p w14:paraId="48E2A8D2">
      <w:pPr>
        <w:spacing w:line="360" w:lineRule="auto"/>
        <w:ind w:firstLine="1205" w:firstLineChars="500"/>
        <w:rPr>
          <w:rFonts w:hint="eastAsia" w:ascii="宋体" w:hAnsi="宋体" w:cs="宋体"/>
          <w:b/>
          <w:bCs/>
          <w:sz w:val="24"/>
          <w:szCs w:val="24"/>
          <w:highlight w:val="none"/>
        </w:rPr>
      </w:pPr>
    </w:p>
    <w:p w14:paraId="588004D5">
      <w:pPr>
        <w:spacing w:line="360" w:lineRule="auto"/>
        <w:ind w:firstLine="1205" w:firstLineChars="500"/>
        <w:rPr>
          <w:rFonts w:hint="eastAsia" w:ascii="宋体" w:hAnsi="宋体" w:cs="宋体"/>
          <w:b/>
          <w:bCs/>
          <w:sz w:val="24"/>
          <w:szCs w:val="24"/>
          <w:highlight w:val="none"/>
        </w:rPr>
      </w:pPr>
    </w:p>
    <w:p w14:paraId="189639DF">
      <w:pPr>
        <w:spacing w:line="360" w:lineRule="auto"/>
        <w:ind w:firstLine="1205" w:firstLineChars="500"/>
        <w:rPr>
          <w:rFonts w:hint="eastAsia" w:ascii="宋体" w:hAnsi="宋体" w:cs="宋体"/>
          <w:b/>
          <w:bCs/>
          <w:sz w:val="24"/>
          <w:szCs w:val="24"/>
          <w:highlight w:val="none"/>
        </w:rPr>
      </w:pPr>
      <w:r>
        <w:rPr>
          <w:rFonts w:hint="eastAsia" w:ascii="宋体" w:hAnsi="宋体" w:cs="宋体"/>
          <w:b/>
          <w:bCs/>
          <w:sz w:val="24"/>
          <w:szCs w:val="24"/>
          <w:highlight w:val="none"/>
        </w:rPr>
        <w:t>供应商：</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（盖章或电子签章）</w:t>
      </w:r>
    </w:p>
    <w:p w14:paraId="77558025">
      <w:pPr>
        <w:spacing w:line="360" w:lineRule="auto"/>
        <w:ind w:firstLine="1205" w:firstLineChars="500"/>
        <w:rPr>
          <w:rFonts w:hint="eastAsia" w:ascii="宋体" w:hAnsi="宋体" w:cs="宋体"/>
          <w:b/>
          <w:bCs/>
          <w:sz w:val="24"/>
          <w:szCs w:val="24"/>
          <w:highlight w:val="none"/>
        </w:rPr>
      </w:pPr>
      <w:r>
        <w:rPr>
          <w:rFonts w:hint="eastAsia" w:ascii="宋体" w:hAnsi="宋体" w:cs="宋体"/>
          <w:b/>
          <w:bCs/>
          <w:sz w:val="24"/>
          <w:szCs w:val="24"/>
          <w:highlight w:val="none"/>
        </w:rPr>
        <w:t>日 期：</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年</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月</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日</w:t>
      </w:r>
    </w:p>
    <w:p w14:paraId="530E7701">
      <w:pPr>
        <w:spacing w:line="360" w:lineRule="auto"/>
        <w:jc w:val="both"/>
        <w:rPr>
          <w:rFonts w:hint="eastAsia" w:ascii="宋体" w:hAnsi="宋体" w:cs="宋体"/>
          <w:b/>
          <w:sz w:val="24"/>
          <w:szCs w:val="24"/>
          <w:highlight w:val="none"/>
        </w:rPr>
      </w:pPr>
    </w:p>
    <w:p w14:paraId="55C860C4">
      <w:pPr>
        <w:pStyle w:val="13"/>
        <w:rPr>
          <w:rFonts w:hint="eastAsia" w:ascii="宋体" w:hAnsi="宋体" w:cs="宋体"/>
          <w:highlight w:val="none"/>
        </w:rPr>
      </w:pPr>
    </w:p>
    <w:p w14:paraId="5346932E">
      <w:pPr>
        <w:pStyle w:val="13"/>
        <w:rPr>
          <w:rFonts w:hint="eastAsia" w:ascii="宋体" w:hAnsi="宋体" w:cs="宋体"/>
          <w:highlight w:val="none"/>
        </w:rPr>
      </w:pPr>
    </w:p>
    <w:p w14:paraId="3C8C5B36">
      <w:pPr>
        <w:spacing w:line="20" w:lineRule="exact"/>
        <w:rPr>
          <w:rFonts w:hint="eastAsia" w:ascii="宋体" w:hAnsi="宋体" w:cs="宋体"/>
          <w:b/>
          <w:bCs/>
          <w:sz w:val="44"/>
          <w:szCs w:val="44"/>
          <w:highlight w:val="none"/>
        </w:rPr>
      </w:pPr>
    </w:p>
    <w:tbl>
      <w:tblPr>
        <w:tblStyle w:val="33"/>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14:paraId="5A09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39" w:type="dxa"/>
            <w:vAlign w:val="center"/>
          </w:tcPr>
          <w:p w14:paraId="3C509643">
            <w:pPr>
              <w:widowControl w:val="0"/>
              <w:spacing w:before="317" w:beforeLines="100" w:after="317" w:afterLines="100" w:line="600" w:lineRule="exact"/>
              <w:jc w:val="center"/>
              <w:rPr>
                <w:rFonts w:hint="eastAsia" w:ascii="宋体" w:hAnsi="宋体" w:cs="宋体"/>
                <w:highlight w:val="none"/>
              </w:rPr>
            </w:pPr>
            <w:bookmarkStart w:id="251" w:name="_Toc31847"/>
            <w:bookmarkEnd w:id="251"/>
            <w:bookmarkStart w:id="252" w:name="_Toc15398"/>
            <w:bookmarkEnd w:id="252"/>
            <w:bookmarkStart w:id="253" w:name="_Toc23744"/>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身份证正反面</w:t>
            </w:r>
          </w:p>
        </w:tc>
      </w:tr>
    </w:tbl>
    <w:p w14:paraId="1468A5EF">
      <w:pPr>
        <w:pStyle w:val="4"/>
        <w:widowControl/>
        <w:autoSpaceDE w:val="0"/>
        <w:spacing w:before="0" w:after="0" w:line="240" w:lineRule="auto"/>
        <w:rPr>
          <w:rFonts w:hint="eastAsia" w:ascii="宋体" w:hAnsi="宋体" w:cs="宋体"/>
          <w:szCs w:val="28"/>
          <w:highlight w:val="none"/>
        </w:rPr>
      </w:pPr>
      <w:r>
        <w:rPr>
          <w:rFonts w:hint="eastAsia" w:ascii="宋体" w:hAnsi="宋体" w:cs="宋体"/>
          <w:szCs w:val="28"/>
          <w:highlight w:val="none"/>
        </w:rPr>
        <w:br w:type="page"/>
      </w:r>
      <w:bookmarkStart w:id="254" w:name="_Toc3896310"/>
      <w:bookmarkStart w:id="255" w:name="_Toc10991"/>
      <w:r>
        <w:rPr>
          <w:rFonts w:hint="eastAsia" w:ascii="宋体" w:hAnsi="宋体" w:cs="宋体"/>
          <w:b/>
          <w:bCs/>
          <w:szCs w:val="28"/>
          <w:highlight w:val="none"/>
          <w:lang w:val="en-US" w:eastAsia="zh-CN"/>
        </w:rPr>
        <w:t>三</w:t>
      </w:r>
      <w:r>
        <w:rPr>
          <w:rFonts w:hint="eastAsia" w:ascii="宋体" w:hAnsi="宋体" w:eastAsia="宋体" w:cs="宋体"/>
          <w:b/>
          <w:bCs/>
          <w:szCs w:val="28"/>
          <w:highlight w:val="none"/>
          <w:lang w:val="en-US" w:eastAsia="zh-CN"/>
        </w:rPr>
        <w:t>、授权委托书</w:t>
      </w:r>
      <w:bookmarkEnd w:id="253"/>
      <w:bookmarkEnd w:id="254"/>
      <w:bookmarkEnd w:id="255"/>
    </w:p>
    <w:p w14:paraId="13F0DEDC">
      <w:pPr>
        <w:spacing w:line="200" w:lineRule="exact"/>
        <w:rPr>
          <w:rFonts w:hint="eastAsia" w:ascii="宋体" w:hAnsi="宋体" w:cs="宋体"/>
          <w:highlight w:val="none"/>
        </w:rPr>
      </w:pPr>
      <w:r>
        <w:rPr>
          <w:rFonts w:hint="eastAsia" w:ascii="宋体" w:hAnsi="宋体" w:cs="宋体"/>
          <w:highlight w:val="none"/>
        </w:rPr>
        <w:t xml:space="preserve"> </w:t>
      </w:r>
    </w:p>
    <w:p w14:paraId="7CB052EA">
      <w:pPr>
        <w:spacing w:line="200" w:lineRule="exact"/>
        <w:rPr>
          <w:rFonts w:hint="eastAsia" w:ascii="宋体" w:hAnsi="宋体" w:cs="宋体"/>
          <w:highlight w:val="none"/>
        </w:rPr>
      </w:pPr>
      <w:r>
        <w:rPr>
          <w:rFonts w:hint="eastAsia" w:ascii="宋体" w:hAnsi="宋体" w:cs="宋体"/>
          <w:highlight w:val="none"/>
        </w:rPr>
        <w:t xml:space="preserve"> </w:t>
      </w:r>
    </w:p>
    <w:p w14:paraId="54E0A91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（姓名）系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（供应商名称）的</w:t>
      </w:r>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，现委托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（姓名）为我方代理人。代理人根据授权，以我方名义签署、澄清、说明、补正、递交、撤回、修改</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（项目名称）响应文件、签订合同和处理有关事宜，其法律后果由我方承担。</w:t>
      </w:r>
    </w:p>
    <w:p w14:paraId="511127C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代理人无转委托权。</w:t>
      </w:r>
    </w:p>
    <w:p w14:paraId="6E6C624A">
      <w:pPr>
        <w:spacing w:line="360" w:lineRule="auto"/>
        <w:ind w:firstLine="480" w:firstLineChars="200"/>
        <w:rPr>
          <w:rFonts w:hint="eastAsia" w:ascii="宋体" w:hAnsi="宋体" w:cs="宋体"/>
          <w:sz w:val="24"/>
          <w:szCs w:val="24"/>
          <w:highlight w:val="none"/>
        </w:rPr>
      </w:pPr>
    </w:p>
    <w:p w14:paraId="654E1862">
      <w:pPr>
        <w:spacing w:line="360" w:lineRule="auto"/>
        <w:ind w:firstLine="480" w:firstLineChars="200"/>
        <w:rPr>
          <w:rFonts w:hint="eastAsia" w:ascii="宋体" w:hAnsi="宋体" w:cs="宋体"/>
          <w:sz w:val="24"/>
          <w:szCs w:val="24"/>
          <w:highlight w:val="none"/>
        </w:rPr>
      </w:pPr>
    </w:p>
    <w:p w14:paraId="2BF02A0E">
      <w:pPr>
        <w:spacing w:before="468" w:line="360" w:lineRule="auto"/>
        <w:ind w:firstLine="3373" w:firstLineChars="1400"/>
        <w:rPr>
          <w:rFonts w:hint="eastAsia" w:ascii="宋体" w:hAnsi="宋体" w:cs="宋体"/>
          <w:b/>
          <w:sz w:val="24"/>
          <w:szCs w:val="24"/>
          <w:highlight w:val="none"/>
        </w:rPr>
      </w:pPr>
      <w:r>
        <w:rPr>
          <w:rFonts w:hint="eastAsia" w:ascii="宋体" w:hAnsi="宋体" w:cs="宋体"/>
          <w:b/>
          <w:bCs/>
          <w:sz w:val="24"/>
          <w:szCs w:val="24"/>
          <w:highlight w:val="none"/>
        </w:rPr>
        <w:t>供应商</w:t>
      </w:r>
      <w:r>
        <w:rPr>
          <w:rFonts w:hint="eastAsia" w:ascii="宋体" w:hAnsi="宋体" w:cs="宋体"/>
          <w:b/>
          <w:sz w:val="24"/>
          <w:szCs w:val="24"/>
          <w:highlight w:val="none"/>
        </w:rPr>
        <w:t>：</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w:t>
      </w:r>
      <w:r>
        <w:rPr>
          <w:rFonts w:hint="eastAsia" w:ascii="宋体" w:hAnsi="宋体" w:cs="宋体"/>
          <w:b/>
          <w:sz w:val="24"/>
          <w:szCs w:val="24"/>
          <w:highlight w:val="none"/>
          <w:lang w:eastAsia="zh-CN"/>
        </w:rPr>
        <w:t>盖章或电子签章</w:t>
      </w:r>
      <w:r>
        <w:rPr>
          <w:rFonts w:hint="eastAsia" w:ascii="宋体" w:hAnsi="宋体" w:cs="宋体"/>
          <w:b/>
          <w:sz w:val="24"/>
          <w:szCs w:val="24"/>
          <w:highlight w:val="none"/>
        </w:rPr>
        <w:t>）</w:t>
      </w:r>
    </w:p>
    <w:p w14:paraId="390D4879">
      <w:pPr>
        <w:spacing w:before="468" w:line="360" w:lineRule="auto"/>
        <w:ind w:firstLine="3373" w:firstLineChars="1400"/>
        <w:rPr>
          <w:rFonts w:hint="eastAsia" w:ascii="宋体" w:hAnsi="宋体" w:cs="宋体"/>
          <w:b/>
          <w:sz w:val="24"/>
          <w:szCs w:val="24"/>
          <w:highlight w:val="none"/>
        </w:rPr>
      </w:pPr>
      <w:r>
        <w:rPr>
          <w:rFonts w:hint="eastAsia" w:ascii="宋体" w:hAnsi="宋体" w:cs="宋体"/>
          <w:b/>
          <w:sz w:val="24"/>
          <w:szCs w:val="24"/>
          <w:highlight w:val="none"/>
          <w:lang w:eastAsia="zh-CN"/>
        </w:rPr>
        <w:t>法定代表人（单位负责人）</w:t>
      </w:r>
      <w:r>
        <w:rPr>
          <w:rFonts w:hint="eastAsia" w:ascii="宋体" w:hAnsi="宋体" w:cs="宋体"/>
          <w:b/>
          <w:sz w:val="24"/>
          <w:szCs w:val="24"/>
          <w:highlight w:val="none"/>
        </w:rPr>
        <w:t>：</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w:t>
      </w:r>
      <w:r>
        <w:rPr>
          <w:rFonts w:hint="eastAsia" w:ascii="宋体" w:hAnsi="宋体" w:cs="宋体"/>
          <w:b/>
          <w:bCs/>
          <w:sz w:val="24"/>
          <w:szCs w:val="24"/>
          <w:highlight w:val="none"/>
          <w:lang w:eastAsia="zh-CN"/>
        </w:rPr>
        <w:t>签字或电子签章</w:t>
      </w:r>
      <w:r>
        <w:rPr>
          <w:rFonts w:hint="eastAsia" w:ascii="宋体" w:hAnsi="宋体" w:cs="宋体"/>
          <w:b/>
          <w:sz w:val="24"/>
          <w:szCs w:val="24"/>
          <w:highlight w:val="none"/>
        </w:rPr>
        <w:t>）</w:t>
      </w:r>
    </w:p>
    <w:p w14:paraId="3C2DA883">
      <w:pPr>
        <w:autoSpaceDE w:val="0"/>
        <w:autoSpaceDN w:val="0"/>
        <w:adjustRightInd w:val="0"/>
        <w:spacing w:line="360" w:lineRule="auto"/>
        <w:ind w:firstLine="3373" w:firstLineChars="1400"/>
        <w:rPr>
          <w:rFonts w:hint="eastAsia" w:ascii="宋体" w:hAnsi="宋体" w:cs="宋体"/>
          <w:b/>
          <w:bCs/>
          <w:sz w:val="24"/>
          <w:szCs w:val="24"/>
          <w:highlight w:val="none"/>
          <w:u w:val="single"/>
        </w:rPr>
      </w:pPr>
      <w:r>
        <w:rPr>
          <w:rFonts w:hint="eastAsia" w:ascii="宋体" w:hAnsi="宋体" w:cs="宋体"/>
          <w:b/>
          <w:bCs/>
          <w:sz w:val="24"/>
          <w:szCs w:val="24"/>
          <w:highlight w:val="none"/>
        </w:rPr>
        <w:t>身份证号码：</w:t>
      </w:r>
      <w:r>
        <w:rPr>
          <w:rFonts w:hint="eastAsia" w:ascii="宋体" w:hAnsi="宋体" w:cs="宋体"/>
          <w:b/>
          <w:bCs/>
          <w:sz w:val="24"/>
          <w:szCs w:val="24"/>
          <w:highlight w:val="none"/>
          <w:u w:val="single"/>
        </w:rPr>
        <w:t xml:space="preserve">                            </w:t>
      </w:r>
    </w:p>
    <w:p w14:paraId="609D0A16">
      <w:pPr>
        <w:spacing w:before="468" w:line="360" w:lineRule="auto"/>
        <w:ind w:firstLine="3373" w:firstLineChars="1400"/>
        <w:rPr>
          <w:rFonts w:hint="eastAsia" w:ascii="宋体" w:hAnsi="宋体" w:cs="宋体"/>
          <w:b/>
          <w:sz w:val="24"/>
          <w:szCs w:val="24"/>
          <w:highlight w:val="none"/>
        </w:rPr>
      </w:pPr>
      <w:r>
        <w:rPr>
          <w:rFonts w:hint="eastAsia" w:ascii="宋体" w:hAnsi="宋体" w:cs="宋体"/>
          <w:b/>
          <w:sz w:val="24"/>
          <w:szCs w:val="24"/>
          <w:highlight w:val="none"/>
        </w:rPr>
        <w:t>委托代理人：</w:t>
      </w:r>
      <w:r>
        <w:rPr>
          <w:rFonts w:hint="eastAsia" w:ascii="宋体" w:hAnsi="宋体" w:cs="宋体"/>
          <w:b/>
          <w:sz w:val="24"/>
          <w:szCs w:val="24"/>
          <w:highlight w:val="none"/>
          <w:u w:val="single"/>
        </w:rPr>
        <w:t xml:space="preserve">               </w:t>
      </w:r>
      <w:r>
        <w:rPr>
          <w:rFonts w:hint="eastAsia" w:ascii="宋体" w:hAnsi="宋体" w:cs="宋体"/>
          <w:b/>
          <w:sz w:val="24"/>
          <w:szCs w:val="24"/>
          <w:highlight w:val="none"/>
          <w:u w:val="single"/>
          <w:lang w:val="en-US" w:eastAsia="zh-CN"/>
        </w:rPr>
        <w:t xml:space="preserve">     </w:t>
      </w:r>
      <w:r>
        <w:rPr>
          <w:rFonts w:hint="eastAsia" w:ascii="宋体" w:hAnsi="宋体" w:cs="宋体"/>
          <w:b/>
          <w:sz w:val="24"/>
          <w:szCs w:val="24"/>
          <w:highlight w:val="none"/>
          <w:u w:val="single"/>
        </w:rPr>
        <w:t xml:space="preserve">        </w:t>
      </w:r>
    </w:p>
    <w:p w14:paraId="1199A254">
      <w:pPr>
        <w:autoSpaceDE w:val="0"/>
        <w:autoSpaceDN w:val="0"/>
        <w:adjustRightInd w:val="0"/>
        <w:spacing w:line="360" w:lineRule="auto"/>
        <w:ind w:firstLine="3373" w:firstLineChars="1400"/>
        <w:rPr>
          <w:rFonts w:hint="eastAsia" w:ascii="宋体" w:hAnsi="宋体" w:cs="宋体"/>
          <w:highlight w:val="none"/>
        </w:rPr>
      </w:pPr>
      <w:r>
        <w:rPr>
          <w:rFonts w:hint="eastAsia" w:ascii="宋体" w:hAnsi="宋体" w:cs="宋体"/>
          <w:b/>
          <w:bCs/>
          <w:sz w:val="24"/>
          <w:highlight w:val="none"/>
        </w:rPr>
        <w:t>身份证号码：</w:t>
      </w:r>
      <w:r>
        <w:rPr>
          <w:rFonts w:hint="eastAsia" w:ascii="宋体" w:hAnsi="宋体" w:cs="宋体"/>
          <w:b/>
          <w:bCs/>
          <w:sz w:val="24"/>
          <w:highlight w:val="none"/>
          <w:u w:val="single"/>
        </w:rPr>
        <w:t xml:space="preserve">                            </w:t>
      </w:r>
    </w:p>
    <w:p w14:paraId="4BBD708F">
      <w:pPr>
        <w:spacing w:before="468" w:line="360" w:lineRule="auto"/>
        <w:ind w:firstLine="3373" w:firstLineChars="1400"/>
        <w:rPr>
          <w:rFonts w:hint="eastAsia" w:ascii="宋体" w:hAnsi="宋体" w:cs="宋体"/>
          <w:b/>
          <w:sz w:val="24"/>
          <w:szCs w:val="24"/>
          <w:highlight w:val="none"/>
        </w:rPr>
      </w:pPr>
      <w:r>
        <w:rPr>
          <w:rFonts w:hint="eastAsia" w:ascii="宋体" w:hAnsi="宋体" w:cs="宋体"/>
          <w:b/>
          <w:sz w:val="24"/>
          <w:szCs w:val="24"/>
          <w:highlight w:val="none"/>
        </w:rPr>
        <w:t>日期：</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年</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月</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日</w:t>
      </w:r>
    </w:p>
    <w:p w14:paraId="42A9A089">
      <w:pPr>
        <w:ind w:right="480"/>
        <w:rPr>
          <w:rFonts w:hint="eastAsia" w:ascii="宋体" w:hAnsi="宋体" w:cs="宋体"/>
          <w:sz w:val="24"/>
          <w:szCs w:val="24"/>
          <w:highlight w:val="none"/>
        </w:rPr>
      </w:pPr>
    </w:p>
    <w:tbl>
      <w:tblPr>
        <w:tblStyle w:val="33"/>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7AD5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9627" w:type="dxa"/>
            <w:vAlign w:val="center"/>
          </w:tcPr>
          <w:p w14:paraId="4E1E7AFA">
            <w:pPr>
              <w:widowControl w:val="0"/>
              <w:spacing w:before="317" w:beforeLines="100" w:after="317" w:afterLines="100" w:line="600" w:lineRule="exact"/>
              <w:jc w:val="center"/>
              <w:rPr>
                <w:rFonts w:hint="eastAsia" w:ascii="宋体" w:hAnsi="宋体" w:cs="宋体"/>
                <w:highlight w:val="none"/>
              </w:rPr>
            </w:pPr>
            <w:r>
              <w:rPr>
                <w:rFonts w:hint="eastAsia" w:ascii="宋体" w:hAnsi="宋体" w:cs="宋体"/>
                <w:sz w:val="24"/>
                <w:szCs w:val="24"/>
                <w:highlight w:val="none"/>
              </w:rPr>
              <w:t>委托代理人身份证正反面</w:t>
            </w:r>
          </w:p>
        </w:tc>
      </w:tr>
    </w:tbl>
    <w:p w14:paraId="2454FF90">
      <w:pPr>
        <w:spacing w:line="240" w:lineRule="exact"/>
        <w:rPr>
          <w:rFonts w:hint="eastAsia" w:ascii="宋体" w:hAnsi="宋体" w:cs="宋体"/>
          <w:b/>
          <w:bCs/>
          <w:sz w:val="44"/>
          <w:szCs w:val="44"/>
          <w:highlight w:val="none"/>
        </w:rPr>
      </w:pPr>
      <w:r>
        <w:rPr>
          <w:rFonts w:hint="eastAsia" w:ascii="宋体" w:hAnsi="宋体" w:cs="宋体"/>
          <w:b/>
          <w:bCs/>
          <w:sz w:val="44"/>
          <w:szCs w:val="44"/>
          <w:highlight w:val="none"/>
        </w:rPr>
        <w:br w:type="page"/>
      </w:r>
    </w:p>
    <w:p w14:paraId="1629B927">
      <w:pPr>
        <w:pStyle w:val="4"/>
        <w:widowControl/>
        <w:autoSpaceDE w:val="0"/>
        <w:spacing w:before="0" w:after="0" w:line="240" w:lineRule="auto"/>
        <w:rPr>
          <w:rFonts w:hint="eastAsia" w:ascii="宋体" w:hAnsi="宋体" w:eastAsia="宋体" w:cs="宋体"/>
          <w:b/>
          <w:bCs/>
          <w:szCs w:val="28"/>
          <w:highlight w:val="none"/>
          <w:lang w:val="en-US" w:eastAsia="zh-CN"/>
        </w:rPr>
      </w:pPr>
      <w:bookmarkStart w:id="256" w:name="_Toc26620"/>
      <w:bookmarkEnd w:id="256"/>
      <w:bookmarkStart w:id="257" w:name="_Toc8937"/>
      <w:bookmarkStart w:id="258" w:name="_Toc19510"/>
      <w:bookmarkStart w:id="259" w:name="_Toc3896311"/>
      <w:r>
        <w:rPr>
          <w:rFonts w:hint="eastAsia" w:ascii="宋体" w:hAnsi="宋体" w:cs="宋体"/>
          <w:b/>
          <w:bCs/>
          <w:szCs w:val="28"/>
          <w:highlight w:val="none"/>
          <w:lang w:val="en-US" w:eastAsia="zh-CN"/>
        </w:rPr>
        <w:t>四</w:t>
      </w:r>
      <w:r>
        <w:rPr>
          <w:rFonts w:hint="eastAsia" w:ascii="宋体" w:hAnsi="宋体" w:eastAsia="宋体" w:cs="宋体"/>
          <w:b/>
          <w:bCs/>
          <w:szCs w:val="28"/>
          <w:highlight w:val="none"/>
          <w:lang w:val="en-US" w:eastAsia="zh-CN"/>
        </w:rPr>
        <w:t>、供应商基本情况表</w:t>
      </w:r>
      <w:bookmarkEnd w:id="257"/>
      <w:bookmarkEnd w:id="258"/>
      <w:bookmarkEnd w:id="259"/>
    </w:p>
    <w:tbl>
      <w:tblPr>
        <w:tblStyle w:val="3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3E4F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2A772EF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供应商名称</w:t>
            </w:r>
          </w:p>
        </w:tc>
        <w:tc>
          <w:tcPr>
            <w:tcW w:w="6995" w:type="dxa"/>
            <w:gridSpan w:val="4"/>
            <w:tcBorders>
              <w:top w:val="single" w:color="auto" w:sz="4" w:space="0"/>
              <w:left w:val="nil"/>
              <w:bottom w:val="single" w:color="auto" w:sz="4" w:space="0"/>
              <w:right w:val="single" w:color="auto" w:sz="4" w:space="0"/>
            </w:tcBorders>
            <w:vAlign w:val="center"/>
          </w:tcPr>
          <w:p w14:paraId="093911BA">
            <w:pPr>
              <w:spacing w:line="440" w:lineRule="exact"/>
              <w:jc w:val="center"/>
              <w:rPr>
                <w:rFonts w:hint="eastAsia" w:ascii="宋体" w:hAnsi="宋体" w:cs="宋体"/>
                <w:sz w:val="24"/>
                <w:szCs w:val="24"/>
                <w:highlight w:val="none"/>
              </w:rPr>
            </w:pPr>
          </w:p>
        </w:tc>
      </w:tr>
      <w:tr w14:paraId="095BC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7EAE545">
            <w:pPr>
              <w:spacing w:line="440" w:lineRule="exact"/>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法定代表人</w:t>
            </w:r>
          </w:p>
          <w:p w14:paraId="53056418">
            <w:pPr>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（单位负责人）</w:t>
            </w:r>
          </w:p>
        </w:tc>
        <w:tc>
          <w:tcPr>
            <w:tcW w:w="6995" w:type="dxa"/>
            <w:gridSpan w:val="4"/>
            <w:tcBorders>
              <w:top w:val="single" w:color="auto" w:sz="4" w:space="0"/>
              <w:left w:val="nil"/>
              <w:bottom w:val="single" w:color="auto" w:sz="4" w:space="0"/>
              <w:right w:val="single" w:color="auto" w:sz="4" w:space="0"/>
            </w:tcBorders>
            <w:vAlign w:val="center"/>
          </w:tcPr>
          <w:p w14:paraId="1CE05B50">
            <w:pPr>
              <w:spacing w:line="440" w:lineRule="exact"/>
              <w:jc w:val="center"/>
              <w:rPr>
                <w:rFonts w:hint="eastAsia" w:ascii="宋体" w:hAnsi="宋体" w:cs="宋体"/>
                <w:sz w:val="24"/>
                <w:szCs w:val="24"/>
                <w:highlight w:val="none"/>
              </w:rPr>
            </w:pPr>
          </w:p>
        </w:tc>
      </w:tr>
      <w:tr w14:paraId="7E73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E8FD01E">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税号</w:t>
            </w:r>
          </w:p>
        </w:tc>
        <w:tc>
          <w:tcPr>
            <w:tcW w:w="6995" w:type="dxa"/>
            <w:gridSpan w:val="4"/>
            <w:tcBorders>
              <w:top w:val="single" w:color="auto" w:sz="4" w:space="0"/>
              <w:left w:val="nil"/>
              <w:bottom w:val="single" w:color="auto" w:sz="4" w:space="0"/>
              <w:right w:val="single" w:color="auto" w:sz="4" w:space="0"/>
            </w:tcBorders>
            <w:vAlign w:val="center"/>
          </w:tcPr>
          <w:p w14:paraId="6499FDC9">
            <w:pPr>
              <w:spacing w:line="440" w:lineRule="exact"/>
              <w:jc w:val="center"/>
              <w:rPr>
                <w:rFonts w:hint="eastAsia" w:ascii="宋体" w:hAnsi="宋体" w:cs="宋体"/>
                <w:sz w:val="24"/>
                <w:szCs w:val="24"/>
                <w:highlight w:val="none"/>
              </w:rPr>
            </w:pPr>
          </w:p>
        </w:tc>
      </w:tr>
      <w:tr w14:paraId="2C4E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306289B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注册资金</w:t>
            </w:r>
          </w:p>
        </w:tc>
        <w:tc>
          <w:tcPr>
            <w:tcW w:w="3698" w:type="dxa"/>
            <w:gridSpan w:val="2"/>
            <w:tcBorders>
              <w:top w:val="single" w:color="auto" w:sz="4" w:space="0"/>
              <w:left w:val="nil"/>
              <w:bottom w:val="single" w:color="auto" w:sz="4" w:space="0"/>
              <w:right w:val="single" w:color="auto" w:sz="4" w:space="0"/>
            </w:tcBorders>
            <w:vAlign w:val="center"/>
          </w:tcPr>
          <w:p w14:paraId="257683C8">
            <w:pPr>
              <w:spacing w:line="440" w:lineRule="exact"/>
              <w:jc w:val="center"/>
              <w:rPr>
                <w:rFonts w:hint="eastAsia" w:ascii="宋体" w:hAnsi="宋体" w:cs="宋体"/>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446F2A1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成立时间</w:t>
            </w:r>
          </w:p>
        </w:tc>
        <w:tc>
          <w:tcPr>
            <w:tcW w:w="1929" w:type="dxa"/>
            <w:tcBorders>
              <w:top w:val="single" w:color="auto" w:sz="4" w:space="0"/>
              <w:left w:val="nil"/>
              <w:bottom w:val="single" w:color="auto" w:sz="4" w:space="0"/>
              <w:right w:val="single" w:color="auto" w:sz="4" w:space="0"/>
            </w:tcBorders>
            <w:vAlign w:val="center"/>
          </w:tcPr>
          <w:p w14:paraId="52EBAE5D">
            <w:pPr>
              <w:spacing w:line="440" w:lineRule="exact"/>
              <w:jc w:val="center"/>
              <w:rPr>
                <w:rFonts w:hint="eastAsia" w:ascii="宋体" w:hAnsi="宋体" w:cs="宋体"/>
                <w:sz w:val="24"/>
                <w:szCs w:val="24"/>
                <w:highlight w:val="none"/>
              </w:rPr>
            </w:pPr>
          </w:p>
        </w:tc>
      </w:tr>
      <w:tr w14:paraId="18BF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4AD819C1">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注册地址</w:t>
            </w:r>
          </w:p>
        </w:tc>
        <w:tc>
          <w:tcPr>
            <w:tcW w:w="6995" w:type="dxa"/>
            <w:gridSpan w:val="4"/>
            <w:tcBorders>
              <w:top w:val="single" w:color="auto" w:sz="4" w:space="0"/>
              <w:left w:val="nil"/>
              <w:bottom w:val="single" w:color="auto" w:sz="4" w:space="0"/>
              <w:right w:val="single" w:color="auto" w:sz="4" w:space="0"/>
            </w:tcBorders>
            <w:vAlign w:val="center"/>
          </w:tcPr>
          <w:p w14:paraId="1F55DD0D">
            <w:pPr>
              <w:spacing w:line="440" w:lineRule="exact"/>
              <w:jc w:val="center"/>
              <w:rPr>
                <w:rFonts w:hint="eastAsia" w:ascii="宋体" w:hAnsi="宋体" w:cs="宋体"/>
                <w:sz w:val="24"/>
                <w:szCs w:val="24"/>
                <w:highlight w:val="none"/>
              </w:rPr>
            </w:pPr>
          </w:p>
        </w:tc>
      </w:tr>
      <w:tr w14:paraId="1CB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BED444C">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邮政编码</w:t>
            </w:r>
          </w:p>
        </w:tc>
        <w:tc>
          <w:tcPr>
            <w:tcW w:w="3698" w:type="dxa"/>
            <w:gridSpan w:val="2"/>
            <w:tcBorders>
              <w:top w:val="single" w:color="auto" w:sz="4" w:space="0"/>
              <w:left w:val="nil"/>
              <w:bottom w:val="single" w:color="auto" w:sz="4" w:space="0"/>
              <w:right w:val="single" w:color="auto" w:sz="4" w:space="0"/>
            </w:tcBorders>
            <w:vAlign w:val="center"/>
          </w:tcPr>
          <w:p w14:paraId="51AD22B6">
            <w:pPr>
              <w:spacing w:line="440" w:lineRule="exact"/>
              <w:jc w:val="center"/>
              <w:rPr>
                <w:rFonts w:hint="eastAsia" w:ascii="宋体" w:hAnsi="宋体" w:cs="宋体"/>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25AB541A">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员工总数</w:t>
            </w:r>
          </w:p>
        </w:tc>
        <w:tc>
          <w:tcPr>
            <w:tcW w:w="1929" w:type="dxa"/>
            <w:tcBorders>
              <w:top w:val="single" w:color="auto" w:sz="4" w:space="0"/>
              <w:left w:val="nil"/>
              <w:bottom w:val="single" w:color="auto" w:sz="4" w:space="0"/>
              <w:right w:val="single" w:color="auto" w:sz="4" w:space="0"/>
            </w:tcBorders>
            <w:vAlign w:val="center"/>
          </w:tcPr>
          <w:p w14:paraId="640601B8">
            <w:pPr>
              <w:spacing w:line="440" w:lineRule="exact"/>
              <w:jc w:val="center"/>
              <w:rPr>
                <w:rFonts w:hint="eastAsia" w:ascii="宋体" w:hAnsi="宋体" w:cs="宋体"/>
                <w:sz w:val="24"/>
                <w:szCs w:val="24"/>
                <w:highlight w:val="none"/>
              </w:rPr>
            </w:pPr>
          </w:p>
        </w:tc>
      </w:tr>
      <w:tr w14:paraId="6FA3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644" w:type="dxa"/>
            <w:tcBorders>
              <w:top w:val="nil"/>
              <w:left w:val="single" w:color="auto" w:sz="4" w:space="0"/>
              <w:bottom w:val="single" w:color="auto" w:sz="4" w:space="0"/>
              <w:right w:val="single" w:color="auto" w:sz="4" w:space="0"/>
            </w:tcBorders>
            <w:vAlign w:val="center"/>
          </w:tcPr>
          <w:p w14:paraId="7E6261A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联系方式</w:t>
            </w:r>
          </w:p>
        </w:tc>
        <w:tc>
          <w:tcPr>
            <w:tcW w:w="1275" w:type="dxa"/>
            <w:tcBorders>
              <w:top w:val="single" w:color="auto" w:sz="4" w:space="0"/>
              <w:left w:val="nil"/>
              <w:right w:val="single" w:color="auto" w:sz="4" w:space="0"/>
            </w:tcBorders>
            <w:vAlign w:val="center"/>
          </w:tcPr>
          <w:p w14:paraId="66CD4D5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联系人</w:t>
            </w:r>
          </w:p>
        </w:tc>
        <w:tc>
          <w:tcPr>
            <w:tcW w:w="2423" w:type="dxa"/>
            <w:tcBorders>
              <w:top w:val="single" w:color="auto" w:sz="4" w:space="0"/>
              <w:left w:val="nil"/>
              <w:right w:val="single" w:color="auto" w:sz="4" w:space="0"/>
            </w:tcBorders>
            <w:vAlign w:val="center"/>
          </w:tcPr>
          <w:p w14:paraId="1B132FD4">
            <w:pPr>
              <w:spacing w:line="440" w:lineRule="exact"/>
              <w:jc w:val="center"/>
              <w:rPr>
                <w:rFonts w:hint="eastAsia" w:ascii="宋体" w:hAnsi="宋体" w:cs="宋体"/>
                <w:sz w:val="24"/>
                <w:szCs w:val="24"/>
                <w:highlight w:val="none"/>
              </w:rPr>
            </w:pPr>
          </w:p>
        </w:tc>
        <w:tc>
          <w:tcPr>
            <w:tcW w:w="1368" w:type="dxa"/>
            <w:tcBorders>
              <w:top w:val="single" w:color="auto" w:sz="4" w:space="0"/>
              <w:left w:val="nil"/>
              <w:right w:val="single" w:color="auto" w:sz="4" w:space="0"/>
            </w:tcBorders>
            <w:vAlign w:val="center"/>
          </w:tcPr>
          <w:p w14:paraId="690FEEA4">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电话</w:t>
            </w:r>
          </w:p>
        </w:tc>
        <w:tc>
          <w:tcPr>
            <w:tcW w:w="1929" w:type="dxa"/>
            <w:tcBorders>
              <w:top w:val="single" w:color="auto" w:sz="4" w:space="0"/>
              <w:left w:val="nil"/>
              <w:bottom w:val="single" w:color="auto" w:sz="4" w:space="0"/>
              <w:right w:val="single" w:color="auto" w:sz="4" w:space="0"/>
            </w:tcBorders>
            <w:vAlign w:val="center"/>
          </w:tcPr>
          <w:p w14:paraId="43A19E13">
            <w:pPr>
              <w:spacing w:line="440" w:lineRule="exact"/>
              <w:jc w:val="center"/>
              <w:rPr>
                <w:rFonts w:hint="eastAsia" w:ascii="宋体" w:hAnsi="宋体" w:cs="宋体"/>
                <w:sz w:val="24"/>
                <w:szCs w:val="24"/>
                <w:highlight w:val="none"/>
              </w:rPr>
            </w:pPr>
          </w:p>
        </w:tc>
      </w:tr>
      <w:tr w14:paraId="7EFE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BD3B91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供应商须知要求供应商需具有的各类资质证书（若有）</w:t>
            </w:r>
          </w:p>
        </w:tc>
        <w:tc>
          <w:tcPr>
            <w:tcW w:w="6995" w:type="dxa"/>
            <w:gridSpan w:val="4"/>
            <w:tcBorders>
              <w:top w:val="single" w:color="auto" w:sz="4" w:space="0"/>
              <w:left w:val="nil"/>
              <w:bottom w:val="single" w:color="auto" w:sz="4" w:space="0"/>
              <w:right w:val="single" w:color="auto" w:sz="4" w:space="0"/>
            </w:tcBorders>
            <w:vAlign w:val="center"/>
          </w:tcPr>
          <w:p w14:paraId="4ADEB3B7">
            <w:pPr>
              <w:spacing w:line="440" w:lineRule="exact"/>
              <w:rPr>
                <w:rFonts w:hint="eastAsia" w:ascii="宋体" w:hAnsi="宋体" w:cs="宋体"/>
                <w:sz w:val="24"/>
                <w:szCs w:val="24"/>
                <w:highlight w:val="none"/>
              </w:rPr>
            </w:pPr>
            <w:r>
              <w:rPr>
                <w:rFonts w:hint="eastAsia" w:ascii="宋体" w:hAnsi="宋体" w:cs="宋体"/>
                <w:sz w:val="24"/>
                <w:szCs w:val="24"/>
                <w:highlight w:val="none"/>
              </w:rPr>
              <w:t>类型：                等级：                 证书号：</w:t>
            </w:r>
          </w:p>
        </w:tc>
      </w:tr>
      <w:tr w14:paraId="0132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451ED5D">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基本账户开户银行</w:t>
            </w:r>
          </w:p>
        </w:tc>
        <w:tc>
          <w:tcPr>
            <w:tcW w:w="6995" w:type="dxa"/>
            <w:gridSpan w:val="4"/>
            <w:tcBorders>
              <w:top w:val="single" w:color="auto" w:sz="4" w:space="0"/>
              <w:left w:val="nil"/>
              <w:bottom w:val="single" w:color="auto" w:sz="4" w:space="0"/>
              <w:right w:val="single" w:color="auto" w:sz="4" w:space="0"/>
            </w:tcBorders>
            <w:vAlign w:val="center"/>
          </w:tcPr>
          <w:p w14:paraId="7C55F012">
            <w:pPr>
              <w:spacing w:line="440" w:lineRule="exact"/>
              <w:jc w:val="center"/>
              <w:rPr>
                <w:rFonts w:hint="eastAsia" w:ascii="宋体" w:hAnsi="宋体" w:cs="宋体"/>
                <w:sz w:val="24"/>
                <w:szCs w:val="24"/>
                <w:highlight w:val="none"/>
              </w:rPr>
            </w:pPr>
          </w:p>
        </w:tc>
      </w:tr>
      <w:tr w14:paraId="6DB8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E77F0CD">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基本账户银行账号</w:t>
            </w:r>
          </w:p>
        </w:tc>
        <w:tc>
          <w:tcPr>
            <w:tcW w:w="6995" w:type="dxa"/>
            <w:gridSpan w:val="4"/>
            <w:tcBorders>
              <w:top w:val="single" w:color="auto" w:sz="4" w:space="0"/>
              <w:left w:val="nil"/>
              <w:bottom w:val="single" w:color="auto" w:sz="4" w:space="0"/>
              <w:right w:val="single" w:color="auto" w:sz="4" w:space="0"/>
            </w:tcBorders>
            <w:vAlign w:val="center"/>
          </w:tcPr>
          <w:p w14:paraId="66D2D928">
            <w:pPr>
              <w:spacing w:line="440" w:lineRule="exact"/>
              <w:jc w:val="center"/>
              <w:rPr>
                <w:rFonts w:hint="eastAsia" w:ascii="宋体" w:hAnsi="宋体" w:cs="宋体"/>
                <w:sz w:val="24"/>
                <w:szCs w:val="24"/>
                <w:highlight w:val="none"/>
              </w:rPr>
            </w:pPr>
          </w:p>
        </w:tc>
      </w:tr>
      <w:tr w14:paraId="3939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DEDC0B9">
            <w:pPr>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供应商关联企业情况</w:t>
            </w:r>
            <w:r>
              <w:rPr>
                <w:rFonts w:hint="eastAsia" w:ascii="宋体" w:hAnsi="宋体" w:cs="宋体"/>
                <w:sz w:val="24"/>
                <w:szCs w:val="24"/>
                <w:highlight w:val="none"/>
                <w:lang w:eastAsia="zh-CN"/>
              </w:rPr>
              <w:t>【</w:t>
            </w:r>
            <w:r>
              <w:rPr>
                <w:rFonts w:hint="eastAsia" w:ascii="宋体" w:hAnsi="宋体" w:cs="宋体"/>
                <w:sz w:val="24"/>
                <w:szCs w:val="24"/>
                <w:highlight w:val="none"/>
              </w:rPr>
              <w:t>包括但不限于与供应商</w:t>
            </w:r>
            <w:r>
              <w:rPr>
                <w:rFonts w:hint="eastAsia" w:ascii="宋体" w:hAnsi="宋体" w:cs="宋体"/>
                <w:sz w:val="24"/>
                <w:szCs w:val="24"/>
                <w:highlight w:val="none"/>
                <w:lang w:eastAsia="zh-CN"/>
              </w:rPr>
              <w:t>法定代表人（单位负责人）</w:t>
            </w:r>
            <w:r>
              <w:rPr>
                <w:rFonts w:hint="eastAsia" w:ascii="宋体" w:hAnsi="宋体" w:cs="宋体"/>
                <w:sz w:val="24"/>
                <w:szCs w:val="24"/>
                <w:highlight w:val="none"/>
              </w:rPr>
              <w:t>为同一人或者存在控股、管理关系的不同单位</w:t>
            </w:r>
            <w:r>
              <w:rPr>
                <w:rFonts w:hint="eastAsia" w:ascii="宋体" w:hAnsi="宋体" w:cs="宋体"/>
                <w:sz w:val="24"/>
                <w:szCs w:val="24"/>
                <w:highlight w:val="none"/>
                <w:lang w:eastAsia="zh-CN"/>
              </w:rPr>
              <w:t>】</w:t>
            </w:r>
          </w:p>
        </w:tc>
        <w:tc>
          <w:tcPr>
            <w:tcW w:w="6995" w:type="dxa"/>
            <w:gridSpan w:val="4"/>
            <w:tcBorders>
              <w:top w:val="single" w:color="auto" w:sz="4" w:space="0"/>
              <w:left w:val="nil"/>
              <w:bottom w:val="single" w:color="auto" w:sz="4" w:space="0"/>
              <w:right w:val="single" w:color="auto" w:sz="4" w:space="0"/>
            </w:tcBorders>
            <w:vAlign w:val="center"/>
          </w:tcPr>
          <w:p w14:paraId="3E169F95">
            <w:pPr>
              <w:spacing w:line="440" w:lineRule="exact"/>
              <w:jc w:val="center"/>
              <w:rPr>
                <w:rFonts w:hint="eastAsia" w:ascii="宋体" w:hAnsi="宋体" w:cs="宋体"/>
                <w:sz w:val="24"/>
                <w:szCs w:val="24"/>
                <w:highlight w:val="none"/>
              </w:rPr>
            </w:pPr>
          </w:p>
        </w:tc>
      </w:tr>
      <w:tr w14:paraId="3923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ADEA938">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备注</w:t>
            </w:r>
          </w:p>
        </w:tc>
        <w:tc>
          <w:tcPr>
            <w:tcW w:w="6995" w:type="dxa"/>
            <w:gridSpan w:val="4"/>
            <w:tcBorders>
              <w:top w:val="single" w:color="auto" w:sz="4" w:space="0"/>
              <w:left w:val="nil"/>
              <w:bottom w:val="single" w:color="auto" w:sz="4" w:space="0"/>
              <w:right w:val="single" w:color="auto" w:sz="4" w:space="0"/>
            </w:tcBorders>
            <w:vAlign w:val="center"/>
          </w:tcPr>
          <w:p w14:paraId="4B339458">
            <w:pPr>
              <w:spacing w:line="440" w:lineRule="exact"/>
              <w:jc w:val="center"/>
              <w:rPr>
                <w:rFonts w:hint="eastAsia" w:ascii="宋体" w:hAnsi="宋体" w:cs="宋体"/>
                <w:sz w:val="24"/>
                <w:szCs w:val="24"/>
                <w:highlight w:val="none"/>
              </w:rPr>
            </w:pPr>
          </w:p>
        </w:tc>
      </w:tr>
    </w:tbl>
    <w:p w14:paraId="29C63BF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sz w:val="24"/>
          <w:szCs w:val="24"/>
          <w:highlight w:val="none"/>
        </w:rPr>
      </w:pPr>
      <w:r>
        <w:rPr>
          <w:rFonts w:hint="eastAsia" w:ascii="宋体" w:hAnsi="宋体" w:cs="宋体"/>
          <w:sz w:val="24"/>
          <w:szCs w:val="24"/>
          <w:highlight w:val="none"/>
        </w:rPr>
        <w:t>注：供应商应根据</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文件要求在本表后附相关证明材料，如营业执照、资质证书（若有）等。</w:t>
      </w:r>
    </w:p>
    <w:p w14:paraId="27DB0A28">
      <w:pPr>
        <w:spacing w:line="320" w:lineRule="exact"/>
        <w:rPr>
          <w:rFonts w:hint="eastAsia" w:ascii="宋体" w:hAnsi="宋体" w:cs="宋体"/>
          <w:szCs w:val="28"/>
          <w:highlight w:val="none"/>
          <w:lang w:val="en-US" w:eastAsia="zh-CN"/>
        </w:rPr>
      </w:pPr>
      <w:r>
        <w:rPr>
          <w:rFonts w:hint="eastAsia" w:ascii="宋体" w:hAnsi="宋体" w:cs="宋体"/>
          <w:sz w:val="24"/>
          <w:szCs w:val="24"/>
          <w:highlight w:val="none"/>
        </w:rPr>
        <w:br w:type="page"/>
      </w:r>
      <w:bookmarkStart w:id="260" w:name="_Toc25271"/>
      <w:bookmarkEnd w:id="260"/>
    </w:p>
    <w:p w14:paraId="6F816DDD">
      <w:pPr>
        <w:pStyle w:val="4"/>
        <w:widowControl/>
        <w:numPr>
          <w:ilvl w:val="0"/>
          <w:numId w:val="0"/>
        </w:numPr>
        <w:autoSpaceDE w:val="0"/>
        <w:spacing w:before="0" w:after="0" w:line="240" w:lineRule="auto"/>
        <w:jc w:val="center"/>
        <w:rPr>
          <w:rFonts w:hint="eastAsia" w:ascii="宋体" w:hAnsi="宋体" w:eastAsia="宋体" w:cs="宋体"/>
          <w:b/>
          <w:bCs/>
          <w:szCs w:val="28"/>
          <w:highlight w:val="none"/>
          <w:lang w:val="en-US" w:eastAsia="zh-CN"/>
        </w:rPr>
      </w:pPr>
      <w:bookmarkStart w:id="261" w:name="_Toc18254"/>
      <w:r>
        <w:rPr>
          <w:rFonts w:hint="eastAsia" w:ascii="宋体" w:hAnsi="宋体" w:cs="宋体"/>
          <w:b/>
          <w:bCs/>
          <w:szCs w:val="28"/>
          <w:highlight w:val="none"/>
          <w:lang w:val="en-US" w:eastAsia="zh-CN"/>
        </w:rPr>
        <w:t>五、</w:t>
      </w:r>
      <w:r>
        <w:rPr>
          <w:rFonts w:hint="eastAsia" w:ascii="宋体" w:hAnsi="宋体" w:eastAsia="宋体" w:cs="宋体"/>
          <w:b/>
          <w:bCs/>
          <w:szCs w:val="28"/>
          <w:highlight w:val="none"/>
          <w:lang w:val="en-US" w:eastAsia="zh-CN"/>
        </w:rPr>
        <w:t>商务</w:t>
      </w:r>
      <w:r>
        <w:rPr>
          <w:rFonts w:hint="eastAsia" w:ascii="宋体" w:hAnsi="宋体" w:cs="宋体"/>
          <w:b/>
          <w:bCs/>
          <w:szCs w:val="28"/>
          <w:highlight w:val="none"/>
          <w:lang w:val="en-US" w:eastAsia="zh-CN"/>
        </w:rPr>
        <w:t>条款</w:t>
      </w:r>
      <w:r>
        <w:rPr>
          <w:rFonts w:hint="eastAsia" w:ascii="宋体" w:hAnsi="宋体" w:eastAsia="宋体" w:cs="宋体"/>
          <w:b/>
          <w:bCs/>
          <w:szCs w:val="28"/>
          <w:highlight w:val="none"/>
          <w:lang w:val="en-US" w:eastAsia="zh-CN"/>
        </w:rPr>
        <w:t>偏离表</w:t>
      </w:r>
      <w:bookmarkEnd w:id="261"/>
    </w:p>
    <w:tbl>
      <w:tblPr>
        <w:tblStyle w:val="3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2113"/>
        <w:gridCol w:w="2318"/>
        <w:gridCol w:w="2543"/>
        <w:gridCol w:w="867"/>
        <w:gridCol w:w="867"/>
      </w:tblGrid>
      <w:tr w14:paraId="4A62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738BC726">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序 号</w:t>
            </w:r>
          </w:p>
        </w:tc>
        <w:tc>
          <w:tcPr>
            <w:tcW w:w="2113" w:type="dxa"/>
            <w:tcBorders>
              <w:top w:val="single" w:color="auto" w:sz="4" w:space="0"/>
              <w:left w:val="nil"/>
              <w:bottom w:val="single" w:color="auto" w:sz="4" w:space="0"/>
              <w:right w:val="single" w:color="auto" w:sz="4" w:space="0"/>
            </w:tcBorders>
            <w:vAlign w:val="center"/>
          </w:tcPr>
          <w:p w14:paraId="0624624D">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竞争性磋商文件条款号</w:t>
            </w:r>
          </w:p>
        </w:tc>
        <w:tc>
          <w:tcPr>
            <w:tcW w:w="2318" w:type="dxa"/>
            <w:tcBorders>
              <w:top w:val="single" w:color="auto" w:sz="4" w:space="0"/>
              <w:left w:val="nil"/>
              <w:bottom w:val="single" w:color="auto" w:sz="4" w:space="0"/>
              <w:right w:val="single" w:color="auto" w:sz="4" w:space="0"/>
            </w:tcBorders>
            <w:vAlign w:val="center"/>
          </w:tcPr>
          <w:p w14:paraId="29530045">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竞争性磋商文件的商务条款内容</w:t>
            </w:r>
          </w:p>
        </w:tc>
        <w:tc>
          <w:tcPr>
            <w:tcW w:w="2543" w:type="dxa"/>
            <w:tcBorders>
              <w:top w:val="single" w:color="auto" w:sz="4" w:space="0"/>
              <w:left w:val="nil"/>
              <w:bottom w:val="single" w:color="auto" w:sz="4" w:space="0"/>
              <w:right w:val="single" w:color="auto" w:sz="4" w:space="0"/>
            </w:tcBorders>
            <w:vAlign w:val="center"/>
          </w:tcPr>
          <w:p w14:paraId="7ACF25DB">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响应文件的商务条款响应情况</w:t>
            </w:r>
          </w:p>
        </w:tc>
        <w:tc>
          <w:tcPr>
            <w:tcW w:w="867" w:type="dxa"/>
            <w:tcBorders>
              <w:top w:val="single" w:color="auto" w:sz="4" w:space="0"/>
              <w:left w:val="nil"/>
              <w:bottom w:val="single" w:color="auto" w:sz="4" w:space="0"/>
              <w:right w:val="single" w:color="auto" w:sz="4" w:space="0"/>
            </w:tcBorders>
            <w:vAlign w:val="center"/>
          </w:tcPr>
          <w:p w14:paraId="3EF32643">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偏离情况</w:t>
            </w:r>
          </w:p>
        </w:tc>
        <w:tc>
          <w:tcPr>
            <w:tcW w:w="867" w:type="dxa"/>
            <w:tcBorders>
              <w:top w:val="single" w:color="auto" w:sz="4" w:space="0"/>
              <w:left w:val="nil"/>
              <w:bottom w:val="single" w:color="auto" w:sz="4" w:space="0"/>
              <w:right w:val="single" w:color="auto" w:sz="4" w:space="0"/>
            </w:tcBorders>
            <w:vAlign w:val="center"/>
          </w:tcPr>
          <w:p w14:paraId="1035032A">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说明</w:t>
            </w:r>
          </w:p>
        </w:tc>
      </w:tr>
      <w:tr w14:paraId="6081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73459B87">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113" w:type="dxa"/>
            <w:tcBorders>
              <w:top w:val="single" w:color="auto" w:sz="4" w:space="0"/>
              <w:left w:val="nil"/>
              <w:bottom w:val="single" w:color="auto" w:sz="4" w:space="0"/>
              <w:right w:val="single" w:color="auto" w:sz="4" w:space="0"/>
            </w:tcBorders>
            <w:vAlign w:val="center"/>
          </w:tcPr>
          <w:p w14:paraId="6CFC7C79">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“供应商须知前附表”第1.3.</w:t>
            </w:r>
            <w:r>
              <w:rPr>
                <w:rFonts w:hint="eastAsia" w:ascii="宋体" w:hAnsi="宋体" w:cs="宋体"/>
                <w:sz w:val="24"/>
                <w:szCs w:val="24"/>
                <w:highlight w:val="none"/>
                <w:lang w:val="en-US" w:eastAsia="zh-CN"/>
              </w:rPr>
              <w:t>2</w:t>
            </w:r>
            <w:r>
              <w:rPr>
                <w:rFonts w:hint="eastAsia" w:ascii="宋体" w:hAnsi="宋体" w:cs="宋体"/>
                <w:sz w:val="24"/>
                <w:szCs w:val="24"/>
                <w:highlight w:val="none"/>
              </w:rPr>
              <w:t>款</w:t>
            </w:r>
          </w:p>
        </w:tc>
        <w:tc>
          <w:tcPr>
            <w:tcW w:w="2318" w:type="dxa"/>
            <w:tcBorders>
              <w:top w:val="single" w:color="auto" w:sz="4" w:space="0"/>
              <w:left w:val="nil"/>
              <w:bottom w:val="single" w:color="auto" w:sz="4" w:space="0"/>
              <w:right w:val="single" w:color="auto" w:sz="4" w:space="0"/>
            </w:tcBorders>
            <w:vAlign w:val="center"/>
          </w:tcPr>
          <w:p w14:paraId="01C6F937">
            <w:pPr>
              <w:spacing w:line="360" w:lineRule="auto"/>
              <w:jc w:val="center"/>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eastAsia="zh-CN"/>
              </w:rPr>
              <w:t>服务期</w:t>
            </w:r>
          </w:p>
        </w:tc>
        <w:tc>
          <w:tcPr>
            <w:tcW w:w="2543" w:type="dxa"/>
            <w:tcBorders>
              <w:top w:val="single" w:color="auto" w:sz="4" w:space="0"/>
              <w:left w:val="nil"/>
              <w:bottom w:val="single" w:color="auto" w:sz="4" w:space="0"/>
              <w:right w:val="single" w:color="auto" w:sz="4" w:space="0"/>
            </w:tcBorders>
            <w:vAlign w:val="center"/>
          </w:tcPr>
          <w:p w14:paraId="634C62F9">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响应</w:t>
            </w:r>
          </w:p>
        </w:tc>
        <w:tc>
          <w:tcPr>
            <w:tcW w:w="867" w:type="dxa"/>
            <w:tcBorders>
              <w:top w:val="single" w:color="auto" w:sz="4" w:space="0"/>
              <w:left w:val="nil"/>
              <w:bottom w:val="single" w:color="auto" w:sz="4" w:space="0"/>
              <w:right w:val="single" w:color="auto" w:sz="4" w:space="0"/>
            </w:tcBorders>
            <w:vAlign w:val="center"/>
          </w:tcPr>
          <w:p w14:paraId="7BD05D3C">
            <w:pPr>
              <w:spacing w:line="360" w:lineRule="auto"/>
              <w:jc w:val="center"/>
              <w:rPr>
                <w:rFonts w:hint="eastAsia" w:ascii="宋体" w:hAnsi="宋体" w:cs="宋体"/>
                <w:sz w:val="24"/>
                <w:szCs w:val="24"/>
                <w:highlight w:val="none"/>
              </w:rPr>
            </w:pPr>
          </w:p>
        </w:tc>
        <w:tc>
          <w:tcPr>
            <w:tcW w:w="867" w:type="dxa"/>
            <w:tcBorders>
              <w:top w:val="single" w:color="auto" w:sz="4" w:space="0"/>
              <w:left w:val="nil"/>
              <w:bottom w:val="single" w:color="auto" w:sz="4" w:space="0"/>
              <w:right w:val="single" w:color="auto" w:sz="4" w:space="0"/>
            </w:tcBorders>
            <w:vAlign w:val="center"/>
          </w:tcPr>
          <w:p w14:paraId="6265DCFF">
            <w:pPr>
              <w:spacing w:line="360" w:lineRule="auto"/>
              <w:jc w:val="center"/>
              <w:rPr>
                <w:rFonts w:hint="eastAsia" w:ascii="宋体" w:hAnsi="宋体" w:cs="宋体"/>
                <w:sz w:val="24"/>
                <w:szCs w:val="24"/>
                <w:highlight w:val="none"/>
              </w:rPr>
            </w:pPr>
          </w:p>
        </w:tc>
      </w:tr>
      <w:tr w14:paraId="6152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218E285A">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2113" w:type="dxa"/>
            <w:tcBorders>
              <w:top w:val="single" w:color="auto" w:sz="4" w:space="0"/>
              <w:left w:val="nil"/>
              <w:bottom w:val="single" w:color="auto" w:sz="4" w:space="0"/>
              <w:right w:val="single" w:color="auto" w:sz="4" w:space="0"/>
            </w:tcBorders>
            <w:vAlign w:val="center"/>
          </w:tcPr>
          <w:p w14:paraId="34D7E1B1">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“供应商须知前附表”第1.3.</w:t>
            </w:r>
            <w:r>
              <w:rPr>
                <w:rFonts w:hint="eastAsia" w:ascii="宋体" w:hAnsi="宋体" w:cs="宋体"/>
                <w:sz w:val="24"/>
                <w:szCs w:val="24"/>
                <w:highlight w:val="none"/>
                <w:lang w:val="en-US" w:eastAsia="zh-CN"/>
              </w:rPr>
              <w:t>3</w:t>
            </w:r>
            <w:r>
              <w:rPr>
                <w:rFonts w:hint="eastAsia" w:ascii="宋体" w:hAnsi="宋体" w:cs="宋体"/>
                <w:sz w:val="24"/>
                <w:szCs w:val="24"/>
                <w:highlight w:val="none"/>
              </w:rPr>
              <w:t>款</w:t>
            </w:r>
          </w:p>
        </w:tc>
        <w:tc>
          <w:tcPr>
            <w:tcW w:w="2318" w:type="dxa"/>
            <w:tcBorders>
              <w:top w:val="single" w:color="auto" w:sz="4" w:space="0"/>
              <w:left w:val="nil"/>
              <w:bottom w:val="single" w:color="auto" w:sz="4" w:space="0"/>
              <w:right w:val="single" w:color="auto" w:sz="4" w:space="0"/>
            </w:tcBorders>
            <w:vAlign w:val="center"/>
          </w:tcPr>
          <w:p w14:paraId="34C765FF">
            <w:pPr>
              <w:spacing w:line="360" w:lineRule="auto"/>
              <w:jc w:val="center"/>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eastAsia="zh-CN"/>
              </w:rPr>
              <w:t>服务地点</w:t>
            </w:r>
          </w:p>
        </w:tc>
        <w:tc>
          <w:tcPr>
            <w:tcW w:w="2543" w:type="dxa"/>
            <w:tcBorders>
              <w:top w:val="single" w:color="auto" w:sz="4" w:space="0"/>
              <w:left w:val="nil"/>
              <w:bottom w:val="single" w:color="auto" w:sz="4" w:space="0"/>
              <w:right w:val="single" w:color="auto" w:sz="4" w:space="0"/>
            </w:tcBorders>
            <w:vAlign w:val="center"/>
          </w:tcPr>
          <w:p w14:paraId="293A141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响应</w:t>
            </w:r>
          </w:p>
        </w:tc>
        <w:tc>
          <w:tcPr>
            <w:tcW w:w="867" w:type="dxa"/>
            <w:tcBorders>
              <w:top w:val="single" w:color="auto" w:sz="4" w:space="0"/>
              <w:left w:val="nil"/>
              <w:bottom w:val="single" w:color="auto" w:sz="4" w:space="0"/>
              <w:right w:val="single" w:color="auto" w:sz="4" w:space="0"/>
            </w:tcBorders>
            <w:vAlign w:val="center"/>
          </w:tcPr>
          <w:p w14:paraId="344FFDE1">
            <w:pPr>
              <w:spacing w:line="360" w:lineRule="auto"/>
              <w:jc w:val="center"/>
              <w:rPr>
                <w:rFonts w:hint="eastAsia" w:ascii="宋体" w:hAnsi="宋体" w:cs="宋体"/>
                <w:sz w:val="24"/>
                <w:szCs w:val="24"/>
                <w:highlight w:val="none"/>
              </w:rPr>
            </w:pPr>
          </w:p>
        </w:tc>
        <w:tc>
          <w:tcPr>
            <w:tcW w:w="867" w:type="dxa"/>
            <w:tcBorders>
              <w:top w:val="single" w:color="auto" w:sz="4" w:space="0"/>
              <w:left w:val="nil"/>
              <w:bottom w:val="single" w:color="auto" w:sz="4" w:space="0"/>
              <w:right w:val="single" w:color="auto" w:sz="4" w:space="0"/>
            </w:tcBorders>
            <w:vAlign w:val="center"/>
          </w:tcPr>
          <w:p w14:paraId="05A920B6">
            <w:pPr>
              <w:spacing w:line="360" w:lineRule="auto"/>
              <w:jc w:val="center"/>
              <w:rPr>
                <w:rFonts w:hint="eastAsia" w:ascii="宋体" w:hAnsi="宋体" w:cs="宋体"/>
                <w:sz w:val="24"/>
                <w:szCs w:val="24"/>
                <w:highlight w:val="none"/>
              </w:rPr>
            </w:pPr>
          </w:p>
        </w:tc>
      </w:tr>
      <w:tr w14:paraId="6794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48BC2790">
            <w:pPr>
              <w:spacing w:line="360" w:lineRule="auto"/>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w:t>
            </w:r>
          </w:p>
        </w:tc>
        <w:tc>
          <w:tcPr>
            <w:tcW w:w="2113" w:type="dxa"/>
            <w:tcBorders>
              <w:top w:val="single" w:color="auto" w:sz="4" w:space="0"/>
              <w:left w:val="nil"/>
              <w:bottom w:val="single" w:color="auto" w:sz="4" w:space="0"/>
              <w:right w:val="single" w:color="auto" w:sz="4" w:space="0"/>
            </w:tcBorders>
            <w:vAlign w:val="center"/>
          </w:tcPr>
          <w:p w14:paraId="5FD3453E">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“供应商须知前附表”第1.3.</w:t>
            </w:r>
            <w:r>
              <w:rPr>
                <w:rFonts w:hint="eastAsia" w:ascii="宋体" w:hAnsi="宋体" w:cs="宋体"/>
                <w:sz w:val="24"/>
                <w:szCs w:val="24"/>
                <w:highlight w:val="none"/>
                <w:lang w:val="en-US" w:eastAsia="zh-CN"/>
              </w:rPr>
              <w:t>4</w:t>
            </w:r>
            <w:r>
              <w:rPr>
                <w:rFonts w:hint="eastAsia" w:ascii="宋体" w:hAnsi="宋体" w:cs="宋体"/>
                <w:sz w:val="24"/>
                <w:szCs w:val="24"/>
                <w:highlight w:val="none"/>
              </w:rPr>
              <w:t>款</w:t>
            </w:r>
          </w:p>
        </w:tc>
        <w:tc>
          <w:tcPr>
            <w:tcW w:w="2318" w:type="dxa"/>
            <w:tcBorders>
              <w:top w:val="single" w:color="auto" w:sz="4" w:space="0"/>
              <w:left w:val="nil"/>
              <w:bottom w:val="single" w:color="auto" w:sz="4" w:space="0"/>
              <w:right w:val="single" w:color="auto" w:sz="4" w:space="0"/>
            </w:tcBorders>
            <w:vAlign w:val="center"/>
          </w:tcPr>
          <w:p w14:paraId="213FE5F1">
            <w:pPr>
              <w:spacing w:line="360" w:lineRule="auto"/>
              <w:jc w:val="center"/>
              <w:rPr>
                <w:rFonts w:hint="eastAsia" w:ascii="宋体" w:hAnsi="宋体" w:cs="宋体"/>
                <w:kern w:val="2"/>
                <w:sz w:val="24"/>
                <w:szCs w:val="24"/>
                <w:highlight w:val="none"/>
                <w:lang w:eastAsia="zh-CN"/>
              </w:rPr>
            </w:pPr>
            <w:r>
              <w:rPr>
                <w:rFonts w:hint="eastAsia" w:ascii="宋体" w:hAnsi="宋体" w:eastAsia="宋体" w:cs="宋体"/>
                <w:color w:val="auto"/>
                <w:kern w:val="2"/>
                <w:sz w:val="24"/>
                <w:szCs w:val="24"/>
                <w:highlight w:val="none"/>
              </w:rPr>
              <w:t>质量要求</w:t>
            </w:r>
          </w:p>
        </w:tc>
        <w:tc>
          <w:tcPr>
            <w:tcW w:w="2543" w:type="dxa"/>
            <w:tcBorders>
              <w:top w:val="single" w:color="auto" w:sz="4" w:space="0"/>
              <w:left w:val="nil"/>
              <w:bottom w:val="single" w:color="auto" w:sz="4" w:space="0"/>
              <w:right w:val="single" w:color="auto" w:sz="4" w:space="0"/>
            </w:tcBorders>
            <w:vAlign w:val="center"/>
          </w:tcPr>
          <w:p w14:paraId="0DE5AF59">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响应</w:t>
            </w:r>
          </w:p>
        </w:tc>
        <w:tc>
          <w:tcPr>
            <w:tcW w:w="867" w:type="dxa"/>
            <w:tcBorders>
              <w:top w:val="single" w:color="auto" w:sz="4" w:space="0"/>
              <w:left w:val="nil"/>
              <w:bottom w:val="single" w:color="auto" w:sz="4" w:space="0"/>
              <w:right w:val="single" w:color="auto" w:sz="4" w:space="0"/>
            </w:tcBorders>
            <w:vAlign w:val="center"/>
          </w:tcPr>
          <w:p w14:paraId="0BEAED6B">
            <w:pPr>
              <w:spacing w:line="360" w:lineRule="auto"/>
              <w:jc w:val="center"/>
              <w:rPr>
                <w:rFonts w:hint="eastAsia" w:ascii="宋体" w:hAnsi="宋体" w:cs="宋体"/>
                <w:sz w:val="24"/>
                <w:szCs w:val="24"/>
                <w:highlight w:val="none"/>
              </w:rPr>
            </w:pPr>
          </w:p>
        </w:tc>
        <w:tc>
          <w:tcPr>
            <w:tcW w:w="867" w:type="dxa"/>
            <w:tcBorders>
              <w:top w:val="single" w:color="auto" w:sz="4" w:space="0"/>
              <w:left w:val="nil"/>
              <w:bottom w:val="single" w:color="auto" w:sz="4" w:space="0"/>
              <w:right w:val="single" w:color="auto" w:sz="4" w:space="0"/>
            </w:tcBorders>
            <w:vAlign w:val="center"/>
          </w:tcPr>
          <w:p w14:paraId="6369535B">
            <w:pPr>
              <w:spacing w:line="360" w:lineRule="auto"/>
              <w:jc w:val="center"/>
              <w:rPr>
                <w:rFonts w:hint="eastAsia" w:ascii="宋体" w:hAnsi="宋体" w:cs="宋体"/>
                <w:sz w:val="24"/>
                <w:szCs w:val="24"/>
                <w:highlight w:val="none"/>
              </w:rPr>
            </w:pPr>
          </w:p>
        </w:tc>
      </w:tr>
      <w:tr w14:paraId="225D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1" w:type="dxa"/>
            <w:tcBorders>
              <w:top w:val="single" w:color="auto" w:sz="4" w:space="0"/>
              <w:left w:val="single" w:color="auto" w:sz="4" w:space="0"/>
              <w:bottom w:val="single" w:color="auto" w:sz="4" w:space="0"/>
              <w:right w:val="single" w:color="auto" w:sz="4" w:space="0"/>
            </w:tcBorders>
            <w:vAlign w:val="center"/>
          </w:tcPr>
          <w:p w14:paraId="4AC1C72B">
            <w:pPr>
              <w:spacing w:line="360" w:lineRule="auto"/>
              <w:jc w:val="center"/>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lang w:val="en-US" w:eastAsia="zh-CN"/>
              </w:rPr>
              <w:t>4</w:t>
            </w:r>
          </w:p>
        </w:tc>
        <w:tc>
          <w:tcPr>
            <w:tcW w:w="2113" w:type="dxa"/>
            <w:tcBorders>
              <w:top w:val="single" w:color="auto" w:sz="4" w:space="0"/>
              <w:left w:val="nil"/>
              <w:bottom w:val="single" w:color="auto" w:sz="4" w:space="0"/>
              <w:right w:val="single" w:color="auto" w:sz="4" w:space="0"/>
            </w:tcBorders>
            <w:vAlign w:val="center"/>
          </w:tcPr>
          <w:p w14:paraId="7E5541CD">
            <w:pPr>
              <w:spacing w:line="360" w:lineRule="auto"/>
              <w:jc w:val="center"/>
              <w:rPr>
                <w:rFonts w:hint="eastAsia" w:ascii="宋体" w:hAnsi="宋体" w:cs="宋体"/>
                <w:sz w:val="24"/>
                <w:szCs w:val="24"/>
                <w:highlight w:val="none"/>
              </w:rPr>
            </w:pPr>
            <w:r>
              <w:rPr>
                <w:rFonts w:hint="eastAsia" w:ascii="宋体" w:hAnsi="宋体" w:cs="宋体"/>
                <w:color w:val="auto"/>
                <w:sz w:val="24"/>
                <w:szCs w:val="24"/>
                <w:highlight w:val="none"/>
              </w:rPr>
              <w:t>“供应商须知前附表”第3.3.1款</w:t>
            </w:r>
          </w:p>
        </w:tc>
        <w:tc>
          <w:tcPr>
            <w:tcW w:w="2318" w:type="dxa"/>
            <w:tcBorders>
              <w:top w:val="single" w:color="auto" w:sz="4" w:space="0"/>
              <w:left w:val="nil"/>
              <w:bottom w:val="single" w:color="auto" w:sz="4" w:space="0"/>
              <w:right w:val="single" w:color="auto" w:sz="4" w:space="0"/>
            </w:tcBorders>
            <w:vAlign w:val="center"/>
          </w:tcPr>
          <w:p w14:paraId="4851F20A">
            <w:pPr>
              <w:spacing w:line="360" w:lineRule="auto"/>
              <w:jc w:val="center"/>
              <w:rPr>
                <w:rFonts w:hint="eastAsia" w:ascii="宋体" w:hAnsi="宋体" w:cs="宋体"/>
                <w:sz w:val="24"/>
                <w:szCs w:val="24"/>
                <w:highlight w:val="none"/>
              </w:rPr>
            </w:pPr>
            <w:r>
              <w:rPr>
                <w:rFonts w:hint="eastAsia" w:ascii="宋体" w:hAnsi="宋体" w:cs="宋体"/>
                <w:color w:val="auto"/>
                <w:sz w:val="24"/>
                <w:szCs w:val="24"/>
                <w:highlight w:val="none"/>
                <w:lang w:eastAsia="zh-CN"/>
              </w:rPr>
              <w:t>磋商</w:t>
            </w:r>
            <w:r>
              <w:rPr>
                <w:rFonts w:hint="eastAsia" w:ascii="宋体" w:hAnsi="宋体" w:cs="宋体"/>
                <w:color w:val="auto"/>
                <w:sz w:val="24"/>
                <w:szCs w:val="24"/>
                <w:highlight w:val="none"/>
              </w:rPr>
              <w:t>有效期</w:t>
            </w:r>
          </w:p>
        </w:tc>
        <w:tc>
          <w:tcPr>
            <w:tcW w:w="2543" w:type="dxa"/>
            <w:tcBorders>
              <w:top w:val="single" w:color="auto" w:sz="4" w:space="0"/>
              <w:left w:val="nil"/>
              <w:bottom w:val="single" w:color="auto" w:sz="4" w:space="0"/>
              <w:right w:val="single" w:color="auto" w:sz="4" w:space="0"/>
            </w:tcBorders>
            <w:vAlign w:val="center"/>
          </w:tcPr>
          <w:p w14:paraId="0A2041E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响应</w:t>
            </w:r>
          </w:p>
        </w:tc>
        <w:tc>
          <w:tcPr>
            <w:tcW w:w="867" w:type="dxa"/>
            <w:tcBorders>
              <w:top w:val="single" w:color="auto" w:sz="4" w:space="0"/>
              <w:left w:val="nil"/>
              <w:bottom w:val="single" w:color="auto" w:sz="4" w:space="0"/>
              <w:right w:val="single" w:color="auto" w:sz="4" w:space="0"/>
            </w:tcBorders>
            <w:vAlign w:val="center"/>
          </w:tcPr>
          <w:p w14:paraId="44F6564D">
            <w:pPr>
              <w:spacing w:line="360" w:lineRule="auto"/>
              <w:jc w:val="center"/>
              <w:rPr>
                <w:rFonts w:hint="eastAsia" w:ascii="宋体" w:hAnsi="宋体" w:cs="宋体"/>
                <w:sz w:val="24"/>
                <w:szCs w:val="24"/>
                <w:highlight w:val="none"/>
              </w:rPr>
            </w:pPr>
          </w:p>
        </w:tc>
        <w:tc>
          <w:tcPr>
            <w:tcW w:w="867" w:type="dxa"/>
            <w:tcBorders>
              <w:top w:val="single" w:color="auto" w:sz="4" w:space="0"/>
              <w:left w:val="nil"/>
              <w:bottom w:val="single" w:color="auto" w:sz="4" w:space="0"/>
              <w:right w:val="single" w:color="auto" w:sz="4" w:space="0"/>
            </w:tcBorders>
            <w:vAlign w:val="center"/>
          </w:tcPr>
          <w:p w14:paraId="4A4A7ED6">
            <w:pPr>
              <w:spacing w:line="360" w:lineRule="auto"/>
              <w:jc w:val="center"/>
              <w:rPr>
                <w:rFonts w:hint="eastAsia" w:ascii="宋体" w:hAnsi="宋体" w:cs="宋体"/>
                <w:sz w:val="24"/>
                <w:szCs w:val="24"/>
                <w:highlight w:val="none"/>
              </w:rPr>
            </w:pPr>
          </w:p>
        </w:tc>
      </w:tr>
    </w:tbl>
    <w:p w14:paraId="0A1F778E">
      <w:pPr>
        <w:pStyle w:val="13"/>
        <w:rPr>
          <w:rFonts w:hint="eastAsia" w:ascii="宋体" w:hAnsi="宋体" w:cs="宋体"/>
          <w:sz w:val="24"/>
          <w:highlight w:val="none"/>
        </w:rPr>
      </w:pPr>
    </w:p>
    <w:p w14:paraId="7943898D">
      <w:pPr>
        <w:pStyle w:val="13"/>
        <w:rPr>
          <w:rFonts w:hint="eastAsia" w:ascii="宋体" w:hAnsi="宋体" w:cs="宋体"/>
          <w:sz w:val="24"/>
          <w:highlight w:val="none"/>
        </w:rPr>
      </w:pPr>
    </w:p>
    <w:p w14:paraId="53C38BF8">
      <w:pPr>
        <w:pStyle w:val="13"/>
        <w:rPr>
          <w:rFonts w:hint="eastAsia" w:ascii="宋体" w:hAnsi="宋体" w:cs="宋体"/>
          <w:sz w:val="24"/>
          <w:highlight w:val="none"/>
        </w:rPr>
      </w:pPr>
    </w:p>
    <w:p w14:paraId="1443A4B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供应商：</w:t>
      </w:r>
      <w:r>
        <w:rPr>
          <w:rFonts w:hint="eastAsia" w:ascii="宋体" w:hAnsi="宋体" w:cs="宋体"/>
          <w:b/>
          <w:bCs/>
          <w:sz w:val="24"/>
          <w:szCs w:val="24"/>
          <w:highlight w:val="none"/>
          <w:u w:val="single"/>
        </w:rPr>
        <w:tab/>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盖章或电子签章</w:t>
      </w:r>
      <w:r>
        <w:rPr>
          <w:rFonts w:hint="eastAsia" w:ascii="宋体" w:hAnsi="宋体" w:cs="宋体"/>
          <w:b/>
          <w:bCs/>
          <w:sz w:val="24"/>
          <w:szCs w:val="24"/>
          <w:highlight w:val="none"/>
        </w:rPr>
        <w:t>）</w:t>
      </w:r>
    </w:p>
    <w:p w14:paraId="00258B8D">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lang w:eastAsia="zh-CN"/>
        </w:rPr>
        <w:t>法定代表人（单位负责人）</w:t>
      </w:r>
      <w:r>
        <w:rPr>
          <w:rFonts w:hint="eastAsia" w:ascii="宋体" w:hAnsi="宋体" w:cs="宋体"/>
          <w:b/>
          <w:bCs/>
          <w:sz w:val="24"/>
          <w:szCs w:val="24"/>
          <w:highlight w:val="none"/>
        </w:rPr>
        <w:t>或其委托代理人：</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w:t>
      </w:r>
      <w:r>
        <w:rPr>
          <w:rFonts w:hint="eastAsia" w:ascii="宋体" w:hAnsi="宋体" w:cs="宋体"/>
          <w:b/>
          <w:bCs/>
          <w:sz w:val="24"/>
          <w:szCs w:val="24"/>
          <w:highlight w:val="none"/>
          <w:lang w:eastAsia="zh-CN"/>
        </w:rPr>
        <w:t>签字或电子签章</w:t>
      </w:r>
      <w:r>
        <w:rPr>
          <w:rFonts w:hint="eastAsia" w:ascii="宋体" w:hAnsi="宋体" w:cs="宋体"/>
          <w:b/>
          <w:bCs/>
          <w:sz w:val="24"/>
          <w:szCs w:val="24"/>
          <w:highlight w:val="none"/>
        </w:rPr>
        <w:t>）</w:t>
      </w:r>
    </w:p>
    <w:p w14:paraId="6F3E3A9E">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宋体" w:hAnsi="宋体" w:cs="宋体"/>
          <w:b/>
          <w:bCs/>
          <w:sz w:val="24"/>
          <w:szCs w:val="24"/>
          <w:highlight w:val="none"/>
        </w:rPr>
      </w:pPr>
      <w:r>
        <w:rPr>
          <w:rFonts w:hint="eastAsia" w:ascii="宋体" w:hAnsi="宋体" w:cs="宋体"/>
          <w:b/>
          <w:bCs/>
          <w:sz w:val="24"/>
          <w:szCs w:val="24"/>
          <w:highlight w:val="none"/>
        </w:rPr>
        <w:t>日期：</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年</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月</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日</w:t>
      </w:r>
      <w:bookmarkStart w:id="262" w:name="_Toc3896315"/>
      <w:bookmarkStart w:id="263" w:name="_Toc5488"/>
    </w:p>
    <w:p w14:paraId="69ADA580">
      <w:pPr>
        <w:rPr>
          <w:rFonts w:hint="eastAsia" w:ascii="宋体" w:hAnsi="宋体" w:cs="宋体"/>
          <w:b/>
          <w:bCs/>
          <w:sz w:val="24"/>
          <w:szCs w:val="24"/>
          <w:highlight w:val="none"/>
        </w:rPr>
      </w:pPr>
      <w:r>
        <w:rPr>
          <w:rFonts w:hint="eastAsia" w:ascii="宋体" w:hAnsi="宋体" w:cs="宋体"/>
          <w:b/>
          <w:bCs/>
          <w:sz w:val="24"/>
          <w:szCs w:val="24"/>
          <w:highlight w:val="none"/>
        </w:rPr>
        <w:br w:type="page"/>
      </w:r>
    </w:p>
    <w:p w14:paraId="5FFDB3D9">
      <w:pPr>
        <w:pStyle w:val="4"/>
        <w:widowControl/>
        <w:numPr>
          <w:ilvl w:val="0"/>
          <w:numId w:val="0"/>
        </w:numPr>
        <w:autoSpaceDE w:val="0"/>
        <w:spacing w:before="0" w:after="0" w:line="240" w:lineRule="auto"/>
        <w:jc w:val="center"/>
        <w:rPr>
          <w:rFonts w:hint="eastAsia" w:ascii="宋体" w:hAnsi="宋体" w:cs="宋体"/>
          <w:b/>
          <w:bCs/>
          <w:szCs w:val="28"/>
          <w:highlight w:val="none"/>
          <w:lang w:val="en-US" w:eastAsia="zh-CN"/>
        </w:rPr>
      </w:pPr>
      <w:bookmarkStart w:id="264" w:name="_Toc11990"/>
      <w:r>
        <w:rPr>
          <w:rFonts w:hint="eastAsia" w:ascii="宋体" w:hAnsi="宋体" w:cs="宋体"/>
          <w:b/>
          <w:bCs/>
          <w:szCs w:val="28"/>
          <w:highlight w:val="none"/>
          <w:lang w:val="en-US" w:eastAsia="zh-CN"/>
        </w:rPr>
        <w:t>六、项目需求分析及重难点分析</w:t>
      </w:r>
      <w:bookmarkEnd w:id="264"/>
    </w:p>
    <w:p w14:paraId="2C4E306F">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0CB82FEC">
      <w:pPr>
        <w:rPr>
          <w:rFonts w:hint="eastAsia"/>
          <w:highlight w:val="none"/>
        </w:rPr>
      </w:pPr>
    </w:p>
    <w:p w14:paraId="203FF617">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65" w:name="_Toc19719"/>
      <w:r>
        <w:rPr>
          <w:rFonts w:hint="eastAsia" w:ascii="宋体" w:hAnsi="宋体" w:cs="宋体"/>
          <w:b/>
          <w:bCs/>
          <w:szCs w:val="28"/>
          <w:highlight w:val="none"/>
          <w:lang w:val="en-US" w:eastAsia="zh-CN"/>
        </w:rPr>
        <w:t>七、技术方案</w:t>
      </w:r>
      <w:bookmarkEnd w:id="265"/>
    </w:p>
    <w:p w14:paraId="05AB321E">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1DEBFC2A">
      <w:pPr>
        <w:pageBreakBefore w:val="0"/>
        <w:widowControl/>
        <w:kinsoku/>
        <w:wordWrap/>
        <w:overflowPunct/>
        <w:topLinePunct w:val="0"/>
        <w:autoSpaceDN/>
        <w:bidi w:val="0"/>
        <w:adjustRightInd/>
        <w:snapToGrid/>
        <w:spacing w:line="560" w:lineRule="exact"/>
        <w:jc w:val="both"/>
        <w:textAlignment w:val="auto"/>
        <w:rPr>
          <w:rFonts w:hint="eastAsia" w:ascii="Calibri" w:hAnsi="Calibri" w:eastAsia="宋体" w:cs="Times New Roman"/>
          <w:sz w:val="24"/>
          <w:szCs w:val="24"/>
          <w:highlight w:val="none"/>
        </w:rPr>
      </w:pPr>
    </w:p>
    <w:bookmarkEnd w:id="262"/>
    <w:bookmarkEnd w:id="263"/>
    <w:p w14:paraId="13F2D742">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66" w:name="_Toc15179"/>
      <w:bookmarkStart w:id="267" w:name="_Toc14581"/>
      <w:bookmarkStart w:id="268" w:name="_Toc20041"/>
      <w:bookmarkStart w:id="269" w:name="_Toc14375"/>
      <w:r>
        <w:rPr>
          <w:rFonts w:hint="eastAsia" w:ascii="宋体" w:hAnsi="宋体" w:cs="宋体"/>
          <w:b/>
          <w:bCs/>
          <w:szCs w:val="28"/>
          <w:highlight w:val="none"/>
          <w:lang w:val="en-US" w:eastAsia="zh-CN"/>
        </w:rPr>
        <w:t>八、项目实施计划</w:t>
      </w:r>
      <w:bookmarkEnd w:id="266"/>
    </w:p>
    <w:p w14:paraId="4CEB3BDC">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2BDF57D8">
      <w:pPr>
        <w:pStyle w:val="9"/>
        <w:rPr>
          <w:rFonts w:hint="eastAsia" w:ascii="Calibri" w:hAnsi="Calibri" w:eastAsia="宋体" w:cs="Times New Roman"/>
          <w:sz w:val="24"/>
          <w:szCs w:val="24"/>
          <w:highlight w:val="none"/>
        </w:rPr>
      </w:pPr>
    </w:p>
    <w:p w14:paraId="5F9ADFCB">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70" w:name="_Toc103"/>
      <w:r>
        <w:rPr>
          <w:rFonts w:hint="eastAsia" w:ascii="宋体" w:hAnsi="宋体" w:cs="宋体"/>
          <w:b/>
          <w:bCs/>
          <w:szCs w:val="28"/>
          <w:highlight w:val="none"/>
          <w:lang w:val="en-US" w:eastAsia="zh-CN"/>
        </w:rPr>
        <w:t>九、质量保证措施及违约责任</w:t>
      </w:r>
      <w:bookmarkEnd w:id="270"/>
    </w:p>
    <w:p w14:paraId="316EE803">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0A9F4AF7">
      <w:pPr>
        <w:pStyle w:val="9"/>
        <w:rPr>
          <w:rFonts w:hint="eastAsia" w:ascii="Calibri" w:hAnsi="Calibri" w:eastAsia="宋体" w:cs="Times New Roman"/>
          <w:sz w:val="24"/>
          <w:szCs w:val="24"/>
          <w:highlight w:val="none"/>
        </w:rPr>
      </w:pPr>
    </w:p>
    <w:p w14:paraId="1931D293">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71" w:name="_Toc522"/>
      <w:r>
        <w:rPr>
          <w:rFonts w:hint="eastAsia" w:ascii="宋体" w:hAnsi="宋体" w:cs="宋体"/>
          <w:b/>
          <w:bCs/>
          <w:szCs w:val="28"/>
          <w:highlight w:val="none"/>
          <w:lang w:val="en-US" w:eastAsia="zh-CN"/>
        </w:rPr>
        <w:t>十、保密方案</w:t>
      </w:r>
      <w:bookmarkEnd w:id="271"/>
    </w:p>
    <w:p w14:paraId="1CD55318">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54B4443B">
      <w:pPr>
        <w:pStyle w:val="9"/>
        <w:rPr>
          <w:rFonts w:hint="eastAsia" w:ascii="Calibri" w:hAnsi="Calibri" w:eastAsia="宋体" w:cs="Times New Roman"/>
          <w:sz w:val="24"/>
          <w:szCs w:val="24"/>
          <w:highlight w:val="none"/>
        </w:rPr>
      </w:pPr>
    </w:p>
    <w:p w14:paraId="74603717">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72" w:name="_Toc18477"/>
      <w:r>
        <w:rPr>
          <w:rFonts w:hint="eastAsia" w:ascii="宋体" w:hAnsi="宋体" w:cs="宋体"/>
          <w:b/>
          <w:bCs/>
          <w:szCs w:val="28"/>
          <w:highlight w:val="none"/>
          <w:lang w:val="en-US" w:eastAsia="zh-CN"/>
        </w:rPr>
        <w:t>十一、项目配备人员</w:t>
      </w:r>
      <w:bookmarkEnd w:id="272"/>
    </w:p>
    <w:p w14:paraId="00042025">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45927348">
      <w:pPr>
        <w:pStyle w:val="9"/>
        <w:rPr>
          <w:rFonts w:hint="eastAsia" w:ascii="Calibri" w:hAnsi="Calibri" w:eastAsia="宋体" w:cs="Times New Roman"/>
          <w:sz w:val="24"/>
          <w:szCs w:val="24"/>
          <w:highlight w:val="none"/>
        </w:rPr>
      </w:pPr>
    </w:p>
    <w:p w14:paraId="13DCA5D9">
      <w:pPr>
        <w:pStyle w:val="4"/>
        <w:widowControl/>
        <w:numPr>
          <w:ilvl w:val="0"/>
          <w:numId w:val="0"/>
        </w:numPr>
        <w:autoSpaceDE w:val="0"/>
        <w:spacing w:before="0" w:after="0" w:line="240" w:lineRule="auto"/>
        <w:jc w:val="center"/>
        <w:rPr>
          <w:rFonts w:hint="default" w:ascii="宋体" w:hAnsi="宋体" w:eastAsia="宋体" w:cs="宋体"/>
          <w:b/>
          <w:bCs/>
          <w:szCs w:val="28"/>
          <w:highlight w:val="none"/>
          <w:lang w:val="en-US" w:eastAsia="zh-CN"/>
        </w:rPr>
      </w:pPr>
      <w:bookmarkStart w:id="273" w:name="_Toc6864"/>
      <w:r>
        <w:rPr>
          <w:rFonts w:hint="eastAsia" w:ascii="宋体" w:hAnsi="宋体" w:eastAsia="宋体" w:cs="宋体"/>
          <w:b/>
          <w:bCs/>
          <w:szCs w:val="28"/>
          <w:highlight w:val="none"/>
          <w:lang w:val="en-US" w:eastAsia="zh-CN"/>
        </w:rPr>
        <w:t>十二、售后服务方案</w:t>
      </w:r>
      <w:bookmarkEnd w:id="273"/>
    </w:p>
    <w:p w14:paraId="12F9E1D9">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46DE5F83">
      <w:pPr>
        <w:pStyle w:val="9"/>
        <w:rPr>
          <w:rFonts w:hint="eastAsia" w:ascii="Calibri" w:hAnsi="Calibri" w:eastAsia="宋体" w:cs="Times New Roman"/>
          <w:sz w:val="24"/>
          <w:szCs w:val="24"/>
          <w:highlight w:val="none"/>
        </w:rPr>
      </w:pPr>
    </w:p>
    <w:p w14:paraId="101E3128">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74" w:name="_Toc24882"/>
      <w:r>
        <w:rPr>
          <w:rFonts w:hint="eastAsia" w:ascii="宋体" w:hAnsi="宋体" w:cs="宋体"/>
          <w:b/>
          <w:bCs/>
          <w:szCs w:val="28"/>
          <w:highlight w:val="none"/>
          <w:lang w:val="en-US" w:eastAsia="zh-CN"/>
        </w:rPr>
        <w:t>十三、供应商管理能力及技术能力</w:t>
      </w:r>
      <w:bookmarkEnd w:id="274"/>
    </w:p>
    <w:p w14:paraId="45A6D938">
      <w:pPr>
        <w:pageBreakBefore w:val="0"/>
        <w:widowControl/>
        <w:kinsoku/>
        <w:wordWrap/>
        <w:overflowPunct/>
        <w:topLinePunct w:val="0"/>
        <w:autoSpaceDN/>
        <w:bidi w:val="0"/>
        <w:adjustRightInd/>
        <w:snapToGrid/>
        <w:spacing w:line="560" w:lineRule="exact"/>
        <w:ind w:firstLine="480" w:firstLineChars="200"/>
        <w:jc w:val="center"/>
        <w:textAlignment w:val="auto"/>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（根据项目实际情况格式自拟）</w:t>
      </w:r>
    </w:p>
    <w:p w14:paraId="293CCF1D">
      <w:pPr>
        <w:pStyle w:val="9"/>
        <w:rPr>
          <w:rFonts w:hint="eastAsia" w:ascii="Calibri" w:hAnsi="Calibri" w:eastAsia="宋体" w:cs="Times New Roman"/>
          <w:sz w:val="24"/>
          <w:szCs w:val="24"/>
          <w:highlight w:val="none"/>
        </w:rPr>
      </w:pPr>
    </w:p>
    <w:p w14:paraId="2C52B2C0">
      <w:pPr>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br w:type="page"/>
      </w:r>
    </w:p>
    <w:p w14:paraId="43B98A85">
      <w:pPr>
        <w:pStyle w:val="4"/>
        <w:widowControl/>
        <w:numPr>
          <w:ilvl w:val="0"/>
          <w:numId w:val="0"/>
        </w:numPr>
        <w:autoSpaceDE w:val="0"/>
        <w:spacing w:before="0" w:after="0" w:line="240" w:lineRule="auto"/>
        <w:jc w:val="center"/>
        <w:rPr>
          <w:rFonts w:hint="default" w:ascii="宋体" w:hAnsi="宋体" w:cs="宋体"/>
          <w:b/>
          <w:bCs/>
          <w:szCs w:val="28"/>
          <w:highlight w:val="none"/>
          <w:lang w:val="en-US" w:eastAsia="zh-CN"/>
        </w:rPr>
      </w:pPr>
      <w:bookmarkStart w:id="275" w:name="_Toc2782"/>
      <w:r>
        <w:rPr>
          <w:rFonts w:hint="eastAsia" w:ascii="宋体" w:hAnsi="宋体" w:cs="宋体"/>
          <w:b/>
          <w:bCs/>
          <w:szCs w:val="28"/>
          <w:highlight w:val="none"/>
          <w:lang w:val="en-US" w:eastAsia="zh-CN"/>
        </w:rPr>
        <w:t>十四、类似项目情况表</w:t>
      </w:r>
      <w:bookmarkEnd w:id="275"/>
    </w:p>
    <w:tbl>
      <w:tblPr>
        <w:tblStyle w:val="33"/>
        <w:tblW w:w="96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8"/>
        <w:gridCol w:w="2036"/>
        <w:gridCol w:w="1215"/>
        <w:gridCol w:w="1705"/>
        <w:gridCol w:w="1321"/>
        <w:gridCol w:w="1396"/>
        <w:gridCol w:w="1018"/>
      </w:tblGrid>
      <w:tr w14:paraId="62A4FF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948" w:type="dxa"/>
            <w:noWrap w:val="0"/>
            <w:vAlign w:val="center"/>
          </w:tcPr>
          <w:p w14:paraId="5EEBC8B8">
            <w:pPr>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2036" w:type="dxa"/>
            <w:noWrap w:val="0"/>
            <w:vAlign w:val="center"/>
          </w:tcPr>
          <w:p w14:paraId="4DFA3F30">
            <w:pPr>
              <w:jc w:val="center"/>
              <w:rPr>
                <w:rFonts w:hint="eastAsia" w:ascii="宋体" w:hAnsi="宋体" w:eastAsia="宋体" w:cs="宋体"/>
                <w:b/>
                <w:color w:val="auto"/>
                <w:sz w:val="24"/>
              </w:rPr>
            </w:pPr>
            <w:r>
              <w:rPr>
                <w:rFonts w:hint="eastAsia" w:ascii="宋体" w:hAnsi="宋体" w:eastAsia="宋体" w:cs="宋体"/>
                <w:b/>
                <w:color w:val="auto"/>
                <w:sz w:val="24"/>
              </w:rPr>
              <w:t>合同名称</w:t>
            </w:r>
          </w:p>
        </w:tc>
        <w:tc>
          <w:tcPr>
            <w:tcW w:w="1215" w:type="dxa"/>
            <w:noWrap w:val="0"/>
            <w:vAlign w:val="center"/>
          </w:tcPr>
          <w:p w14:paraId="5BD09550">
            <w:pPr>
              <w:jc w:val="center"/>
              <w:rPr>
                <w:rFonts w:hint="eastAsia" w:ascii="宋体" w:hAnsi="宋体" w:eastAsia="宋体" w:cs="宋体"/>
                <w:b/>
                <w:color w:val="auto"/>
                <w:sz w:val="24"/>
              </w:rPr>
            </w:pPr>
            <w:r>
              <w:rPr>
                <w:rFonts w:hint="eastAsia" w:ascii="宋体" w:hAnsi="宋体" w:eastAsia="宋体" w:cs="宋体"/>
                <w:b/>
                <w:color w:val="auto"/>
                <w:sz w:val="24"/>
              </w:rPr>
              <w:t>合同总价（万元）</w:t>
            </w:r>
          </w:p>
        </w:tc>
        <w:tc>
          <w:tcPr>
            <w:tcW w:w="1705" w:type="dxa"/>
            <w:noWrap w:val="0"/>
            <w:vAlign w:val="center"/>
          </w:tcPr>
          <w:p w14:paraId="7FEF05BE">
            <w:pPr>
              <w:jc w:val="center"/>
              <w:rPr>
                <w:rFonts w:hint="eastAsia" w:ascii="宋体" w:hAnsi="宋体" w:eastAsia="宋体" w:cs="宋体"/>
                <w:b/>
                <w:color w:val="auto"/>
                <w:sz w:val="24"/>
              </w:rPr>
            </w:pPr>
            <w:r>
              <w:rPr>
                <w:rFonts w:hint="eastAsia" w:ascii="宋体" w:hAnsi="宋体" w:eastAsia="宋体" w:cs="宋体"/>
                <w:b/>
                <w:color w:val="auto"/>
                <w:sz w:val="24"/>
              </w:rPr>
              <w:t>使用单位名称</w:t>
            </w:r>
          </w:p>
        </w:tc>
        <w:tc>
          <w:tcPr>
            <w:tcW w:w="1321" w:type="dxa"/>
            <w:noWrap w:val="0"/>
            <w:vAlign w:val="top"/>
          </w:tcPr>
          <w:p w14:paraId="5E1508EA">
            <w:pPr>
              <w:jc w:val="center"/>
              <w:rPr>
                <w:rFonts w:hint="eastAsia" w:ascii="宋体" w:hAnsi="宋体" w:eastAsia="宋体" w:cs="宋体"/>
                <w:b/>
                <w:color w:val="auto"/>
                <w:sz w:val="24"/>
              </w:rPr>
            </w:pPr>
            <w:r>
              <w:rPr>
                <w:rFonts w:hint="eastAsia" w:ascii="宋体" w:hAnsi="宋体" w:eastAsia="宋体" w:cs="宋体"/>
                <w:b/>
                <w:color w:val="auto"/>
                <w:sz w:val="24"/>
              </w:rPr>
              <w:t>使用单位联系人及联系电话</w:t>
            </w:r>
          </w:p>
        </w:tc>
        <w:tc>
          <w:tcPr>
            <w:tcW w:w="1396" w:type="dxa"/>
            <w:noWrap w:val="0"/>
            <w:vAlign w:val="center"/>
          </w:tcPr>
          <w:p w14:paraId="6A98F47E">
            <w:pPr>
              <w:jc w:val="center"/>
              <w:rPr>
                <w:rFonts w:hint="eastAsia" w:ascii="宋体" w:hAnsi="宋体" w:eastAsia="宋体" w:cs="宋体"/>
                <w:b/>
                <w:color w:val="auto"/>
                <w:sz w:val="24"/>
              </w:rPr>
            </w:pPr>
            <w:r>
              <w:rPr>
                <w:rFonts w:hint="eastAsia" w:ascii="宋体" w:hAnsi="宋体" w:eastAsia="宋体" w:cs="宋体"/>
                <w:b/>
                <w:color w:val="auto"/>
                <w:sz w:val="24"/>
              </w:rPr>
              <w:t>签订合同时间</w:t>
            </w:r>
          </w:p>
        </w:tc>
        <w:tc>
          <w:tcPr>
            <w:tcW w:w="1018" w:type="dxa"/>
            <w:noWrap w:val="0"/>
            <w:vAlign w:val="center"/>
          </w:tcPr>
          <w:p w14:paraId="72E3C51C">
            <w:pPr>
              <w:jc w:val="center"/>
              <w:rPr>
                <w:rFonts w:hint="eastAsia" w:ascii="宋体" w:hAnsi="宋体" w:eastAsia="宋体" w:cs="宋体"/>
                <w:b/>
                <w:color w:val="auto"/>
                <w:sz w:val="24"/>
              </w:rPr>
            </w:pPr>
            <w:r>
              <w:rPr>
                <w:rFonts w:hint="eastAsia" w:ascii="宋体" w:hAnsi="宋体" w:eastAsia="宋体" w:cs="宋体"/>
                <w:b/>
                <w:color w:val="auto"/>
                <w:sz w:val="24"/>
              </w:rPr>
              <w:t>备注</w:t>
            </w:r>
          </w:p>
        </w:tc>
      </w:tr>
      <w:tr w14:paraId="1F3EAB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694954D0">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2036" w:type="dxa"/>
            <w:noWrap w:val="0"/>
            <w:vAlign w:val="center"/>
          </w:tcPr>
          <w:p w14:paraId="46F636A0">
            <w:pPr>
              <w:jc w:val="center"/>
              <w:rPr>
                <w:rFonts w:hint="eastAsia" w:ascii="宋体" w:hAnsi="宋体" w:eastAsia="宋体" w:cs="宋体"/>
                <w:color w:val="auto"/>
                <w:sz w:val="24"/>
              </w:rPr>
            </w:pPr>
          </w:p>
        </w:tc>
        <w:tc>
          <w:tcPr>
            <w:tcW w:w="1215" w:type="dxa"/>
            <w:noWrap w:val="0"/>
            <w:vAlign w:val="center"/>
          </w:tcPr>
          <w:p w14:paraId="7B426342">
            <w:pPr>
              <w:jc w:val="center"/>
              <w:rPr>
                <w:rFonts w:hint="eastAsia" w:ascii="宋体" w:hAnsi="宋体" w:eastAsia="宋体" w:cs="宋体"/>
                <w:color w:val="auto"/>
                <w:sz w:val="24"/>
              </w:rPr>
            </w:pPr>
          </w:p>
        </w:tc>
        <w:tc>
          <w:tcPr>
            <w:tcW w:w="1705" w:type="dxa"/>
            <w:noWrap w:val="0"/>
            <w:vAlign w:val="center"/>
          </w:tcPr>
          <w:p w14:paraId="3BE5CEB8">
            <w:pPr>
              <w:jc w:val="center"/>
              <w:rPr>
                <w:rFonts w:hint="eastAsia" w:ascii="宋体" w:hAnsi="宋体" w:eastAsia="宋体" w:cs="宋体"/>
                <w:color w:val="auto"/>
                <w:sz w:val="24"/>
              </w:rPr>
            </w:pPr>
          </w:p>
        </w:tc>
        <w:tc>
          <w:tcPr>
            <w:tcW w:w="1321" w:type="dxa"/>
            <w:noWrap w:val="0"/>
            <w:vAlign w:val="top"/>
          </w:tcPr>
          <w:p w14:paraId="502C4D80">
            <w:pPr>
              <w:jc w:val="center"/>
              <w:rPr>
                <w:rFonts w:hint="eastAsia" w:ascii="宋体" w:hAnsi="宋体" w:eastAsia="宋体" w:cs="宋体"/>
                <w:color w:val="auto"/>
                <w:sz w:val="24"/>
              </w:rPr>
            </w:pPr>
          </w:p>
        </w:tc>
        <w:tc>
          <w:tcPr>
            <w:tcW w:w="1396" w:type="dxa"/>
            <w:noWrap w:val="0"/>
            <w:vAlign w:val="center"/>
          </w:tcPr>
          <w:p w14:paraId="0C0A9DBF">
            <w:pPr>
              <w:jc w:val="center"/>
              <w:rPr>
                <w:rFonts w:hint="eastAsia" w:ascii="宋体" w:hAnsi="宋体" w:eastAsia="宋体" w:cs="宋体"/>
                <w:color w:val="auto"/>
                <w:sz w:val="24"/>
              </w:rPr>
            </w:pPr>
          </w:p>
        </w:tc>
        <w:tc>
          <w:tcPr>
            <w:tcW w:w="1018" w:type="dxa"/>
            <w:noWrap w:val="0"/>
            <w:vAlign w:val="center"/>
          </w:tcPr>
          <w:p w14:paraId="785A8C9D">
            <w:pPr>
              <w:jc w:val="center"/>
              <w:rPr>
                <w:rFonts w:hint="eastAsia" w:ascii="宋体" w:hAnsi="宋体" w:eastAsia="宋体" w:cs="宋体"/>
                <w:color w:val="auto"/>
                <w:sz w:val="24"/>
              </w:rPr>
            </w:pPr>
          </w:p>
        </w:tc>
      </w:tr>
      <w:tr w14:paraId="20B76D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703C54DA">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2036" w:type="dxa"/>
            <w:noWrap w:val="0"/>
            <w:vAlign w:val="center"/>
          </w:tcPr>
          <w:p w14:paraId="5AD85492">
            <w:pPr>
              <w:jc w:val="center"/>
              <w:rPr>
                <w:rFonts w:hint="eastAsia" w:ascii="宋体" w:hAnsi="宋体" w:eastAsia="宋体" w:cs="宋体"/>
                <w:color w:val="auto"/>
                <w:sz w:val="24"/>
              </w:rPr>
            </w:pPr>
          </w:p>
        </w:tc>
        <w:tc>
          <w:tcPr>
            <w:tcW w:w="1215" w:type="dxa"/>
            <w:noWrap w:val="0"/>
            <w:vAlign w:val="center"/>
          </w:tcPr>
          <w:p w14:paraId="7E2B29F4">
            <w:pPr>
              <w:jc w:val="center"/>
              <w:rPr>
                <w:rFonts w:hint="eastAsia" w:ascii="宋体" w:hAnsi="宋体" w:eastAsia="宋体" w:cs="宋体"/>
                <w:color w:val="auto"/>
                <w:sz w:val="24"/>
              </w:rPr>
            </w:pPr>
          </w:p>
        </w:tc>
        <w:tc>
          <w:tcPr>
            <w:tcW w:w="1705" w:type="dxa"/>
            <w:noWrap w:val="0"/>
            <w:vAlign w:val="center"/>
          </w:tcPr>
          <w:p w14:paraId="7344C097">
            <w:pPr>
              <w:rPr>
                <w:rFonts w:hint="eastAsia" w:ascii="宋体" w:hAnsi="宋体" w:eastAsia="宋体" w:cs="宋体"/>
                <w:color w:val="auto"/>
                <w:sz w:val="24"/>
              </w:rPr>
            </w:pPr>
            <w:r>
              <w:rPr>
                <w:rFonts w:hint="eastAsia" w:ascii="宋体" w:hAnsi="宋体" w:eastAsia="宋体" w:cs="宋体"/>
                <w:color w:val="auto"/>
                <w:sz w:val="24"/>
              </w:rPr>
              <w:t xml:space="preserve">      </w:t>
            </w:r>
          </w:p>
        </w:tc>
        <w:tc>
          <w:tcPr>
            <w:tcW w:w="1321" w:type="dxa"/>
            <w:noWrap w:val="0"/>
            <w:vAlign w:val="top"/>
          </w:tcPr>
          <w:p w14:paraId="281B93E4">
            <w:pPr>
              <w:jc w:val="center"/>
              <w:rPr>
                <w:rFonts w:hint="eastAsia" w:ascii="宋体" w:hAnsi="宋体" w:eastAsia="宋体" w:cs="宋体"/>
                <w:color w:val="auto"/>
                <w:sz w:val="24"/>
              </w:rPr>
            </w:pPr>
          </w:p>
        </w:tc>
        <w:tc>
          <w:tcPr>
            <w:tcW w:w="1396" w:type="dxa"/>
            <w:noWrap w:val="0"/>
            <w:vAlign w:val="center"/>
          </w:tcPr>
          <w:p w14:paraId="045B2970">
            <w:pPr>
              <w:jc w:val="center"/>
              <w:rPr>
                <w:rFonts w:hint="eastAsia" w:ascii="宋体" w:hAnsi="宋体" w:eastAsia="宋体" w:cs="宋体"/>
                <w:color w:val="auto"/>
                <w:sz w:val="24"/>
              </w:rPr>
            </w:pPr>
          </w:p>
        </w:tc>
        <w:tc>
          <w:tcPr>
            <w:tcW w:w="1018" w:type="dxa"/>
            <w:noWrap w:val="0"/>
            <w:vAlign w:val="center"/>
          </w:tcPr>
          <w:p w14:paraId="50C5F596">
            <w:pPr>
              <w:jc w:val="center"/>
              <w:rPr>
                <w:rFonts w:hint="eastAsia" w:ascii="宋体" w:hAnsi="宋体" w:eastAsia="宋体" w:cs="宋体"/>
                <w:color w:val="auto"/>
                <w:sz w:val="24"/>
              </w:rPr>
            </w:pPr>
          </w:p>
        </w:tc>
      </w:tr>
      <w:tr w14:paraId="47860D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7DC5A236">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2036" w:type="dxa"/>
            <w:noWrap w:val="0"/>
            <w:vAlign w:val="center"/>
          </w:tcPr>
          <w:p w14:paraId="4A94790B">
            <w:pPr>
              <w:jc w:val="center"/>
              <w:rPr>
                <w:rFonts w:hint="eastAsia" w:ascii="宋体" w:hAnsi="宋体" w:eastAsia="宋体" w:cs="宋体"/>
                <w:color w:val="auto"/>
                <w:sz w:val="24"/>
              </w:rPr>
            </w:pPr>
          </w:p>
        </w:tc>
        <w:tc>
          <w:tcPr>
            <w:tcW w:w="1215" w:type="dxa"/>
            <w:noWrap w:val="0"/>
            <w:vAlign w:val="center"/>
          </w:tcPr>
          <w:p w14:paraId="0B9158C2">
            <w:pPr>
              <w:jc w:val="center"/>
              <w:rPr>
                <w:rFonts w:hint="eastAsia" w:ascii="宋体" w:hAnsi="宋体" w:eastAsia="宋体" w:cs="宋体"/>
                <w:color w:val="auto"/>
                <w:sz w:val="24"/>
              </w:rPr>
            </w:pPr>
          </w:p>
        </w:tc>
        <w:tc>
          <w:tcPr>
            <w:tcW w:w="1705" w:type="dxa"/>
            <w:noWrap w:val="0"/>
            <w:vAlign w:val="center"/>
          </w:tcPr>
          <w:p w14:paraId="299E177A">
            <w:pPr>
              <w:jc w:val="center"/>
              <w:rPr>
                <w:rFonts w:hint="eastAsia" w:ascii="宋体" w:hAnsi="宋体" w:eastAsia="宋体" w:cs="宋体"/>
                <w:color w:val="auto"/>
                <w:sz w:val="24"/>
              </w:rPr>
            </w:pPr>
          </w:p>
        </w:tc>
        <w:tc>
          <w:tcPr>
            <w:tcW w:w="1321" w:type="dxa"/>
            <w:noWrap w:val="0"/>
            <w:vAlign w:val="top"/>
          </w:tcPr>
          <w:p w14:paraId="4D06AB1E">
            <w:pPr>
              <w:jc w:val="center"/>
              <w:rPr>
                <w:rFonts w:hint="eastAsia" w:ascii="宋体" w:hAnsi="宋体" w:eastAsia="宋体" w:cs="宋体"/>
                <w:color w:val="auto"/>
                <w:sz w:val="24"/>
              </w:rPr>
            </w:pPr>
          </w:p>
        </w:tc>
        <w:tc>
          <w:tcPr>
            <w:tcW w:w="1396" w:type="dxa"/>
            <w:noWrap w:val="0"/>
            <w:vAlign w:val="center"/>
          </w:tcPr>
          <w:p w14:paraId="7FA4B782">
            <w:pPr>
              <w:jc w:val="center"/>
              <w:rPr>
                <w:rFonts w:hint="eastAsia" w:ascii="宋体" w:hAnsi="宋体" w:eastAsia="宋体" w:cs="宋体"/>
                <w:color w:val="auto"/>
                <w:sz w:val="24"/>
              </w:rPr>
            </w:pPr>
          </w:p>
        </w:tc>
        <w:tc>
          <w:tcPr>
            <w:tcW w:w="1018" w:type="dxa"/>
            <w:noWrap w:val="0"/>
            <w:vAlign w:val="center"/>
          </w:tcPr>
          <w:p w14:paraId="42FEA895">
            <w:pPr>
              <w:jc w:val="center"/>
              <w:rPr>
                <w:rFonts w:hint="eastAsia" w:ascii="宋体" w:hAnsi="宋体" w:eastAsia="宋体" w:cs="宋体"/>
                <w:color w:val="auto"/>
                <w:sz w:val="24"/>
              </w:rPr>
            </w:pPr>
          </w:p>
        </w:tc>
      </w:tr>
      <w:tr w14:paraId="0EEC9E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6FD754DD">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2036" w:type="dxa"/>
            <w:noWrap w:val="0"/>
            <w:vAlign w:val="center"/>
          </w:tcPr>
          <w:p w14:paraId="66CFD279">
            <w:pPr>
              <w:jc w:val="center"/>
              <w:rPr>
                <w:rFonts w:hint="eastAsia" w:ascii="宋体" w:hAnsi="宋体" w:eastAsia="宋体" w:cs="宋体"/>
                <w:color w:val="auto"/>
                <w:sz w:val="24"/>
              </w:rPr>
            </w:pPr>
          </w:p>
        </w:tc>
        <w:tc>
          <w:tcPr>
            <w:tcW w:w="1215" w:type="dxa"/>
            <w:noWrap w:val="0"/>
            <w:vAlign w:val="center"/>
          </w:tcPr>
          <w:p w14:paraId="68ED2674">
            <w:pPr>
              <w:jc w:val="center"/>
              <w:rPr>
                <w:rFonts w:hint="eastAsia" w:ascii="宋体" w:hAnsi="宋体" w:eastAsia="宋体" w:cs="宋体"/>
                <w:color w:val="auto"/>
                <w:sz w:val="24"/>
              </w:rPr>
            </w:pPr>
          </w:p>
        </w:tc>
        <w:tc>
          <w:tcPr>
            <w:tcW w:w="1705" w:type="dxa"/>
            <w:noWrap w:val="0"/>
            <w:vAlign w:val="center"/>
          </w:tcPr>
          <w:p w14:paraId="2DD3B4BE">
            <w:pPr>
              <w:jc w:val="center"/>
              <w:rPr>
                <w:rFonts w:hint="eastAsia" w:ascii="宋体" w:hAnsi="宋体" w:eastAsia="宋体" w:cs="宋体"/>
                <w:color w:val="auto"/>
                <w:sz w:val="24"/>
              </w:rPr>
            </w:pPr>
          </w:p>
        </w:tc>
        <w:tc>
          <w:tcPr>
            <w:tcW w:w="1321" w:type="dxa"/>
            <w:noWrap w:val="0"/>
            <w:vAlign w:val="top"/>
          </w:tcPr>
          <w:p w14:paraId="4A3556F7">
            <w:pPr>
              <w:jc w:val="center"/>
              <w:rPr>
                <w:rFonts w:hint="eastAsia" w:ascii="宋体" w:hAnsi="宋体" w:eastAsia="宋体" w:cs="宋体"/>
                <w:color w:val="auto"/>
                <w:sz w:val="24"/>
              </w:rPr>
            </w:pPr>
          </w:p>
        </w:tc>
        <w:tc>
          <w:tcPr>
            <w:tcW w:w="1396" w:type="dxa"/>
            <w:noWrap w:val="0"/>
            <w:vAlign w:val="center"/>
          </w:tcPr>
          <w:p w14:paraId="58C0E66E">
            <w:pPr>
              <w:jc w:val="center"/>
              <w:rPr>
                <w:rFonts w:hint="eastAsia" w:ascii="宋体" w:hAnsi="宋体" w:eastAsia="宋体" w:cs="宋体"/>
                <w:color w:val="auto"/>
                <w:sz w:val="24"/>
              </w:rPr>
            </w:pPr>
          </w:p>
        </w:tc>
        <w:tc>
          <w:tcPr>
            <w:tcW w:w="1018" w:type="dxa"/>
            <w:noWrap w:val="0"/>
            <w:vAlign w:val="center"/>
          </w:tcPr>
          <w:p w14:paraId="57C02E80">
            <w:pPr>
              <w:jc w:val="center"/>
              <w:rPr>
                <w:rFonts w:hint="eastAsia" w:ascii="宋体" w:hAnsi="宋体" w:eastAsia="宋体" w:cs="宋体"/>
                <w:color w:val="auto"/>
                <w:sz w:val="24"/>
              </w:rPr>
            </w:pPr>
          </w:p>
        </w:tc>
      </w:tr>
      <w:tr w14:paraId="277757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621377C0">
            <w:pPr>
              <w:jc w:val="center"/>
              <w:rPr>
                <w:rFonts w:hint="eastAsia" w:ascii="宋体" w:hAnsi="宋体" w:eastAsia="宋体" w:cs="宋体"/>
                <w:color w:val="auto"/>
                <w:sz w:val="24"/>
              </w:rPr>
            </w:pPr>
            <w:r>
              <w:rPr>
                <w:rFonts w:hint="eastAsia" w:ascii="宋体" w:hAnsi="宋体" w:eastAsia="宋体" w:cs="宋体"/>
                <w:color w:val="auto"/>
                <w:sz w:val="24"/>
              </w:rPr>
              <w:t>5</w:t>
            </w:r>
          </w:p>
        </w:tc>
        <w:tc>
          <w:tcPr>
            <w:tcW w:w="2036" w:type="dxa"/>
            <w:noWrap w:val="0"/>
            <w:vAlign w:val="center"/>
          </w:tcPr>
          <w:p w14:paraId="4F5224B6">
            <w:pPr>
              <w:jc w:val="center"/>
              <w:rPr>
                <w:rFonts w:hint="eastAsia" w:ascii="宋体" w:hAnsi="宋体" w:eastAsia="宋体" w:cs="宋体"/>
                <w:color w:val="auto"/>
                <w:sz w:val="24"/>
              </w:rPr>
            </w:pPr>
          </w:p>
        </w:tc>
        <w:tc>
          <w:tcPr>
            <w:tcW w:w="1215" w:type="dxa"/>
            <w:noWrap w:val="0"/>
            <w:vAlign w:val="center"/>
          </w:tcPr>
          <w:p w14:paraId="11FEEE62">
            <w:pPr>
              <w:jc w:val="center"/>
              <w:rPr>
                <w:rFonts w:hint="eastAsia" w:ascii="宋体" w:hAnsi="宋体" w:eastAsia="宋体" w:cs="宋体"/>
                <w:color w:val="auto"/>
                <w:sz w:val="24"/>
              </w:rPr>
            </w:pPr>
          </w:p>
        </w:tc>
        <w:tc>
          <w:tcPr>
            <w:tcW w:w="1705" w:type="dxa"/>
            <w:noWrap w:val="0"/>
            <w:vAlign w:val="center"/>
          </w:tcPr>
          <w:p w14:paraId="70E04E9C">
            <w:pPr>
              <w:jc w:val="center"/>
              <w:rPr>
                <w:rFonts w:hint="eastAsia" w:ascii="宋体" w:hAnsi="宋体" w:eastAsia="宋体" w:cs="宋体"/>
                <w:color w:val="auto"/>
                <w:sz w:val="24"/>
              </w:rPr>
            </w:pPr>
          </w:p>
        </w:tc>
        <w:tc>
          <w:tcPr>
            <w:tcW w:w="1321" w:type="dxa"/>
            <w:noWrap w:val="0"/>
            <w:vAlign w:val="top"/>
          </w:tcPr>
          <w:p w14:paraId="3DEF062A">
            <w:pPr>
              <w:jc w:val="center"/>
              <w:rPr>
                <w:rFonts w:hint="eastAsia" w:ascii="宋体" w:hAnsi="宋体" w:eastAsia="宋体" w:cs="宋体"/>
                <w:color w:val="auto"/>
                <w:sz w:val="24"/>
              </w:rPr>
            </w:pPr>
          </w:p>
        </w:tc>
        <w:tc>
          <w:tcPr>
            <w:tcW w:w="1396" w:type="dxa"/>
            <w:noWrap w:val="0"/>
            <w:vAlign w:val="center"/>
          </w:tcPr>
          <w:p w14:paraId="2F646B8A">
            <w:pPr>
              <w:jc w:val="center"/>
              <w:rPr>
                <w:rFonts w:hint="eastAsia" w:ascii="宋体" w:hAnsi="宋体" w:eastAsia="宋体" w:cs="宋体"/>
                <w:color w:val="auto"/>
                <w:sz w:val="24"/>
              </w:rPr>
            </w:pPr>
          </w:p>
        </w:tc>
        <w:tc>
          <w:tcPr>
            <w:tcW w:w="1018" w:type="dxa"/>
            <w:noWrap w:val="0"/>
            <w:vAlign w:val="center"/>
          </w:tcPr>
          <w:p w14:paraId="21897786">
            <w:pPr>
              <w:jc w:val="center"/>
              <w:rPr>
                <w:rFonts w:hint="eastAsia" w:ascii="宋体" w:hAnsi="宋体" w:eastAsia="宋体" w:cs="宋体"/>
                <w:color w:val="auto"/>
                <w:sz w:val="24"/>
              </w:rPr>
            </w:pPr>
          </w:p>
        </w:tc>
      </w:tr>
      <w:tr w14:paraId="73C690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8" w:type="dxa"/>
            <w:noWrap w:val="0"/>
            <w:vAlign w:val="center"/>
          </w:tcPr>
          <w:p w14:paraId="15F5C3C5">
            <w:pPr>
              <w:jc w:val="center"/>
              <w:rPr>
                <w:rFonts w:hint="eastAsia" w:ascii="宋体" w:hAnsi="宋体" w:eastAsia="宋体" w:cs="宋体"/>
                <w:color w:val="auto"/>
                <w:sz w:val="24"/>
              </w:rPr>
            </w:pPr>
            <w:r>
              <w:rPr>
                <w:rFonts w:hint="eastAsia" w:ascii="宋体" w:hAnsi="宋体" w:eastAsia="宋体" w:cs="宋体"/>
                <w:color w:val="auto"/>
                <w:sz w:val="24"/>
              </w:rPr>
              <w:t>…</w:t>
            </w:r>
          </w:p>
        </w:tc>
        <w:tc>
          <w:tcPr>
            <w:tcW w:w="2036" w:type="dxa"/>
            <w:noWrap w:val="0"/>
            <w:vAlign w:val="center"/>
          </w:tcPr>
          <w:p w14:paraId="05612600">
            <w:pPr>
              <w:jc w:val="center"/>
              <w:rPr>
                <w:rFonts w:hint="eastAsia" w:ascii="宋体" w:hAnsi="宋体" w:eastAsia="宋体" w:cs="宋体"/>
                <w:color w:val="auto"/>
                <w:sz w:val="24"/>
              </w:rPr>
            </w:pPr>
          </w:p>
        </w:tc>
        <w:tc>
          <w:tcPr>
            <w:tcW w:w="1215" w:type="dxa"/>
            <w:noWrap w:val="0"/>
            <w:vAlign w:val="center"/>
          </w:tcPr>
          <w:p w14:paraId="44F36D22">
            <w:pPr>
              <w:jc w:val="center"/>
              <w:rPr>
                <w:rFonts w:hint="eastAsia" w:ascii="宋体" w:hAnsi="宋体" w:eastAsia="宋体" w:cs="宋体"/>
                <w:color w:val="auto"/>
                <w:sz w:val="24"/>
              </w:rPr>
            </w:pPr>
          </w:p>
        </w:tc>
        <w:tc>
          <w:tcPr>
            <w:tcW w:w="1705" w:type="dxa"/>
            <w:noWrap w:val="0"/>
            <w:vAlign w:val="center"/>
          </w:tcPr>
          <w:p w14:paraId="52063315">
            <w:pPr>
              <w:jc w:val="center"/>
              <w:rPr>
                <w:rFonts w:hint="eastAsia" w:ascii="宋体" w:hAnsi="宋体" w:eastAsia="宋体" w:cs="宋体"/>
                <w:color w:val="auto"/>
                <w:sz w:val="24"/>
              </w:rPr>
            </w:pPr>
          </w:p>
        </w:tc>
        <w:tc>
          <w:tcPr>
            <w:tcW w:w="1321" w:type="dxa"/>
            <w:noWrap w:val="0"/>
            <w:vAlign w:val="top"/>
          </w:tcPr>
          <w:p w14:paraId="42A2E4D6">
            <w:pPr>
              <w:jc w:val="center"/>
              <w:rPr>
                <w:rFonts w:hint="eastAsia" w:ascii="宋体" w:hAnsi="宋体" w:eastAsia="宋体" w:cs="宋体"/>
                <w:color w:val="auto"/>
                <w:sz w:val="24"/>
              </w:rPr>
            </w:pPr>
          </w:p>
        </w:tc>
        <w:tc>
          <w:tcPr>
            <w:tcW w:w="1396" w:type="dxa"/>
            <w:noWrap w:val="0"/>
            <w:vAlign w:val="center"/>
          </w:tcPr>
          <w:p w14:paraId="3D0B30B3">
            <w:pPr>
              <w:jc w:val="center"/>
              <w:rPr>
                <w:rFonts w:hint="eastAsia" w:ascii="宋体" w:hAnsi="宋体" w:eastAsia="宋体" w:cs="宋体"/>
                <w:color w:val="auto"/>
                <w:sz w:val="24"/>
              </w:rPr>
            </w:pPr>
          </w:p>
        </w:tc>
        <w:tc>
          <w:tcPr>
            <w:tcW w:w="1018" w:type="dxa"/>
            <w:noWrap w:val="0"/>
            <w:vAlign w:val="center"/>
          </w:tcPr>
          <w:p w14:paraId="1D77ECEB">
            <w:pPr>
              <w:jc w:val="center"/>
              <w:rPr>
                <w:rFonts w:hint="eastAsia" w:ascii="宋体" w:hAnsi="宋体" w:eastAsia="宋体" w:cs="宋体"/>
                <w:color w:val="auto"/>
                <w:sz w:val="24"/>
              </w:rPr>
            </w:pPr>
          </w:p>
        </w:tc>
      </w:tr>
    </w:tbl>
    <w:p w14:paraId="3EEE4D19">
      <w:pPr>
        <w:pageBreakBefore w:val="0"/>
        <w:widowControl/>
        <w:kinsoku/>
        <w:wordWrap/>
        <w:overflowPunct/>
        <w:topLinePunct w:val="0"/>
        <w:autoSpaceDN/>
        <w:bidi w:val="0"/>
        <w:adjustRightInd/>
        <w:snapToGrid/>
        <w:spacing w:line="560" w:lineRule="exact"/>
        <w:jc w:val="both"/>
        <w:textAlignment w:val="auto"/>
        <w:rPr>
          <w:rFonts w:hint="eastAsia" w:ascii="Calibri" w:hAnsi="Calibri" w:eastAsia="宋体" w:cs="Times New Roman"/>
          <w:sz w:val="24"/>
          <w:szCs w:val="24"/>
          <w:highlight w:val="none"/>
        </w:rPr>
      </w:pPr>
      <w:r>
        <w:rPr>
          <w:rFonts w:hint="eastAsia" w:ascii="宋体" w:hAnsi="宋体" w:eastAsia="宋体" w:cs="宋体"/>
          <w:color w:val="auto"/>
          <w:sz w:val="24"/>
          <w:szCs w:val="24"/>
        </w:rPr>
        <w:t>注：业绩证明材料为合同或协议原件扫描件（所提供合同证明材料须包含合同首页、合同标的物所在页及合同签字盖章页的扫描件。如无法体现项目内容、签订日期等，须另附业主证明材料，否则不作为评审依据）。</w:t>
      </w:r>
    </w:p>
    <w:p w14:paraId="3DC23EFD">
      <w:pPr>
        <w:pageBreakBefore w:val="0"/>
        <w:widowControl/>
        <w:kinsoku/>
        <w:wordWrap/>
        <w:overflowPunct/>
        <w:topLinePunct w:val="0"/>
        <w:autoSpaceDN/>
        <w:bidi w:val="0"/>
        <w:adjustRightInd/>
        <w:snapToGrid/>
        <w:spacing w:line="560" w:lineRule="exact"/>
        <w:jc w:val="both"/>
        <w:textAlignment w:val="auto"/>
        <w:rPr>
          <w:rFonts w:hint="eastAsia" w:ascii="Calibri" w:hAnsi="Calibri" w:eastAsia="宋体" w:cs="Times New Roman"/>
          <w:sz w:val="24"/>
          <w:szCs w:val="24"/>
          <w:highlight w:val="none"/>
        </w:rPr>
      </w:pPr>
    </w:p>
    <w:p w14:paraId="1C49A50A">
      <w:pPr>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br w:type="page"/>
      </w:r>
    </w:p>
    <w:bookmarkEnd w:id="267"/>
    <w:bookmarkEnd w:id="268"/>
    <w:bookmarkEnd w:id="269"/>
    <w:p w14:paraId="1EA1C4D9">
      <w:pPr>
        <w:pStyle w:val="4"/>
        <w:widowControl/>
        <w:autoSpaceDE w:val="0"/>
        <w:spacing w:before="0" w:after="0" w:line="240" w:lineRule="auto"/>
        <w:rPr>
          <w:rFonts w:hint="eastAsia" w:ascii="宋体" w:hAnsi="宋体" w:cs="宋体"/>
          <w:b/>
          <w:bCs/>
          <w:szCs w:val="28"/>
          <w:highlight w:val="none"/>
          <w:lang w:val="en-US" w:eastAsia="zh-CN"/>
        </w:rPr>
      </w:pPr>
      <w:bookmarkStart w:id="276" w:name="_Toc12372"/>
      <w:r>
        <w:rPr>
          <w:rFonts w:hint="eastAsia" w:ascii="宋体" w:hAnsi="宋体" w:cs="宋体"/>
          <w:b/>
          <w:bCs/>
          <w:szCs w:val="28"/>
          <w:highlight w:val="none"/>
          <w:lang w:val="en-US" w:eastAsia="zh-CN"/>
        </w:rPr>
        <w:t>十三、其他资料</w:t>
      </w:r>
      <w:bookmarkEnd w:id="276"/>
    </w:p>
    <w:p w14:paraId="47DA0B7D">
      <w:pPr>
        <w:spacing w:before="158" w:beforeLines="50"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val="en-US" w:eastAsia="zh-CN"/>
        </w:rPr>
        <w:t>一</w:t>
      </w:r>
      <w:r>
        <w:rPr>
          <w:rFonts w:hint="eastAsia" w:ascii="宋体" w:hAnsi="宋体" w:eastAsia="宋体" w:cs="Times New Roman"/>
          <w:color w:val="auto"/>
          <w:sz w:val="24"/>
          <w:szCs w:val="24"/>
          <w:highlight w:val="none"/>
        </w:rPr>
        <w:t>）竞争性磋商文件要求提交的其他资料</w:t>
      </w:r>
    </w:p>
    <w:p w14:paraId="279E7C3B">
      <w:pPr>
        <w:spacing w:before="158" w:beforeLines="50"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val="en-US" w:eastAsia="zh-CN"/>
        </w:rPr>
        <w:t>二</w:t>
      </w:r>
      <w:r>
        <w:rPr>
          <w:rFonts w:hint="eastAsia" w:ascii="宋体" w:hAnsi="宋体" w:eastAsia="宋体" w:cs="Times New Roman"/>
          <w:color w:val="auto"/>
          <w:sz w:val="24"/>
          <w:szCs w:val="24"/>
          <w:highlight w:val="none"/>
        </w:rPr>
        <w:t>）供应商认为需要提交的其他资料</w:t>
      </w:r>
    </w:p>
    <w:p w14:paraId="3B933D51">
      <w:pPr>
        <w:rPr>
          <w:rFonts w:hint="default" w:ascii="宋体" w:hAnsi="宋体" w:eastAsia="宋体" w:cs="宋体"/>
          <w:spacing w:val="6"/>
          <w:sz w:val="24"/>
          <w:szCs w:val="24"/>
          <w:highlight w:val="none"/>
          <w:lang w:val="en-US" w:eastAsia="zh-CN" w:bidi="ar-SA"/>
        </w:rPr>
      </w:pPr>
      <w:r>
        <w:rPr>
          <w:rFonts w:hint="default" w:ascii="宋体" w:hAnsi="宋体" w:eastAsia="宋体" w:cs="宋体"/>
          <w:spacing w:val="6"/>
          <w:sz w:val="24"/>
          <w:szCs w:val="24"/>
          <w:highlight w:val="none"/>
          <w:lang w:val="en-US" w:eastAsia="zh-CN" w:bidi="ar-SA"/>
        </w:rPr>
        <w:br w:type="page"/>
      </w:r>
    </w:p>
    <w:p w14:paraId="53E8C1CC">
      <w:pPr>
        <w:pStyle w:val="4"/>
        <w:spacing w:before="0" w:after="0" w:line="720" w:lineRule="auto"/>
        <w:ind w:left="0" w:leftChars="0" w:firstLine="0" w:firstLineChars="0"/>
        <w:jc w:val="center"/>
        <w:rPr>
          <w:rFonts w:hint="eastAsia" w:ascii="宋体" w:hAnsi="宋体" w:eastAsia="宋体" w:cs="宋体"/>
          <w:color w:val="auto"/>
          <w:sz w:val="28"/>
          <w:szCs w:val="28"/>
          <w:highlight w:val="none"/>
        </w:rPr>
      </w:pPr>
      <w:bookmarkStart w:id="277" w:name="_Toc19887"/>
      <w:r>
        <w:rPr>
          <w:rFonts w:hint="eastAsia" w:ascii="宋体" w:hAnsi="宋体" w:eastAsia="宋体" w:cs="宋体"/>
          <w:color w:val="auto"/>
          <w:sz w:val="28"/>
          <w:szCs w:val="28"/>
          <w:highlight w:val="none"/>
        </w:rPr>
        <w:t>落实政府采购政策需满足的资格要求</w:t>
      </w:r>
      <w:bookmarkEnd w:id="277"/>
    </w:p>
    <w:p w14:paraId="30B78777">
      <w:pPr>
        <w:widowControl w:val="0"/>
        <w:spacing w:line="480" w:lineRule="auto"/>
        <w:ind w:firstLine="480" w:firstLineChars="200"/>
        <w:rPr>
          <w:rFonts w:hint="eastAsia" w:ascii="宋体" w:hAnsi="宋体"/>
          <w:b w:val="0"/>
          <w:bCs/>
          <w:color w:val="auto"/>
          <w:sz w:val="24"/>
          <w:szCs w:val="24"/>
          <w:highlight w:val="none"/>
          <w:shd w:val="clear" w:color="auto" w:fill="FFFFFF"/>
          <w:lang w:val="en-US" w:eastAsia="zh-CN"/>
        </w:rPr>
      </w:pPr>
      <w:r>
        <w:rPr>
          <w:rFonts w:hint="eastAsia" w:ascii="宋体" w:hAnsi="宋体"/>
          <w:b w:val="0"/>
          <w:bCs/>
          <w:color w:val="auto"/>
          <w:sz w:val="24"/>
          <w:szCs w:val="24"/>
          <w:highlight w:val="none"/>
          <w:shd w:val="clear" w:color="auto" w:fill="FFFFFF"/>
          <w:lang w:val="en-US" w:eastAsia="zh-CN"/>
        </w:rPr>
        <w:t>说明：（1）本项目非专门面向中小企业采购的项目。扶持中小企业政策：评审时对符合《关于印发中小企业划型标准规定的通知》（工信部联企业〔2011〕300号）及《统计上大中小微型企业划分办法（2017）》规定条件的软件和信息技术服务业行业的小型和微型企业产品（服务）享受10%的价格折扣。监狱企业和残疾人福利性单位视同小型、微型企业。</w:t>
      </w:r>
    </w:p>
    <w:p w14:paraId="2988DF2D">
      <w:pPr>
        <w:widowControl w:val="0"/>
        <w:spacing w:line="480" w:lineRule="auto"/>
        <w:ind w:firstLine="480" w:firstLineChars="200"/>
        <w:rPr>
          <w:rFonts w:hint="eastAsia" w:ascii="宋体" w:hAnsi="宋体" w:cs="宋体"/>
          <w:color w:val="auto"/>
          <w:sz w:val="24"/>
          <w:szCs w:val="24"/>
          <w:highlight w:val="none"/>
        </w:rPr>
      </w:pPr>
      <w:r>
        <w:rPr>
          <w:rFonts w:hint="eastAsia" w:ascii="宋体" w:hAnsi="宋体"/>
          <w:b w:val="0"/>
          <w:bCs/>
          <w:color w:val="auto"/>
          <w:sz w:val="24"/>
          <w:szCs w:val="24"/>
          <w:highlight w:val="none"/>
          <w:shd w:val="clear" w:color="auto" w:fill="FFFFFF"/>
          <w:lang w:val="en-US" w:eastAsia="zh-CN"/>
        </w:rPr>
        <w:t>（2）落实政府采购政策需满足的要求：《政府采购促进中小企业发展管理办法》（财库〔2020〕46号）、《财政部司法部关于政府采购支持监狱企业发展有关问题的通知》（财库〔2014〕68号）、《三部门联合发布关于促进残疾人就业政府采购政策的通知》（财库〔2017〕141号）及《中华人民共和国政府采购法》、《中华人民共和国政府采购法实施条例》、《政府采购货物和服务招标投标管理办法》（财政部令第87号）等有关法律、法规和规章的规定。</w:t>
      </w:r>
    </w:p>
    <w:p w14:paraId="609CDE88">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ED6E568">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中小企业声明函(服务)</w:t>
      </w:r>
    </w:p>
    <w:p w14:paraId="4686A6D9">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本公司(联合体)郑重声明，根据《政府采购促进中小企业发展管理办法》(财库( 2020 )46号)的规定，本公司(联合体)参加</w:t>
      </w:r>
      <w:r>
        <w:rPr>
          <w:rFonts w:hint="eastAsia" w:ascii="宋体" w:hAnsi="宋体" w:cs="宋体"/>
          <w:color w:val="auto"/>
          <w:sz w:val="24"/>
          <w:szCs w:val="24"/>
          <w:highlight w:val="none"/>
          <w:u w:val="single"/>
          <w:shd w:val="clear" w:color="auto" w:fill="FFFFFF"/>
        </w:rPr>
        <w:t xml:space="preserve">        (单位名称)</w:t>
      </w:r>
      <w:r>
        <w:rPr>
          <w:rFonts w:hint="eastAsia" w:ascii="宋体" w:hAnsi="宋体" w:cs="宋体"/>
          <w:color w:val="auto"/>
          <w:sz w:val="24"/>
          <w:szCs w:val="24"/>
          <w:highlight w:val="none"/>
          <w:shd w:val="clear" w:color="auto" w:fill="FFFFFF"/>
        </w:rPr>
        <w:t>的</w:t>
      </w:r>
      <w:r>
        <w:rPr>
          <w:rFonts w:hint="eastAsia" w:ascii="宋体" w:hAnsi="宋体" w:cs="宋体"/>
          <w:color w:val="auto"/>
          <w:sz w:val="24"/>
          <w:szCs w:val="24"/>
          <w:highlight w:val="none"/>
          <w:u w:val="single"/>
          <w:shd w:val="clear" w:color="auto" w:fill="FFFFFF"/>
        </w:rPr>
        <w:t xml:space="preserve">    (项目名称)</w:t>
      </w:r>
      <w:r>
        <w:rPr>
          <w:rFonts w:hint="eastAsia" w:ascii="宋体" w:hAnsi="宋体" w:cs="宋体"/>
          <w:color w:val="auto"/>
          <w:sz w:val="24"/>
          <w:szCs w:val="24"/>
          <w:highlight w:val="none"/>
          <w:shd w:val="clear" w:color="auto" w:fill="FFFFFF"/>
        </w:rPr>
        <w:t>采购活动，服务全部由符合政策要求的中小企业承接。相关企业(含联合体中的中小企业、签订分包意向协议的中小企业)的具体情况如下:</w:t>
      </w:r>
    </w:p>
    <w:p w14:paraId="048ACD0C">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 </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w:t>
      </w:r>
      <w:r>
        <w:rPr>
          <w:rFonts w:hint="eastAsia" w:ascii="宋体" w:hAnsi="宋体" w:cs="Times New Roman"/>
          <w:color w:val="auto"/>
          <w:sz w:val="24"/>
          <w:szCs w:val="24"/>
          <w:highlight w:val="none"/>
          <w:u w:val="single"/>
          <w:lang w:val="en-US" w:eastAsia="zh-CN"/>
        </w:rPr>
        <w:t xml:space="preserve">    </w:t>
      </w:r>
      <w:r>
        <w:rPr>
          <w:rFonts w:hint="eastAsia" w:ascii="宋体" w:hAnsi="宋体" w:cs="宋体"/>
          <w:color w:val="auto"/>
          <w:sz w:val="24"/>
          <w:szCs w:val="24"/>
          <w:highlight w:val="none"/>
          <w:u w:val="single"/>
          <w:shd w:val="clear" w:color="auto" w:fill="FFFFFF"/>
        </w:rPr>
        <w:t xml:space="preserve"> (采购文件中明确的所属行业)</w:t>
      </w:r>
      <w:r>
        <w:rPr>
          <w:rFonts w:hint="eastAsia" w:ascii="宋体" w:hAnsi="宋体" w:cs="宋体"/>
          <w:color w:val="auto"/>
          <w:sz w:val="24"/>
          <w:szCs w:val="24"/>
          <w:highlight w:val="none"/>
          <w:shd w:val="clear" w:color="auto" w:fill="FFFFFF"/>
        </w:rPr>
        <w:t>；承建（承接）企业为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w:t>
      </w:r>
      <w:r>
        <w:rPr>
          <w:rFonts w:hint="eastAsia" w:ascii="宋体" w:hAnsi="宋体" w:cs="宋体"/>
          <w:color w:val="auto"/>
          <w:sz w:val="24"/>
          <w:szCs w:val="24"/>
          <w:highlight w:val="none"/>
          <w:shd w:val="clear" w:color="auto" w:fill="FFFFFF"/>
          <w:vertAlign w:val="superscript"/>
        </w:rPr>
        <w:t>1</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（中型企业、小型企业、微型企业）</w:t>
      </w:r>
      <w:r>
        <w:rPr>
          <w:rFonts w:hint="eastAsia" w:ascii="宋体" w:hAnsi="宋体" w:cs="宋体"/>
          <w:color w:val="auto"/>
          <w:sz w:val="24"/>
          <w:szCs w:val="24"/>
          <w:highlight w:val="none"/>
          <w:shd w:val="clear" w:color="auto" w:fill="FFFFFF"/>
        </w:rPr>
        <w:t>；</w:t>
      </w:r>
    </w:p>
    <w:p w14:paraId="56975722">
      <w:pPr>
        <w:widowControl w:val="0"/>
        <w:spacing w:line="36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 属于</w:t>
      </w:r>
      <w:r>
        <w:rPr>
          <w:rFonts w:hint="eastAsia" w:ascii="宋体" w:hAnsi="宋体" w:cs="宋体"/>
          <w:color w:val="auto"/>
          <w:sz w:val="24"/>
          <w:szCs w:val="24"/>
          <w:highlight w:val="none"/>
          <w:u w:val="single"/>
          <w:shd w:val="clear" w:color="auto" w:fill="FFFFFF"/>
        </w:rPr>
        <w:t>软件和信息技术服务业（采购文件中明确的所属行业)</w:t>
      </w:r>
      <w:r>
        <w:rPr>
          <w:rFonts w:hint="eastAsia" w:ascii="宋体" w:hAnsi="宋体" w:cs="宋体"/>
          <w:color w:val="auto"/>
          <w:sz w:val="24"/>
          <w:szCs w:val="24"/>
          <w:highlight w:val="none"/>
          <w:shd w:val="clear" w:color="auto" w:fill="FFFFFF"/>
        </w:rPr>
        <w:t>行业；承建（承接）企业为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 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万元，属于</w:t>
      </w:r>
      <w:r>
        <w:rPr>
          <w:rFonts w:hint="eastAsia" w:ascii="宋体" w:hAnsi="宋体" w:cs="宋体"/>
          <w:color w:val="auto"/>
          <w:sz w:val="24"/>
          <w:szCs w:val="24"/>
          <w:highlight w:val="none"/>
          <w:u w:val="single"/>
          <w:shd w:val="clear" w:color="auto" w:fill="FFFFFF"/>
        </w:rPr>
        <w:t xml:space="preserve">      （中型企业、 小型企业、微型企业)</w:t>
      </w:r>
      <w:r>
        <w:rPr>
          <w:rFonts w:hint="eastAsia" w:ascii="宋体" w:hAnsi="宋体" w:cs="宋体"/>
          <w:color w:val="auto"/>
          <w:sz w:val="24"/>
          <w:szCs w:val="24"/>
          <w:highlight w:val="none"/>
          <w:shd w:val="clear" w:color="auto" w:fill="FFFFFF"/>
        </w:rPr>
        <w:t>；</w:t>
      </w:r>
    </w:p>
    <w:p w14:paraId="4E189605">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w:t>
      </w:r>
    </w:p>
    <w:p w14:paraId="7F9B6F3B">
      <w:pPr>
        <w:widowControl w:val="0"/>
        <w:spacing w:line="480" w:lineRule="auto"/>
        <w:ind w:firstLine="480" w:firstLineChars="20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7641BBFA">
      <w:pPr>
        <w:widowControl w:val="0"/>
        <w:spacing w:line="480" w:lineRule="auto"/>
        <w:ind w:firstLine="480" w:firstLineChars="2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本企业对上述声明内容的真实性负责。如有虛假，将依法承担相应责任。</w:t>
      </w:r>
    </w:p>
    <w:p w14:paraId="12CC71CE">
      <w:pPr>
        <w:spacing w:line="480" w:lineRule="auto"/>
        <w:jc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企业名称(盖章):</w:t>
      </w:r>
    </w:p>
    <w:p w14:paraId="1772BC45">
      <w:pPr>
        <w:spacing w:line="480" w:lineRule="auto"/>
        <w:ind w:firstLine="4080" w:firstLineChars="1700"/>
        <w:jc w:val="both"/>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日 期:</w:t>
      </w:r>
    </w:p>
    <w:p w14:paraId="69D1E30C">
      <w:pPr>
        <w:spacing w:line="480" w:lineRule="auto"/>
        <w:jc w:val="both"/>
        <w:rPr>
          <w:rFonts w:ascii="宋体" w:hAnsi="宋体" w:cs="宋体"/>
          <w:color w:val="auto"/>
          <w:sz w:val="24"/>
          <w:szCs w:val="24"/>
          <w:highlight w:val="none"/>
          <w:u w:val="single"/>
          <w:shd w:val="clear" w:color="auto" w:fill="FFFFFF"/>
        </w:rPr>
      </w:pPr>
      <w:r>
        <w:rPr>
          <w:rFonts w:hint="eastAsia" w:ascii="宋体" w:hAnsi="宋体" w:cs="宋体"/>
          <w:color w:val="auto"/>
          <w:sz w:val="24"/>
          <w:szCs w:val="24"/>
          <w:highlight w:val="none"/>
          <w:u w:val="single"/>
          <w:shd w:val="clear" w:color="auto" w:fill="FFFFFF"/>
        </w:rPr>
        <w:t xml:space="preserve">                   </w:t>
      </w:r>
    </w:p>
    <w:p w14:paraId="1420E2BD">
      <w:pPr>
        <w:spacing w:line="480" w:lineRule="auto"/>
        <w:jc w:val="center"/>
        <w:rPr>
          <w:rFonts w:ascii="宋体" w:hAnsi="宋体" w:cs="宋体"/>
          <w:color w:val="auto"/>
          <w:sz w:val="24"/>
          <w:szCs w:val="24"/>
          <w:highlight w:val="none"/>
        </w:rPr>
      </w:pPr>
      <w:r>
        <w:rPr>
          <w:rFonts w:hint="eastAsia" w:ascii="宋体" w:hAnsi="宋体" w:cs="宋体"/>
          <w:color w:val="auto"/>
          <w:sz w:val="18"/>
          <w:szCs w:val="18"/>
          <w:highlight w:val="none"/>
          <w:shd w:val="clear" w:color="auto" w:fill="FFFFFF"/>
          <w:vertAlign w:val="superscript"/>
        </w:rPr>
        <w:t>1</w:t>
      </w:r>
      <w:r>
        <w:rPr>
          <w:rFonts w:hint="eastAsia" w:ascii="宋体" w:hAnsi="宋体" w:cs="宋体"/>
          <w:color w:val="auto"/>
          <w:sz w:val="18"/>
          <w:szCs w:val="18"/>
          <w:highlight w:val="none"/>
          <w:shd w:val="clear" w:color="auto" w:fill="FFFFFF"/>
        </w:rPr>
        <w:t>从业人员、营业收入、资产总额填报上一年度数据，无上一年度数据的新成立企业可不填报。</w:t>
      </w:r>
      <w:r>
        <w:rPr>
          <w:rFonts w:hint="eastAsia" w:ascii="宋体" w:hAnsi="宋体" w:cs="宋体"/>
          <w:color w:val="auto"/>
          <w:sz w:val="24"/>
          <w:szCs w:val="24"/>
          <w:highlight w:val="none"/>
        </w:rPr>
        <w:t xml:space="preserve"> </w:t>
      </w:r>
    </w:p>
    <w:p w14:paraId="42BD8F58">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p>
    <w:p w14:paraId="360ED9D8">
      <w:pPr>
        <w:spacing w:line="480" w:lineRule="auto"/>
        <w:jc w:val="center"/>
        <w:rPr>
          <w:rFonts w:ascii="宋体" w:hAnsi="宋体" w:cs="宋体"/>
          <w:b/>
          <w:color w:val="auto"/>
          <w:spacing w:val="6"/>
          <w:sz w:val="30"/>
          <w:szCs w:val="30"/>
          <w:highlight w:val="none"/>
        </w:rPr>
      </w:pPr>
      <w:r>
        <w:rPr>
          <w:rFonts w:hint="eastAsia" w:ascii="宋体" w:hAnsi="宋体" w:cs="宋体"/>
          <w:b/>
          <w:bCs/>
          <w:color w:val="auto"/>
          <w:sz w:val="24"/>
          <w:szCs w:val="24"/>
          <w:highlight w:val="none"/>
          <w:shd w:val="clear" w:color="auto" w:fill="FFFFFF"/>
        </w:rPr>
        <w:t>残疾人福利性单位声明函格式</w:t>
      </w:r>
    </w:p>
    <w:p w14:paraId="3360969D">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60E71C">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78A950A4">
      <w:pPr>
        <w:spacing w:line="588" w:lineRule="exact"/>
        <w:ind w:firstLine="504" w:firstLineChars="200"/>
        <w:rPr>
          <w:rFonts w:ascii="宋体" w:hAnsi="宋体" w:cs="宋体"/>
          <w:color w:val="auto"/>
          <w:spacing w:val="6"/>
          <w:sz w:val="24"/>
          <w:szCs w:val="24"/>
          <w:highlight w:val="none"/>
        </w:rPr>
      </w:pPr>
    </w:p>
    <w:p w14:paraId="2D2D2CF5">
      <w:pPr>
        <w:spacing w:line="588" w:lineRule="exact"/>
        <w:ind w:firstLine="504" w:firstLineChars="200"/>
        <w:rPr>
          <w:rFonts w:ascii="宋体" w:hAnsi="宋体" w:cs="宋体"/>
          <w:color w:val="auto"/>
          <w:spacing w:val="6"/>
          <w:sz w:val="24"/>
          <w:szCs w:val="24"/>
          <w:highlight w:val="none"/>
        </w:rPr>
      </w:pPr>
    </w:p>
    <w:p w14:paraId="403EEC30">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单位名称（盖章）：</w:t>
      </w:r>
    </w:p>
    <w:p w14:paraId="2941D473">
      <w:pPr>
        <w:tabs>
          <w:tab w:val="left" w:pos="4860"/>
        </w:tabs>
        <w:spacing w:line="588" w:lineRule="exact"/>
        <w:ind w:right="1560"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15BD5E63">
      <w:pP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p>
    <w:p w14:paraId="4369D208">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监狱企业证明文件格式</w:t>
      </w:r>
    </w:p>
    <w:p w14:paraId="480AE01A">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8DBC29">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14:paraId="0DB8E5B7">
      <w:pPr>
        <w:spacing w:line="48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1609640">
      <w:pPr>
        <w:pStyle w:val="25"/>
        <w:rPr>
          <w:rFonts w:ascii="宋体" w:hAnsi="宋体" w:cs="宋体"/>
          <w:color w:val="auto"/>
          <w:highlight w:val="none"/>
        </w:rPr>
      </w:pPr>
    </w:p>
    <w:p w14:paraId="095BF6AF">
      <w:pPr>
        <w:pStyle w:val="8"/>
        <w:rPr>
          <w:color w:val="auto"/>
          <w:highlight w:val="none"/>
        </w:rPr>
      </w:pPr>
      <w:r>
        <w:rPr>
          <w:rFonts w:hint="eastAsia" w:ascii="宋体" w:hAnsi="宋体" w:cs="宋体"/>
          <w:color w:val="auto"/>
          <w:highlight w:val="none"/>
        </w:rPr>
        <w:t>注：符合条件的监狱企业在参加政府采购活动时，应当按《财政部 司法部关于政府采购支持监狱企业发展有关问题的通知》（财库[2014]68 号）提供规定的《监狱企业证明文件》，并对证明文件的真实性负责。</w:t>
      </w:r>
    </w:p>
    <w:p w14:paraId="71C37F94">
      <w:pPr>
        <w:keepNext w:val="0"/>
        <w:keepLines w:val="0"/>
        <w:pageBreakBefore w:val="0"/>
        <w:widowControl/>
        <w:kinsoku/>
        <w:wordWrap/>
        <w:overflowPunct/>
        <w:topLinePunct w:val="0"/>
        <w:autoSpaceDE/>
        <w:autoSpaceDN/>
        <w:bidi w:val="0"/>
        <w:adjustRightInd/>
        <w:snapToGrid/>
        <w:spacing w:line="588" w:lineRule="exact"/>
        <w:textAlignment w:val="auto"/>
        <w:rPr>
          <w:rFonts w:hint="default" w:ascii="宋体" w:hAnsi="宋体" w:eastAsia="宋体" w:cs="宋体"/>
          <w:spacing w:val="6"/>
          <w:sz w:val="24"/>
          <w:szCs w:val="24"/>
          <w:highlight w:val="none"/>
          <w:lang w:val="en-US" w:eastAsia="zh-CN" w:bidi="ar-SA"/>
        </w:rPr>
      </w:pPr>
    </w:p>
    <w:sectPr>
      <w:headerReference r:id="rId6" w:type="default"/>
      <w:footerReference r:id="rId7" w:type="default"/>
      <w:pgSz w:w="11906" w:h="16838"/>
      <w:pgMar w:top="1440" w:right="1083" w:bottom="1440" w:left="1083" w:header="737" w:footer="737" w:gutter="0"/>
      <w:pgNumType w:fmt="decimal"/>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方正仿宋简体">
    <w:altName w:val="仿宋"/>
    <w:panose1 w:val="02010601030101010101"/>
    <w:charset w:val="86"/>
    <w:family w:val="auto"/>
    <w:pitch w:val="default"/>
    <w:sig w:usb0="00000000" w:usb1="00000000" w:usb2="00000000" w:usb3="00000000" w:csb0="00040000" w:csb1="00000000"/>
  </w:font>
  <w:font w:name="monospace">
    <w:altName w:val="宋体"/>
    <w:panose1 w:val="00000000000000000000"/>
    <w:charset w:val="00"/>
    <w:family w:val="auto"/>
    <w:pitch w:val="default"/>
    <w:sig w:usb0="00000000" w:usb1="00000000" w:usb2="00000000" w:usb3="00000000" w:csb0="00040001" w:csb1="00000000"/>
  </w:font>
  <w:font w:name="TimesNewRomanPSMT">
    <w:altName w:val="Times New Roman"/>
    <w:panose1 w:val="02020803070505020304"/>
    <w:charset w:val="00"/>
    <w:family w:val="auto"/>
    <w:pitch w:val="default"/>
    <w:sig w:usb0="00000000" w:usb1="00000000"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A15A4">
    <w:pPr>
      <w:pStyle w:val="21"/>
      <w:jc w:val="center"/>
      <w:rPr>
        <w:rFonts w:ascii="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36698">
    <w:pPr>
      <w:pStyle w:val="21"/>
      <w:tabs>
        <w:tab w:val="center" w:pos="487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CD554">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3CCD554">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8563">
    <w:pPr>
      <w:pStyle w:val="21"/>
      <w:tabs>
        <w:tab w:val="center" w:pos="4870"/>
        <w:tab w:val="clear" w:pos="4153"/>
      </w:tabs>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B0428">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EBB0428">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115A">
    <w:pPr>
      <w:pStyle w:val="22"/>
      <w:jc w:val="center"/>
    </w:pPr>
    <w:r>
      <w:rPr>
        <w:rFonts w:hint="eastAsia" w:ascii="宋体" w:hAnsi="宋体"/>
        <w:b/>
        <w:bCs/>
        <w:sz w:val="21"/>
        <w:szCs w:val="21"/>
        <w:lang w:eastAsia="zh-CN"/>
      </w:rPr>
      <w:t>华城云筑工程咨询管理(云南)有限公司</w:t>
    </w:r>
    <w:r>
      <w:rPr>
        <w:rFonts w:hint="eastAsia"/>
        <w:b/>
        <w:bCs/>
        <w:sz w:val="21"/>
        <w:szCs w:val="21"/>
      </w:rPr>
      <w:t xml:space="preserve">                                          </w:t>
    </w:r>
    <w:r>
      <w:rPr>
        <w:rFonts w:hint="eastAsia" w:ascii="宋体" w:hAnsi="宋体"/>
        <w:b/>
        <w:bCs/>
        <w:color w:val="000000"/>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07346">
    <w:pPr>
      <w:pStyle w:val="22"/>
      <w:jc w:val="center"/>
    </w:pPr>
    <w:r>
      <w:rPr>
        <w:rFonts w:hint="eastAsia" w:ascii="宋体" w:hAnsi="宋体"/>
        <w:b/>
        <w:bCs/>
        <w:sz w:val="21"/>
        <w:szCs w:val="21"/>
        <w:lang w:eastAsia="zh-CN"/>
      </w:rPr>
      <w:t>华城云筑工程咨询管理(云南)有限公司</w:t>
    </w:r>
    <w:r>
      <w:rPr>
        <w:rFonts w:hint="eastAsia"/>
        <w:b/>
        <w:bCs/>
        <w:sz w:val="21"/>
        <w:szCs w:val="21"/>
      </w:rPr>
      <w:t xml:space="preserve">                                          </w:t>
    </w:r>
    <w:r>
      <w:rPr>
        <w:rFonts w:hint="eastAsia" w:ascii="宋体" w:hAnsi="宋体"/>
        <w:b/>
        <w:bCs/>
        <w:color w:val="000000"/>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9593D"/>
    <w:multiLevelType w:val="singleLevel"/>
    <w:tmpl w:val="9A19593D"/>
    <w:lvl w:ilvl="0" w:tentative="0">
      <w:start w:val="1"/>
      <w:numFmt w:val="chineseCounting"/>
      <w:suff w:val="nothing"/>
      <w:lvlText w:val="%1、"/>
      <w:lvlJc w:val="left"/>
      <w:rPr>
        <w:rFonts w:hint="eastAsia"/>
      </w:rPr>
    </w:lvl>
  </w:abstractNum>
  <w:abstractNum w:abstractNumId="1">
    <w:nsid w:val="C360AB68"/>
    <w:multiLevelType w:val="singleLevel"/>
    <w:tmpl w:val="C360AB68"/>
    <w:lvl w:ilvl="0" w:tentative="0">
      <w:start w:val="2"/>
      <w:numFmt w:val="chineseCounting"/>
      <w:suff w:val="nothing"/>
      <w:lvlText w:val="（%1）"/>
      <w:lvlJc w:val="left"/>
      <w:rPr>
        <w:rFonts w:hint="eastAsia"/>
      </w:rPr>
    </w:lvl>
  </w:abstractNum>
  <w:abstractNum w:abstractNumId="2">
    <w:nsid w:val="DFB1716D"/>
    <w:multiLevelType w:val="singleLevel"/>
    <w:tmpl w:val="DFB1716D"/>
    <w:lvl w:ilvl="0" w:tentative="0">
      <w:start w:val="5"/>
      <w:numFmt w:val="chineseCounting"/>
      <w:suff w:val="space"/>
      <w:lvlText w:val="第%1章"/>
      <w:lvlJc w:val="left"/>
      <w:rPr>
        <w:rFonts w:hint="eastAsia"/>
      </w:rPr>
    </w:lvl>
  </w:abstractNum>
  <w:abstractNum w:abstractNumId="3">
    <w:nsid w:val="00000001"/>
    <w:multiLevelType w:val="multilevel"/>
    <w:tmpl w:val="00000001"/>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pStyle w:val="75"/>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HorizontalSpacing w:val="105"/>
  <w:drawingGridVerticalSpacing w:val="31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DQwZWRmNzE4NGE1MWUyNzE3Yjc0MTE0MzQwYzQifQ=="/>
  </w:docVars>
  <w:rsids>
    <w:rsidRoot w:val="00172A27"/>
    <w:rsid w:val="0000102B"/>
    <w:rsid w:val="00003FF5"/>
    <w:rsid w:val="00011A3E"/>
    <w:rsid w:val="00011B07"/>
    <w:rsid w:val="00023200"/>
    <w:rsid w:val="00030F55"/>
    <w:rsid w:val="00034F94"/>
    <w:rsid w:val="00044562"/>
    <w:rsid w:val="00046822"/>
    <w:rsid w:val="0004729E"/>
    <w:rsid w:val="00047E90"/>
    <w:rsid w:val="00051448"/>
    <w:rsid w:val="00057241"/>
    <w:rsid w:val="00060642"/>
    <w:rsid w:val="00060D66"/>
    <w:rsid w:val="000634F6"/>
    <w:rsid w:val="000636B3"/>
    <w:rsid w:val="000642C7"/>
    <w:rsid w:val="000647D0"/>
    <w:rsid w:val="00067770"/>
    <w:rsid w:val="00072065"/>
    <w:rsid w:val="00072CD9"/>
    <w:rsid w:val="00073F82"/>
    <w:rsid w:val="000743A7"/>
    <w:rsid w:val="00077A77"/>
    <w:rsid w:val="0008159C"/>
    <w:rsid w:val="000815F4"/>
    <w:rsid w:val="000825BE"/>
    <w:rsid w:val="00082A87"/>
    <w:rsid w:val="00084C20"/>
    <w:rsid w:val="00086779"/>
    <w:rsid w:val="00086F36"/>
    <w:rsid w:val="00087159"/>
    <w:rsid w:val="0009057F"/>
    <w:rsid w:val="000912C8"/>
    <w:rsid w:val="00091575"/>
    <w:rsid w:val="000934F8"/>
    <w:rsid w:val="00094EFA"/>
    <w:rsid w:val="000A36EF"/>
    <w:rsid w:val="000A3744"/>
    <w:rsid w:val="000B1EC5"/>
    <w:rsid w:val="000B608D"/>
    <w:rsid w:val="000B736F"/>
    <w:rsid w:val="000C0A2F"/>
    <w:rsid w:val="000C2234"/>
    <w:rsid w:val="000C552B"/>
    <w:rsid w:val="000D0527"/>
    <w:rsid w:val="000D31E9"/>
    <w:rsid w:val="000D7278"/>
    <w:rsid w:val="000D7C1A"/>
    <w:rsid w:val="000E02D8"/>
    <w:rsid w:val="000E1EA1"/>
    <w:rsid w:val="000E7BDB"/>
    <w:rsid w:val="000F0EE5"/>
    <w:rsid w:val="000F4007"/>
    <w:rsid w:val="000F4930"/>
    <w:rsid w:val="000F534B"/>
    <w:rsid w:val="000F6390"/>
    <w:rsid w:val="00112942"/>
    <w:rsid w:val="00117254"/>
    <w:rsid w:val="001200EF"/>
    <w:rsid w:val="00123B56"/>
    <w:rsid w:val="001272B2"/>
    <w:rsid w:val="00131D0B"/>
    <w:rsid w:val="00131EEC"/>
    <w:rsid w:val="001328B3"/>
    <w:rsid w:val="001444E5"/>
    <w:rsid w:val="001468AC"/>
    <w:rsid w:val="00146907"/>
    <w:rsid w:val="001502E5"/>
    <w:rsid w:val="00152128"/>
    <w:rsid w:val="001552A3"/>
    <w:rsid w:val="00155B9F"/>
    <w:rsid w:val="0016301C"/>
    <w:rsid w:val="001644A4"/>
    <w:rsid w:val="00164A24"/>
    <w:rsid w:val="0016756F"/>
    <w:rsid w:val="00171FCD"/>
    <w:rsid w:val="00180065"/>
    <w:rsid w:val="00182305"/>
    <w:rsid w:val="00182CB0"/>
    <w:rsid w:val="00186251"/>
    <w:rsid w:val="00187472"/>
    <w:rsid w:val="001942B8"/>
    <w:rsid w:val="00196A97"/>
    <w:rsid w:val="0019725C"/>
    <w:rsid w:val="001A0144"/>
    <w:rsid w:val="001A0470"/>
    <w:rsid w:val="001A07FD"/>
    <w:rsid w:val="001A0E43"/>
    <w:rsid w:val="001A6210"/>
    <w:rsid w:val="001B3018"/>
    <w:rsid w:val="001B7434"/>
    <w:rsid w:val="001C105F"/>
    <w:rsid w:val="001C22AF"/>
    <w:rsid w:val="001C2E70"/>
    <w:rsid w:val="001C35C1"/>
    <w:rsid w:val="001C3910"/>
    <w:rsid w:val="001C3FB0"/>
    <w:rsid w:val="001C5DEA"/>
    <w:rsid w:val="001C686C"/>
    <w:rsid w:val="001D04EA"/>
    <w:rsid w:val="001D08BC"/>
    <w:rsid w:val="001D2B96"/>
    <w:rsid w:val="001D31A7"/>
    <w:rsid w:val="001D5BE5"/>
    <w:rsid w:val="001D5C91"/>
    <w:rsid w:val="001D6A12"/>
    <w:rsid w:val="001E049D"/>
    <w:rsid w:val="001E0C93"/>
    <w:rsid w:val="001E2CB0"/>
    <w:rsid w:val="001E44E6"/>
    <w:rsid w:val="001E5BD8"/>
    <w:rsid w:val="001E61FC"/>
    <w:rsid w:val="001F05BC"/>
    <w:rsid w:val="001F0942"/>
    <w:rsid w:val="001F56C5"/>
    <w:rsid w:val="00202778"/>
    <w:rsid w:val="00202DCA"/>
    <w:rsid w:val="0020319C"/>
    <w:rsid w:val="00204378"/>
    <w:rsid w:val="00206F42"/>
    <w:rsid w:val="00207E0D"/>
    <w:rsid w:val="00211DD2"/>
    <w:rsid w:val="002150A1"/>
    <w:rsid w:val="00217A5B"/>
    <w:rsid w:val="00220436"/>
    <w:rsid w:val="0022081D"/>
    <w:rsid w:val="00220B80"/>
    <w:rsid w:val="00221692"/>
    <w:rsid w:val="00223142"/>
    <w:rsid w:val="002235B9"/>
    <w:rsid w:val="00223BA2"/>
    <w:rsid w:val="00223FB9"/>
    <w:rsid w:val="00230EDD"/>
    <w:rsid w:val="00231FC3"/>
    <w:rsid w:val="00234B95"/>
    <w:rsid w:val="00234E1D"/>
    <w:rsid w:val="00235FB6"/>
    <w:rsid w:val="0023604E"/>
    <w:rsid w:val="002366C5"/>
    <w:rsid w:val="00244999"/>
    <w:rsid w:val="002467F8"/>
    <w:rsid w:val="00247C4D"/>
    <w:rsid w:val="0025097D"/>
    <w:rsid w:val="002523A8"/>
    <w:rsid w:val="00252582"/>
    <w:rsid w:val="0025588A"/>
    <w:rsid w:val="0026016A"/>
    <w:rsid w:val="00260DD0"/>
    <w:rsid w:val="0026211F"/>
    <w:rsid w:val="00264A83"/>
    <w:rsid w:val="00264BA2"/>
    <w:rsid w:val="00267684"/>
    <w:rsid w:val="00272A1A"/>
    <w:rsid w:val="00275BBB"/>
    <w:rsid w:val="00277FD3"/>
    <w:rsid w:val="00284915"/>
    <w:rsid w:val="00286619"/>
    <w:rsid w:val="00291433"/>
    <w:rsid w:val="002932BF"/>
    <w:rsid w:val="00294758"/>
    <w:rsid w:val="0029522A"/>
    <w:rsid w:val="002A0ABE"/>
    <w:rsid w:val="002B25AD"/>
    <w:rsid w:val="002B3BD2"/>
    <w:rsid w:val="002B5BD0"/>
    <w:rsid w:val="002B5CAF"/>
    <w:rsid w:val="002B6CCD"/>
    <w:rsid w:val="002B76AF"/>
    <w:rsid w:val="002C2608"/>
    <w:rsid w:val="002C526E"/>
    <w:rsid w:val="002C6E21"/>
    <w:rsid w:val="002D0E80"/>
    <w:rsid w:val="002D67D3"/>
    <w:rsid w:val="002D77F3"/>
    <w:rsid w:val="002D7923"/>
    <w:rsid w:val="002E34E8"/>
    <w:rsid w:val="002E7208"/>
    <w:rsid w:val="002F3B19"/>
    <w:rsid w:val="003037B0"/>
    <w:rsid w:val="00304EBF"/>
    <w:rsid w:val="00312ED5"/>
    <w:rsid w:val="003165D0"/>
    <w:rsid w:val="003209FA"/>
    <w:rsid w:val="00320D2A"/>
    <w:rsid w:val="00324338"/>
    <w:rsid w:val="00327203"/>
    <w:rsid w:val="00333DBB"/>
    <w:rsid w:val="003347CA"/>
    <w:rsid w:val="00337679"/>
    <w:rsid w:val="00337C8B"/>
    <w:rsid w:val="00342FA8"/>
    <w:rsid w:val="003431A4"/>
    <w:rsid w:val="0034327F"/>
    <w:rsid w:val="003441D5"/>
    <w:rsid w:val="00346AC4"/>
    <w:rsid w:val="00347147"/>
    <w:rsid w:val="00355555"/>
    <w:rsid w:val="00355971"/>
    <w:rsid w:val="003562A0"/>
    <w:rsid w:val="0036146A"/>
    <w:rsid w:val="00363BA1"/>
    <w:rsid w:val="0036437A"/>
    <w:rsid w:val="003674F4"/>
    <w:rsid w:val="003712AF"/>
    <w:rsid w:val="00375E85"/>
    <w:rsid w:val="00375EC8"/>
    <w:rsid w:val="00375F9B"/>
    <w:rsid w:val="00376280"/>
    <w:rsid w:val="00377830"/>
    <w:rsid w:val="003811C4"/>
    <w:rsid w:val="003815C9"/>
    <w:rsid w:val="00381BBB"/>
    <w:rsid w:val="0038230E"/>
    <w:rsid w:val="00383F8A"/>
    <w:rsid w:val="00390E93"/>
    <w:rsid w:val="00391CC6"/>
    <w:rsid w:val="003A0CCB"/>
    <w:rsid w:val="003A20A6"/>
    <w:rsid w:val="003A249C"/>
    <w:rsid w:val="003A2F62"/>
    <w:rsid w:val="003A349C"/>
    <w:rsid w:val="003A356F"/>
    <w:rsid w:val="003A7334"/>
    <w:rsid w:val="003B05DE"/>
    <w:rsid w:val="003B4871"/>
    <w:rsid w:val="003B549F"/>
    <w:rsid w:val="003C3287"/>
    <w:rsid w:val="003C360A"/>
    <w:rsid w:val="003C4CCE"/>
    <w:rsid w:val="003C4FAC"/>
    <w:rsid w:val="003C62CD"/>
    <w:rsid w:val="003D5B77"/>
    <w:rsid w:val="003E1952"/>
    <w:rsid w:val="003E43B0"/>
    <w:rsid w:val="003E4692"/>
    <w:rsid w:val="003E46C2"/>
    <w:rsid w:val="003E4D91"/>
    <w:rsid w:val="003F18C7"/>
    <w:rsid w:val="003F6C77"/>
    <w:rsid w:val="00401CFB"/>
    <w:rsid w:val="00403D7A"/>
    <w:rsid w:val="00403F20"/>
    <w:rsid w:val="00405049"/>
    <w:rsid w:val="0040698C"/>
    <w:rsid w:val="004137C8"/>
    <w:rsid w:val="0042159A"/>
    <w:rsid w:val="00421E9E"/>
    <w:rsid w:val="00421ED6"/>
    <w:rsid w:val="00422D07"/>
    <w:rsid w:val="004230BB"/>
    <w:rsid w:val="004236D7"/>
    <w:rsid w:val="00424D17"/>
    <w:rsid w:val="004277C9"/>
    <w:rsid w:val="00427FC7"/>
    <w:rsid w:val="0044210A"/>
    <w:rsid w:val="00443404"/>
    <w:rsid w:val="00443A97"/>
    <w:rsid w:val="004520C1"/>
    <w:rsid w:val="0045484E"/>
    <w:rsid w:val="00457CAF"/>
    <w:rsid w:val="00457F91"/>
    <w:rsid w:val="004616B4"/>
    <w:rsid w:val="00463CBE"/>
    <w:rsid w:val="004666F6"/>
    <w:rsid w:val="00470D79"/>
    <w:rsid w:val="0047371B"/>
    <w:rsid w:val="00476262"/>
    <w:rsid w:val="00476A0A"/>
    <w:rsid w:val="00477D02"/>
    <w:rsid w:val="004810ED"/>
    <w:rsid w:val="00481D6F"/>
    <w:rsid w:val="0048357A"/>
    <w:rsid w:val="00483E43"/>
    <w:rsid w:val="00484918"/>
    <w:rsid w:val="00490CFB"/>
    <w:rsid w:val="0049154F"/>
    <w:rsid w:val="00494C46"/>
    <w:rsid w:val="004A08E4"/>
    <w:rsid w:val="004A1EB8"/>
    <w:rsid w:val="004A3B66"/>
    <w:rsid w:val="004A4725"/>
    <w:rsid w:val="004B03EF"/>
    <w:rsid w:val="004B2D03"/>
    <w:rsid w:val="004B349F"/>
    <w:rsid w:val="004B431D"/>
    <w:rsid w:val="004B5987"/>
    <w:rsid w:val="004B7DEE"/>
    <w:rsid w:val="004C016D"/>
    <w:rsid w:val="004C5873"/>
    <w:rsid w:val="004C698E"/>
    <w:rsid w:val="004C6AAE"/>
    <w:rsid w:val="004C7DCE"/>
    <w:rsid w:val="004D2232"/>
    <w:rsid w:val="004D645A"/>
    <w:rsid w:val="004E5CFC"/>
    <w:rsid w:val="004F64F4"/>
    <w:rsid w:val="004F69CF"/>
    <w:rsid w:val="005045E6"/>
    <w:rsid w:val="005046D7"/>
    <w:rsid w:val="005056F1"/>
    <w:rsid w:val="005065F5"/>
    <w:rsid w:val="00506A45"/>
    <w:rsid w:val="005113E3"/>
    <w:rsid w:val="005143BF"/>
    <w:rsid w:val="005149B5"/>
    <w:rsid w:val="00516709"/>
    <w:rsid w:val="00516893"/>
    <w:rsid w:val="00516934"/>
    <w:rsid w:val="00516DAF"/>
    <w:rsid w:val="005217D3"/>
    <w:rsid w:val="005220F3"/>
    <w:rsid w:val="0052264C"/>
    <w:rsid w:val="005226D4"/>
    <w:rsid w:val="005230AD"/>
    <w:rsid w:val="005258C3"/>
    <w:rsid w:val="00530073"/>
    <w:rsid w:val="00531D12"/>
    <w:rsid w:val="00531F71"/>
    <w:rsid w:val="00536689"/>
    <w:rsid w:val="00537673"/>
    <w:rsid w:val="0054303A"/>
    <w:rsid w:val="005451A9"/>
    <w:rsid w:val="00545205"/>
    <w:rsid w:val="0055082E"/>
    <w:rsid w:val="0055082F"/>
    <w:rsid w:val="00552711"/>
    <w:rsid w:val="00555296"/>
    <w:rsid w:val="0056121E"/>
    <w:rsid w:val="00564FB1"/>
    <w:rsid w:val="00572507"/>
    <w:rsid w:val="00572B7B"/>
    <w:rsid w:val="00573201"/>
    <w:rsid w:val="005773D5"/>
    <w:rsid w:val="005777A6"/>
    <w:rsid w:val="005803C1"/>
    <w:rsid w:val="005815DF"/>
    <w:rsid w:val="00583614"/>
    <w:rsid w:val="00583D45"/>
    <w:rsid w:val="00585623"/>
    <w:rsid w:val="00585E76"/>
    <w:rsid w:val="005872F4"/>
    <w:rsid w:val="00590021"/>
    <w:rsid w:val="00594F44"/>
    <w:rsid w:val="005A0DF8"/>
    <w:rsid w:val="005A11E7"/>
    <w:rsid w:val="005A384D"/>
    <w:rsid w:val="005B07B9"/>
    <w:rsid w:val="005B09A4"/>
    <w:rsid w:val="005B199B"/>
    <w:rsid w:val="005B1DCD"/>
    <w:rsid w:val="005B24F9"/>
    <w:rsid w:val="005B3C7B"/>
    <w:rsid w:val="005C60F9"/>
    <w:rsid w:val="005D1264"/>
    <w:rsid w:val="005D2414"/>
    <w:rsid w:val="005D5BF7"/>
    <w:rsid w:val="005E4B94"/>
    <w:rsid w:val="005E4FA8"/>
    <w:rsid w:val="005E6788"/>
    <w:rsid w:val="005F18A0"/>
    <w:rsid w:val="005F2132"/>
    <w:rsid w:val="005F59EC"/>
    <w:rsid w:val="005F68CF"/>
    <w:rsid w:val="00603E36"/>
    <w:rsid w:val="00605BDC"/>
    <w:rsid w:val="006064D6"/>
    <w:rsid w:val="00606947"/>
    <w:rsid w:val="0060704F"/>
    <w:rsid w:val="00610179"/>
    <w:rsid w:val="00610A1F"/>
    <w:rsid w:val="00610E89"/>
    <w:rsid w:val="00611712"/>
    <w:rsid w:val="0061228C"/>
    <w:rsid w:val="00613E89"/>
    <w:rsid w:val="0061538F"/>
    <w:rsid w:val="006213E7"/>
    <w:rsid w:val="00621A45"/>
    <w:rsid w:val="00625897"/>
    <w:rsid w:val="00626F22"/>
    <w:rsid w:val="00631392"/>
    <w:rsid w:val="006408D4"/>
    <w:rsid w:val="0064356F"/>
    <w:rsid w:val="006513E8"/>
    <w:rsid w:val="0065624D"/>
    <w:rsid w:val="006579C8"/>
    <w:rsid w:val="006652F5"/>
    <w:rsid w:val="00670B46"/>
    <w:rsid w:val="006760E1"/>
    <w:rsid w:val="0067777A"/>
    <w:rsid w:val="006830A3"/>
    <w:rsid w:val="0068409A"/>
    <w:rsid w:val="006855BF"/>
    <w:rsid w:val="00687647"/>
    <w:rsid w:val="00687725"/>
    <w:rsid w:val="00690395"/>
    <w:rsid w:val="00690D64"/>
    <w:rsid w:val="00691435"/>
    <w:rsid w:val="00691D52"/>
    <w:rsid w:val="0069266F"/>
    <w:rsid w:val="00695DF2"/>
    <w:rsid w:val="006962A5"/>
    <w:rsid w:val="0069768F"/>
    <w:rsid w:val="006A0966"/>
    <w:rsid w:val="006A1D7B"/>
    <w:rsid w:val="006A25B4"/>
    <w:rsid w:val="006A35D3"/>
    <w:rsid w:val="006A5253"/>
    <w:rsid w:val="006A6117"/>
    <w:rsid w:val="006A6C89"/>
    <w:rsid w:val="006B0A82"/>
    <w:rsid w:val="006B7F73"/>
    <w:rsid w:val="006C1FEC"/>
    <w:rsid w:val="006C3D7D"/>
    <w:rsid w:val="006D02BC"/>
    <w:rsid w:val="006D45D9"/>
    <w:rsid w:val="006D63BB"/>
    <w:rsid w:val="006D669D"/>
    <w:rsid w:val="00703D97"/>
    <w:rsid w:val="00704F73"/>
    <w:rsid w:val="007061B4"/>
    <w:rsid w:val="00706383"/>
    <w:rsid w:val="00707C73"/>
    <w:rsid w:val="007115E2"/>
    <w:rsid w:val="007126D0"/>
    <w:rsid w:val="007134DD"/>
    <w:rsid w:val="00714CCE"/>
    <w:rsid w:val="00716BF1"/>
    <w:rsid w:val="0072009F"/>
    <w:rsid w:val="007219AD"/>
    <w:rsid w:val="00721A5C"/>
    <w:rsid w:val="00723BEA"/>
    <w:rsid w:val="00724AAB"/>
    <w:rsid w:val="007330D7"/>
    <w:rsid w:val="007332ED"/>
    <w:rsid w:val="00733B09"/>
    <w:rsid w:val="00733D36"/>
    <w:rsid w:val="007349C3"/>
    <w:rsid w:val="0073640A"/>
    <w:rsid w:val="00737B70"/>
    <w:rsid w:val="00737E88"/>
    <w:rsid w:val="0074587F"/>
    <w:rsid w:val="00750499"/>
    <w:rsid w:val="00754D31"/>
    <w:rsid w:val="00755CB3"/>
    <w:rsid w:val="00760FC3"/>
    <w:rsid w:val="00761E55"/>
    <w:rsid w:val="00763513"/>
    <w:rsid w:val="00763EDE"/>
    <w:rsid w:val="00764889"/>
    <w:rsid w:val="00772930"/>
    <w:rsid w:val="00775FB9"/>
    <w:rsid w:val="007768E8"/>
    <w:rsid w:val="00777DDD"/>
    <w:rsid w:val="007800A9"/>
    <w:rsid w:val="007826D3"/>
    <w:rsid w:val="00783E17"/>
    <w:rsid w:val="00784BB5"/>
    <w:rsid w:val="00785A6A"/>
    <w:rsid w:val="00790F0F"/>
    <w:rsid w:val="0079136C"/>
    <w:rsid w:val="00792787"/>
    <w:rsid w:val="007A1BED"/>
    <w:rsid w:val="007A23F7"/>
    <w:rsid w:val="007A2A88"/>
    <w:rsid w:val="007A7A37"/>
    <w:rsid w:val="007B5C5E"/>
    <w:rsid w:val="007C33C2"/>
    <w:rsid w:val="007C4147"/>
    <w:rsid w:val="007C49FC"/>
    <w:rsid w:val="007C7019"/>
    <w:rsid w:val="007D0CB6"/>
    <w:rsid w:val="007D7399"/>
    <w:rsid w:val="007E41E9"/>
    <w:rsid w:val="007E46B2"/>
    <w:rsid w:val="007E46D8"/>
    <w:rsid w:val="007E4F2F"/>
    <w:rsid w:val="007E55C2"/>
    <w:rsid w:val="007E5CF4"/>
    <w:rsid w:val="007F03A4"/>
    <w:rsid w:val="007F4E9B"/>
    <w:rsid w:val="00800A45"/>
    <w:rsid w:val="00800DB7"/>
    <w:rsid w:val="00801B4B"/>
    <w:rsid w:val="00802276"/>
    <w:rsid w:val="00802860"/>
    <w:rsid w:val="00803FA5"/>
    <w:rsid w:val="00805161"/>
    <w:rsid w:val="00807272"/>
    <w:rsid w:val="008077CB"/>
    <w:rsid w:val="00812A50"/>
    <w:rsid w:val="00813F58"/>
    <w:rsid w:val="00816F9A"/>
    <w:rsid w:val="00817241"/>
    <w:rsid w:val="00820814"/>
    <w:rsid w:val="00821E14"/>
    <w:rsid w:val="00822735"/>
    <w:rsid w:val="00827082"/>
    <w:rsid w:val="0082755C"/>
    <w:rsid w:val="00831646"/>
    <w:rsid w:val="00833871"/>
    <w:rsid w:val="008346E4"/>
    <w:rsid w:val="00835AAD"/>
    <w:rsid w:val="0083699B"/>
    <w:rsid w:val="008413DA"/>
    <w:rsid w:val="008464E8"/>
    <w:rsid w:val="0085517A"/>
    <w:rsid w:val="0087179D"/>
    <w:rsid w:val="0087698F"/>
    <w:rsid w:val="00876B10"/>
    <w:rsid w:val="00877521"/>
    <w:rsid w:val="008816B8"/>
    <w:rsid w:val="0089098B"/>
    <w:rsid w:val="0089123E"/>
    <w:rsid w:val="0089295C"/>
    <w:rsid w:val="00897C3E"/>
    <w:rsid w:val="008A0A9A"/>
    <w:rsid w:val="008A309D"/>
    <w:rsid w:val="008A51E0"/>
    <w:rsid w:val="008A7DE9"/>
    <w:rsid w:val="008B166A"/>
    <w:rsid w:val="008B2849"/>
    <w:rsid w:val="008B55E4"/>
    <w:rsid w:val="008B57FE"/>
    <w:rsid w:val="008C00CB"/>
    <w:rsid w:val="008C36D8"/>
    <w:rsid w:val="008C6F0D"/>
    <w:rsid w:val="008D0371"/>
    <w:rsid w:val="008D22D9"/>
    <w:rsid w:val="008D4263"/>
    <w:rsid w:val="008D53F1"/>
    <w:rsid w:val="008D7FF7"/>
    <w:rsid w:val="008E2B77"/>
    <w:rsid w:val="008E31F5"/>
    <w:rsid w:val="008E37B8"/>
    <w:rsid w:val="008E481B"/>
    <w:rsid w:val="008F0C12"/>
    <w:rsid w:val="008F3EC5"/>
    <w:rsid w:val="008F7977"/>
    <w:rsid w:val="00901749"/>
    <w:rsid w:val="00905263"/>
    <w:rsid w:val="00905380"/>
    <w:rsid w:val="00905779"/>
    <w:rsid w:val="00906EBC"/>
    <w:rsid w:val="00907BFD"/>
    <w:rsid w:val="0091350A"/>
    <w:rsid w:val="009151BD"/>
    <w:rsid w:val="00916252"/>
    <w:rsid w:val="00922705"/>
    <w:rsid w:val="00930944"/>
    <w:rsid w:val="00931897"/>
    <w:rsid w:val="00932A72"/>
    <w:rsid w:val="00932F7D"/>
    <w:rsid w:val="00933434"/>
    <w:rsid w:val="00933F41"/>
    <w:rsid w:val="009346DF"/>
    <w:rsid w:val="00935497"/>
    <w:rsid w:val="009360DF"/>
    <w:rsid w:val="00940C47"/>
    <w:rsid w:val="00940EB2"/>
    <w:rsid w:val="0094165A"/>
    <w:rsid w:val="00942D97"/>
    <w:rsid w:val="00945F05"/>
    <w:rsid w:val="00950B41"/>
    <w:rsid w:val="00950F42"/>
    <w:rsid w:val="00954B96"/>
    <w:rsid w:val="00955A1A"/>
    <w:rsid w:val="00956778"/>
    <w:rsid w:val="00960127"/>
    <w:rsid w:val="00961089"/>
    <w:rsid w:val="00962964"/>
    <w:rsid w:val="009665A7"/>
    <w:rsid w:val="00975EE0"/>
    <w:rsid w:val="00982DD2"/>
    <w:rsid w:val="009833DC"/>
    <w:rsid w:val="00983824"/>
    <w:rsid w:val="00990108"/>
    <w:rsid w:val="009911C1"/>
    <w:rsid w:val="00992437"/>
    <w:rsid w:val="0099584C"/>
    <w:rsid w:val="009960DB"/>
    <w:rsid w:val="009A212F"/>
    <w:rsid w:val="009A3D9D"/>
    <w:rsid w:val="009B12D9"/>
    <w:rsid w:val="009B3FC3"/>
    <w:rsid w:val="009B4E97"/>
    <w:rsid w:val="009C1CE3"/>
    <w:rsid w:val="009C485F"/>
    <w:rsid w:val="009C675F"/>
    <w:rsid w:val="009C6BDD"/>
    <w:rsid w:val="009C7CA8"/>
    <w:rsid w:val="009D2E05"/>
    <w:rsid w:val="009D5549"/>
    <w:rsid w:val="009E1649"/>
    <w:rsid w:val="009E17C6"/>
    <w:rsid w:val="009E1B80"/>
    <w:rsid w:val="009E256B"/>
    <w:rsid w:val="009E2D4A"/>
    <w:rsid w:val="009E5A5D"/>
    <w:rsid w:val="009E7512"/>
    <w:rsid w:val="009E787C"/>
    <w:rsid w:val="009F60AC"/>
    <w:rsid w:val="00A029E9"/>
    <w:rsid w:val="00A02CFC"/>
    <w:rsid w:val="00A03C21"/>
    <w:rsid w:val="00A04374"/>
    <w:rsid w:val="00A056B5"/>
    <w:rsid w:val="00A062F2"/>
    <w:rsid w:val="00A066DE"/>
    <w:rsid w:val="00A10EE5"/>
    <w:rsid w:val="00A12ACE"/>
    <w:rsid w:val="00A17888"/>
    <w:rsid w:val="00A200E4"/>
    <w:rsid w:val="00A20276"/>
    <w:rsid w:val="00A20CD7"/>
    <w:rsid w:val="00A23E78"/>
    <w:rsid w:val="00A24193"/>
    <w:rsid w:val="00A26599"/>
    <w:rsid w:val="00A36387"/>
    <w:rsid w:val="00A37D2B"/>
    <w:rsid w:val="00A41A68"/>
    <w:rsid w:val="00A41CF0"/>
    <w:rsid w:val="00A50345"/>
    <w:rsid w:val="00A509EF"/>
    <w:rsid w:val="00A62003"/>
    <w:rsid w:val="00A65B75"/>
    <w:rsid w:val="00A666B2"/>
    <w:rsid w:val="00A70B96"/>
    <w:rsid w:val="00A719CD"/>
    <w:rsid w:val="00A73EA0"/>
    <w:rsid w:val="00A7602D"/>
    <w:rsid w:val="00A76607"/>
    <w:rsid w:val="00A860D0"/>
    <w:rsid w:val="00A90487"/>
    <w:rsid w:val="00A91EE6"/>
    <w:rsid w:val="00A9241C"/>
    <w:rsid w:val="00A925BA"/>
    <w:rsid w:val="00A92B8B"/>
    <w:rsid w:val="00A9794D"/>
    <w:rsid w:val="00AA070F"/>
    <w:rsid w:val="00AA10E4"/>
    <w:rsid w:val="00AB03D1"/>
    <w:rsid w:val="00AB0988"/>
    <w:rsid w:val="00AB0D9C"/>
    <w:rsid w:val="00AC0DE6"/>
    <w:rsid w:val="00AC2237"/>
    <w:rsid w:val="00AC7B40"/>
    <w:rsid w:val="00AD108F"/>
    <w:rsid w:val="00AD1510"/>
    <w:rsid w:val="00AD23F1"/>
    <w:rsid w:val="00AD64BB"/>
    <w:rsid w:val="00AD7AA8"/>
    <w:rsid w:val="00AE1391"/>
    <w:rsid w:val="00AE6A72"/>
    <w:rsid w:val="00AF0589"/>
    <w:rsid w:val="00AF4E3D"/>
    <w:rsid w:val="00AF7631"/>
    <w:rsid w:val="00B01DAD"/>
    <w:rsid w:val="00B0299E"/>
    <w:rsid w:val="00B032D8"/>
    <w:rsid w:val="00B06C3B"/>
    <w:rsid w:val="00B13658"/>
    <w:rsid w:val="00B15515"/>
    <w:rsid w:val="00B22D54"/>
    <w:rsid w:val="00B23480"/>
    <w:rsid w:val="00B25474"/>
    <w:rsid w:val="00B273E8"/>
    <w:rsid w:val="00B301D1"/>
    <w:rsid w:val="00B31EB3"/>
    <w:rsid w:val="00B34228"/>
    <w:rsid w:val="00B3716F"/>
    <w:rsid w:val="00B41AA6"/>
    <w:rsid w:val="00B44427"/>
    <w:rsid w:val="00B4606C"/>
    <w:rsid w:val="00B4682C"/>
    <w:rsid w:val="00B52DE5"/>
    <w:rsid w:val="00B564A3"/>
    <w:rsid w:val="00B603D4"/>
    <w:rsid w:val="00B663D4"/>
    <w:rsid w:val="00B67171"/>
    <w:rsid w:val="00B72232"/>
    <w:rsid w:val="00B7266A"/>
    <w:rsid w:val="00B7394B"/>
    <w:rsid w:val="00B739E2"/>
    <w:rsid w:val="00B81806"/>
    <w:rsid w:val="00B81E53"/>
    <w:rsid w:val="00B842BF"/>
    <w:rsid w:val="00B96C01"/>
    <w:rsid w:val="00B97734"/>
    <w:rsid w:val="00BA1CAE"/>
    <w:rsid w:val="00BA235D"/>
    <w:rsid w:val="00BA3722"/>
    <w:rsid w:val="00BA7C7C"/>
    <w:rsid w:val="00BB0A2F"/>
    <w:rsid w:val="00BB2D34"/>
    <w:rsid w:val="00BB67C4"/>
    <w:rsid w:val="00BB6D1F"/>
    <w:rsid w:val="00BC3595"/>
    <w:rsid w:val="00BD0CB7"/>
    <w:rsid w:val="00BD1FE3"/>
    <w:rsid w:val="00BD68D0"/>
    <w:rsid w:val="00BD6E4B"/>
    <w:rsid w:val="00BD74F5"/>
    <w:rsid w:val="00BD79AC"/>
    <w:rsid w:val="00BD7A3F"/>
    <w:rsid w:val="00BD7ACD"/>
    <w:rsid w:val="00BE0E8C"/>
    <w:rsid w:val="00BE1AF8"/>
    <w:rsid w:val="00BE36E0"/>
    <w:rsid w:val="00BE3885"/>
    <w:rsid w:val="00BE5FC6"/>
    <w:rsid w:val="00BE7731"/>
    <w:rsid w:val="00BF28D7"/>
    <w:rsid w:val="00BF2A0A"/>
    <w:rsid w:val="00BF67FE"/>
    <w:rsid w:val="00BF7490"/>
    <w:rsid w:val="00C0185F"/>
    <w:rsid w:val="00C01C33"/>
    <w:rsid w:val="00C02200"/>
    <w:rsid w:val="00C02E8E"/>
    <w:rsid w:val="00C05F9D"/>
    <w:rsid w:val="00C0714C"/>
    <w:rsid w:val="00C07790"/>
    <w:rsid w:val="00C1012E"/>
    <w:rsid w:val="00C12C3E"/>
    <w:rsid w:val="00C13FE8"/>
    <w:rsid w:val="00C20DDF"/>
    <w:rsid w:val="00C22632"/>
    <w:rsid w:val="00C228F2"/>
    <w:rsid w:val="00C23361"/>
    <w:rsid w:val="00C2347F"/>
    <w:rsid w:val="00C27067"/>
    <w:rsid w:val="00C3081E"/>
    <w:rsid w:val="00C30ED5"/>
    <w:rsid w:val="00C3118C"/>
    <w:rsid w:val="00C317EE"/>
    <w:rsid w:val="00C32002"/>
    <w:rsid w:val="00C32331"/>
    <w:rsid w:val="00C35973"/>
    <w:rsid w:val="00C364A8"/>
    <w:rsid w:val="00C40868"/>
    <w:rsid w:val="00C41429"/>
    <w:rsid w:val="00C434E3"/>
    <w:rsid w:val="00C45008"/>
    <w:rsid w:val="00C45474"/>
    <w:rsid w:val="00C47C4A"/>
    <w:rsid w:val="00C56571"/>
    <w:rsid w:val="00C57763"/>
    <w:rsid w:val="00C57E14"/>
    <w:rsid w:val="00C61887"/>
    <w:rsid w:val="00C61F65"/>
    <w:rsid w:val="00C61F6D"/>
    <w:rsid w:val="00C622DE"/>
    <w:rsid w:val="00C62311"/>
    <w:rsid w:val="00C665CE"/>
    <w:rsid w:val="00C700E1"/>
    <w:rsid w:val="00C730D1"/>
    <w:rsid w:val="00C74728"/>
    <w:rsid w:val="00C74895"/>
    <w:rsid w:val="00C80598"/>
    <w:rsid w:val="00C80AC2"/>
    <w:rsid w:val="00C829D1"/>
    <w:rsid w:val="00C830BD"/>
    <w:rsid w:val="00C84103"/>
    <w:rsid w:val="00C90A78"/>
    <w:rsid w:val="00C90D90"/>
    <w:rsid w:val="00C91035"/>
    <w:rsid w:val="00C95465"/>
    <w:rsid w:val="00C9650A"/>
    <w:rsid w:val="00C969BF"/>
    <w:rsid w:val="00CA1DDD"/>
    <w:rsid w:val="00CA7B7B"/>
    <w:rsid w:val="00CB212D"/>
    <w:rsid w:val="00CB26A9"/>
    <w:rsid w:val="00CB2995"/>
    <w:rsid w:val="00CC004A"/>
    <w:rsid w:val="00CC0183"/>
    <w:rsid w:val="00CC3365"/>
    <w:rsid w:val="00CC440A"/>
    <w:rsid w:val="00CC5138"/>
    <w:rsid w:val="00CC695D"/>
    <w:rsid w:val="00CD3E9F"/>
    <w:rsid w:val="00CD40BC"/>
    <w:rsid w:val="00CE112A"/>
    <w:rsid w:val="00CE2AD3"/>
    <w:rsid w:val="00CE34D7"/>
    <w:rsid w:val="00CE6DB8"/>
    <w:rsid w:val="00CF04A6"/>
    <w:rsid w:val="00CF1A93"/>
    <w:rsid w:val="00CF354C"/>
    <w:rsid w:val="00CF57B5"/>
    <w:rsid w:val="00CF587D"/>
    <w:rsid w:val="00CF5A8C"/>
    <w:rsid w:val="00CF5B43"/>
    <w:rsid w:val="00D00CDC"/>
    <w:rsid w:val="00D0596D"/>
    <w:rsid w:val="00D06C12"/>
    <w:rsid w:val="00D06C57"/>
    <w:rsid w:val="00D0774B"/>
    <w:rsid w:val="00D111C0"/>
    <w:rsid w:val="00D11DA3"/>
    <w:rsid w:val="00D12064"/>
    <w:rsid w:val="00D1281E"/>
    <w:rsid w:val="00D12C41"/>
    <w:rsid w:val="00D13A56"/>
    <w:rsid w:val="00D14B99"/>
    <w:rsid w:val="00D23BFD"/>
    <w:rsid w:val="00D30AC4"/>
    <w:rsid w:val="00D3138C"/>
    <w:rsid w:val="00D31CE8"/>
    <w:rsid w:val="00D4046D"/>
    <w:rsid w:val="00D4070C"/>
    <w:rsid w:val="00D444DB"/>
    <w:rsid w:val="00D45932"/>
    <w:rsid w:val="00D45B01"/>
    <w:rsid w:val="00D52F83"/>
    <w:rsid w:val="00D53F5B"/>
    <w:rsid w:val="00D569D1"/>
    <w:rsid w:val="00D60C4C"/>
    <w:rsid w:val="00D62228"/>
    <w:rsid w:val="00D62636"/>
    <w:rsid w:val="00D629E3"/>
    <w:rsid w:val="00D6422E"/>
    <w:rsid w:val="00D6426E"/>
    <w:rsid w:val="00D66481"/>
    <w:rsid w:val="00D67DBF"/>
    <w:rsid w:val="00D7002C"/>
    <w:rsid w:val="00D71F18"/>
    <w:rsid w:val="00D72473"/>
    <w:rsid w:val="00D72700"/>
    <w:rsid w:val="00D72914"/>
    <w:rsid w:val="00D80B27"/>
    <w:rsid w:val="00D82427"/>
    <w:rsid w:val="00D8741D"/>
    <w:rsid w:val="00D94A71"/>
    <w:rsid w:val="00D9745C"/>
    <w:rsid w:val="00DA1848"/>
    <w:rsid w:val="00DA6229"/>
    <w:rsid w:val="00DA6C37"/>
    <w:rsid w:val="00DB4669"/>
    <w:rsid w:val="00DB506D"/>
    <w:rsid w:val="00DC4C9C"/>
    <w:rsid w:val="00DC6399"/>
    <w:rsid w:val="00DC6D87"/>
    <w:rsid w:val="00DD6D10"/>
    <w:rsid w:val="00DE0969"/>
    <w:rsid w:val="00DE2A36"/>
    <w:rsid w:val="00DE4940"/>
    <w:rsid w:val="00DE53FE"/>
    <w:rsid w:val="00DE611D"/>
    <w:rsid w:val="00DE6412"/>
    <w:rsid w:val="00DF1AA9"/>
    <w:rsid w:val="00DF24FB"/>
    <w:rsid w:val="00DF3017"/>
    <w:rsid w:val="00DF5B1F"/>
    <w:rsid w:val="00DF5B6C"/>
    <w:rsid w:val="00E0454F"/>
    <w:rsid w:val="00E04CED"/>
    <w:rsid w:val="00E10D9D"/>
    <w:rsid w:val="00E130E1"/>
    <w:rsid w:val="00E177F6"/>
    <w:rsid w:val="00E22A5F"/>
    <w:rsid w:val="00E23E01"/>
    <w:rsid w:val="00E30EC1"/>
    <w:rsid w:val="00E311A3"/>
    <w:rsid w:val="00E32C38"/>
    <w:rsid w:val="00E33138"/>
    <w:rsid w:val="00E334E4"/>
    <w:rsid w:val="00E347A4"/>
    <w:rsid w:val="00E35F69"/>
    <w:rsid w:val="00E36329"/>
    <w:rsid w:val="00E368F5"/>
    <w:rsid w:val="00E40649"/>
    <w:rsid w:val="00E41391"/>
    <w:rsid w:val="00E44912"/>
    <w:rsid w:val="00E44981"/>
    <w:rsid w:val="00E4518C"/>
    <w:rsid w:val="00E46A59"/>
    <w:rsid w:val="00E50B3D"/>
    <w:rsid w:val="00E51467"/>
    <w:rsid w:val="00E51B31"/>
    <w:rsid w:val="00E52600"/>
    <w:rsid w:val="00E54CE0"/>
    <w:rsid w:val="00E54DA8"/>
    <w:rsid w:val="00E63AD2"/>
    <w:rsid w:val="00E644FA"/>
    <w:rsid w:val="00E657A6"/>
    <w:rsid w:val="00E6646C"/>
    <w:rsid w:val="00E664C0"/>
    <w:rsid w:val="00E67111"/>
    <w:rsid w:val="00E71C54"/>
    <w:rsid w:val="00E72790"/>
    <w:rsid w:val="00E74637"/>
    <w:rsid w:val="00E76394"/>
    <w:rsid w:val="00E83127"/>
    <w:rsid w:val="00E83526"/>
    <w:rsid w:val="00E84953"/>
    <w:rsid w:val="00E91714"/>
    <w:rsid w:val="00E91717"/>
    <w:rsid w:val="00E95AD2"/>
    <w:rsid w:val="00E964D4"/>
    <w:rsid w:val="00E97823"/>
    <w:rsid w:val="00EA04F9"/>
    <w:rsid w:val="00EA2A27"/>
    <w:rsid w:val="00EA426D"/>
    <w:rsid w:val="00EA5009"/>
    <w:rsid w:val="00EB05C7"/>
    <w:rsid w:val="00EB2235"/>
    <w:rsid w:val="00EB3246"/>
    <w:rsid w:val="00EB4CB8"/>
    <w:rsid w:val="00EB755D"/>
    <w:rsid w:val="00EC1435"/>
    <w:rsid w:val="00EC197B"/>
    <w:rsid w:val="00EC4356"/>
    <w:rsid w:val="00EC5C9B"/>
    <w:rsid w:val="00EC5D4A"/>
    <w:rsid w:val="00EC657B"/>
    <w:rsid w:val="00EC6809"/>
    <w:rsid w:val="00ED3A08"/>
    <w:rsid w:val="00ED535D"/>
    <w:rsid w:val="00ED5641"/>
    <w:rsid w:val="00ED605C"/>
    <w:rsid w:val="00EE052E"/>
    <w:rsid w:val="00EE0DA6"/>
    <w:rsid w:val="00EE5591"/>
    <w:rsid w:val="00EE6A0E"/>
    <w:rsid w:val="00EE71FC"/>
    <w:rsid w:val="00EF1400"/>
    <w:rsid w:val="00EF14FB"/>
    <w:rsid w:val="00EF1E98"/>
    <w:rsid w:val="00EF300C"/>
    <w:rsid w:val="00F005DE"/>
    <w:rsid w:val="00F02D45"/>
    <w:rsid w:val="00F04FBF"/>
    <w:rsid w:val="00F103F2"/>
    <w:rsid w:val="00F11356"/>
    <w:rsid w:val="00F14975"/>
    <w:rsid w:val="00F14F0D"/>
    <w:rsid w:val="00F21044"/>
    <w:rsid w:val="00F251F0"/>
    <w:rsid w:val="00F25ED0"/>
    <w:rsid w:val="00F31193"/>
    <w:rsid w:val="00F31CAA"/>
    <w:rsid w:val="00F33EF9"/>
    <w:rsid w:val="00F33FDB"/>
    <w:rsid w:val="00F34813"/>
    <w:rsid w:val="00F3591F"/>
    <w:rsid w:val="00F367A4"/>
    <w:rsid w:val="00F41A79"/>
    <w:rsid w:val="00F42D5A"/>
    <w:rsid w:val="00F45371"/>
    <w:rsid w:val="00F51A04"/>
    <w:rsid w:val="00F534C2"/>
    <w:rsid w:val="00F55159"/>
    <w:rsid w:val="00F61717"/>
    <w:rsid w:val="00F63B33"/>
    <w:rsid w:val="00F65597"/>
    <w:rsid w:val="00F655E1"/>
    <w:rsid w:val="00F6749E"/>
    <w:rsid w:val="00F67E4D"/>
    <w:rsid w:val="00F763CD"/>
    <w:rsid w:val="00F774D7"/>
    <w:rsid w:val="00F7783E"/>
    <w:rsid w:val="00F82263"/>
    <w:rsid w:val="00F832B8"/>
    <w:rsid w:val="00F84578"/>
    <w:rsid w:val="00F87647"/>
    <w:rsid w:val="00F87C10"/>
    <w:rsid w:val="00F91E36"/>
    <w:rsid w:val="00F922BA"/>
    <w:rsid w:val="00F92EAF"/>
    <w:rsid w:val="00F9541E"/>
    <w:rsid w:val="00F96E74"/>
    <w:rsid w:val="00FA126B"/>
    <w:rsid w:val="00FA4ACD"/>
    <w:rsid w:val="00FB003B"/>
    <w:rsid w:val="00FB007A"/>
    <w:rsid w:val="00FB0798"/>
    <w:rsid w:val="00FB4027"/>
    <w:rsid w:val="00FB67EB"/>
    <w:rsid w:val="00FC1B16"/>
    <w:rsid w:val="00FC41A2"/>
    <w:rsid w:val="00FD24C8"/>
    <w:rsid w:val="00FD5A96"/>
    <w:rsid w:val="00FE5A75"/>
    <w:rsid w:val="00FF0F9A"/>
    <w:rsid w:val="00FF4ABA"/>
    <w:rsid w:val="010444EA"/>
    <w:rsid w:val="010974DF"/>
    <w:rsid w:val="010F4B69"/>
    <w:rsid w:val="011F5409"/>
    <w:rsid w:val="0130676A"/>
    <w:rsid w:val="01375E41"/>
    <w:rsid w:val="013B7A72"/>
    <w:rsid w:val="013E24BF"/>
    <w:rsid w:val="01416D8C"/>
    <w:rsid w:val="01542E3B"/>
    <w:rsid w:val="01585BB8"/>
    <w:rsid w:val="015A204F"/>
    <w:rsid w:val="01666F1F"/>
    <w:rsid w:val="016A0CC6"/>
    <w:rsid w:val="016D7475"/>
    <w:rsid w:val="01735F4B"/>
    <w:rsid w:val="017D3325"/>
    <w:rsid w:val="01826B8A"/>
    <w:rsid w:val="018569B4"/>
    <w:rsid w:val="018C6445"/>
    <w:rsid w:val="01A64729"/>
    <w:rsid w:val="01B871C0"/>
    <w:rsid w:val="01CC4933"/>
    <w:rsid w:val="01CC654C"/>
    <w:rsid w:val="01DC58DF"/>
    <w:rsid w:val="01E26AB1"/>
    <w:rsid w:val="01E71F06"/>
    <w:rsid w:val="01EF5D98"/>
    <w:rsid w:val="01F05013"/>
    <w:rsid w:val="01F46458"/>
    <w:rsid w:val="01FE0A2C"/>
    <w:rsid w:val="0201658D"/>
    <w:rsid w:val="02072DF4"/>
    <w:rsid w:val="021F4076"/>
    <w:rsid w:val="02215E17"/>
    <w:rsid w:val="02247C30"/>
    <w:rsid w:val="02261066"/>
    <w:rsid w:val="02345DAF"/>
    <w:rsid w:val="02483A5D"/>
    <w:rsid w:val="025E3B16"/>
    <w:rsid w:val="025E5749"/>
    <w:rsid w:val="02693BD4"/>
    <w:rsid w:val="02793C5B"/>
    <w:rsid w:val="02796DB9"/>
    <w:rsid w:val="027B63D7"/>
    <w:rsid w:val="02836DE2"/>
    <w:rsid w:val="029B6E90"/>
    <w:rsid w:val="02A26030"/>
    <w:rsid w:val="02A3377A"/>
    <w:rsid w:val="02AA6756"/>
    <w:rsid w:val="02AD3D3A"/>
    <w:rsid w:val="02AD3D85"/>
    <w:rsid w:val="02AE6FF2"/>
    <w:rsid w:val="02B05949"/>
    <w:rsid w:val="02B07F0A"/>
    <w:rsid w:val="02B40E10"/>
    <w:rsid w:val="02B67502"/>
    <w:rsid w:val="02B964A5"/>
    <w:rsid w:val="02C37979"/>
    <w:rsid w:val="02C52D11"/>
    <w:rsid w:val="02CA6F70"/>
    <w:rsid w:val="02D15CAB"/>
    <w:rsid w:val="02D57887"/>
    <w:rsid w:val="02DC556E"/>
    <w:rsid w:val="02ED1C6E"/>
    <w:rsid w:val="02EE68FF"/>
    <w:rsid w:val="02F46B94"/>
    <w:rsid w:val="03016A60"/>
    <w:rsid w:val="03093A07"/>
    <w:rsid w:val="030B11EC"/>
    <w:rsid w:val="03120381"/>
    <w:rsid w:val="03153165"/>
    <w:rsid w:val="031846AA"/>
    <w:rsid w:val="032338E1"/>
    <w:rsid w:val="03257081"/>
    <w:rsid w:val="032C7460"/>
    <w:rsid w:val="03305546"/>
    <w:rsid w:val="03337D3C"/>
    <w:rsid w:val="03347BA5"/>
    <w:rsid w:val="03465DA8"/>
    <w:rsid w:val="034F0A40"/>
    <w:rsid w:val="035241DD"/>
    <w:rsid w:val="035962AC"/>
    <w:rsid w:val="0360752C"/>
    <w:rsid w:val="03630548"/>
    <w:rsid w:val="0366170B"/>
    <w:rsid w:val="036E4DF2"/>
    <w:rsid w:val="036F73CC"/>
    <w:rsid w:val="0375678B"/>
    <w:rsid w:val="037B422A"/>
    <w:rsid w:val="038160BD"/>
    <w:rsid w:val="038D0696"/>
    <w:rsid w:val="038E5359"/>
    <w:rsid w:val="03930F87"/>
    <w:rsid w:val="039D36DA"/>
    <w:rsid w:val="03A861F3"/>
    <w:rsid w:val="03AC50CD"/>
    <w:rsid w:val="03B20756"/>
    <w:rsid w:val="03B23C58"/>
    <w:rsid w:val="03B35A38"/>
    <w:rsid w:val="03B45169"/>
    <w:rsid w:val="03B458B1"/>
    <w:rsid w:val="03C15054"/>
    <w:rsid w:val="03CF7C42"/>
    <w:rsid w:val="03D70BC6"/>
    <w:rsid w:val="03D97465"/>
    <w:rsid w:val="03E27089"/>
    <w:rsid w:val="040445FD"/>
    <w:rsid w:val="04046852"/>
    <w:rsid w:val="040719FE"/>
    <w:rsid w:val="04090A66"/>
    <w:rsid w:val="040E4806"/>
    <w:rsid w:val="041812F0"/>
    <w:rsid w:val="04192938"/>
    <w:rsid w:val="041B68E1"/>
    <w:rsid w:val="041C02D8"/>
    <w:rsid w:val="04253689"/>
    <w:rsid w:val="04254EF7"/>
    <w:rsid w:val="04255BC3"/>
    <w:rsid w:val="04316766"/>
    <w:rsid w:val="04332B08"/>
    <w:rsid w:val="0434545C"/>
    <w:rsid w:val="043707EE"/>
    <w:rsid w:val="043F2F07"/>
    <w:rsid w:val="04474A49"/>
    <w:rsid w:val="045E5D63"/>
    <w:rsid w:val="045F0175"/>
    <w:rsid w:val="04634D8F"/>
    <w:rsid w:val="046D155D"/>
    <w:rsid w:val="04742E94"/>
    <w:rsid w:val="047F15EC"/>
    <w:rsid w:val="04874F74"/>
    <w:rsid w:val="04903A99"/>
    <w:rsid w:val="04A313BF"/>
    <w:rsid w:val="04A51EC4"/>
    <w:rsid w:val="04B11C19"/>
    <w:rsid w:val="04BB3CBA"/>
    <w:rsid w:val="04BF2CB8"/>
    <w:rsid w:val="04C7198E"/>
    <w:rsid w:val="04CB2456"/>
    <w:rsid w:val="04D94F44"/>
    <w:rsid w:val="04DB4128"/>
    <w:rsid w:val="04DC1BC8"/>
    <w:rsid w:val="04DF3800"/>
    <w:rsid w:val="04E24BE1"/>
    <w:rsid w:val="04F90CBC"/>
    <w:rsid w:val="04F95927"/>
    <w:rsid w:val="04FA3462"/>
    <w:rsid w:val="050354D7"/>
    <w:rsid w:val="051162FA"/>
    <w:rsid w:val="0522683F"/>
    <w:rsid w:val="05321753"/>
    <w:rsid w:val="0532275B"/>
    <w:rsid w:val="05391F80"/>
    <w:rsid w:val="053E3845"/>
    <w:rsid w:val="054779AD"/>
    <w:rsid w:val="054E74F8"/>
    <w:rsid w:val="054F7005"/>
    <w:rsid w:val="0556011D"/>
    <w:rsid w:val="05584F57"/>
    <w:rsid w:val="055C2EC6"/>
    <w:rsid w:val="056A2976"/>
    <w:rsid w:val="056F38EF"/>
    <w:rsid w:val="057768BF"/>
    <w:rsid w:val="058B1B02"/>
    <w:rsid w:val="058D3598"/>
    <w:rsid w:val="058F0E70"/>
    <w:rsid w:val="058F67EC"/>
    <w:rsid w:val="05AA7E70"/>
    <w:rsid w:val="05B21DE2"/>
    <w:rsid w:val="05B872DF"/>
    <w:rsid w:val="05BB5A50"/>
    <w:rsid w:val="05C94E2E"/>
    <w:rsid w:val="05C96854"/>
    <w:rsid w:val="05CB2D33"/>
    <w:rsid w:val="05D07898"/>
    <w:rsid w:val="05EA3BDD"/>
    <w:rsid w:val="05EC0BBF"/>
    <w:rsid w:val="05F159E2"/>
    <w:rsid w:val="05F921F6"/>
    <w:rsid w:val="05FF3C1A"/>
    <w:rsid w:val="06057340"/>
    <w:rsid w:val="06062A3D"/>
    <w:rsid w:val="06075FEC"/>
    <w:rsid w:val="060D49F6"/>
    <w:rsid w:val="06112B3C"/>
    <w:rsid w:val="06215539"/>
    <w:rsid w:val="06263D41"/>
    <w:rsid w:val="0638780A"/>
    <w:rsid w:val="063E0DE6"/>
    <w:rsid w:val="064176D8"/>
    <w:rsid w:val="06454C97"/>
    <w:rsid w:val="06491398"/>
    <w:rsid w:val="06513291"/>
    <w:rsid w:val="065710C2"/>
    <w:rsid w:val="06584D4D"/>
    <w:rsid w:val="067C1522"/>
    <w:rsid w:val="068122F5"/>
    <w:rsid w:val="06837E4F"/>
    <w:rsid w:val="06843D48"/>
    <w:rsid w:val="06927983"/>
    <w:rsid w:val="06944B25"/>
    <w:rsid w:val="0696717C"/>
    <w:rsid w:val="06975731"/>
    <w:rsid w:val="069B626B"/>
    <w:rsid w:val="069C25C5"/>
    <w:rsid w:val="069C5DA9"/>
    <w:rsid w:val="06B95C2A"/>
    <w:rsid w:val="06BF5C79"/>
    <w:rsid w:val="06C3703E"/>
    <w:rsid w:val="06C614AC"/>
    <w:rsid w:val="06D2524A"/>
    <w:rsid w:val="06D43DFA"/>
    <w:rsid w:val="06D86434"/>
    <w:rsid w:val="06DD234C"/>
    <w:rsid w:val="06E51995"/>
    <w:rsid w:val="06EA3E03"/>
    <w:rsid w:val="06EC0E14"/>
    <w:rsid w:val="06F35A5A"/>
    <w:rsid w:val="06F42009"/>
    <w:rsid w:val="06F85DFF"/>
    <w:rsid w:val="070B081D"/>
    <w:rsid w:val="07165BB5"/>
    <w:rsid w:val="071664CB"/>
    <w:rsid w:val="07195698"/>
    <w:rsid w:val="07280DBB"/>
    <w:rsid w:val="0730654F"/>
    <w:rsid w:val="073D207A"/>
    <w:rsid w:val="074A1497"/>
    <w:rsid w:val="074A49E1"/>
    <w:rsid w:val="074E2E85"/>
    <w:rsid w:val="07515BF5"/>
    <w:rsid w:val="075850A0"/>
    <w:rsid w:val="076003DE"/>
    <w:rsid w:val="0760628E"/>
    <w:rsid w:val="07660241"/>
    <w:rsid w:val="076B3425"/>
    <w:rsid w:val="076D5A34"/>
    <w:rsid w:val="0776142E"/>
    <w:rsid w:val="07764244"/>
    <w:rsid w:val="0783049C"/>
    <w:rsid w:val="07870AFB"/>
    <w:rsid w:val="078748AB"/>
    <w:rsid w:val="078B665C"/>
    <w:rsid w:val="078D1C71"/>
    <w:rsid w:val="07997C25"/>
    <w:rsid w:val="07AC3018"/>
    <w:rsid w:val="07BA0B8A"/>
    <w:rsid w:val="07BE249F"/>
    <w:rsid w:val="07BF409F"/>
    <w:rsid w:val="07CF3C47"/>
    <w:rsid w:val="07D76651"/>
    <w:rsid w:val="07DA2045"/>
    <w:rsid w:val="07DC0946"/>
    <w:rsid w:val="07DD06DB"/>
    <w:rsid w:val="07DD5905"/>
    <w:rsid w:val="07DF26DB"/>
    <w:rsid w:val="07E239CC"/>
    <w:rsid w:val="07E52F37"/>
    <w:rsid w:val="07E53475"/>
    <w:rsid w:val="07EE46BB"/>
    <w:rsid w:val="07FC2E74"/>
    <w:rsid w:val="07FE79CD"/>
    <w:rsid w:val="08015504"/>
    <w:rsid w:val="080A6AFD"/>
    <w:rsid w:val="080E7859"/>
    <w:rsid w:val="080F1AFD"/>
    <w:rsid w:val="080F628C"/>
    <w:rsid w:val="08275E9F"/>
    <w:rsid w:val="083927E4"/>
    <w:rsid w:val="083C4608"/>
    <w:rsid w:val="08436517"/>
    <w:rsid w:val="084C154B"/>
    <w:rsid w:val="084F0A17"/>
    <w:rsid w:val="085A3CC5"/>
    <w:rsid w:val="08627391"/>
    <w:rsid w:val="086A114C"/>
    <w:rsid w:val="086E4FBF"/>
    <w:rsid w:val="08711291"/>
    <w:rsid w:val="087466EA"/>
    <w:rsid w:val="089A6A2E"/>
    <w:rsid w:val="08A676CB"/>
    <w:rsid w:val="08AA0C7F"/>
    <w:rsid w:val="08B35527"/>
    <w:rsid w:val="08C62846"/>
    <w:rsid w:val="08C95534"/>
    <w:rsid w:val="08CE1601"/>
    <w:rsid w:val="08DC1CA8"/>
    <w:rsid w:val="08DE3382"/>
    <w:rsid w:val="08F6361B"/>
    <w:rsid w:val="08F77308"/>
    <w:rsid w:val="08FF6095"/>
    <w:rsid w:val="09045AED"/>
    <w:rsid w:val="09060B75"/>
    <w:rsid w:val="090653B1"/>
    <w:rsid w:val="090B5C9B"/>
    <w:rsid w:val="09132149"/>
    <w:rsid w:val="09207898"/>
    <w:rsid w:val="09246B7F"/>
    <w:rsid w:val="0926197A"/>
    <w:rsid w:val="092D395B"/>
    <w:rsid w:val="092F19E3"/>
    <w:rsid w:val="09344E19"/>
    <w:rsid w:val="09370A52"/>
    <w:rsid w:val="093D51B4"/>
    <w:rsid w:val="095504DD"/>
    <w:rsid w:val="09647EC4"/>
    <w:rsid w:val="09766ACB"/>
    <w:rsid w:val="0980626C"/>
    <w:rsid w:val="098D577E"/>
    <w:rsid w:val="098D628F"/>
    <w:rsid w:val="098E7098"/>
    <w:rsid w:val="098F50FF"/>
    <w:rsid w:val="09924AB2"/>
    <w:rsid w:val="0998486F"/>
    <w:rsid w:val="099909AA"/>
    <w:rsid w:val="09996199"/>
    <w:rsid w:val="09B25C8F"/>
    <w:rsid w:val="09B37AEC"/>
    <w:rsid w:val="09B50186"/>
    <w:rsid w:val="09C21D95"/>
    <w:rsid w:val="09C51231"/>
    <w:rsid w:val="09C72651"/>
    <w:rsid w:val="09CC05C4"/>
    <w:rsid w:val="09D23279"/>
    <w:rsid w:val="09E23085"/>
    <w:rsid w:val="09EF5595"/>
    <w:rsid w:val="09F1006B"/>
    <w:rsid w:val="09FE7367"/>
    <w:rsid w:val="0A07135F"/>
    <w:rsid w:val="0A116CF4"/>
    <w:rsid w:val="0A15574D"/>
    <w:rsid w:val="0A1B5351"/>
    <w:rsid w:val="0A1C7EC9"/>
    <w:rsid w:val="0A2363B0"/>
    <w:rsid w:val="0A26442A"/>
    <w:rsid w:val="0A287FA0"/>
    <w:rsid w:val="0A2A0524"/>
    <w:rsid w:val="0A2C0D3B"/>
    <w:rsid w:val="0A2E5E53"/>
    <w:rsid w:val="0A310F18"/>
    <w:rsid w:val="0A340E0D"/>
    <w:rsid w:val="0A341682"/>
    <w:rsid w:val="0A3838AE"/>
    <w:rsid w:val="0A3F14EC"/>
    <w:rsid w:val="0A4121B5"/>
    <w:rsid w:val="0A522D71"/>
    <w:rsid w:val="0A5E482E"/>
    <w:rsid w:val="0A6B6E10"/>
    <w:rsid w:val="0A7B0C26"/>
    <w:rsid w:val="0A810269"/>
    <w:rsid w:val="0A8C6A20"/>
    <w:rsid w:val="0A9713FA"/>
    <w:rsid w:val="0A9A72F3"/>
    <w:rsid w:val="0A9D0652"/>
    <w:rsid w:val="0A9F3C9B"/>
    <w:rsid w:val="0AB441B1"/>
    <w:rsid w:val="0AB62608"/>
    <w:rsid w:val="0ABA39F1"/>
    <w:rsid w:val="0ABB708E"/>
    <w:rsid w:val="0ACD1AA9"/>
    <w:rsid w:val="0AD270C4"/>
    <w:rsid w:val="0ADB6C19"/>
    <w:rsid w:val="0AE94F91"/>
    <w:rsid w:val="0AEF32B8"/>
    <w:rsid w:val="0AF50251"/>
    <w:rsid w:val="0AF56DB3"/>
    <w:rsid w:val="0AFC4CD1"/>
    <w:rsid w:val="0AFC55BB"/>
    <w:rsid w:val="0AFD7EED"/>
    <w:rsid w:val="0B0005A1"/>
    <w:rsid w:val="0B194C41"/>
    <w:rsid w:val="0B2427D9"/>
    <w:rsid w:val="0B32681F"/>
    <w:rsid w:val="0B38329D"/>
    <w:rsid w:val="0B396B39"/>
    <w:rsid w:val="0B3C4D03"/>
    <w:rsid w:val="0B3E0275"/>
    <w:rsid w:val="0B410063"/>
    <w:rsid w:val="0B586D3B"/>
    <w:rsid w:val="0B5948DD"/>
    <w:rsid w:val="0B5F1DC7"/>
    <w:rsid w:val="0B605F4D"/>
    <w:rsid w:val="0B7B2078"/>
    <w:rsid w:val="0B835994"/>
    <w:rsid w:val="0B8B19A4"/>
    <w:rsid w:val="0BA340B9"/>
    <w:rsid w:val="0BA8074F"/>
    <w:rsid w:val="0BAA2594"/>
    <w:rsid w:val="0BB645A8"/>
    <w:rsid w:val="0BBC0DC9"/>
    <w:rsid w:val="0BBC72FE"/>
    <w:rsid w:val="0BC154BD"/>
    <w:rsid w:val="0BC26AAB"/>
    <w:rsid w:val="0BC8196A"/>
    <w:rsid w:val="0BC93196"/>
    <w:rsid w:val="0BD06F78"/>
    <w:rsid w:val="0BD448CD"/>
    <w:rsid w:val="0BDC33FE"/>
    <w:rsid w:val="0BDC743A"/>
    <w:rsid w:val="0BDF688B"/>
    <w:rsid w:val="0BE2426F"/>
    <w:rsid w:val="0BE85DDD"/>
    <w:rsid w:val="0BF66F00"/>
    <w:rsid w:val="0BF84DC8"/>
    <w:rsid w:val="0BF977FE"/>
    <w:rsid w:val="0BFC6861"/>
    <w:rsid w:val="0C003A87"/>
    <w:rsid w:val="0C004624"/>
    <w:rsid w:val="0C0C03C9"/>
    <w:rsid w:val="0C123F38"/>
    <w:rsid w:val="0C127856"/>
    <w:rsid w:val="0C190A0A"/>
    <w:rsid w:val="0C1F3477"/>
    <w:rsid w:val="0C215BD8"/>
    <w:rsid w:val="0C2462E1"/>
    <w:rsid w:val="0C27273B"/>
    <w:rsid w:val="0C2D7534"/>
    <w:rsid w:val="0C316782"/>
    <w:rsid w:val="0C3C3CA0"/>
    <w:rsid w:val="0C3F3A46"/>
    <w:rsid w:val="0C4018D0"/>
    <w:rsid w:val="0C405E13"/>
    <w:rsid w:val="0C4D1731"/>
    <w:rsid w:val="0C524FEC"/>
    <w:rsid w:val="0C556C9B"/>
    <w:rsid w:val="0C572BD3"/>
    <w:rsid w:val="0C5730C1"/>
    <w:rsid w:val="0C64251E"/>
    <w:rsid w:val="0C691AB4"/>
    <w:rsid w:val="0C6C4136"/>
    <w:rsid w:val="0C7120BA"/>
    <w:rsid w:val="0C743DEB"/>
    <w:rsid w:val="0C7567F0"/>
    <w:rsid w:val="0C7D57C5"/>
    <w:rsid w:val="0C801498"/>
    <w:rsid w:val="0C82275E"/>
    <w:rsid w:val="0C836D6B"/>
    <w:rsid w:val="0C890893"/>
    <w:rsid w:val="0C8D251A"/>
    <w:rsid w:val="0C90777F"/>
    <w:rsid w:val="0C916659"/>
    <w:rsid w:val="0C9B1C08"/>
    <w:rsid w:val="0CBD341E"/>
    <w:rsid w:val="0CC32094"/>
    <w:rsid w:val="0CC812EC"/>
    <w:rsid w:val="0CD61C5E"/>
    <w:rsid w:val="0CDA2B45"/>
    <w:rsid w:val="0CDA4872"/>
    <w:rsid w:val="0CE005BA"/>
    <w:rsid w:val="0CE92E2F"/>
    <w:rsid w:val="0CF238D9"/>
    <w:rsid w:val="0CF3265F"/>
    <w:rsid w:val="0CF54C18"/>
    <w:rsid w:val="0CFB7D5D"/>
    <w:rsid w:val="0D0105C4"/>
    <w:rsid w:val="0D020CCB"/>
    <w:rsid w:val="0D0676A4"/>
    <w:rsid w:val="0D0F7AB7"/>
    <w:rsid w:val="0D190F81"/>
    <w:rsid w:val="0D1D58C9"/>
    <w:rsid w:val="0D262447"/>
    <w:rsid w:val="0D2B3F36"/>
    <w:rsid w:val="0D3333F8"/>
    <w:rsid w:val="0D361020"/>
    <w:rsid w:val="0D423EAE"/>
    <w:rsid w:val="0D4F71F3"/>
    <w:rsid w:val="0D5261BF"/>
    <w:rsid w:val="0D57246E"/>
    <w:rsid w:val="0D6734E3"/>
    <w:rsid w:val="0D6E4804"/>
    <w:rsid w:val="0D7D2A79"/>
    <w:rsid w:val="0D7D3E0F"/>
    <w:rsid w:val="0D8200F5"/>
    <w:rsid w:val="0D86133A"/>
    <w:rsid w:val="0D874036"/>
    <w:rsid w:val="0D893804"/>
    <w:rsid w:val="0D8D3537"/>
    <w:rsid w:val="0DA44C4F"/>
    <w:rsid w:val="0DA63D3D"/>
    <w:rsid w:val="0DAC0338"/>
    <w:rsid w:val="0DAC7CEF"/>
    <w:rsid w:val="0DAD62D1"/>
    <w:rsid w:val="0DBB4523"/>
    <w:rsid w:val="0DC44BEA"/>
    <w:rsid w:val="0DC906B2"/>
    <w:rsid w:val="0DD265EC"/>
    <w:rsid w:val="0DD43F77"/>
    <w:rsid w:val="0DD67454"/>
    <w:rsid w:val="0DDF4F23"/>
    <w:rsid w:val="0DE805D5"/>
    <w:rsid w:val="0DFE3130"/>
    <w:rsid w:val="0E052416"/>
    <w:rsid w:val="0E20647A"/>
    <w:rsid w:val="0E2B77B0"/>
    <w:rsid w:val="0E304F48"/>
    <w:rsid w:val="0E33779F"/>
    <w:rsid w:val="0E342691"/>
    <w:rsid w:val="0E3E07E5"/>
    <w:rsid w:val="0E3F41A7"/>
    <w:rsid w:val="0E44758C"/>
    <w:rsid w:val="0E4504CC"/>
    <w:rsid w:val="0E4D0FC1"/>
    <w:rsid w:val="0E4D306B"/>
    <w:rsid w:val="0E511DEE"/>
    <w:rsid w:val="0E5753B1"/>
    <w:rsid w:val="0E6370CE"/>
    <w:rsid w:val="0E7C4A82"/>
    <w:rsid w:val="0E8E520D"/>
    <w:rsid w:val="0E8F336A"/>
    <w:rsid w:val="0E8F359F"/>
    <w:rsid w:val="0E917529"/>
    <w:rsid w:val="0E9E63FD"/>
    <w:rsid w:val="0EB75DD5"/>
    <w:rsid w:val="0EC25A79"/>
    <w:rsid w:val="0EC345DF"/>
    <w:rsid w:val="0EC57F43"/>
    <w:rsid w:val="0ECA7B73"/>
    <w:rsid w:val="0ECD648E"/>
    <w:rsid w:val="0EDA7ABD"/>
    <w:rsid w:val="0EE16478"/>
    <w:rsid w:val="0EE9317A"/>
    <w:rsid w:val="0F000C96"/>
    <w:rsid w:val="0F030982"/>
    <w:rsid w:val="0F0F50B1"/>
    <w:rsid w:val="0F260E94"/>
    <w:rsid w:val="0F266F83"/>
    <w:rsid w:val="0F292A93"/>
    <w:rsid w:val="0F2B39D9"/>
    <w:rsid w:val="0F332828"/>
    <w:rsid w:val="0F383593"/>
    <w:rsid w:val="0F3C7A41"/>
    <w:rsid w:val="0F5346EB"/>
    <w:rsid w:val="0F565E8D"/>
    <w:rsid w:val="0F5E2F7D"/>
    <w:rsid w:val="0F6969BF"/>
    <w:rsid w:val="0F6B43C5"/>
    <w:rsid w:val="0F7113C1"/>
    <w:rsid w:val="0F76462C"/>
    <w:rsid w:val="0F767D88"/>
    <w:rsid w:val="0F7958FE"/>
    <w:rsid w:val="0F803C04"/>
    <w:rsid w:val="0F895627"/>
    <w:rsid w:val="0F8B0C31"/>
    <w:rsid w:val="0F927664"/>
    <w:rsid w:val="0F9321FE"/>
    <w:rsid w:val="0FA04150"/>
    <w:rsid w:val="0FA40C23"/>
    <w:rsid w:val="0FAF6943"/>
    <w:rsid w:val="0FB7141D"/>
    <w:rsid w:val="0FB72367"/>
    <w:rsid w:val="0FB73E77"/>
    <w:rsid w:val="0FB9413C"/>
    <w:rsid w:val="0FC47664"/>
    <w:rsid w:val="0FC86559"/>
    <w:rsid w:val="0FED0854"/>
    <w:rsid w:val="0FED3576"/>
    <w:rsid w:val="0FF63E22"/>
    <w:rsid w:val="0FFD41BD"/>
    <w:rsid w:val="0FFD5200"/>
    <w:rsid w:val="10211950"/>
    <w:rsid w:val="10213F6E"/>
    <w:rsid w:val="103247B3"/>
    <w:rsid w:val="104071D9"/>
    <w:rsid w:val="1042731E"/>
    <w:rsid w:val="104273D7"/>
    <w:rsid w:val="10445B9A"/>
    <w:rsid w:val="10494F32"/>
    <w:rsid w:val="10560D06"/>
    <w:rsid w:val="10640B9B"/>
    <w:rsid w:val="10651D23"/>
    <w:rsid w:val="10655C5D"/>
    <w:rsid w:val="10673933"/>
    <w:rsid w:val="108B5275"/>
    <w:rsid w:val="108B623E"/>
    <w:rsid w:val="109E5FEF"/>
    <w:rsid w:val="10BA0DCE"/>
    <w:rsid w:val="10BE4C93"/>
    <w:rsid w:val="10C20B10"/>
    <w:rsid w:val="10C3101B"/>
    <w:rsid w:val="10C876B1"/>
    <w:rsid w:val="10CA34E1"/>
    <w:rsid w:val="10CE5C82"/>
    <w:rsid w:val="10D25FC1"/>
    <w:rsid w:val="10D26878"/>
    <w:rsid w:val="10DA4B72"/>
    <w:rsid w:val="10DD09CE"/>
    <w:rsid w:val="10EB2C42"/>
    <w:rsid w:val="10ED1D0E"/>
    <w:rsid w:val="10EE684F"/>
    <w:rsid w:val="10F535D3"/>
    <w:rsid w:val="11082CF7"/>
    <w:rsid w:val="11153FC3"/>
    <w:rsid w:val="111D7E38"/>
    <w:rsid w:val="1123195D"/>
    <w:rsid w:val="113F126E"/>
    <w:rsid w:val="11447A47"/>
    <w:rsid w:val="115600D4"/>
    <w:rsid w:val="115920CE"/>
    <w:rsid w:val="11647B2C"/>
    <w:rsid w:val="1174468E"/>
    <w:rsid w:val="117C32EA"/>
    <w:rsid w:val="118834E8"/>
    <w:rsid w:val="119908C2"/>
    <w:rsid w:val="119D7651"/>
    <w:rsid w:val="119E09B8"/>
    <w:rsid w:val="11B1006A"/>
    <w:rsid w:val="11B62D7E"/>
    <w:rsid w:val="11B708F2"/>
    <w:rsid w:val="11C02D2E"/>
    <w:rsid w:val="11C605E7"/>
    <w:rsid w:val="11D37EA7"/>
    <w:rsid w:val="11D72CBF"/>
    <w:rsid w:val="11E90B6B"/>
    <w:rsid w:val="11ED3D2F"/>
    <w:rsid w:val="11F400C8"/>
    <w:rsid w:val="11F538AA"/>
    <w:rsid w:val="11F67003"/>
    <w:rsid w:val="11F81593"/>
    <w:rsid w:val="11FE3E97"/>
    <w:rsid w:val="1203277A"/>
    <w:rsid w:val="1206792D"/>
    <w:rsid w:val="12213B73"/>
    <w:rsid w:val="1228182C"/>
    <w:rsid w:val="12312169"/>
    <w:rsid w:val="124368EB"/>
    <w:rsid w:val="12455342"/>
    <w:rsid w:val="12566960"/>
    <w:rsid w:val="1259358F"/>
    <w:rsid w:val="12594D28"/>
    <w:rsid w:val="125C0F94"/>
    <w:rsid w:val="12665399"/>
    <w:rsid w:val="127220C8"/>
    <w:rsid w:val="12735809"/>
    <w:rsid w:val="127B5761"/>
    <w:rsid w:val="127C1D9A"/>
    <w:rsid w:val="12823195"/>
    <w:rsid w:val="12823F18"/>
    <w:rsid w:val="12861640"/>
    <w:rsid w:val="128A1CAF"/>
    <w:rsid w:val="129530C6"/>
    <w:rsid w:val="129659CF"/>
    <w:rsid w:val="129F3C34"/>
    <w:rsid w:val="12A1706C"/>
    <w:rsid w:val="12A27DC3"/>
    <w:rsid w:val="12A56C60"/>
    <w:rsid w:val="12AC1D5A"/>
    <w:rsid w:val="12AF17AA"/>
    <w:rsid w:val="12B508B1"/>
    <w:rsid w:val="12B65B63"/>
    <w:rsid w:val="12B7019C"/>
    <w:rsid w:val="12BD5E1D"/>
    <w:rsid w:val="12C02958"/>
    <w:rsid w:val="12CB4575"/>
    <w:rsid w:val="12CC46EC"/>
    <w:rsid w:val="12CF5487"/>
    <w:rsid w:val="12D4727E"/>
    <w:rsid w:val="12D71F2E"/>
    <w:rsid w:val="12E31BDE"/>
    <w:rsid w:val="12E83881"/>
    <w:rsid w:val="12EC7AE9"/>
    <w:rsid w:val="13017E87"/>
    <w:rsid w:val="13050111"/>
    <w:rsid w:val="13063F06"/>
    <w:rsid w:val="13071595"/>
    <w:rsid w:val="13071DA4"/>
    <w:rsid w:val="130E780C"/>
    <w:rsid w:val="13117D70"/>
    <w:rsid w:val="131A335A"/>
    <w:rsid w:val="132D1528"/>
    <w:rsid w:val="13311601"/>
    <w:rsid w:val="13313BF8"/>
    <w:rsid w:val="13425FE7"/>
    <w:rsid w:val="135720BE"/>
    <w:rsid w:val="135D2CF2"/>
    <w:rsid w:val="13646528"/>
    <w:rsid w:val="137131BB"/>
    <w:rsid w:val="137A683C"/>
    <w:rsid w:val="1384637C"/>
    <w:rsid w:val="138B328C"/>
    <w:rsid w:val="138C5731"/>
    <w:rsid w:val="138D108E"/>
    <w:rsid w:val="13903825"/>
    <w:rsid w:val="139C5FF5"/>
    <w:rsid w:val="139D1015"/>
    <w:rsid w:val="13A37472"/>
    <w:rsid w:val="13A9686B"/>
    <w:rsid w:val="13B04A88"/>
    <w:rsid w:val="13B84F5A"/>
    <w:rsid w:val="13BB1CF9"/>
    <w:rsid w:val="13C46C25"/>
    <w:rsid w:val="13C54FC2"/>
    <w:rsid w:val="13C83C17"/>
    <w:rsid w:val="13CD3FA3"/>
    <w:rsid w:val="13D645AE"/>
    <w:rsid w:val="13DD3F4F"/>
    <w:rsid w:val="13DE2A6A"/>
    <w:rsid w:val="140D6D71"/>
    <w:rsid w:val="141E0717"/>
    <w:rsid w:val="14295B21"/>
    <w:rsid w:val="14297453"/>
    <w:rsid w:val="142B0848"/>
    <w:rsid w:val="143907F8"/>
    <w:rsid w:val="143E5B17"/>
    <w:rsid w:val="144B12F1"/>
    <w:rsid w:val="14540C19"/>
    <w:rsid w:val="145D40F9"/>
    <w:rsid w:val="146429B0"/>
    <w:rsid w:val="146733DC"/>
    <w:rsid w:val="146F51D9"/>
    <w:rsid w:val="146F79EF"/>
    <w:rsid w:val="148963AA"/>
    <w:rsid w:val="14B25F3D"/>
    <w:rsid w:val="14B47C73"/>
    <w:rsid w:val="14B74712"/>
    <w:rsid w:val="14BD517C"/>
    <w:rsid w:val="14C13985"/>
    <w:rsid w:val="14CF2F4A"/>
    <w:rsid w:val="14DF0BA2"/>
    <w:rsid w:val="14E13ABE"/>
    <w:rsid w:val="14EC111C"/>
    <w:rsid w:val="14F2047A"/>
    <w:rsid w:val="14F2438D"/>
    <w:rsid w:val="14FD260F"/>
    <w:rsid w:val="15060D13"/>
    <w:rsid w:val="1508059A"/>
    <w:rsid w:val="150A0F40"/>
    <w:rsid w:val="150A1CAF"/>
    <w:rsid w:val="15115FBE"/>
    <w:rsid w:val="151E58BF"/>
    <w:rsid w:val="152864F1"/>
    <w:rsid w:val="152A4D86"/>
    <w:rsid w:val="152D0EAD"/>
    <w:rsid w:val="153426C4"/>
    <w:rsid w:val="15412E70"/>
    <w:rsid w:val="15457C9B"/>
    <w:rsid w:val="15474C21"/>
    <w:rsid w:val="154B3B30"/>
    <w:rsid w:val="154C5769"/>
    <w:rsid w:val="155B25A5"/>
    <w:rsid w:val="155B51EC"/>
    <w:rsid w:val="155D63FE"/>
    <w:rsid w:val="1566616E"/>
    <w:rsid w:val="15696B91"/>
    <w:rsid w:val="157152F0"/>
    <w:rsid w:val="158A0510"/>
    <w:rsid w:val="159E61E2"/>
    <w:rsid w:val="15A24385"/>
    <w:rsid w:val="15A31535"/>
    <w:rsid w:val="15A4548C"/>
    <w:rsid w:val="15A75661"/>
    <w:rsid w:val="15A91D18"/>
    <w:rsid w:val="15B14D7D"/>
    <w:rsid w:val="15BB6C7B"/>
    <w:rsid w:val="15C87753"/>
    <w:rsid w:val="15D41C79"/>
    <w:rsid w:val="15D84B69"/>
    <w:rsid w:val="15DB3018"/>
    <w:rsid w:val="15DD706A"/>
    <w:rsid w:val="15E85EA3"/>
    <w:rsid w:val="15F37BF8"/>
    <w:rsid w:val="15FC1EE1"/>
    <w:rsid w:val="15FD4136"/>
    <w:rsid w:val="1608552B"/>
    <w:rsid w:val="160F1A18"/>
    <w:rsid w:val="16105D65"/>
    <w:rsid w:val="161B6D47"/>
    <w:rsid w:val="162330D6"/>
    <w:rsid w:val="162A45AF"/>
    <w:rsid w:val="162D2511"/>
    <w:rsid w:val="163663F7"/>
    <w:rsid w:val="163F32EB"/>
    <w:rsid w:val="165364C3"/>
    <w:rsid w:val="165A2BDE"/>
    <w:rsid w:val="16636CE1"/>
    <w:rsid w:val="166E0A8A"/>
    <w:rsid w:val="166F1D3D"/>
    <w:rsid w:val="16706B4D"/>
    <w:rsid w:val="16710DF6"/>
    <w:rsid w:val="1673768F"/>
    <w:rsid w:val="16752821"/>
    <w:rsid w:val="16792576"/>
    <w:rsid w:val="16806552"/>
    <w:rsid w:val="16826733"/>
    <w:rsid w:val="168523D3"/>
    <w:rsid w:val="168B4CC3"/>
    <w:rsid w:val="1692495E"/>
    <w:rsid w:val="16A100CA"/>
    <w:rsid w:val="16AA4DAF"/>
    <w:rsid w:val="16AD1756"/>
    <w:rsid w:val="16AE01A6"/>
    <w:rsid w:val="16B23F2C"/>
    <w:rsid w:val="16B943F6"/>
    <w:rsid w:val="16D04FC6"/>
    <w:rsid w:val="16D15FD8"/>
    <w:rsid w:val="16D33E72"/>
    <w:rsid w:val="16D7709E"/>
    <w:rsid w:val="16D91158"/>
    <w:rsid w:val="16DA7D18"/>
    <w:rsid w:val="16E97EF9"/>
    <w:rsid w:val="16F10E05"/>
    <w:rsid w:val="16F459EF"/>
    <w:rsid w:val="16F5440C"/>
    <w:rsid w:val="17006251"/>
    <w:rsid w:val="170B17C5"/>
    <w:rsid w:val="17137909"/>
    <w:rsid w:val="171A0E17"/>
    <w:rsid w:val="171B65B0"/>
    <w:rsid w:val="171E24D6"/>
    <w:rsid w:val="171E475F"/>
    <w:rsid w:val="172E4346"/>
    <w:rsid w:val="17384267"/>
    <w:rsid w:val="173F2DB2"/>
    <w:rsid w:val="1745697B"/>
    <w:rsid w:val="17477185"/>
    <w:rsid w:val="1748044E"/>
    <w:rsid w:val="174D23F4"/>
    <w:rsid w:val="17532E5E"/>
    <w:rsid w:val="175937E0"/>
    <w:rsid w:val="17632C36"/>
    <w:rsid w:val="17661D2D"/>
    <w:rsid w:val="176A54AD"/>
    <w:rsid w:val="176F1347"/>
    <w:rsid w:val="1780603B"/>
    <w:rsid w:val="1787339D"/>
    <w:rsid w:val="17A245DC"/>
    <w:rsid w:val="17A61C6F"/>
    <w:rsid w:val="17B0594D"/>
    <w:rsid w:val="17B27A9B"/>
    <w:rsid w:val="17B71124"/>
    <w:rsid w:val="17B926ED"/>
    <w:rsid w:val="17BA79E2"/>
    <w:rsid w:val="17BC4772"/>
    <w:rsid w:val="17CA65CA"/>
    <w:rsid w:val="17D12728"/>
    <w:rsid w:val="17D24DD8"/>
    <w:rsid w:val="17E60A7A"/>
    <w:rsid w:val="17E64EE8"/>
    <w:rsid w:val="17EF54C7"/>
    <w:rsid w:val="17F07560"/>
    <w:rsid w:val="17F84D97"/>
    <w:rsid w:val="17FB38A2"/>
    <w:rsid w:val="18030739"/>
    <w:rsid w:val="18090844"/>
    <w:rsid w:val="180C0AFD"/>
    <w:rsid w:val="18117B13"/>
    <w:rsid w:val="181870D4"/>
    <w:rsid w:val="182251D3"/>
    <w:rsid w:val="182E5E4C"/>
    <w:rsid w:val="1833144C"/>
    <w:rsid w:val="183E096C"/>
    <w:rsid w:val="18405499"/>
    <w:rsid w:val="184F2CDA"/>
    <w:rsid w:val="18685DE7"/>
    <w:rsid w:val="186A2283"/>
    <w:rsid w:val="1876019B"/>
    <w:rsid w:val="187A04C6"/>
    <w:rsid w:val="187C0DEA"/>
    <w:rsid w:val="188365CF"/>
    <w:rsid w:val="189B0547"/>
    <w:rsid w:val="189F6C54"/>
    <w:rsid w:val="18A32D9F"/>
    <w:rsid w:val="18A73433"/>
    <w:rsid w:val="18A763D9"/>
    <w:rsid w:val="18AB19DB"/>
    <w:rsid w:val="18AD51D7"/>
    <w:rsid w:val="18AE37F5"/>
    <w:rsid w:val="18BF1EA7"/>
    <w:rsid w:val="18CF38EA"/>
    <w:rsid w:val="18D11090"/>
    <w:rsid w:val="18D25C5F"/>
    <w:rsid w:val="18DB65A0"/>
    <w:rsid w:val="18E03DC5"/>
    <w:rsid w:val="18EA00FB"/>
    <w:rsid w:val="18EE3586"/>
    <w:rsid w:val="18F46A0A"/>
    <w:rsid w:val="18FA3995"/>
    <w:rsid w:val="18FB18A2"/>
    <w:rsid w:val="18FB50F2"/>
    <w:rsid w:val="190A14A1"/>
    <w:rsid w:val="19161AC1"/>
    <w:rsid w:val="19234C01"/>
    <w:rsid w:val="19273717"/>
    <w:rsid w:val="192D0E31"/>
    <w:rsid w:val="192E2A29"/>
    <w:rsid w:val="192E7999"/>
    <w:rsid w:val="193261D5"/>
    <w:rsid w:val="1933023C"/>
    <w:rsid w:val="19354C84"/>
    <w:rsid w:val="19584C54"/>
    <w:rsid w:val="195949B2"/>
    <w:rsid w:val="19677EDB"/>
    <w:rsid w:val="19681C0E"/>
    <w:rsid w:val="19751E5F"/>
    <w:rsid w:val="197B3BBA"/>
    <w:rsid w:val="197D3E1E"/>
    <w:rsid w:val="198763E2"/>
    <w:rsid w:val="19893D9E"/>
    <w:rsid w:val="198A612F"/>
    <w:rsid w:val="19903A06"/>
    <w:rsid w:val="19963121"/>
    <w:rsid w:val="199E7A91"/>
    <w:rsid w:val="19CA2ECA"/>
    <w:rsid w:val="19CB2EF4"/>
    <w:rsid w:val="19D87405"/>
    <w:rsid w:val="19E055A8"/>
    <w:rsid w:val="19E0599C"/>
    <w:rsid w:val="19F11A9A"/>
    <w:rsid w:val="1A036BA3"/>
    <w:rsid w:val="1A0B43D6"/>
    <w:rsid w:val="1A0D279E"/>
    <w:rsid w:val="1A174638"/>
    <w:rsid w:val="1A203864"/>
    <w:rsid w:val="1A241336"/>
    <w:rsid w:val="1A2C531A"/>
    <w:rsid w:val="1A31116E"/>
    <w:rsid w:val="1A311711"/>
    <w:rsid w:val="1A3146DE"/>
    <w:rsid w:val="1A3C76F6"/>
    <w:rsid w:val="1A3E158C"/>
    <w:rsid w:val="1A401B3F"/>
    <w:rsid w:val="1A4101E8"/>
    <w:rsid w:val="1A4F3D41"/>
    <w:rsid w:val="1A5E03C2"/>
    <w:rsid w:val="1A5E2B30"/>
    <w:rsid w:val="1A67697A"/>
    <w:rsid w:val="1A6B29D9"/>
    <w:rsid w:val="1A6E5D76"/>
    <w:rsid w:val="1A716BEE"/>
    <w:rsid w:val="1A7421CF"/>
    <w:rsid w:val="1A7936B8"/>
    <w:rsid w:val="1A8A0F34"/>
    <w:rsid w:val="1A9E0C15"/>
    <w:rsid w:val="1A9F4369"/>
    <w:rsid w:val="1AA743DD"/>
    <w:rsid w:val="1AA96E85"/>
    <w:rsid w:val="1AAA519D"/>
    <w:rsid w:val="1AB1441B"/>
    <w:rsid w:val="1AB50EE5"/>
    <w:rsid w:val="1AB6087E"/>
    <w:rsid w:val="1AC31C19"/>
    <w:rsid w:val="1ACA3EF9"/>
    <w:rsid w:val="1AD054F8"/>
    <w:rsid w:val="1AD4046B"/>
    <w:rsid w:val="1AE342EA"/>
    <w:rsid w:val="1AE56801"/>
    <w:rsid w:val="1AE678CE"/>
    <w:rsid w:val="1AE946EE"/>
    <w:rsid w:val="1AEE5D74"/>
    <w:rsid w:val="1AF62694"/>
    <w:rsid w:val="1AFA3537"/>
    <w:rsid w:val="1AFA67BD"/>
    <w:rsid w:val="1AFD7373"/>
    <w:rsid w:val="1B090710"/>
    <w:rsid w:val="1B0A5DC1"/>
    <w:rsid w:val="1B0D0F4D"/>
    <w:rsid w:val="1B0E73B3"/>
    <w:rsid w:val="1B107B2E"/>
    <w:rsid w:val="1B11251A"/>
    <w:rsid w:val="1B1D3DDF"/>
    <w:rsid w:val="1B2916E5"/>
    <w:rsid w:val="1B2F4EE7"/>
    <w:rsid w:val="1B307BAB"/>
    <w:rsid w:val="1B40507B"/>
    <w:rsid w:val="1B506076"/>
    <w:rsid w:val="1B5A5883"/>
    <w:rsid w:val="1B5F7FA7"/>
    <w:rsid w:val="1B63668C"/>
    <w:rsid w:val="1B75252A"/>
    <w:rsid w:val="1B773D4F"/>
    <w:rsid w:val="1B7C14A1"/>
    <w:rsid w:val="1B821D08"/>
    <w:rsid w:val="1B862833"/>
    <w:rsid w:val="1B8F4135"/>
    <w:rsid w:val="1B8F46A0"/>
    <w:rsid w:val="1B931345"/>
    <w:rsid w:val="1B96294F"/>
    <w:rsid w:val="1BA0432B"/>
    <w:rsid w:val="1BB134E1"/>
    <w:rsid w:val="1BB77278"/>
    <w:rsid w:val="1BBA7D60"/>
    <w:rsid w:val="1BBE150F"/>
    <w:rsid w:val="1BBE4EC6"/>
    <w:rsid w:val="1BC12143"/>
    <w:rsid w:val="1BC46939"/>
    <w:rsid w:val="1BC83389"/>
    <w:rsid w:val="1BD029B6"/>
    <w:rsid w:val="1BD46CB0"/>
    <w:rsid w:val="1BD5178C"/>
    <w:rsid w:val="1BD97A80"/>
    <w:rsid w:val="1BDB5678"/>
    <w:rsid w:val="1BE5517E"/>
    <w:rsid w:val="1BE71058"/>
    <w:rsid w:val="1BEA3EE6"/>
    <w:rsid w:val="1BEB4C2C"/>
    <w:rsid w:val="1BEB7AB6"/>
    <w:rsid w:val="1BF27CCF"/>
    <w:rsid w:val="1BFA3269"/>
    <w:rsid w:val="1C0434B2"/>
    <w:rsid w:val="1C056ECA"/>
    <w:rsid w:val="1C157D90"/>
    <w:rsid w:val="1C1E2199"/>
    <w:rsid w:val="1C1F6CF4"/>
    <w:rsid w:val="1C216234"/>
    <w:rsid w:val="1C2B7889"/>
    <w:rsid w:val="1C3B7046"/>
    <w:rsid w:val="1C3D13EB"/>
    <w:rsid w:val="1C4050AC"/>
    <w:rsid w:val="1C4C143F"/>
    <w:rsid w:val="1C5803C7"/>
    <w:rsid w:val="1C601A1B"/>
    <w:rsid w:val="1C617A22"/>
    <w:rsid w:val="1C65129F"/>
    <w:rsid w:val="1C6E2DCC"/>
    <w:rsid w:val="1C726E7C"/>
    <w:rsid w:val="1C7437E0"/>
    <w:rsid w:val="1C795E0D"/>
    <w:rsid w:val="1C7D08AC"/>
    <w:rsid w:val="1C7F13F7"/>
    <w:rsid w:val="1C803DBA"/>
    <w:rsid w:val="1C843076"/>
    <w:rsid w:val="1C8B02A0"/>
    <w:rsid w:val="1C8F2CAC"/>
    <w:rsid w:val="1C945E62"/>
    <w:rsid w:val="1C95113D"/>
    <w:rsid w:val="1C9B54DF"/>
    <w:rsid w:val="1CAB6E93"/>
    <w:rsid w:val="1CB75B94"/>
    <w:rsid w:val="1CB772D9"/>
    <w:rsid w:val="1CBB5035"/>
    <w:rsid w:val="1CBE5564"/>
    <w:rsid w:val="1CC0422B"/>
    <w:rsid w:val="1CCA246C"/>
    <w:rsid w:val="1CCC703D"/>
    <w:rsid w:val="1CD63CAB"/>
    <w:rsid w:val="1CD840AA"/>
    <w:rsid w:val="1CE20E79"/>
    <w:rsid w:val="1CE767B2"/>
    <w:rsid w:val="1CF10230"/>
    <w:rsid w:val="1CFA1714"/>
    <w:rsid w:val="1CFC7D16"/>
    <w:rsid w:val="1D040938"/>
    <w:rsid w:val="1D065F12"/>
    <w:rsid w:val="1D0D0186"/>
    <w:rsid w:val="1D0E580F"/>
    <w:rsid w:val="1D0F4A6C"/>
    <w:rsid w:val="1D1260BF"/>
    <w:rsid w:val="1D1518E9"/>
    <w:rsid w:val="1D201BEC"/>
    <w:rsid w:val="1D2A5313"/>
    <w:rsid w:val="1D405181"/>
    <w:rsid w:val="1D495458"/>
    <w:rsid w:val="1D504FA4"/>
    <w:rsid w:val="1D5507B0"/>
    <w:rsid w:val="1D5C1E36"/>
    <w:rsid w:val="1D5E0613"/>
    <w:rsid w:val="1D846372"/>
    <w:rsid w:val="1D975171"/>
    <w:rsid w:val="1D9D356A"/>
    <w:rsid w:val="1D9E440E"/>
    <w:rsid w:val="1DAC3AA0"/>
    <w:rsid w:val="1DB37CFA"/>
    <w:rsid w:val="1DBD5182"/>
    <w:rsid w:val="1DC271F0"/>
    <w:rsid w:val="1DC82412"/>
    <w:rsid w:val="1DD67516"/>
    <w:rsid w:val="1DDC2BB3"/>
    <w:rsid w:val="1DEA0685"/>
    <w:rsid w:val="1DEC327A"/>
    <w:rsid w:val="1DEF076F"/>
    <w:rsid w:val="1DF705C3"/>
    <w:rsid w:val="1DF92447"/>
    <w:rsid w:val="1E036FCE"/>
    <w:rsid w:val="1E0C2701"/>
    <w:rsid w:val="1E0E6AFA"/>
    <w:rsid w:val="1E0F7022"/>
    <w:rsid w:val="1E1044A3"/>
    <w:rsid w:val="1E1C3098"/>
    <w:rsid w:val="1E1D398A"/>
    <w:rsid w:val="1E37321D"/>
    <w:rsid w:val="1E3A3838"/>
    <w:rsid w:val="1E4104FD"/>
    <w:rsid w:val="1E4163FC"/>
    <w:rsid w:val="1E4241EF"/>
    <w:rsid w:val="1E4419FE"/>
    <w:rsid w:val="1E4E1A57"/>
    <w:rsid w:val="1E4E34C7"/>
    <w:rsid w:val="1E4E4A3D"/>
    <w:rsid w:val="1E581686"/>
    <w:rsid w:val="1E5B4AA6"/>
    <w:rsid w:val="1E6500BF"/>
    <w:rsid w:val="1E6502D1"/>
    <w:rsid w:val="1E690A57"/>
    <w:rsid w:val="1E6E0489"/>
    <w:rsid w:val="1E6F7DA5"/>
    <w:rsid w:val="1E74426A"/>
    <w:rsid w:val="1E82066D"/>
    <w:rsid w:val="1E84533D"/>
    <w:rsid w:val="1E850848"/>
    <w:rsid w:val="1E943E4C"/>
    <w:rsid w:val="1E987366"/>
    <w:rsid w:val="1EB82435"/>
    <w:rsid w:val="1EBA2573"/>
    <w:rsid w:val="1EC25CD2"/>
    <w:rsid w:val="1ECA4FED"/>
    <w:rsid w:val="1ED36602"/>
    <w:rsid w:val="1ED3667D"/>
    <w:rsid w:val="1ED460BE"/>
    <w:rsid w:val="1ED61CF8"/>
    <w:rsid w:val="1ED918F0"/>
    <w:rsid w:val="1EDA0D8A"/>
    <w:rsid w:val="1EDF6C2C"/>
    <w:rsid w:val="1EE06C8F"/>
    <w:rsid w:val="1EEB5D4D"/>
    <w:rsid w:val="1EED77D2"/>
    <w:rsid w:val="1EF24653"/>
    <w:rsid w:val="1EF24C05"/>
    <w:rsid w:val="1EF97345"/>
    <w:rsid w:val="1EFA6C70"/>
    <w:rsid w:val="1F036C0B"/>
    <w:rsid w:val="1F0C0694"/>
    <w:rsid w:val="1F147ED5"/>
    <w:rsid w:val="1F171632"/>
    <w:rsid w:val="1F181798"/>
    <w:rsid w:val="1F1D0099"/>
    <w:rsid w:val="1F233E4E"/>
    <w:rsid w:val="1F247CB0"/>
    <w:rsid w:val="1F2A6433"/>
    <w:rsid w:val="1F3472CB"/>
    <w:rsid w:val="1F3B0C11"/>
    <w:rsid w:val="1F3C1D54"/>
    <w:rsid w:val="1F3F7B73"/>
    <w:rsid w:val="1F44301F"/>
    <w:rsid w:val="1F467EB2"/>
    <w:rsid w:val="1F4B15BC"/>
    <w:rsid w:val="1F4E349A"/>
    <w:rsid w:val="1F506314"/>
    <w:rsid w:val="1F5533D5"/>
    <w:rsid w:val="1F59095F"/>
    <w:rsid w:val="1F5B0028"/>
    <w:rsid w:val="1F72557D"/>
    <w:rsid w:val="1F903753"/>
    <w:rsid w:val="1F9610B3"/>
    <w:rsid w:val="1F9772EB"/>
    <w:rsid w:val="1F9B1D74"/>
    <w:rsid w:val="1F9C61E7"/>
    <w:rsid w:val="1FA318D5"/>
    <w:rsid w:val="1FA7646C"/>
    <w:rsid w:val="1FB13D6B"/>
    <w:rsid w:val="1FB47A2F"/>
    <w:rsid w:val="1FB7103A"/>
    <w:rsid w:val="1FB913D8"/>
    <w:rsid w:val="1FBA2CF7"/>
    <w:rsid w:val="1FBE7431"/>
    <w:rsid w:val="1FE52321"/>
    <w:rsid w:val="1FE70D17"/>
    <w:rsid w:val="1FF5147F"/>
    <w:rsid w:val="20014E73"/>
    <w:rsid w:val="20036D5E"/>
    <w:rsid w:val="20076AE7"/>
    <w:rsid w:val="20197940"/>
    <w:rsid w:val="20410870"/>
    <w:rsid w:val="204209A9"/>
    <w:rsid w:val="204B16C3"/>
    <w:rsid w:val="20677BEA"/>
    <w:rsid w:val="20692DF1"/>
    <w:rsid w:val="206C2809"/>
    <w:rsid w:val="206E7D70"/>
    <w:rsid w:val="206F43D6"/>
    <w:rsid w:val="20791826"/>
    <w:rsid w:val="207C288D"/>
    <w:rsid w:val="207E424C"/>
    <w:rsid w:val="207F53D7"/>
    <w:rsid w:val="208828C6"/>
    <w:rsid w:val="208E1536"/>
    <w:rsid w:val="20945EC6"/>
    <w:rsid w:val="209C05EA"/>
    <w:rsid w:val="20A929C8"/>
    <w:rsid w:val="20B36E9E"/>
    <w:rsid w:val="20B53B26"/>
    <w:rsid w:val="20B61DE1"/>
    <w:rsid w:val="20C841BD"/>
    <w:rsid w:val="20CC6E4D"/>
    <w:rsid w:val="20D2281D"/>
    <w:rsid w:val="20D95B86"/>
    <w:rsid w:val="20EB0D84"/>
    <w:rsid w:val="20ED6CE8"/>
    <w:rsid w:val="20F30FEF"/>
    <w:rsid w:val="20FE3FDE"/>
    <w:rsid w:val="21192317"/>
    <w:rsid w:val="21277ACF"/>
    <w:rsid w:val="21321A13"/>
    <w:rsid w:val="21390795"/>
    <w:rsid w:val="214404C9"/>
    <w:rsid w:val="2146568B"/>
    <w:rsid w:val="2147236C"/>
    <w:rsid w:val="21490C41"/>
    <w:rsid w:val="214E496B"/>
    <w:rsid w:val="215B3BB0"/>
    <w:rsid w:val="215C3726"/>
    <w:rsid w:val="215C78D1"/>
    <w:rsid w:val="21813113"/>
    <w:rsid w:val="21815F4B"/>
    <w:rsid w:val="218615EC"/>
    <w:rsid w:val="21883C8D"/>
    <w:rsid w:val="218C2F9C"/>
    <w:rsid w:val="21983513"/>
    <w:rsid w:val="219A43F9"/>
    <w:rsid w:val="21A56AF5"/>
    <w:rsid w:val="21BF445C"/>
    <w:rsid w:val="21E13C58"/>
    <w:rsid w:val="21E5308A"/>
    <w:rsid w:val="21E761D0"/>
    <w:rsid w:val="220138FF"/>
    <w:rsid w:val="22020F9C"/>
    <w:rsid w:val="22033DA0"/>
    <w:rsid w:val="220F5C44"/>
    <w:rsid w:val="22153CEF"/>
    <w:rsid w:val="22175EE5"/>
    <w:rsid w:val="222B0537"/>
    <w:rsid w:val="22311C10"/>
    <w:rsid w:val="224A108D"/>
    <w:rsid w:val="224A76E8"/>
    <w:rsid w:val="224C3665"/>
    <w:rsid w:val="224E530E"/>
    <w:rsid w:val="22601A2F"/>
    <w:rsid w:val="227118C4"/>
    <w:rsid w:val="227A2634"/>
    <w:rsid w:val="228D2F50"/>
    <w:rsid w:val="2294211F"/>
    <w:rsid w:val="22987E08"/>
    <w:rsid w:val="229A7EDD"/>
    <w:rsid w:val="22A0444E"/>
    <w:rsid w:val="22AA5132"/>
    <w:rsid w:val="22AE0860"/>
    <w:rsid w:val="22B43C20"/>
    <w:rsid w:val="22BC0F4A"/>
    <w:rsid w:val="22C14C18"/>
    <w:rsid w:val="22C2698E"/>
    <w:rsid w:val="22C348E5"/>
    <w:rsid w:val="22CD43A7"/>
    <w:rsid w:val="22CF2FA9"/>
    <w:rsid w:val="22D32D50"/>
    <w:rsid w:val="22D410CC"/>
    <w:rsid w:val="22E267F9"/>
    <w:rsid w:val="22E448F2"/>
    <w:rsid w:val="22EB7249"/>
    <w:rsid w:val="22F9367A"/>
    <w:rsid w:val="230A382B"/>
    <w:rsid w:val="230D3B9D"/>
    <w:rsid w:val="23163498"/>
    <w:rsid w:val="231724C6"/>
    <w:rsid w:val="232240F6"/>
    <w:rsid w:val="23390503"/>
    <w:rsid w:val="233B27C1"/>
    <w:rsid w:val="23505039"/>
    <w:rsid w:val="235F5429"/>
    <w:rsid w:val="23632BB8"/>
    <w:rsid w:val="23640FB0"/>
    <w:rsid w:val="23642049"/>
    <w:rsid w:val="2368268D"/>
    <w:rsid w:val="2371139D"/>
    <w:rsid w:val="23797F46"/>
    <w:rsid w:val="23836902"/>
    <w:rsid w:val="23872CE5"/>
    <w:rsid w:val="238804F6"/>
    <w:rsid w:val="238A4AB6"/>
    <w:rsid w:val="238C3EED"/>
    <w:rsid w:val="238D422A"/>
    <w:rsid w:val="23932D62"/>
    <w:rsid w:val="23972072"/>
    <w:rsid w:val="23995E62"/>
    <w:rsid w:val="239E5DAB"/>
    <w:rsid w:val="23A76C7A"/>
    <w:rsid w:val="23A80D29"/>
    <w:rsid w:val="23B52D71"/>
    <w:rsid w:val="23BF14A7"/>
    <w:rsid w:val="23C24044"/>
    <w:rsid w:val="23CD3C1F"/>
    <w:rsid w:val="23D06E28"/>
    <w:rsid w:val="23D108F4"/>
    <w:rsid w:val="23D2373C"/>
    <w:rsid w:val="23D30F57"/>
    <w:rsid w:val="23D427EC"/>
    <w:rsid w:val="23D52455"/>
    <w:rsid w:val="23E30FB9"/>
    <w:rsid w:val="23E55BB7"/>
    <w:rsid w:val="23E86947"/>
    <w:rsid w:val="23EB0E0A"/>
    <w:rsid w:val="23F93412"/>
    <w:rsid w:val="23FE3994"/>
    <w:rsid w:val="24003E36"/>
    <w:rsid w:val="24025F67"/>
    <w:rsid w:val="24026973"/>
    <w:rsid w:val="24082FFD"/>
    <w:rsid w:val="240933B5"/>
    <w:rsid w:val="241729C7"/>
    <w:rsid w:val="241B5686"/>
    <w:rsid w:val="242C4A12"/>
    <w:rsid w:val="24325588"/>
    <w:rsid w:val="24360D1A"/>
    <w:rsid w:val="243E2796"/>
    <w:rsid w:val="243E3227"/>
    <w:rsid w:val="243F33CD"/>
    <w:rsid w:val="24457704"/>
    <w:rsid w:val="24473F3B"/>
    <w:rsid w:val="24540554"/>
    <w:rsid w:val="245A2573"/>
    <w:rsid w:val="245C6C30"/>
    <w:rsid w:val="24626C85"/>
    <w:rsid w:val="24691C87"/>
    <w:rsid w:val="246B71DD"/>
    <w:rsid w:val="24804C37"/>
    <w:rsid w:val="248165DC"/>
    <w:rsid w:val="249D0F40"/>
    <w:rsid w:val="24A572E6"/>
    <w:rsid w:val="24AE0576"/>
    <w:rsid w:val="24B842AD"/>
    <w:rsid w:val="24BB1727"/>
    <w:rsid w:val="24BD6B45"/>
    <w:rsid w:val="24C00E81"/>
    <w:rsid w:val="24CC50D0"/>
    <w:rsid w:val="24CD4D69"/>
    <w:rsid w:val="24DB4FFF"/>
    <w:rsid w:val="24E83A1F"/>
    <w:rsid w:val="24F573BB"/>
    <w:rsid w:val="24F87B69"/>
    <w:rsid w:val="24FC4ED2"/>
    <w:rsid w:val="25011468"/>
    <w:rsid w:val="25023CB2"/>
    <w:rsid w:val="250A6D88"/>
    <w:rsid w:val="251A608E"/>
    <w:rsid w:val="251D24AE"/>
    <w:rsid w:val="252129F0"/>
    <w:rsid w:val="25223DB4"/>
    <w:rsid w:val="25234B9B"/>
    <w:rsid w:val="25244912"/>
    <w:rsid w:val="252657F0"/>
    <w:rsid w:val="252C75B8"/>
    <w:rsid w:val="252F4E75"/>
    <w:rsid w:val="253359F2"/>
    <w:rsid w:val="25384E31"/>
    <w:rsid w:val="253F67E1"/>
    <w:rsid w:val="254B4B18"/>
    <w:rsid w:val="254C6617"/>
    <w:rsid w:val="25514417"/>
    <w:rsid w:val="25567657"/>
    <w:rsid w:val="25584E39"/>
    <w:rsid w:val="25622A5F"/>
    <w:rsid w:val="2572244F"/>
    <w:rsid w:val="257738AF"/>
    <w:rsid w:val="257F4A05"/>
    <w:rsid w:val="259E71CD"/>
    <w:rsid w:val="25A662D7"/>
    <w:rsid w:val="25A86E75"/>
    <w:rsid w:val="25AE2938"/>
    <w:rsid w:val="25B31D75"/>
    <w:rsid w:val="25B62DE4"/>
    <w:rsid w:val="25BB0385"/>
    <w:rsid w:val="25BC2871"/>
    <w:rsid w:val="25CA0921"/>
    <w:rsid w:val="25CB0C18"/>
    <w:rsid w:val="25D13AEB"/>
    <w:rsid w:val="25E2769B"/>
    <w:rsid w:val="25EB34F5"/>
    <w:rsid w:val="260439C2"/>
    <w:rsid w:val="2613738E"/>
    <w:rsid w:val="261D13BC"/>
    <w:rsid w:val="262B6CE7"/>
    <w:rsid w:val="26355224"/>
    <w:rsid w:val="26455B3C"/>
    <w:rsid w:val="26481395"/>
    <w:rsid w:val="26491D5B"/>
    <w:rsid w:val="26564D95"/>
    <w:rsid w:val="26635755"/>
    <w:rsid w:val="26663282"/>
    <w:rsid w:val="266C407E"/>
    <w:rsid w:val="266D5DB7"/>
    <w:rsid w:val="266F1818"/>
    <w:rsid w:val="26776AED"/>
    <w:rsid w:val="26784417"/>
    <w:rsid w:val="26831E62"/>
    <w:rsid w:val="26873A39"/>
    <w:rsid w:val="26886FB3"/>
    <w:rsid w:val="268C4B6E"/>
    <w:rsid w:val="268F769A"/>
    <w:rsid w:val="26907D50"/>
    <w:rsid w:val="269C2A2E"/>
    <w:rsid w:val="269F0E4A"/>
    <w:rsid w:val="26A96406"/>
    <w:rsid w:val="26AE3074"/>
    <w:rsid w:val="26B038E9"/>
    <w:rsid w:val="26C61FE4"/>
    <w:rsid w:val="26CA7121"/>
    <w:rsid w:val="26D54139"/>
    <w:rsid w:val="26DE480D"/>
    <w:rsid w:val="26E42734"/>
    <w:rsid w:val="26E44D57"/>
    <w:rsid w:val="26E524AA"/>
    <w:rsid w:val="26EE1993"/>
    <w:rsid w:val="26EE3EA9"/>
    <w:rsid w:val="270A178E"/>
    <w:rsid w:val="270A28F5"/>
    <w:rsid w:val="270D2469"/>
    <w:rsid w:val="271725DF"/>
    <w:rsid w:val="271B7370"/>
    <w:rsid w:val="271C25AF"/>
    <w:rsid w:val="271D191F"/>
    <w:rsid w:val="272969A2"/>
    <w:rsid w:val="27316337"/>
    <w:rsid w:val="27494C9F"/>
    <w:rsid w:val="2756711B"/>
    <w:rsid w:val="27571033"/>
    <w:rsid w:val="275C3ED9"/>
    <w:rsid w:val="275D10E9"/>
    <w:rsid w:val="27602319"/>
    <w:rsid w:val="27627383"/>
    <w:rsid w:val="276655F9"/>
    <w:rsid w:val="2774770C"/>
    <w:rsid w:val="277664C2"/>
    <w:rsid w:val="277A6B68"/>
    <w:rsid w:val="277C1DB2"/>
    <w:rsid w:val="277E6196"/>
    <w:rsid w:val="27902370"/>
    <w:rsid w:val="279132F5"/>
    <w:rsid w:val="279273E5"/>
    <w:rsid w:val="279957D8"/>
    <w:rsid w:val="279A5F86"/>
    <w:rsid w:val="27A512B4"/>
    <w:rsid w:val="27AC3F4C"/>
    <w:rsid w:val="27B11BCE"/>
    <w:rsid w:val="27B22C99"/>
    <w:rsid w:val="27B37CFF"/>
    <w:rsid w:val="27C83884"/>
    <w:rsid w:val="27D75754"/>
    <w:rsid w:val="27DD44BD"/>
    <w:rsid w:val="27DE44F3"/>
    <w:rsid w:val="27E00E49"/>
    <w:rsid w:val="27E025E3"/>
    <w:rsid w:val="27E31C81"/>
    <w:rsid w:val="27E87EB2"/>
    <w:rsid w:val="27F07EA4"/>
    <w:rsid w:val="27F843F9"/>
    <w:rsid w:val="27FC037A"/>
    <w:rsid w:val="27FC77A0"/>
    <w:rsid w:val="280011EB"/>
    <w:rsid w:val="28077C52"/>
    <w:rsid w:val="280A77E0"/>
    <w:rsid w:val="28165B2E"/>
    <w:rsid w:val="281D0F5D"/>
    <w:rsid w:val="28273885"/>
    <w:rsid w:val="2832361F"/>
    <w:rsid w:val="283D65AE"/>
    <w:rsid w:val="2847022F"/>
    <w:rsid w:val="284C53A3"/>
    <w:rsid w:val="28537D18"/>
    <w:rsid w:val="285904B0"/>
    <w:rsid w:val="28633F56"/>
    <w:rsid w:val="286C5825"/>
    <w:rsid w:val="287039E4"/>
    <w:rsid w:val="28800D94"/>
    <w:rsid w:val="2884790D"/>
    <w:rsid w:val="288904C9"/>
    <w:rsid w:val="28974527"/>
    <w:rsid w:val="289B7222"/>
    <w:rsid w:val="28A048D2"/>
    <w:rsid w:val="28A33108"/>
    <w:rsid w:val="28A42A77"/>
    <w:rsid w:val="28A51801"/>
    <w:rsid w:val="28AA34FB"/>
    <w:rsid w:val="28B9156D"/>
    <w:rsid w:val="28BA5168"/>
    <w:rsid w:val="28BB4BB3"/>
    <w:rsid w:val="28C6693F"/>
    <w:rsid w:val="28C72AD9"/>
    <w:rsid w:val="28C85178"/>
    <w:rsid w:val="28DC6197"/>
    <w:rsid w:val="28ED018C"/>
    <w:rsid w:val="28F20CD2"/>
    <w:rsid w:val="28F32944"/>
    <w:rsid w:val="28F7617F"/>
    <w:rsid w:val="28FD64D7"/>
    <w:rsid w:val="290D35E1"/>
    <w:rsid w:val="29121205"/>
    <w:rsid w:val="29153DEE"/>
    <w:rsid w:val="29224A76"/>
    <w:rsid w:val="292909F1"/>
    <w:rsid w:val="292B5E5D"/>
    <w:rsid w:val="293107D2"/>
    <w:rsid w:val="29423EF2"/>
    <w:rsid w:val="29464ACE"/>
    <w:rsid w:val="295669DA"/>
    <w:rsid w:val="29587DFA"/>
    <w:rsid w:val="29592BB1"/>
    <w:rsid w:val="295E36CF"/>
    <w:rsid w:val="296177A4"/>
    <w:rsid w:val="2965703F"/>
    <w:rsid w:val="296A3063"/>
    <w:rsid w:val="296E3DDF"/>
    <w:rsid w:val="29703302"/>
    <w:rsid w:val="297154B3"/>
    <w:rsid w:val="29727B44"/>
    <w:rsid w:val="297A56A8"/>
    <w:rsid w:val="29870EFF"/>
    <w:rsid w:val="298C5D80"/>
    <w:rsid w:val="2990451B"/>
    <w:rsid w:val="29957000"/>
    <w:rsid w:val="299F3180"/>
    <w:rsid w:val="29A15C5B"/>
    <w:rsid w:val="29A205DE"/>
    <w:rsid w:val="29AA5B4C"/>
    <w:rsid w:val="29AE6870"/>
    <w:rsid w:val="29B26810"/>
    <w:rsid w:val="29BA5809"/>
    <w:rsid w:val="29C64E2E"/>
    <w:rsid w:val="29D1351A"/>
    <w:rsid w:val="29D22306"/>
    <w:rsid w:val="29D23DD9"/>
    <w:rsid w:val="29D73B83"/>
    <w:rsid w:val="29D81D02"/>
    <w:rsid w:val="29EA7835"/>
    <w:rsid w:val="29EE6E5C"/>
    <w:rsid w:val="29F642BA"/>
    <w:rsid w:val="29F65BC9"/>
    <w:rsid w:val="29F925DD"/>
    <w:rsid w:val="29F950BF"/>
    <w:rsid w:val="29FF2DE0"/>
    <w:rsid w:val="2A025CA4"/>
    <w:rsid w:val="2A120A71"/>
    <w:rsid w:val="2A131E21"/>
    <w:rsid w:val="2A17684F"/>
    <w:rsid w:val="2A192D9F"/>
    <w:rsid w:val="2A1A0CA3"/>
    <w:rsid w:val="2A1E360D"/>
    <w:rsid w:val="2A1F7557"/>
    <w:rsid w:val="2A272C3F"/>
    <w:rsid w:val="2A3215FA"/>
    <w:rsid w:val="2A3D1040"/>
    <w:rsid w:val="2A3D200C"/>
    <w:rsid w:val="2A407BE7"/>
    <w:rsid w:val="2A462E4E"/>
    <w:rsid w:val="2A4717DC"/>
    <w:rsid w:val="2A4C3361"/>
    <w:rsid w:val="2A5B1EFD"/>
    <w:rsid w:val="2A5B40DA"/>
    <w:rsid w:val="2A6A463C"/>
    <w:rsid w:val="2A6B4CF3"/>
    <w:rsid w:val="2A6E3B38"/>
    <w:rsid w:val="2A7409D2"/>
    <w:rsid w:val="2A742098"/>
    <w:rsid w:val="2A7F4D44"/>
    <w:rsid w:val="2A7F65E1"/>
    <w:rsid w:val="2A823BDA"/>
    <w:rsid w:val="2A8A6BFC"/>
    <w:rsid w:val="2A8B562F"/>
    <w:rsid w:val="2A8B7A34"/>
    <w:rsid w:val="2A94182E"/>
    <w:rsid w:val="2A967FBC"/>
    <w:rsid w:val="2A996835"/>
    <w:rsid w:val="2A9C0585"/>
    <w:rsid w:val="2A9C66BF"/>
    <w:rsid w:val="2A9C76F4"/>
    <w:rsid w:val="2AA5589B"/>
    <w:rsid w:val="2AC22ABA"/>
    <w:rsid w:val="2AD20567"/>
    <w:rsid w:val="2AD40439"/>
    <w:rsid w:val="2AD405B4"/>
    <w:rsid w:val="2AD636E3"/>
    <w:rsid w:val="2ADE501D"/>
    <w:rsid w:val="2AE046A9"/>
    <w:rsid w:val="2AE5634E"/>
    <w:rsid w:val="2AF03F94"/>
    <w:rsid w:val="2AF1578A"/>
    <w:rsid w:val="2AF54800"/>
    <w:rsid w:val="2B124AAA"/>
    <w:rsid w:val="2B1C28C5"/>
    <w:rsid w:val="2B217AF7"/>
    <w:rsid w:val="2B237F61"/>
    <w:rsid w:val="2B256729"/>
    <w:rsid w:val="2B2C7381"/>
    <w:rsid w:val="2B33475A"/>
    <w:rsid w:val="2B342F4B"/>
    <w:rsid w:val="2B356B66"/>
    <w:rsid w:val="2B4749DA"/>
    <w:rsid w:val="2B485E04"/>
    <w:rsid w:val="2B4A732D"/>
    <w:rsid w:val="2B4B4726"/>
    <w:rsid w:val="2B604AAA"/>
    <w:rsid w:val="2B614186"/>
    <w:rsid w:val="2B6233E8"/>
    <w:rsid w:val="2B7645A4"/>
    <w:rsid w:val="2B78024E"/>
    <w:rsid w:val="2B80401C"/>
    <w:rsid w:val="2B823A00"/>
    <w:rsid w:val="2B9569B0"/>
    <w:rsid w:val="2B9D0D74"/>
    <w:rsid w:val="2BA2070E"/>
    <w:rsid w:val="2BAA5FAA"/>
    <w:rsid w:val="2BB86AF1"/>
    <w:rsid w:val="2BBD1B76"/>
    <w:rsid w:val="2BC0427F"/>
    <w:rsid w:val="2BC94187"/>
    <w:rsid w:val="2BCD636C"/>
    <w:rsid w:val="2BD01B21"/>
    <w:rsid w:val="2BDA1365"/>
    <w:rsid w:val="2BDC196B"/>
    <w:rsid w:val="2BE934F0"/>
    <w:rsid w:val="2BE95597"/>
    <w:rsid w:val="2BEA452F"/>
    <w:rsid w:val="2BFB7E49"/>
    <w:rsid w:val="2C011E18"/>
    <w:rsid w:val="2C030F60"/>
    <w:rsid w:val="2C082A04"/>
    <w:rsid w:val="2C0B3D13"/>
    <w:rsid w:val="2C1048F5"/>
    <w:rsid w:val="2C1051E7"/>
    <w:rsid w:val="2C162F47"/>
    <w:rsid w:val="2C1B2283"/>
    <w:rsid w:val="2C1E7C3A"/>
    <w:rsid w:val="2C24291A"/>
    <w:rsid w:val="2C336E27"/>
    <w:rsid w:val="2C3C1309"/>
    <w:rsid w:val="2C42026C"/>
    <w:rsid w:val="2C423208"/>
    <w:rsid w:val="2C464EB8"/>
    <w:rsid w:val="2C49519C"/>
    <w:rsid w:val="2C50325B"/>
    <w:rsid w:val="2C5129BE"/>
    <w:rsid w:val="2C5A286A"/>
    <w:rsid w:val="2C5B065F"/>
    <w:rsid w:val="2C5C6C9B"/>
    <w:rsid w:val="2C603AE0"/>
    <w:rsid w:val="2C633786"/>
    <w:rsid w:val="2C654010"/>
    <w:rsid w:val="2C691C5B"/>
    <w:rsid w:val="2C6C05F0"/>
    <w:rsid w:val="2C6E3EE3"/>
    <w:rsid w:val="2C740550"/>
    <w:rsid w:val="2C743F88"/>
    <w:rsid w:val="2C767094"/>
    <w:rsid w:val="2C7953B4"/>
    <w:rsid w:val="2C8433C2"/>
    <w:rsid w:val="2C8525C3"/>
    <w:rsid w:val="2C8B6391"/>
    <w:rsid w:val="2C8B7151"/>
    <w:rsid w:val="2C970CA7"/>
    <w:rsid w:val="2C9E4907"/>
    <w:rsid w:val="2CA27F24"/>
    <w:rsid w:val="2CA6175D"/>
    <w:rsid w:val="2CA707FF"/>
    <w:rsid w:val="2CAD2974"/>
    <w:rsid w:val="2CB15D8C"/>
    <w:rsid w:val="2CC04B44"/>
    <w:rsid w:val="2CCC3A8A"/>
    <w:rsid w:val="2CD25FF6"/>
    <w:rsid w:val="2CD6501A"/>
    <w:rsid w:val="2CE656F5"/>
    <w:rsid w:val="2CE8284E"/>
    <w:rsid w:val="2CEA2372"/>
    <w:rsid w:val="2CEB4EE3"/>
    <w:rsid w:val="2CF85B39"/>
    <w:rsid w:val="2D1234FB"/>
    <w:rsid w:val="2D184CBE"/>
    <w:rsid w:val="2D225E32"/>
    <w:rsid w:val="2D2816D8"/>
    <w:rsid w:val="2D2A5CD1"/>
    <w:rsid w:val="2D3270DB"/>
    <w:rsid w:val="2D4459A4"/>
    <w:rsid w:val="2D4F4690"/>
    <w:rsid w:val="2D656C20"/>
    <w:rsid w:val="2D6575EC"/>
    <w:rsid w:val="2D6B5FF8"/>
    <w:rsid w:val="2D6B7AAF"/>
    <w:rsid w:val="2D7153BC"/>
    <w:rsid w:val="2D723EFF"/>
    <w:rsid w:val="2D7C6E5F"/>
    <w:rsid w:val="2D872B3B"/>
    <w:rsid w:val="2D9113B8"/>
    <w:rsid w:val="2DA21756"/>
    <w:rsid w:val="2DAA3BFC"/>
    <w:rsid w:val="2DAA6907"/>
    <w:rsid w:val="2DB23579"/>
    <w:rsid w:val="2DB63D6A"/>
    <w:rsid w:val="2DD33A33"/>
    <w:rsid w:val="2DD5339A"/>
    <w:rsid w:val="2DD862A4"/>
    <w:rsid w:val="2DD970F1"/>
    <w:rsid w:val="2DDC3D01"/>
    <w:rsid w:val="2DE015CB"/>
    <w:rsid w:val="2DE079CF"/>
    <w:rsid w:val="2DE2461C"/>
    <w:rsid w:val="2DE2701D"/>
    <w:rsid w:val="2DE34026"/>
    <w:rsid w:val="2DED7DFA"/>
    <w:rsid w:val="2DF939FD"/>
    <w:rsid w:val="2E010F22"/>
    <w:rsid w:val="2E014A7A"/>
    <w:rsid w:val="2E0155CF"/>
    <w:rsid w:val="2E0507F6"/>
    <w:rsid w:val="2E0A760D"/>
    <w:rsid w:val="2E0D76F4"/>
    <w:rsid w:val="2E174F39"/>
    <w:rsid w:val="2E430E39"/>
    <w:rsid w:val="2E432091"/>
    <w:rsid w:val="2E48750F"/>
    <w:rsid w:val="2E4B5A0E"/>
    <w:rsid w:val="2E4E2BC8"/>
    <w:rsid w:val="2E534CCE"/>
    <w:rsid w:val="2E575082"/>
    <w:rsid w:val="2E5C008E"/>
    <w:rsid w:val="2E5E5D0F"/>
    <w:rsid w:val="2E7A61FC"/>
    <w:rsid w:val="2E7F46DA"/>
    <w:rsid w:val="2E813902"/>
    <w:rsid w:val="2E861E29"/>
    <w:rsid w:val="2E872E3D"/>
    <w:rsid w:val="2E8F38D6"/>
    <w:rsid w:val="2E9345AB"/>
    <w:rsid w:val="2E9921C7"/>
    <w:rsid w:val="2E996742"/>
    <w:rsid w:val="2EA11458"/>
    <w:rsid w:val="2EA40F80"/>
    <w:rsid w:val="2EAA79A3"/>
    <w:rsid w:val="2EAE1185"/>
    <w:rsid w:val="2EB406CC"/>
    <w:rsid w:val="2EB51BB6"/>
    <w:rsid w:val="2EB57DAB"/>
    <w:rsid w:val="2EC50D4B"/>
    <w:rsid w:val="2EDA3E8E"/>
    <w:rsid w:val="2EDA55A5"/>
    <w:rsid w:val="2EDC3F85"/>
    <w:rsid w:val="2EE40C4C"/>
    <w:rsid w:val="2EF56EE3"/>
    <w:rsid w:val="2EFA4801"/>
    <w:rsid w:val="2F01313C"/>
    <w:rsid w:val="2F03725B"/>
    <w:rsid w:val="2F042284"/>
    <w:rsid w:val="2F066438"/>
    <w:rsid w:val="2F103761"/>
    <w:rsid w:val="2F251F8C"/>
    <w:rsid w:val="2F2D5882"/>
    <w:rsid w:val="2F320664"/>
    <w:rsid w:val="2F344610"/>
    <w:rsid w:val="2F3762E5"/>
    <w:rsid w:val="2F395B2B"/>
    <w:rsid w:val="2F3D3B9C"/>
    <w:rsid w:val="2F405C8F"/>
    <w:rsid w:val="2F4525F6"/>
    <w:rsid w:val="2F5644FF"/>
    <w:rsid w:val="2F566BAD"/>
    <w:rsid w:val="2F746F75"/>
    <w:rsid w:val="2F7FFF9F"/>
    <w:rsid w:val="2F924CF6"/>
    <w:rsid w:val="2F997232"/>
    <w:rsid w:val="2F9C312F"/>
    <w:rsid w:val="2F9C6B51"/>
    <w:rsid w:val="2FA14E9F"/>
    <w:rsid w:val="2FA855E5"/>
    <w:rsid w:val="2FC1043F"/>
    <w:rsid w:val="2FC34275"/>
    <w:rsid w:val="2FD773F9"/>
    <w:rsid w:val="2FDA20F7"/>
    <w:rsid w:val="2FDB3668"/>
    <w:rsid w:val="2FDB3AD2"/>
    <w:rsid w:val="2FDC2BFB"/>
    <w:rsid w:val="2FDD3AA9"/>
    <w:rsid w:val="2FDE3265"/>
    <w:rsid w:val="2FE73901"/>
    <w:rsid w:val="2FF93D83"/>
    <w:rsid w:val="2FFA2F0A"/>
    <w:rsid w:val="3018672B"/>
    <w:rsid w:val="301D1CA0"/>
    <w:rsid w:val="302C3041"/>
    <w:rsid w:val="3038167C"/>
    <w:rsid w:val="303C2806"/>
    <w:rsid w:val="30402A75"/>
    <w:rsid w:val="30427C69"/>
    <w:rsid w:val="30467B28"/>
    <w:rsid w:val="30481219"/>
    <w:rsid w:val="30593A52"/>
    <w:rsid w:val="305940FD"/>
    <w:rsid w:val="305B0F2F"/>
    <w:rsid w:val="305C5377"/>
    <w:rsid w:val="30676623"/>
    <w:rsid w:val="306B7AE0"/>
    <w:rsid w:val="3071032F"/>
    <w:rsid w:val="30711C90"/>
    <w:rsid w:val="307556CD"/>
    <w:rsid w:val="30790154"/>
    <w:rsid w:val="30794D47"/>
    <w:rsid w:val="307B5C11"/>
    <w:rsid w:val="30884C0A"/>
    <w:rsid w:val="30957205"/>
    <w:rsid w:val="30972B8C"/>
    <w:rsid w:val="30981DAD"/>
    <w:rsid w:val="309C445C"/>
    <w:rsid w:val="30A722E1"/>
    <w:rsid w:val="30BD2FFD"/>
    <w:rsid w:val="30C97165"/>
    <w:rsid w:val="30CE7CE5"/>
    <w:rsid w:val="30DB335C"/>
    <w:rsid w:val="30E51454"/>
    <w:rsid w:val="30E608E3"/>
    <w:rsid w:val="30F13B6C"/>
    <w:rsid w:val="30F77FF5"/>
    <w:rsid w:val="30FE3126"/>
    <w:rsid w:val="3101110A"/>
    <w:rsid w:val="31081F14"/>
    <w:rsid w:val="311606E0"/>
    <w:rsid w:val="3116221C"/>
    <w:rsid w:val="312A0FB5"/>
    <w:rsid w:val="31435E7E"/>
    <w:rsid w:val="31454093"/>
    <w:rsid w:val="314F3F2F"/>
    <w:rsid w:val="31540BBC"/>
    <w:rsid w:val="315748FA"/>
    <w:rsid w:val="315E1885"/>
    <w:rsid w:val="315E509F"/>
    <w:rsid w:val="31600CAE"/>
    <w:rsid w:val="316767CD"/>
    <w:rsid w:val="316F553D"/>
    <w:rsid w:val="317C6EC4"/>
    <w:rsid w:val="317E0F6C"/>
    <w:rsid w:val="318329F8"/>
    <w:rsid w:val="318C0616"/>
    <w:rsid w:val="318C4936"/>
    <w:rsid w:val="319606F5"/>
    <w:rsid w:val="319C5DFB"/>
    <w:rsid w:val="319D7433"/>
    <w:rsid w:val="31A81FEB"/>
    <w:rsid w:val="31AC549E"/>
    <w:rsid w:val="31B457D3"/>
    <w:rsid w:val="31B51FCF"/>
    <w:rsid w:val="31B804D9"/>
    <w:rsid w:val="31C101B7"/>
    <w:rsid w:val="31C40A54"/>
    <w:rsid w:val="31D2079F"/>
    <w:rsid w:val="31E22F4B"/>
    <w:rsid w:val="31E51A73"/>
    <w:rsid w:val="31E6099A"/>
    <w:rsid w:val="31E92DD9"/>
    <w:rsid w:val="31EC0661"/>
    <w:rsid w:val="31F434B3"/>
    <w:rsid w:val="31FA3E15"/>
    <w:rsid w:val="320A693D"/>
    <w:rsid w:val="320F5741"/>
    <w:rsid w:val="3213790C"/>
    <w:rsid w:val="32256E0A"/>
    <w:rsid w:val="32261397"/>
    <w:rsid w:val="32295D20"/>
    <w:rsid w:val="322D5174"/>
    <w:rsid w:val="32323931"/>
    <w:rsid w:val="32356386"/>
    <w:rsid w:val="323C4918"/>
    <w:rsid w:val="323D419D"/>
    <w:rsid w:val="323F3A51"/>
    <w:rsid w:val="32531849"/>
    <w:rsid w:val="32671C48"/>
    <w:rsid w:val="326A20D3"/>
    <w:rsid w:val="32701994"/>
    <w:rsid w:val="32724DDF"/>
    <w:rsid w:val="32781D39"/>
    <w:rsid w:val="327A531D"/>
    <w:rsid w:val="32806122"/>
    <w:rsid w:val="32853DB3"/>
    <w:rsid w:val="328B290A"/>
    <w:rsid w:val="32901F1E"/>
    <w:rsid w:val="32A13F64"/>
    <w:rsid w:val="32A20E85"/>
    <w:rsid w:val="32A74F77"/>
    <w:rsid w:val="32AC7590"/>
    <w:rsid w:val="32AF7663"/>
    <w:rsid w:val="32B0079C"/>
    <w:rsid w:val="32B80FE0"/>
    <w:rsid w:val="32BC6F66"/>
    <w:rsid w:val="32C616AF"/>
    <w:rsid w:val="32CD20E1"/>
    <w:rsid w:val="32EF4CA4"/>
    <w:rsid w:val="33005984"/>
    <w:rsid w:val="33010AE8"/>
    <w:rsid w:val="33012173"/>
    <w:rsid w:val="330621CD"/>
    <w:rsid w:val="330829B9"/>
    <w:rsid w:val="33121D46"/>
    <w:rsid w:val="33170AD4"/>
    <w:rsid w:val="331C7249"/>
    <w:rsid w:val="331E6519"/>
    <w:rsid w:val="331F1BF8"/>
    <w:rsid w:val="33243CF7"/>
    <w:rsid w:val="332A16B7"/>
    <w:rsid w:val="333A40BB"/>
    <w:rsid w:val="334E278D"/>
    <w:rsid w:val="33501410"/>
    <w:rsid w:val="335D47F6"/>
    <w:rsid w:val="336C38A6"/>
    <w:rsid w:val="337656C6"/>
    <w:rsid w:val="338874CA"/>
    <w:rsid w:val="339047DC"/>
    <w:rsid w:val="339174E4"/>
    <w:rsid w:val="33922BA4"/>
    <w:rsid w:val="3395257E"/>
    <w:rsid w:val="33962013"/>
    <w:rsid w:val="33977CCF"/>
    <w:rsid w:val="339877B9"/>
    <w:rsid w:val="339C1778"/>
    <w:rsid w:val="339D721B"/>
    <w:rsid w:val="33BB3369"/>
    <w:rsid w:val="33BD487F"/>
    <w:rsid w:val="33BE22DC"/>
    <w:rsid w:val="33BE5883"/>
    <w:rsid w:val="33C1244A"/>
    <w:rsid w:val="33D40E04"/>
    <w:rsid w:val="33D564A5"/>
    <w:rsid w:val="33DF67D8"/>
    <w:rsid w:val="33EC331A"/>
    <w:rsid w:val="33EC6FB6"/>
    <w:rsid w:val="33FB5FA1"/>
    <w:rsid w:val="340A74A4"/>
    <w:rsid w:val="340D6A5E"/>
    <w:rsid w:val="341A68F0"/>
    <w:rsid w:val="342B004A"/>
    <w:rsid w:val="343A2C67"/>
    <w:rsid w:val="343E53DB"/>
    <w:rsid w:val="345901E2"/>
    <w:rsid w:val="345B0C87"/>
    <w:rsid w:val="345B612A"/>
    <w:rsid w:val="34610E0E"/>
    <w:rsid w:val="346A286F"/>
    <w:rsid w:val="34770C0A"/>
    <w:rsid w:val="34776B38"/>
    <w:rsid w:val="347D0F19"/>
    <w:rsid w:val="348A53AC"/>
    <w:rsid w:val="348A615B"/>
    <w:rsid w:val="348D5440"/>
    <w:rsid w:val="34960CBE"/>
    <w:rsid w:val="34996154"/>
    <w:rsid w:val="349A69EF"/>
    <w:rsid w:val="34AA4679"/>
    <w:rsid w:val="34AE1165"/>
    <w:rsid w:val="34C3798A"/>
    <w:rsid w:val="34C41DDC"/>
    <w:rsid w:val="34C52EA2"/>
    <w:rsid w:val="34C60D9C"/>
    <w:rsid w:val="34DB32BB"/>
    <w:rsid w:val="34F35D01"/>
    <w:rsid w:val="35002A15"/>
    <w:rsid w:val="35102070"/>
    <w:rsid w:val="35124A0D"/>
    <w:rsid w:val="351B2D65"/>
    <w:rsid w:val="351B43C7"/>
    <w:rsid w:val="352F42ED"/>
    <w:rsid w:val="354658AF"/>
    <w:rsid w:val="35497AB7"/>
    <w:rsid w:val="355D6155"/>
    <w:rsid w:val="355F0732"/>
    <w:rsid w:val="35606F76"/>
    <w:rsid w:val="35625061"/>
    <w:rsid w:val="356C3F81"/>
    <w:rsid w:val="356D3631"/>
    <w:rsid w:val="356E1072"/>
    <w:rsid w:val="356F6271"/>
    <w:rsid w:val="35703816"/>
    <w:rsid w:val="35764F4A"/>
    <w:rsid w:val="357D172C"/>
    <w:rsid w:val="35812D9B"/>
    <w:rsid w:val="358304AB"/>
    <w:rsid w:val="359F7869"/>
    <w:rsid w:val="35A160DC"/>
    <w:rsid w:val="35A20420"/>
    <w:rsid w:val="35A5058B"/>
    <w:rsid w:val="35B36EFA"/>
    <w:rsid w:val="35BC4B27"/>
    <w:rsid w:val="35BD2792"/>
    <w:rsid w:val="35C94AEF"/>
    <w:rsid w:val="35CD5A5F"/>
    <w:rsid w:val="35E37515"/>
    <w:rsid w:val="35E40A76"/>
    <w:rsid w:val="35E65FA8"/>
    <w:rsid w:val="35F60392"/>
    <w:rsid w:val="35FA51A5"/>
    <w:rsid w:val="35FB502F"/>
    <w:rsid w:val="35FD3490"/>
    <w:rsid w:val="36023271"/>
    <w:rsid w:val="360E16AE"/>
    <w:rsid w:val="36176647"/>
    <w:rsid w:val="363357CB"/>
    <w:rsid w:val="363E58CF"/>
    <w:rsid w:val="364066FB"/>
    <w:rsid w:val="364913C0"/>
    <w:rsid w:val="36495C0A"/>
    <w:rsid w:val="364F5A2A"/>
    <w:rsid w:val="365519F4"/>
    <w:rsid w:val="36595DF6"/>
    <w:rsid w:val="36614384"/>
    <w:rsid w:val="366204B8"/>
    <w:rsid w:val="36631CA0"/>
    <w:rsid w:val="36717C5A"/>
    <w:rsid w:val="36774942"/>
    <w:rsid w:val="36791D01"/>
    <w:rsid w:val="367C598E"/>
    <w:rsid w:val="36881634"/>
    <w:rsid w:val="368C76FA"/>
    <w:rsid w:val="368F76FA"/>
    <w:rsid w:val="36923F9D"/>
    <w:rsid w:val="369342FF"/>
    <w:rsid w:val="36B12624"/>
    <w:rsid w:val="36B204FD"/>
    <w:rsid w:val="36B660E9"/>
    <w:rsid w:val="36B71B89"/>
    <w:rsid w:val="36D925A0"/>
    <w:rsid w:val="36DA62AB"/>
    <w:rsid w:val="36E53AF8"/>
    <w:rsid w:val="36F101A1"/>
    <w:rsid w:val="37060463"/>
    <w:rsid w:val="370A5E5F"/>
    <w:rsid w:val="370D0235"/>
    <w:rsid w:val="37143AAA"/>
    <w:rsid w:val="373B1EBD"/>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894E57"/>
    <w:rsid w:val="378F792B"/>
    <w:rsid w:val="37921EAB"/>
    <w:rsid w:val="37A21FE2"/>
    <w:rsid w:val="37AF3A9B"/>
    <w:rsid w:val="37C61413"/>
    <w:rsid w:val="37CE6006"/>
    <w:rsid w:val="37D71B9E"/>
    <w:rsid w:val="37D95BC3"/>
    <w:rsid w:val="37DB1B4A"/>
    <w:rsid w:val="37DC3EB7"/>
    <w:rsid w:val="37EA3D1D"/>
    <w:rsid w:val="37F42FD5"/>
    <w:rsid w:val="38032ADD"/>
    <w:rsid w:val="380A4A75"/>
    <w:rsid w:val="380D0C14"/>
    <w:rsid w:val="380F70A0"/>
    <w:rsid w:val="38181651"/>
    <w:rsid w:val="381A129D"/>
    <w:rsid w:val="381B3AE1"/>
    <w:rsid w:val="38313BCF"/>
    <w:rsid w:val="384004B6"/>
    <w:rsid w:val="384445D2"/>
    <w:rsid w:val="38466BC9"/>
    <w:rsid w:val="385979C8"/>
    <w:rsid w:val="385C4BC4"/>
    <w:rsid w:val="38621032"/>
    <w:rsid w:val="386C17FE"/>
    <w:rsid w:val="386F71C2"/>
    <w:rsid w:val="38864EE1"/>
    <w:rsid w:val="388D1222"/>
    <w:rsid w:val="388D26FF"/>
    <w:rsid w:val="389007B4"/>
    <w:rsid w:val="389525C6"/>
    <w:rsid w:val="389C3F60"/>
    <w:rsid w:val="389D1985"/>
    <w:rsid w:val="389E28DB"/>
    <w:rsid w:val="38A256ED"/>
    <w:rsid w:val="38B0624E"/>
    <w:rsid w:val="38B4706D"/>
    <w:rsid w:val="38B60D7F"/>
    <w:rsid w:val="38B6531C"/>
    <w:rsid w:val="38BA0EE3"/>
    <w:rsid w:val="38BA4416"/>
    <w:rsid w:val="38C10BE9"/>
    <w:rsid w:val="38C4603C"/>
    <w:rsid w:val="38D45CEE"/>
    <w:rsid w:val="38E1369C"/>
    <w:rsid w:val="38EB32D5"/>
    <w:rsid w:val="38EF77E6"/>
    <w:rsid w:val="38F02352"/>
    <w:rsid w:val="38F31417"/>
    <w:rsid w:val="38F42643"/>
    <w:rsid w:val="38F60C3D"/>
    <w:rsid w:val="390078F4"/>
    <w:rsid w:val="391754AA"/>
    <w:rsid w:val="391F67F6"/>
    <w:rsid w:val="39236CE5"/>
    <w:rsid w:val="39251316"/>
    <w:rsid w:val="39273592"/>
    <w:rsid w:val="392B6496"/>
    <w:rsid w:val="39312A65"/>
    <w:rsid w:val="39404B30"/>
    <w:rsid w:val="3943543F"/>
    <w:rsid w:val="394F4956"/>
    <w:rsid w:val="39585980"/>
    <w:rsid w:val="395B4F36"/>
    <w:rsid w:val="39614E4F"/>
    <w:rsid w:val="39652C73"/>
    <w:rsid w:val="39726D6C"/>
    <w:rsid w:val="39730397"/>
    <w:rsid w:val="39800ACE"/>
    <w:rsid w:val="39980CE2"/>
    <w:rsid w:val="39AA339F"/>
    <w:rsid w:val="39AB53AE"/>
    <w:rsid w:val="39AC2721"/>
    <w:rsid w:val="39B83678"/>
    <w:rsid w:val="39CB2330"/>
    <w:rsid w:val="39D0636E"/>
    <w:rsid w:val="39D17CDD"/>
    <w:rsid w:val="39EB7198"/>
    <w:rsid w:val="39EB7805"/>
    <w:rsid w:val="39F44362"/>
    <w:rsid w:val="39F62389"/>
    <w:rsid w:val="39F63B7B"/>
    <w:rsid w:val="3A035D99"/>
    <w:rsid w:val="3A0E4679"/>
    <w:rsid w:val="3A185146"/>
    <w:rsid w:val="3A1B7A36"/>
    <w:rsid w:val="3A1F2B4F"/>
    <w:rsid w:val="3A220E5F"/>
    <w:rsid w:val="3A222B60"/>
    <w:rsid w:val="3A2644AB"/>
    <w:rsid w:val="3A30298D"/>
    <w:rsid w:val="3A3C1A7E"/>
    <w:rsid w:val="3A3C7D6C"/>
    <w:rsid w:val="3A3D6E67"/>
    <w:rsid w:val="3A450F30"/>
    <w:rsid w:val="3A4936E3"/>
    <w:rsid w:val="3A4F7A71"/>
    <w:rsid w:val="3A58374B"/>
    <w:rsid w:val="3A5941F6"/>
    <w:rsid w:val="3A596DA8"/>
    <w:rsid w:val="3A5A1D9E"/>
    <w:rsid w:val="3A5A6C2B"/>
    <w:rsid w:val="3A5B22E9"/>
    <w:rsid w:val="3A5E32F8"/>
    <w:rsid w:val="3A611DF3"/>
    <w:rsid w:val="3A624674"/>
    <w:rsid w:val="3A626349"/>
    <w:rsid w:val="3A6D58D7"/>
    <w:rsid w:val="3A714BF8"/>
    <w:rsid w:val="3A7572A8"/>
    <w:rsid w:val="3A7F656F"/>
    <w:rsid w:val="3A83464D"/>
    <w:rsid w:val="3A841F02"/>
    <w:rsid w:val="3A9155E6"/>
    <w:rsid w:val="3A954B7A"/>
    <w:rsid w:val="3A9B4A79"/>
    <w:rsid w:val="3A9B50DC"/>
    <w:rsid w:val="3A9C4E84"/>
    <w:rsid w:val="3AA11C63"/>
    <w:rsid w:val="3AA35C36"/>
    <w:rsid w:val="3AA9087F"/>
    <w:rsid w:val="3AAA4AD8"/>
    <w:rsid w:val="3AB37C0B"/>
    <w:rsid w:val="3ABF266D"/>
    <w:rsid w:val="3AC07099"/>
    <w:rsid w:val="3AC90541"/>
    <w:rsid w:val="3AD0154B"/>
    <w:rsid w:val="3AD26502"/>
    <w:rsid w:val="3AD32BE2"/>
    <w:rsid w:val="3AD735A4"/>
    <w:rsid w:val="3ADB5B92"/>
    <w:rsid w:val="3AE335C6"/>
    <w:rsid w:val="3AED053C"/>
    <w:rsid w:val="3AF56227"/>
    <w:rsid w:val="3AF657E1"/>
    <w:rsid w:val="3AF97E01"/>
    <w:rsid w:val="3B0032A7"/>
    <w:rsid w:val="3B003F2D"/>
    <w:rsid w:val="3B03752F"/>
    <w:rsid w:val="3B051543"/>
    <w:rsid w:val="3B063EA8"/>
    <w:rsid w:val="3B0F2390"/>
    <w:rsid w:val="3B10111B"/>
    <w:rsid w:val="3B1220C7"/>
    <w:rsid w:val="3B260C84"/>
    <w:rsid w:val="3B360092"/>
    <w:rsid w:val="3B3E7FD4"/>
    <w:rsid w:val="3B4278FE"/>
    <w:rsid w:val="3B44637B"/>
    <w:rsid w:val="3B4B0135"/>
    <w:rsid w:val="3B5F7815"/>
    <w:rsid w:val="3B6413E7"/>
    <w:rsid w:val="3B68463F"/>
    <w:rsid w:val="3B8B5737"/>
    <w:rsid w:val="3B8D6917"/>
    <w:rsid w:val="3B9308FD"/>
    <w:rsid w:val="3B98772E"/>
    <w:rsid w:val="3BA40788"/>
    <w:rsid w:val="3BB02276"/>
    <w:rsid w:val="3BB3643D"/>
    <w:rsid w:val="3BB41E71"/>
    <w:rsid w:val="3BBC1A25"/>
    <w:rsid w:val="3BC56E05"/>
    <w:rsid w:val="3BD938AF"/>
    <w:rsid w:val="3BDF0887"/>
    <w:rsid w:val="3BE12208"/>
    <w:rsid w:val="3BE45065"/>
    <w:rsid w:val="3BE7264C"/>
    <w:rsid w:val="3BEC043E"/>
    <w:rsid w:val="3BF847AA"/>
    <w:rsid w:val="3BFA0259"/>
    <w:rsid w:val="3C0309FF"/>
    <w:rsid w:val="3C042E3E"/>
    <w:rsid w:val="3C072663"/>
    <w:rsid w:val="3C0B2E45"/>
    <w:rsid w:val="3C1A4E8D"/>
    <w:rsid w:val="3C1F76F3"/>
    <w:rsid w:val="3C2841B0"/>
    <w:rsid w:val="3C3C186F"/>
    <w:rsid w:val="3C3D7E2F"/>
    <w:rsid w:val="3C450BC5"/>
    <w:rsid w:val="3C47574F"/>
    <w:rsid w:val="3C5110CE"/>
    <w:rsid w:val="3C5E77A7"/>
    <w:rsid w:val="3C6242D8"/>
    <w:rsid w:val="3C656CED"/>
    <w:rsid w:val="3C784DBC"/>
    <w:rsid w:val="3C7923FD"/>
    <w:rsid w:val="3C7E21FC"/>
    <w:rsid w:val="3C835139"/>
    <w:rsid w:val="3C8A4C18"/>
    <w:rsid w:val="3C8E55CD"/>
    <w:rsid w:val="3C8E5872"/>
    <w:rsid w:val="3C913F59"/>
    <w:rsid w:val="3C943C7F"/>
    <w:rsid w:val="3C9D3203"/>
    <w:rsid w:val="3C9E76A6"/>
    <w:rsid w:val="3C9E7D39"/>
    <w:rsid w:val="3C9F5433"/>
    <w:rsid w:val="3CA05E3F"/>
    <w:rsid w:val="3CA60FF0"/>
    <w:rsid w:val="3CAF5049"/>
    <w:rsid w:val="3CC037D9"/>
    <w:rsid w:val="3CCC3FAB"/>
    <w:rsid w:val="3CD20233"/>
    <w:rsid w:val="3CD23409"/>
    <w:rsid w:val="3CDA5E44"/>
    <w:rsid w:val="3CDF248B"/>
    <w:rsid w:val="3CEF5A7A"/>
    <w:rsid w:val="3CF80F5E"/>
    <w:rsid w:val="3CFA11B8"/>
    <w:rsid w:val="3CFD32D2"/>
    <w:rsid w:val="3D061853"/>
    <w:rsid w:val="3D083D85"/>
    <w:rsid w:val="3D094A3E"/>
    <w:rsid w:val="3D107860"/>
    <w:rsid w:val="3D183C46"/>
    <w:rsid w:val="3D2346F2"/>
    <w:rsid w:val="3D2B7651"/>
    <w:rsid w:val="3D2C6DEC"/>
    <w:rsid w:val="3D3F7B7E"/>
    <w:rsid w:val="3D415BFE"/>
    <w:rsid w:val="3D464AD9"/>
    <w:rsid w:val="3D466470"/>
    <w:rsid w:val="3D4A3FDC"/>
    <w:rsid w:val="3D531698"/>
    <w:rsid w:val="3D5F59D0"/>
    <w:rsid w:val="3D631F45"/>
    <w:rsid w:val="3D81036B"/>
    <w:rsid w:val="3D966921"/>
    <w:rsid w:val="3D9745C5"/>
    <w:rsid w:val="3D980D16"/>
    <w:rsid w:val="3D9831E5"/>
    <w:rsid w:val="3D9B1367"/>
    <w:rsid w:val="3D9C55AD"/>
    <w:rsid w:val="3DA638E7"/>
    <w:rsid w:val="3DA71209"/>
    <w:rsid w:val="3DC24378"/>
    <w:rsid w:val="3DC945C0"/>
    <w:rsid w:val="3DCD3454"/>
    <w:rsid w:val="3DCE0347"/>
    <w:rsid w:val="3DCF044A"/>
    <w:rsid w:val="3DED7C84"/>
    <w:rsid w:val="3DFC1307"/>
    <w:rsid w:val="3E012F06"/>
    <w:rsid w:val="3E027FBC"/>
    <w:rsid w:val="3E0516F6"/>
    <w:rsid w:val="3E062C93"/>
    <w:rsid w:val="3E1667F0"/>
    <w:rsid w:val="3E1A07C5"/>
    <w:rsid w:val="3E1C3D68"/>
    <w:rsid w:val="3E225D40"/>
    <w:rsid w:val="3E230564"/>
    <w:rsid w:val="3E25375E"/>
    <w:rsid w:val="3E257108"/>
    <w:rsid w:val="3E297DA1"/>
    <w:rsid w:val="3E2A2C0A"/>
    <w:rsid w:val="3E2E03FF"/>
    <w:rsid w:val="3E37784B"/>
    <w:rsid w:val="3E381EA5"/>
    <w:rsid w:val="3E3846AB"/>
    <w:rsid w:val="3E4A4CB2"/>
    <w:rsid w:val="3E4E7D71"/>
    <w:rsid w:val="3E4F147F"/>
    <w:rsid w:val="3E5A3610"/>
    <w:rsid w:val="3E616240"/>
    <w:rsid w:val="3E63157B"/>
    <w:rsid w:val="3E665E8B"/>
    <w:rsid w:val="3E672C02"/>
    <w:rsid w:val="3E702BB8"/>
    <w:rsid w:val="3E807C4C"/>
    <w:rsid w:val="3E810402"/>
    <w:rsid w:val="3E8310AF"/>
    <w:rsid w:val="3E8E6AD9"/>
    <w:rsid w:val="3E9101AA"/>
    <w:rsid w:val="3E9C1E5F"/>
    <w:rsid w:val="3EAD5EC5"/>
    <w:rsid w:val="3EB761D7"/>
    <w:rsid w:val="3EC40C65"/>
    <w:rsid w:val="3ECB1717"/>
    <w:rsid w:val="3ECB4852"/>
    <w:rsid w:val="3ED92DDA"/>
    <w:rsid w:val="3EE530DE"/>
    <w:rsid w:val="3EE7761A"/>
    <w:rsid w:val="3EF17DA4"/>
    <w:rsid w:val="3EF2332E"/>
    <w:rsid w:val="3EF56437"/>
    <w:rsid w:val="3EFB607B"/>
    <w:rsid w:val="3EFF7197"/>
    <w:rsid w:val="3F035498"/>
    <w:rsid w:val="3F055C54"/>
    <w:rsid w:val="3F0C5BCE"/>
    <w:rsid w:val="3F114F57"/>
    <w:rsid w:val="3F117156"/>
    <w:rsid w:val="3F1D2AEF"/>
    <w:rsid w:val="3F201122"/>
    <w:rsid w:val="3F22062E"/>
    <w:rsid w:val="3F2B0046"/>
    <w:rsid w:val="3F2F40D7"/>
    <w:rsid w:val="3F303FAB"/>
    <w:rsid w:val="3F3222E3"/>
    <w:rsid w:val="3F352F72"/>
    <w:rsid w:val="3F3774CD"/>
    <w:rsid w:val="3F416176"/>
    <w:rsid w:val="3F4A1155"/>
    <w:rsid w:val="3F501221"/>
    <w:rsid w:val="3F532102"/>
    <w:rsid w:val="3F576FA1"/>
    <w:rsid w:val="3F580906"/>
    <w:rsid w:val="3F5A3EFB"/>
    <w:rsid w:val="3F7006D6"/>
    <w:rsid w:val="3F79679A"/>
    <w:rsid w:val="3F9908B0"/>
    <w:rsid w:val="3FA367A0"/>
    <w:rsid w:val="3FA84EB2"/>
    <w:rsid w:val="3FA85DB5"/>
    <w:rsid w:val="3FAA7193"/>
    <w:rsid w:val="3FAD4B3B"/>
    <w:rsid w:val="3FAE16A9"/>
    <w:rsid w:val="3FB1048C"/>
    <w:rsid w:val="3FB34E43"/>
    <w:rsid w:val="3FC0345D"/>
    <w:rsid w:val="3FC0576C"/>
    <w:rsid w:val="3FC24499"/>
    <w:rsid w:val="3FC96CE0"/>
    <w:rsid w:val="3FD4498A"/>
    <w:rsid w:val="3FD64800"/>
    <w:rsid w:val="3FD9040F"/>
    <w:rsid w:val="3FDA5EAF"/>
    <w:rsid w:val="3FDC701A"/>
    <w:rsid w:val="3FE0553B"/>
    <w:rsid w:val="3FE11A0A"/>
    <w:rsid w:val="3FE135FB"/>
    <w:rsid w:val="3FE221D2"/>
    <w:rsid w:val="3FE87D28"/>
    <w:rsid w:val="3FEA089A"/>
    <w:rsid w:val="3FEE60A4"/>
    <w:rsid w:val="3FEF6D26"/>
    <w:rsid w:val="3FF54F69"/>
    <w:rsid w:val="3FFA44C9"/>
    <w:rsid w:val="400969C4"/>
    <w:rsid w:val="400A5241"/>
    <w:rsid w:val="401A368E"/>
    <w:rsid w:val="40200EC2"/>
    <w:rsid w:val="40376069"/>
    <w:rsid w:val="40387BC5"/>
    <w:rsid w:val="403D4406"/>
    <w:rsid w:val="403E6AA8"/>
    <w:rsid w:val="40400879"/>
    <w:rsid w:val="40402847"/>
    <w:rsid w:val="404C0609"/>
    <w:rsid w:val="404D76BC"/>
    <w:rsid w:val="40502545"/>
    <w:rsid w:val="405862C6"/>
    <w:rsid w:val="405D53FA"/>
    <w:rsid w:val="40612A0F"/>
    <w:rsid w:val="406435E5"/>
    <w:rsid w:val="40657EEF"/>
    <w:rsid w:val="407D753B"/>
    <w:rsid w:val="40806E1B"/>
    <w:rsid w:val="40906E9B"/>
    <w:rsid w:val="409207A7"/>
    <w:rsid w:val="40940958"/>
    <w:rsid w:val="40A56E0D"/>
    <w:rsid w:val="40AD3F63"/>
    <w:rsid w:val="40AF5A59"/>
    <w:rsid w:val="40BA51BE"/>
    <w:rsid w:val="40BD00BB"/>
    <w:rsid w:val="40E90A23"/>
    <w:rsid w:val="40EE51A8"/>
    <w:rsid w:val="40F20B1F"/>
    <w:rsid w:val="40F86916"/>
    <w:rsid w:val="40FA321B"/>
    <w:rsid w:val="40FF0DBB"/>
    <w:rsid w:val="4101607F"/>
    <w:rsid w:val="41022D94"/>
    <w:rsid w:val="41082542"/>
    <w:rsid w:val="41082DC3"/>
    <w:rsid w:val="412170B1"/>
    <w:rsid w:val="41301C9A"/>
    <w:rsid w:val="41341E40"/>
    <w:rsid w:val="413A53EA"/>
    <w:rsid w:val="413E270C"/>
    <w:rsid w:val="414214F9"/>
    <w:rsid w:val="4149251B"/>
    <w:rsid w:val="415037DD"/>
    <w:rsid w:val="41526D4A"/>
    <w:rsid w:val="415F730C"/>
    <w:rsid w:val="41621B71"/>
    <w:rsid w:val="416B7C26"/>
    <w:rsid w:val="41706132"/>
    <w:rsid w:val="417116E0"/>
    <w:rsid w:val="417870D9"/>
    <w:rsid w:val="41811A80"/>
    <w:rsid w:val="418C5377"/>
    <w:rsid w:val="418D7C08"/>
    <w:rsid w:val="419165DA"/>
    <w:rsid w:val="41AA0EFE"/>
    <w:rsid w:val="41B3723D"/>
    <w:rsid w:val="41C65E0E"/>
    <w:rsid w:val="41C954F1"/>
    <w:rsid w:val="41D0773D"/>
    <w:rsid w:val="41EE1F6D"/>
    <w:rsid w:val="41FC7345"/>
    <w:rsid w:val="41FF7A7E"/>
    <w:rsid w:val="42023DDF"/>
    <w:rsid w:val="42055BCF"/>
    <w:rsid w:val="42062C90"/>
    <w:rsid w:val="420D35D1"/>
    <w:rsid w:val="421240E6"/>
    <w:rsid w:val="42124FEB"/>
    <w:rsid w:val="421E19DD"/>
    <w:rsid w:val="42201ADB"/>
    <w:rsid w:val="42243ADD"/>
    <w:rsid w:val="4226140E"/>
    <w:rsid w:val="42262641"/>
    <w:rsid w:val="422D7D03"/>
    <w:rsid w:val="422F7176"/>
    <w:rsid w:val="42387360"/>
    <w:rsid w:val="424E09DB"/>
    <w:rsid w:val="424E557E"/>
    <w:rsid w:val="424F14CB"/>
    <w:rsid w:val="42545A5E"/>
    <w:rsid w:val="425830C6"/>
    <w:rsid w:val="425C6098"/>
    <w:rsid w:val="42646511"/>
    <w:rsid w:val="4265214F"/>
    <w:rsid w:val="426703CA"/>
    <w:rsid w:val="426724A2"/>
    <w:rsid w:val="42762EDB"/>
    <w:rsid w:val="428D023C"/>
    <w:rsid w:val="429007CB"/>
    <w:rsid w:val="429953F0"/>
    <w:rsid w:val="42A826E7"/>
    <w:rsid w:val="42AE6807"/>
    <w:rsid w:val="42C30985"/>
    <w:rsid w:val="42CE5721"/>
    <w:rsid w:val="42D83185"/>
    <w:rsid w:val="42DA1044"/>
    <w:rsid w:val="42E04F76"/>
    <w:rsid w:val="42E27E52"/>
    <w:rsid w:val="42EC3428"/>
    <w:rsid w:val="42F867E3"/>
    <w:rsid w:val="42F96836"/>
    <w:rsid w:val="42FC1238"/>
    <w:rsid w:val="43013BF3"/>
    <w:rsid w:val="43081AD9"/>
    <w:rsid w:val="43087E22"/>
    <w:rsid w:val="43271B07"/>
    <w:rsid w:val="43280811"/>
    <w:rsid w:val="432F0734"/>
    <w:rsid w:val="432F2506"/>
    <w:rsid w:val="43340E51"/>
    <w:rsid w:val="43381992"/>
    <w:rsid w:val="433F23BF"/>
    <w:rsid w:val="43501147"/>
    <w:rsid w:val="43621575"/>
    <w:rsid w:val="436624A8"/>
    <w:rsid w:val="43666F3B"/>
    <w:rsid w:val="436C0A55"/>
    <w:rsid w:val="436D064B"/>
    <w:rsid w:val="43726256"/>
    <w:rsid w:val="437460FA"/>
    <w:rsid w:val="437D5D97"/>
    <w:rsid w:val="43837506"/>
    <w:rsid w:val="438B5FFE"/>
    <w:rsid w:val="4397756A"/>
    <w:rsid w:val="43AF03C9"/>
    <w:rsid w:val="43B12337"/>
    <w:rsid w:val="43B14470"/>
    <w:rsid w:val="43B43EDE"/>
    <w:rsid w:val="43B47D4C"/>
    <w:rsid w:val="43C471BD"/>
    <w:rsid w:val="43CB16B2"/>
    <w:rsid w:val="43D71699"/>
    <w:rsid w:val="43DC7D87"/>
    <w:rsid w:val="43DF7E96"/>
    <w:rsid w:val="43E04F09"/>
    <w:rsid w:val="43E17880"/>
    <w:rsid w:val="43E30165"/>
    <w:rsid w:val="43E4084E"/>
    <w:rsid w:val="43E800C6"/>
    <w:rsid w:val="43F52C05"/>
    <w:rsid w:val="43FB7DF3"/>
    <w:rsid w:val="43FC346C"/>
    <w:rsid w:val="440E5844"/>
    <w:rsid w:val="44117846"/>
    <w:rsid w:val="44257D8E"/>
    <w:rsid w:val="442A15B9"/>
    <w:rsid w:val="442A5D06"/>
    <w:rsid w:val="442E5908"/>
    <w:rsid w:val="44512364"/>
    <w:rsid w:val="44560305"/>
    <w:rsid w:val="446636C5"/>
    <w:rsid w:val="447D1640"/>
    <w:rsid w:val="4480296D"/>
    <w:rsid w:val="448166E9"/>
    <w:rsid w:val="448678B2"/>
    <w:rsid w:val="448E51CC"/>
    <w:rsid w:val="449848C7"/>
    <w:rsid w:val="44AF4BA1"/>
    <w:rsid w:val="44B253BE"/>
    <w:rsid w:val="44B2632E"/>
    <w:rsid w:val="44B2697E"/>
    <w:rsid w:val="44B55895"/>
    <w:rsid w:val="44BC1818"/>
    <w:rsid w:val="44BC1ADC"/>
    <w:rsid w:val="44BC6084"/>
    <w:rsid w:val="44C33C1C"/>
    <w:rsid w:val="44C77FE4"/>
    <w:rsid w:val="44CE7E45"/>
    <w:rsid w:val="44D11736"/>
    <w:rsid w:val="44D55756"/>
    <w:rsid w:val="44E00E0F"/>
    <w:rsid w:val="44E132FE"/>
    <w:rsid w:val="44EE6090"/>
    <w:rsid w:val="44EF7424"/>
    <w:rsid w:val="44F70F49"/>
    <w:rsid w:val="44FA649B"/>
    <w:rsid w:val="44FB7CD7"/>
    <w:rsid w:val="44FE7B0F"/>
    <w:rsid w:val="450909D5"/>
    <w:rsid w:val="450939CD"/>
    <w:rsid w:val="450B3CA0"/>
    <w:rsid w:val="4510454F"/>
    <w:rsid w:val="45185AF4"/>
    <w:rsid w:val="45206383"/>
    <w:rsid w:val="45234637"/>
    <w:rsid w:val="452D38D3"/>
    <w:rsid w:val="453E4193"/>
    <w:rsid w:val="454255CA"/>
    <w:rsid w:val="45482AB1"/>
    <w:rsid w:val="45577395"/>
    <w:rsid w:val="45603A72"/>
    <w:rsid w:val="4561316A"/>
    <w:rsid w:val="45633AE3"/>
    <w:rsid w:val="45644225"/>
    <w:rsid w:val="45782E73"/>
    <w:rsid w:val="458301AE"/>
    <w:rsid w:val="4584775C"/>
    <w:rsid w:val="45916EEF"/>
    <w:rsid w:val="45A20CE2"/>
    <w:rsid w:val="45A81950"/>
    <w:rsid w:val="45AB2840"/>
    <w:rsid w:val="45AB71DA"/>
    <w:rsid w:val="45B92244"/>
    <w:rsid w:val="45BE4FDB"/>
    <w:rsid w:val="45BE62C2"/>
    <w:rsid w:val="45C0705E"/>
    <w:rsid w:val="45CE43CD"/>
    <w:rsid w:val="45E42F61"/>
    <w:rsid w:val="45EB5660"/>
    <w:rsid w:val="45F01DCD"/>
    <w:rsid w:val="45F62E65"/>
    <w:rsid w:val="45FB7D07"/>
    <w:rsid w:val="45FD74ED"/>
    <w:rsid w:val="46050349"/>
    <w:rsid w:val="460B16A1"/>
    <w:rsid w:val="461B5192"/>
    <w:rsid w:val="46206E94"/>
    <w:rsid w:val="46221289"/>
    <w:rsid w:val="46324558"/>
    <w:rsid w:val="46365564"/>
    <w:rsid w:val="46382CF3"/>
    <w:rsid w:val="463E4B6F"/>
    <w:rsid w:val="464734D2"/>
    <w:rsid w:val="464B1905"/>
    <w:rsid w:val="4658217D"/>
    <w:rsid w:val="46625ECD"/>
    <w:rsid w:val="466C778C"/>
    <w:rsid w:val="466E2B07"/>
    <w:rsid w:val="4670530F"/>
    <w:rsid w:val="46830087"/>
    <w:rsid w:val="46965745"/>
    <w:rsid w:val="469A05E8"/>
    <w:rsid w:val="469A5235"/>
    <w:rsid w:val="46AB4DBE"/>
    <w:rsid w:val="46AF5FB8"/>
    <w:rsid w:val="46B35B9F"/>
    <w:rsid w:val="46BF115D"/>
    <w:rsid w:val="46C44CB7"/>
    <w:rsid w:val="46C5380C"/>
    <w:rsid w:val="46C96A6C"/>
    <w:rsid w:val="46CB603F"/>
    <w:rsid w:val="46D21F34"/>
    <w:rsid w:val="46F100B8"/>
    <w:rsid w:val="46FA7FB8"/>
    <w:rsid w:val="46FC4E64"/>
    <w:rsid w:val="47002DEF"/>
    <w:rsid w:val="47037841"/>
    <w:rsid w:val="47042741"/>
    <w:rsid w:val="470B0531"/>
    <w:rsid w:val="471279CF"/>
    <w:rsid w:val="471F3210"/>
    <w:rsid w:val="47336C6F"/>
    <w:rsid w:val="473867FC"/>
    <w:rsid w:val="47402DAA"/>
    <w:rsid w:val="474750DC"/>
    <w:rsid w:val="474C419A"/>
    <w:rsid w:val="474E6907"/>
    <w:rsid w:val="474E7A5D"/>
    <w:rsid w:val="47567017"/>
    <w:rsid w:val="475E0087"/>
    <w:rsid w:val="475E2707"/>
    <w:rsid w:val="476140B1"/>
    <w:rsid w:val="476269FC"/>
    <w:rsid w:val="47666D38"/>
    <w:rsid w:val="476C7198"/>
    <w:rsid w:val="47763FFA"/>
    <w:rsid w:val="4780263C"/>
    <w:rsid w:val="478104EB"/>
    <w:rsid w:val="478839AE"/>
    <w:rsid w:val="47896D4F"/>
    <w:rsid w:val="478B2DD0"/>
    <w:rsid w:val="47982A36"/>
    <w:rsid w:val="47A21D03"/>
    <w:rsid w:val="47AC4635"/>
    <w:rsid w:val="47AD79A7"/>
    <w:rsid w:val="47B239F6"/>
    <w:rsid w:val="47B45F77"/>
    <w:rsid w:val="47B601F9"/>
    <w:rsid w:val="47BE2659"/>
    <w:rsid w:val="47C65B11"/>
    <w:rsid w:val="47C80021"/>
    <w:rsid w:val="47CC159F"/>
    <w:rsid w:val="47D31B17"/>
    <w:rsid w:val="47D64E19"/>
    <w:rsid w:val="47DD2D70"/>
    <w:rsid w:val="47E335C5"/>
    <w:rsid w:val="47F00544"/>
    <w:rsid w:val="47FA38B9"/>
    <w:rsid w:val="480712F5"/>
    <w:rsid w:val="480B0044"/>
    <w:rsid w:val="482149DA"/>
    <w:rsid w:val="48240EE0"/>
    <w:rsid w:val="4826335E"/>
    <w:rsid w:val="482A6A56"/>
    <w:rsid w:val="482B534E"/>
    <w:rsid w:val="483639D2"/>
    <w:rsid w:val="483C2771"/>
    <w:rsid w:val="48492230"/>
    <w:rsid w:val="484D4424"/>
    <w:rsid w:val="485C4105"/>
    <w:rsid w:val="48652AF4"/>
    <w:rsid w:val="48725180"/>
    <w:rsid w:val="487E153D"/>
    <w:rsid w:val="48802857"/>
    <w:rsid w:val="48817770"/>
    <w:rsid w:val="488D31C1"/>
    <w:rsid w:val="48971C07"/>
    <w:rsid w:val="489A5DAA"/>
    <w:rsid w:val="48A27CAA"/>
    <w:rsid w:val="48A31B88"/>
    <w:rsid w:val="48BE2CF0"/>
    <w:rsid w:val="48C15D8D"/>
    <w:rsid w:val="48C25955"/>
    <w:rsid w:val="48C540DA"/>
    <w:rsid w:val="48C955E5"/>
    <w:rsid w:val="48CA6810"/>
    <w:rsid w:val="48D13B36"/>
    <w:rsid w:val="48DA439B"/>
    <w:rsid w:val="48E44E43"/>
    <w:rsid w:val="48E4724D"/>
    <w:rsid w:val="48E53924"/>
    <w:rsid w:val="48E63F8B"/>
    <w:rsid w:val="48EA3B26"/>
    <w:rsid w:val="48EF0F23"/>
    <w:rsid w:val="48FB4BC3"/>
    <w:rsid w:val="48FB5804"/>
    <w:rsid w:val="49086D1B"/>
    <w:rsid w:val="49104374"/>
    <w:rsid w:val="4915791B"/>
    <w:rsid w:val="491C3076"/>
    <w:rsid w:val="49324DD3"/>
    <w:rsid w:val="4939707B"/>
    <w:rsid w:val="493E5E9C"/>
    <w:rsid w:val="49414B4F"/>
    <w:rsid w:val="49496A9F"/>
    <w:rsid w:val="494A552B"/>
    <w:rsid w:val="495077AD"/>
    <w:rsid w:val="49532CF3"/>
    <w:rsid w:val="49581E86"/>
    <w:rsid w:val="495D7302"/>
    <w:rsid w:val="496607B9"/>
    <w:rsid w:val="49665338"/>
    <w:rsid w:val="496C36CB"/>
    <w:rsid w:val="496D2BF3"/>
    <w:rsid w:val="496F4D40"/>
    <w:rsid w:val="49825EA3"/>
    <w:rsid w:val="49855AF3"/>
    <w:rsid w:val="499402FE"/>
    <w:rsid w:val="499B6E75"/>
    <w:rsid w:val="499F7025"/>
    <w:rsid w:val="49A13026"/>
    <w:rsid w:val="49A81F15"/>
    <w:rsid w:val="49B07C49"/>
    <w:rsid w:val="49B24B36"/>
    <w:rsid w:val="49BA3A93"/>
    <w:rsid w:val="49BC5080"/>
    <w:rsid w:val="49BD004C"/>
    <w:rsid w:val="49BE7C01"/>
    <w:rsid w:val="49BF6B4D"/>
    <w:rsid w:val="49C97028"/>
    <w:rsid w:val="49CA5515"/>
    <w:rsid w:val="49D96075"/>
    <w:rsid w:val="49DA5740"/>
    <w:rsid w:val="49DB093F"/>
    <w:rsid w:val="49DC0B0E"/>
    <w:rsid w:val="49DE64CC"/>
    <w:rsid w:val="49E13015"/>
    <w:rsid w:val="49F00F52"/>
    <w:rsid w:val="49FD72CF"/>
    <w:rsid w:val="4A122E59"/>
    <w:rsid w:val="4A235C8A"/>
    <w:rsid w:val="4A292935"/>
    <w:rsid w:val="4A33120A"/>
    <w:rsid w:val="4A35109E"/>
    <w:rsid w:val="4A360ACF"/>
    <w:rsid w:val="4A377A65"/>
    <w:rsid w:val="4A385EDB"/>
    <w:rsid w:val="4A397CF0"/>
    <w:rsid w:val="4A3E5075"/>
    <w:rsid w:val="4A3E5F17"/>
    <w:rsid w:val="4A471EB8"/>
    <w:rsid w:val="4A49367A"/>
    <w:rsid w:val="4A4A7180"/>
    <w:rsid w:val="4A4D16C6"/>
    <w:rsid w:val="4A7F1E86"/>
    <w:rsid w:val="4A8C7C76"/>
    <w:rsid w:val="4A9433D8"/>
    <w:rsid w:val="4AA54966"/>
    <w:rsid w:val="4AA566F7"/>
    <w:rsid w:val="4AAB34BB"/>
    <w:rsid w:val="4AAF54B1"/>
    <w:rsid w:val="4AB00AB1"/>
    <w:rsid w:val="4AB26985"/>
    <w:rsid w:val="4AB838E8"/>
    <w:rsid w:val="4ABE4768"/>
    <w:rsid w:val="4AC34B56"/>
    <w:rsid w:val="4ACB563D"/>
    <w:rsid w:val="4AD31BF7"/>
    <w:rsid w:val="4AD85CF3"/>
    <w:rsid w:val="4AE12695"/>
    <w:rsid w:val="4AE5063F"/>
    <w:rsid w:val="4AEB4287"/>
    <w:rsid w:val="4AF201D5"/>
    <w:rsid w:val="4AF87CD0"/>
    <w:rsid w:val="4AFD1ED3"/>
    <w:rsid w:val="4B052044"/>
    <w:rsid w:val="4B0770A6"/>
    <w:rsid w:val="4B124BB6"/>
    <w:rsid w:val="4B162370"/>
    <w:rsid w:val="4B1969EA"/>
    <w:rsid w:val="4B1B446B"/>
    <w:rsid w:val="4B2373E8"/>
    <w:rsid w:val="4B247B19"/>
    <w:rsid w:val="4B28699B"/>
    <w:rsid w:val="4B30654A"/>
    <w:rsid w:val="4B313770"/>
    <w:rsid w:val="4B337729"/>
    <w:rsid w:val="4B3E35EC"/>
    <w:rsid w:val="4B415F6D"/>
    <w:rsid w:val="4B5847DE"/>
    <w:rsid w:val="4B5F2399"/>
    <w:rsid w:val="4B742639"/>
    <w:rsid w:val="4B7C4E9B"/>
    <w:rsid w:val="4B8938A4"/>
    <w:rsid w:val="4B8A6570"/>
    <w:rsid w:val="4B947A37"/>
    <w:rsid w:val="4B990B42"/>
    <w:rsid w:val="4BA47014"/>
    <w:rsid w:val="4BA56AD4"/>
    <w:rsid w:val="4BAA58CE"/>
    <w:rsid w:val="4BAC6058"/>
    <w:rsid w:val="4BB560F4"/>
    <w:rsid w:val="4BB64CD0"/>
    <w:rsid w:val="4BB73F23"/>
    <w:rsid w:val="4BB908C4"/>
    <w:rsid w:val="4BC12085"/>
    <w:rsid w:val="4BC41A56"/>
    <w:rsid w:val="4BC859C1"/>
    <w:rsid w:val="4BD40AAB"/>
    <w:rsid w:val="4BE84CBE"/>
    <w:rsid w:val="4BEB2C94"/>
    <w:rsid w:val="4BF1099C"/>
    <w:rsid w:val="4BF623B0"/>
    <w:rsid w:val="4BF86D6D"/>
    <w:rsid w:val="4BFB0607"/>
    <w:rsid w:val="4C0007D3"/>
    <w:rsid w:val="4C00522E"/>
    <w:rsid w:val="4C051F8F"/>
    <w:rsid w:val="4C08466C"/>
    <w:rsid w:val="4C085165"/>
    <w:rsid w:val="4C12207D"/>
    <w:rsid w:val="4C1471C6"/>
    <w:rsid w:val="4C152CAE"/>
    <w:rsid w:val="4C1604D1"/>
    <w:rsid w:val="4C27778C"/>
    <w:rsid w:val="4C28045F"/>
    <w:rsid w:val="4C353FDB"/>
    <w:rsid w:val="4C3F1A17"/>
    <w:rsid w:val="4C3F668A"/>
    <w:rsid w:val="4C4125D9"/>
    <w:rsid w:val="4C4437AE"/>
    <w:rsid w:val="4C4E5B23"/>
    <w:rsid w:val="4C50471A"/>
    <w:rsid w:val="4C534C86"/>
    <w:rsid w:val="4C586C24"/>
    <w:rsid w:val="4C5D11D7"/>
    <w:rsid w:val="4C5E3199"/>
    <w:rsid w:val="4C5E6ACF"/>
    <w:rsid w:val="4C5F4806"/>
    <w:rsid w:val="4C6B2FE2"/>
    <w:rsid w:val="4C715B6C"/>
    <w:rsid w:val="4C787885"/>
    <w:rsid w:val="4C7E409F"/>
    <w:rsid w:val="4C807EFC"/>
    <w:rsid w:val="4C831751"/>
    <w:rsid w:val="4C8D79A9"/>
    <w:rsid w:val="4C921493"/>
    <w:rsid w:val="4C96075E"/>
    <w:rsid w:val="4C960838"/>
    <w:rsid w:val="4CA63CC9"/>
    <w:rsid w:val="4CB04F39"/>
    <w:rsid w:val="4CB210AA"/>
    <w:rsid w:val="4CB4376C"/>
    <w:rsid w:val="4CBD0B1F"/>
    <w:rsid w:val="4CC22A4A"/>
    <w:rsid w:val="4CC64FB8"/>
    <w:rsid w:val="4CCA40FA"/>
    <w:rsid w:val="4CE87889"/>
    <w:rsid w:val="4CED710E"/>
    <w:rsid w:val="4CF17AA4"/>
    <w:rsid w:val="4CF87AFD"/>
    <w:rsid w:val="4D003857"/>
    <w:rsid w:val="4D05521E"/>
    <w:rsid w:val="4D076FF3"/>
    <w:rsid w:val="4D08414A"/>
    <w:rsid w:val="4D092506"/>
    <w:rsid w:val="4D200666"/>
    <w:rsid w:val="4D3A7012"/>
    <w:rsid w:val="4D3D19D7"/>
    <w:rsid w:val="4D451508"/>
    <w:rsid w:val="4D47346B"/>
    <w:rsid w:val="4D483B31"/>
    <w:rsid w:val="4D495DF4"/>
    <w:rsid w:val="4D581CBD"/>
    <w:rsid w:val="4D5B6F58"/>
    <w:rsid w:val="4D6420F9"/>
    <w:rsid w:val="4D69316A"/>
    <w:rsid w:val="4D702CE2"/>
    <w:rsid w:val="4D785A58"/>
    <w:rsid w:val="4D853E44"/>
    <w:rsid w:val="4D8744C7"/>
    <w:rsid w:val="4D970124"/>
    <w:rsid w:val="4D992749"/>
    <w:rsid w:val="4DA143F4"/>
    <w:rsid w:val="4DBE4927"/>
    <w:rsid w:val="4DC2477B"/>
    <w:rsid w:val="4DC37AAD"/>
    <w:rsid w:val="4DD03A81"/>
    <w:rsid w:val="4DD8568B"/>
    <w:rsid w:val="4DE1012A"/>
    <w:rsid w:val="4DE56472"/>
    <w:rsid w:val="4DEA16B8"/>
    <w:rsid w:val="4DEB3C6F"/>
    <w:rsid w:val="4DF17ECD"/>
    <w:rsid w:val="4DF65554"/>
    <w:rsid w:val="4DFA077E"/>
    <w:rsid w:val="4DFB01D4"/>
    <w:rsid w:val="4DFB41B5"/>
    <w:rsid w:val="4DFC1243"/>
    <w:rsid w:val="4DFC4D6D"/>
    <w:rsid w:val="4E0202C1"/>
    <w:rsid w:val="4E02229A"/>
    <w:rsid w:val="4E132BF4"/>
    <w:rsid w:val="4E162BA9"/>
    <w:rsid w:val="4E1E0460"/>
    <w:rsid w:val="4E1F2098"/>
    <w:rsid w:val="4E245FCD"/>
    <w:rsid w:val="4E2A37D7"/>
    <w:rsid w:val="4E2F4F0E"/>
    <w:rsid w:val="4E3F0D8B"/>
    <w:rsid w:val="4E452F68"/>
    <w:rsid w:val="4E485577"/>
    <w:rsid w:val="4E4F602D"/>
    <w:rsid w:val="4E521DCC"/>
    <w:rsid w:val="4E563A79"/>
    <w:rsid w:val="4E5D37BF"/>
    <w:rsid w:val="4E5E7854"/>
    <w:rsid w:val="4E60113A"/>
    <w:rsid w:val="4E7C40A4"/>
    <w:rsid w:val="4E8267E7"/>
    <w:rsid w:val="4E826B8B"/>
    <w:rsid w:val="4E915C83"/>
    <w:rsid w:val="4E920755"/>
    <w:rsid w:val="4E980798"/>
    <w:rsid w:val="4E9A5427"/>
    <w:rsid w:val="4E9A7B73"/>
    <w:rsid w:val="4E9E6AA4"/>
    <w:rsid w:val="4EA244DC"/>
    <w:rsid w:val="4EA3784C"/>
    <w:rsid w:val="4EA41EEC"/>
    <w:rsid w:val="4EB951BF"/>
    <w:rsid w:val="4EBB7642"/>
    <w:rsid w:val="4EBF6B54"/>
    <w:rsid w:val="4EC0678A"/>
    <w:rsid w:val="4EC16EB7"/>
    <w:rsid w:val="4EC935CE"/>
    <w:rsid w:val="4ECD2EF2"/>
    <w:rsid w:val="4ED11C95"/>
    <w:rsid w:val="4ED15594"/>
    <w:rsid w:val="4EDC019B"/>
    <w:rsid w:val="4EDD798C"/>
    <w:rsid w:val="4EE27137"/>
    <w:rsid w:val="4EEB6A39"/>
    <w:rsid w:val="4EED3201"/>
    <w:rsid w:val="4EF44D23"/>
    <w:rsid w:val="4EF844EA"/>
    <w:rsid w:val="4EFB744F"/>
    <w:rsid w:val="4EFC3112"/>
    <w:rsid w:val="4EFD1701"/>
    <w:rsid w:val="4EFF66FB"/>
    <w:rsid w:val="4F040683"/>
    <w:rsid w:val="4F130C17"/>
    <w:rsid w:val="4F166D4A"/>
    <w:rsid w:val="4F270D2D"/>
    <w:rsid w:val="4F2737C5"/>
    <w:rsid w:val="4F31723C"/>
    <w:rsid w:val="4F340C63"/>
    <w:rsid w:val="4F3B7505"/>
    <w:rsid w:val="4F3E1BA7"/>
    <w:rsid w:val="4F527868"/>
    <w:rsid w:val="4F656A65"/>
    <w:rsid w:val="4F6709AC"/>
    <w:rsid w:val="4F6D642E"/>
    <w:rsid w:val="4F6F762E"/>
    <w:rsid w:val="4F767689"/>
    <w:rsid w:val="4F926827"/>
    <w:rsid w:val="4F98633D"/>
    <w:rsid w:val="4FA4623D"/>
    <w:rsid w:val="4FA86461"/>
    <w:rsid w:val="4FAA16EE"/>
    <w:rsid w:val="4FAB620C"/>
    <w:rsid w:val="4FB25D36"/>
    <w:rsid w:val="4FB55FF8"/>
    <w:rsid w:val="4FB93293"/>
    <w:rsid w:val="4FCF79B6"/>
    <w:rsid w:val="4FE06869"/>
    <w:rsid w:val="4FE9200A"/>
    <w:rsid w:val="4FEA3FE8"/>
    <w:rsid w:val="4FF201EA"/>
    <w:rsid w:val="4FF42752"/>
    <w:rsid w:val="4FF67560"/>
    <w:rsid w:val="4FF87BDA"/>
    <w:rsid w:val="4FFD4205"/>
    <w:rsid w:val="4FFF5603"/>
    <w:rsid w:val="500035DB"/>
    <w:rsid w:val="500554BB"/>
    <w:rsid w:val="50082791"/>
    <w:rsid w:val="500A21E7"/>
    <w:rsid w:val="5010424F"/>
    <w:rsid w:val="502318E5"/>
    <w:rsid w:val="502456DC"/>
    <w:rsid w:val="502E1C8A"/>
    <w:rsid w:val="502E37C2"/>
    <w:rsid w:val="504967D4"/>
    <w:rsid w:val="504C56EA"/>
    <w:rsid w:val="504E0EE3"/>
    <w:rsid w:val="50523597"/>
    <w:rsid w:val="50537E95"/>
    <w:rsid w:val="50583896"/>
    <w:rsid w:val="50585CC6"/>
    <w:rsid w:val="5059113E"/>
    <w:rsid w:val="506871A6"/>
    <w:rsid w:val="506B39C8"/>
    <w:rsid w:val="50757758"/>
    <w:rsid w:val="507C3BFE"/>
    <w:rsid w:val="507E4835"/>
    <w:rsid w:val="50807FAC"/>
    <w:rsid w:val="508159F6"/>
    <w:rsid w:val="50841FF1"/>
    <w:rsid w:val="50942CF5"/>
    <w:rsid w:val="50984F92"/>
    <w:rsid w:val="50A07C67"/>
    <w:rsid w:val="50AC4DAF"/>
    <w:rsid w:val="50B568B9"/>
    <w:rsid w:val="50B926E0"/>
    <w:rsid w:val="50C069B4"/>
    <w:rsid w:val="50CA159A"/>
    <w:rsid w:val="50D101AA"/>
    <w:rsid w:val="50D71075"/>
    <w:rsid w:val="50E32A6C"/>
    <w:rsid w:val="50E93B81"/>
    <w:rsid w:val="50EC2FA0"/>
    <w:rsid w:val="50F54DAB"/>
    <w:rsid w:val="510530E4"/>
    <w:rsid w:val="510D3CD7"/>
    <w:rsid w:val="51161C4E"/>
    <w:rsid w:val="511848E8"/>
    <w:rsid w:val="51205736"/>
    <w:rsid w:val="512278A5"/>
    <w:rsid w:val="51242D1A"/>
    <w:rsid w:val="51275130"/>
    <w:rsid w:val="51332596"/>
    <w:rsid w:val="51360B87"/>
    <w:rsid w:val="513938C9"/>
    <w:rsid w:val="51394095"/>
    <w:rsid w:val="513A2A02"/>
    <w:rsid w:val="513E3F26"/>
    <w:rsid w:val="51401058"/>
    <w:rsid w:val="514E5AEA"/>
    <w:rsid w:val="5156081F"/>
    <w:rsid w:val="515D02D8"/>
    <w:rsid w:val="51657342"/>
    <w:rsid w:val="51692EB8"/>
    <w:rsid w:val="51722A42"/>
    <w:rsid w:val="5173706F"/>
    <w:rsid w:val="51774780"/>
    <w:rsid w:val="51853637"/>
    <w:rsid w:val="518A2050"/>
    <w:rsid w:val="518D1F26"/>
    <w:rsid w:val="519E2B14"/>
    <w:rsid w:val="51A055DC"/>
    <w:rsid w:val="51AA5DE3"/>
    <w:rsid w:val="51AC6764"/>
    <w:rsid w:val="51AD4B3B"/>
    <w:rsid w:val="51B52056"/>
    <w:rsid w:val="51B74F5A"/>
    <w:rsid w:val="51C36CCB"/>
    <w:rsid w:val="51C471B1"/>
    <w:rsid w:val="51CA613D"/>
    <w:rsid w:val="51D37172"/>
    <w:rsid w:val="51DB1C8D"/>
    <w:rsid w:val="51E82B6A"/>
    <w:rsid w:val="51EA4CB0"/>
    <w:rsid w:val="51EC1D13"/>
    <w:rsid w:val="51EE435D"/>
    <w:rsid w:val="51F04700"/>
    <w:rsid w:val="52000617"/>
    <w:rsid w:val="520A4783"/>
    <w:rsid w:val="520D4FCD"/>
    <w:rsid w:val="520E4EF5"/>
    <w:rsid w:val="520F69D2"/>
    <w:rsid w:val="52145799"/>
    <w:rsid w:val="521570C5"/>
    <w:rsid w:val="521868DE"/>
    <w:rsid w:val="521D24AF"/>
    <w:rsid w:val="52242841"/>
    <w:rsid w:val="52277D53"/>
    <w:rsid w:val="522B352E"/>
    <w:rsid w:val="522F41A9"/>
    <w:rsid w:val="5232586E"/>
    <w:rsid w:val="523E6D57"/>
    <w:rsid w:val="52417FCE"/>
    <w:rsid w:val="52474E72"/>
    <w:rsid w:val="52517014"/>
    <w:rsid w:val="525E1819"/>
    <w:rsid w:val="52656D4B"/>
    <w:rsid w:val="52690A8A"/>
    <w:rsid w:val="52702CC3"/>
    <w:rsid w:val="52762038"/>
    <w:rsid w:val="527C0553"/>
    <w:rsid w:val="52875EBF"/>
    <w:rsid w:val="52994479"/>
    <w:rsid w:val="529C787B"/>
    <w:rsid w:val="52A118F2"/>
    <w:rsid w:val="52A62910"/>
    <w:rsid w:val="52A65828"/>
    <w:rsid w:val="52AC196F"/>
    <w:rsid w:val="52BB751E"/>
    <w:rsid w:val="52BF0C6B"/>
    <w:rsid w:val="52BF7616"/>
    <w:rsid w:val="52D302DE"/>
    <w:rsid w:val="52DB37D2"/>
    <w:rsid w:val="52E112D6"/>
    <w:rsid w:val="52EF771A"/>
    <w:rsid w:val="52F23609"/>
    <w:rsid w:val="52F725D3"/>
    <w:rsid w:val="530059D2"/>
    <w:rsid w:val="53015DAF"/>
    <w:rsid w:val="53155FA7"/>
    <w:rsid w:val="53206470"/>
    <w:rsid w:val="53243A84"/>
    <w:rsid w:val="532A16EF"/>
    <w:rsid w:val="532C2893"/>
    <w:rsid w:val="532E7557"/>
    <w:rsid w:val="53315C4B"/>
    <w:rsid w:val="533A00AA"/>
    <w:rsid w:val="533C7D22"/>
    <w:rsid w:val="53426A39"/>
    <w:rsid w:val="53476182"/>
    <w:rsid w:val="534F7E64"/>
    <w:rsid w:val="53575365"/>
    <w:rsid w:val="536F51A3"/>
    <w:rsid w:val="537321AC"/>
    <w:rsid w:val="53743ED1"/>
    <w:rsid w:val="53752E08"/>
    <w:rsid w:val="537D120F"/>
    <w:rsid w:val="538713B2"/>
    <w:rsid w:val="53920585"/>
    <w:rsid w:val="5396301E"/>
    <w:rsid w:val="539831F9"/>
    <w:rsid w:val="539A41B3"/>
    <w:rsid w:val="53A87319"/>
    <w:rsid w:val="53AA17A9"/>
    <w:rsid w:val="53B842AC"/>
    <w:rsid w:val="53BB5C95"/>
    <w:rsid w:val="53BE5711"/>
    <w:rsid w:val="53C42C43"/>
    <w:rsid w:val="53CB12B0"/>
    <w:rsid w:val="53EC1ECF"/>
    <w:rsid w:val="53F454F7"/>
    <w:rsid w:val="53F74AF6"/>
    <w:rsid w:val="53FD311C"/>
    <w:rsid w:val="53FD3B90"/>
    <w:rsid w:val="54084EF7"/>
    <w:rsid w:val="540A305C"/>
    <w:rsid w:val="5410110C"/>
    <w:rsid w:val="54131912"/>
    <w:rsid w:val="541C1529"/>
    <w:rsid w:val="541C679D"/>
    <w:rsid w:val="541F079B"/>
    <w:rsid w:val="54222228"/>
    <w:rsid w:val="5422763A"/>
    <w:rsid w:val="542A4CF1"/>
    <w:rsid w:val="542F3AE3"/>
    <w:rsid w:val="54393B83"/>
    <w:rsid w:val="54451CFB"/>
    <w:rsid w:val="544615CD"/>
    <w:rsid w:val="544C01D0"/>
    <w:rsid w:val="54510C43"/>
    <w:rsid w:val="54517EF0"/>
    <w:rsid w:val="54521272"/>
    <w:rsid w:val="54521A63"/>
    <w:rsid w:val="545609A9"/>
    <w:rsid w:val="5456526D"/>
    <w:rsid w:val="545D7C4F"/>
    <w:rsid w:val="545F186C"/>
    <w:rsid w:val="546135C3"/>
    <w:rsid w:val="546B3A7C"/>
    <w:rsid w:val="546E71A0"/>
    <w:rsid w:val="547145DD"/>
    <w:rsid w:val="547609DD"/>
    <w:rsid w:val="54775E7C"/>
    <w:rsid w:val="547B5D3D"/>
    <w:rsid w:val="5482587D"/>
    <w:rsid w:val="548341C1"/>
    <w:rsid w:val="54834F12"/>
    <w:rsid w:val="5484104F"/>
    <w:rsid w:val="54886400"/>
    <w:rsid w:val="54922940"/>
    <w:rsid w:val="54923C71"/>
    <w:rsid w:val="54967583"/>
    <w:rsid w:val="54A50337"/>
    <w:rsid w:val="54A75B90"/>
    <w:rsid w:val="54AE280E"/>
    <w:rsid w:val="54B3060F"/>
    <w:rsid w:val="54B40DB1"/>
    <w:rsid w:val="54B4518C"/>
    <w:rsid w:val="54B95A1A"/>
    <w:rsid w:val="54C23274"/>
    <w:rsid w:val="54D26341"/>
    <w:rsid w:val="54D45BC4"/>
    <w:rsid w:val="54D54288"/>
    <w:rsid w:val="54DB49C4"/>
    <w:rsid w:val="54DC1C2B"/>
    <w:rsid w:val="54DE1184"/>
    <w:rsid w:val="54DE7576"/>
    <w:rsid w:val="54E212F4"/>
    <w:rsid w:val="54E92EA3"/>
    <w:rsid w:val="54F56BCB"/>
    <w:rsid w:val="54FB018C"/>
    <w:rsid w:val="550109C1"/>
    <w:rsid w:val="55054110"/>
    <w:rsid w:val="5508132B"/>
    <w:rsid w:val="55100B6A"/>
    <w:rsid w:val="55122FCC"/>
    <w:rsid w:val="55131049"/>
    <w:rsid w:val="55164C9A"/>
    <w:rsid w:val="551A15C6"/>
    <w:rsid w:val="551F2C7C"/>
    <w:rsid w:val="552B6A9A"/>
    <w:rsid w:val="552F12F5"/>
    <w:rsid w:val="553A18C8"/>
    <w:rsid w:val="553F43DA"/>
    <w:rsid w:val="5546256D"/>
    <w:rsid w:val="55500CE9"/>
    <w:rsid w:val="555946AB"/>
    <w:rsid w:val="555C3C55"/>
    <w:rsid w:val="555C3E9A"/>
    <w:rsid w:val="556100F8"/>
    <w:rsid w:val="55627B08"/>
    <w:rsid w:val="5565088E"/>
    <w:rsid w:val="55663EE5"/>
    <w:rsid w:val="5566675F"/>
    <w:rsid w:val="556D2C0F"/>
    <w:rsid w:val="556F7375"/>
    <w:rsid w:val="55721481"/>
    <w:rsid w:val="5579157E"/>
    <w:rsid w:val="55836991"/>
    <w:rsid w:val="55911E19"/>
    <w:rsid w:val="559601F5"/>
    <w:rsid w:val="559B253D"/>
    <w:rsid w:val="559E2967"/>
    <w:rsid w:val="559F620B"/>
    <w:rsid w:val="55A03621"/>
    <w:rsid w:val="55A17B91"/>
    <w:rsid w:val="55AD5540"/>
    <w:rsid w:val="55BB3061"/>
    <w:rsid w:val="55C0458D"/>
    <w:rsid w:val="55C37CDE"/>
    <w:rsid w:val="55D22539"/>
    <w:rsid w:val="55E34C3E"/>
    <w:rsid w:val="55E53845"/>
    <w:rsid w:val="55E61A70"/>
    <w:rsid w:val="55E738C7"/>
    <w:rsid w:val="55F720C6"/>
    <w:rsid w:val="5607285D"/>
    <w:rsid w:val="560F2F20"/>
    <w:rsid w:val="56120991"/>
    <w:rsid w:val="562D50DC"/>
    <w:rsid w:val="563D46B2"/>
    <w:rsid w:val="56456E1A"/>
    <w:rsid w:val="56457704"/>
    <w:rsid w:val="5648287B"/>
    <w:rsid w:val="5658153C"/>
    <w:rsid w:val="5667179F"/>
    <w:rsid w:val="5669552B"/>
    <w:rsid w:val="56701B0F"/>
    <w:rsid w:val="56756FEE"/>
    <w:rsid w:val="5677601A"/>
    <w:rsid w:val="567A14B2"/>
    <w:rsid w:val="56883C68"/>
    <w:rsid w:val="568B0655"/>
    <w:rsid w:val="568F6105"/>
    <w:rsid w:val="569340BF"/>
    <w:rsid w:val="569A4AAB"/>
    <w:rsid w:val="569D7032"/>
    <w:rsid w:val="569E20FD"/>
    <w:rsid w:val="56A26CA4"/>
    <w:rsid w:val="56A769A9"/>
    <w:rsid w:val="56A90163"/>
    <w:rsid w:val="56AD22B9"/>
    <w:rsid w:val="56B1600C"/>
    <w:rsid w:val="56BA538E"/>
    <w:rsid w:val="56BA554A"/>
    <w:rsid w:val="56C768C1"/>
    <w:rsid w:val="56CB20C5"/>
    <w:rsid w:val="56CD0D0F"/>
    <w:rsid w:val="56CF17A9"/>
    <w:rsid w:val="56D73086"/>
    <w:rsid w:val="56DE774E"/>
    <w:rsid w:val="56E57EA5"/>
    <w:rsid w:val="56ED3AE9"/>
    <w:rsid w:val="56EF6AA9"/>
    <w:rsid w:val="56F232A6"/>
    <w:rsid w:val="56FB3DE8"/>
    <w:rsid w:val="57101D0B"/>
    <w:rsid w:val="57131037"/>
    <w:rsid w:val="573556C2"/>
    <w:rsid w:val="575632CC"/>
    <w:rsid w:val="575F62DA"/>
    <w:rsid w:val="57606F87"/>
    <w:rsid w:val="577A6D2E"/>
    <w:rsid w:val="577E0893"/>
    <w:rsid w:val="577F0575"/>
    <w:rsid w:val="578840B1"/>
    <w:rsid w:val="57945726"/>
    <w:rsid w:val="579D34A4"/>
    <w:rsid w:val="57AC7F76"/>
    <w:rsid w:val="57B17ABA"/>
    <w:rsid w:val="57B37249"/>
    <w:rsid w:val="57B528A1"/>
    <w:rsid w:val="57BB73FE"/>
    <w:rsid w:val="57BF6AF8"/>
    <w:rsid w:val="57C969E3"/>
    <w:rsid w:val="57D57D2F"/>
    <w:rsid w:val="57D60714"/>
    <w:rsid w:val="57D94111"/>
    <w:rsid w:val="57DC2BAD"/>
    <w:rsid w:val="57F15865"/>
    <w:rsid w:val="57F67D0A"/>
    <w:rsid w:val="57FF2C6E"/>
    <w:rsid w:val="580112DD"/>
    <w:rsid w:val="58057B99"/>
    <w:rsid w:val="580815FA"/>
    <w:rsid w:val="5808676D"/>
    <w:rsid w:val="58201D40"/>
    <w:rsid w:val="58305408"/>
    <w:rsid w:val="58380391"/>
    <w:rsid w:val="583A3C22"/>
    <w:rsid w:val="58430D07"/>
    <w:rsid w:val="584326B5"/>
    <w:rsid w:val="586846EF"/>
    <w:rsid w:val="586D2962"/>
    <w:rsid w:val="586E1A07"/>
    <w:rsid w:val="5872759C"/>
    <w:rsid w:val="587A37AD"/>
    <w:rsid w:val="5886386C"/>
    <w:rsid w:val="58872F30"/>
    <w:rsid w:val="588B353C"/>
    <w:rsid w:val="588B7142"/>
    <w:rsid w:val="588E0972"/>
    <w:rsid w:val="588E14D6"/>
    <w:rsid w:val="589B5B49"/>
    <w:rsid w:val="589E3418"/>
    <w:rsid w:val="58AF3175"/>
    <w:rsid w:val="58B67BEB"/>
    <w:rsid w:val="58C00689"/>
    <w:rsid w:val="58CC7366"/>
    <w:rsid w:val="58DF2335"/>
    <w:rsid w:val="58E3120B"/>
    <w:rsid w:val="58E912C7"/>
    <w:rsid w:val="58ED24DC"/>
    <w:rsid w:val="58EE7F4C"/>
    <w:rsid w:val="58F46DEA"/>
    <w:rsid w:val="58FB7105"/>
    <w:rsid w:val="590B158E"/>
    <w:rsid w:val="590B1FC3"/>
    <w:rsid w:val="590E7611"/>
    <w:rsid w:val="59102D6E"/>
    <w:rsid w:val="59107FD3"/>
    <w:rsid w:val="591401BA"/>
    <w:rsid w:val="59161EDD"/>
    <w:rsid w:val="59201202"/>
    <w:rsid w:val="59283577"/>
    <w:rsid w:val="592C532E"/>
    <w:rsid w:val="592D4E59"/>
    <w:rsid w:val="59495D0A"/>
    <w:rsid w:val="594A0F1E"/>
    <w:rsid w:val="594B2650"/>
    <w:rsid w:val="59521FFB"/>
    <w:rsid w:val="59550077"/>
    <w:rsid w:val="59695B0E"/>
    <w:rsid w:val="597900D1"/>
    <w:rsid w:val="5984766D"/>
    <w:rsid w:val="598D1CE2"/>
    <w:rsid w:val="59941933"/>
    <w:rsid w:val="59A114F8"/>
    <w:rsid w:val="59A24D8A"/>
    <w:rsid w:val="59A3309B"/>
    <w:rsid w:val="59AD460E"/>
    <w:rsid w:val="59B04782"/>
    <w:rsid w:val="59B764D9"/>
    <w:rsid w:val="59BA7DD3"/>
    <w:rsid w:val="59BF0470"/>
    <w:rsid w:val="59C0290C"/>
    <w:rsid w:val="59C12B00"/>
    <w:rsid w:val="59C5315A"/>
    <w:rsid w:val="59C85BBA"/>
    <w:rsid w:val="59CD1026"/>
    <w:rsid w:val="59D55330"/>
    <w:rsid w:val="59DA1A0D"/>
    <w:rsid w:val="59DF73D7"/>
    <w:rsid w:val="59E01997"/>
    <w:rsid w:val="59E447A7"/>
    <w:rsid w:val="59F112FE"/>
    <w:rsid w:val="59F26158"/>
    <w:rsid w:val="59FA1FEC"/>
    <w:rsid w:val="59FB5B93"/>
    <w:rsid w:val="5A03574A"/>
    <w:rsid w:val="5A0C522E"/>
    <w:rsid w:val="5A123059"/>
    <w:rsid w:val="5A136829"/>
    <w:rsid w:val="5A143FBA"/>
    <w:rsid w:val="5A257119"/>
    <w:rsid w:val="5A2643CB"/>
    <w:rsid w:val="5A340494"/>
    <w:rsid w:val="5A397DDF"/>
    <w:rsid w:val="5A4D708A"/>
    <w:rsid w:val="5A761225"/>
    <w:rsid w:val="5A8A4153"/>
    <w:rsid w:val="5A8F4ABF"/>
    <w:rsid w:val="5A9038A8"/>
    <w:rsid w:val="5A952697"/>
    <w:rsid w:val="5AAC4317"/>
    <w:rsid w:val="5AB62857"/>
    <w:rsid w:val="5AB67988"/>
    <w:rsid w:val="5AB91724"/>
    <w:rsid w:val="5ABF7D64"/>
    <w:rsid w:val="5ACA5953"/>
    <w:rsid w:val="5ACB3A4A"/>
    <w:rsid w:val="5ACF19E6"/>
    <w:rsid w:val="5AD22D98"/>
    <w:rsid w:val="5AD47477"/>
    <w:rsid w:val="5AE3217B"/>
    <w:rsid w:val="5AE57817"/>
    <w:rsid w:val="5AE60D3F"/>
    <w:rsid w:val="5AE70490"/>
    <w:rsid w:val="5AFF38B3"/>
    <w:rsid w:val="5B06430D"/>
    <w:rsid w:val="5B0C1DEE"/>
    <w:rsid w:val="5B173253"/>
    <w:rsid w:val="5B26453F"/>
    <w:rsid w:val="5B2A49AD"/>
    <w:rsid w:val="5B43724B"/>
    <w:rsid w:val="5B4B7AF9"/>
    <w:rsid w:val="5B540B7B"/>
    <w:rsid w:val="5B59062D"/>
    <w:rsid w:val="5B5A4173"/>
    <w:rsid w:val="5B6451A6"/>
    <w:rsid w:val="5B75731B"/>
    <w:rsid w:val="5B7E1EB2"/>
    <w:rsid w:val="5B847D3D"/>
    <w:rsid w:val="5B861444"/>
    <w:rsid w:val="5B8A50DE"/>
    <w:rsid w:val="5B912B50"/>
    <w:rsid w:val="5B953ED2"/>
    <w:rsid w:val="5B993928"/>
    <w:rsid w:val="5B9955E8"/>
    <w:rsid w:val="5B9A5925"/>
    <w:rsid w:val="5B9B4306"/>
    <w:rsid w:val="5B9E436E"/>
    <w:rsid w:val="5BA13C73"/>
    <w:rsid w:val="5BAA0E05"/>
    <w:rsid w:val="5BB3110B"/>
    <w:rsid w:val="5BB50DF9"/>
    <w:rsid w:val="5BB575A2"/>
    <w:rsid w:val="5BC2290D"/>
    <w:rsid w:val="5BC90992"/>
    <w:rsid w:val="5BCB2B90"/>
    <w:rsid w:val="5BD81FA8"/>
    <w:rsid w:val="5BDE0265"/>
    <w:rsid w:val="5BED5D88"/>
    <w:rsid w:val="5BF204A7"/>
    <w:rsid w:val="5BF53049"/>
    <w:rsid w:val="5BF53B3D"/>
    <w:rsid w:val="5BF601A9"/>
    <w:rsid w:val="5BF957E3"/>
    <w:rsid w:val="5BFB7164"/>
    <w:rsid w:val="5C0B1C47"/>
    <w:rsid w:val="5C0B2E25"/>
    <w:rsid w:val="5C17648D"/>
    <w:rsid w:val="5C1A310B"/>
    <w:rsid w:val="5C1A753A"/>
    <w:rsid w:val="5C202F01"/>
    <w:rsid w:val="5C236E8E"/>
    <w:rsid w:val="5C312060"/>
    <w:rsid w:val="5C461A91"/>
    <w:rsid w:val="5C4639E1"/>
    <w:rsid w:val="5C497FA1"/>
    <w:rsid w:val="5C4B3F8B"/>
    <w:rsid w:val="5C4F5257"/>
    <w:rsid w:val="5C583E24"/>
    <w:rsid w:val="5C60208A"/>
    <w:rsid w:val="5C66535C"/>
    <w:rsid w:val="5C6A427A"/>
    <w:rsid w:val="5C6D424E"/>
    <w:rsid w:val="5C727C32"/>
    <w:rsid w:val="5C744BD9"/>
    <w:rsid w:val="5C774020"/>
    <w:rsid w:val="5C836D63"/>
    <w:rsid w:val="5C847D9F"/>
    <w:rsid w:val="5C8A0E37"/>
    <w:rsid w:val="5C93198C"/>
    <w:rsid w:val="5C98042B"/>
    <w:rsid w:val="5C9913E2"/>
    <w:rsid w:val="5CA66466"/>
    <w:rsid w:val="5CAD630E"/>
    <w:rsid w:val="5CB33015"/>
    <w:rsid w:val="5CB46F5A"/>
    <w:rsid w:val="5CB7639B"/>
    <w:rsid w:val="5CD63C56"/>
    <w:rsid w:val="5CD91E24"/>
    <w:rsid w:val="5CDE0C87"/>
    <w:rsid w:val="5CDF1DCE"/>
    <w:rsid w:val="5CE14087"/>
    <w:rsid w:val="5CE33758"/>
    <w:rsid w:val="5CE45BE2"/>
    <w:rsid w:val="5CE96194"/>
    <w:rsid w:val="5CF319DE"/>
    <w:rsid w:val="5CF50E0C"/>
    <w:rsid w:val="5CFA2EAA"/>
    <w:rsid w:val="5D041404"/>
    <w:rsid w:val="5D05702F"/>
    <w:rsid w:val="5D0819AF"/>
    <w:rsid w:val="5D0B3DB3"/>
    <w:rsid w:val="5D131B22"/>
    <w:rsid w:val="5D15609A"/>
    <w:rsid w:val="5D1F0193"/>
    <w:rsid w:val="5D243C94"/>
    <w:rsid w:val="5D246DB0"/>
    <w:rsid w:val="5D264973"/>
    <w:rsid w:val="5D283218"/>
    <w:rsid w:val="5D2A41F3"/>
    <w:rsid w:val="5D3959B1"/>
    <w:rsid w:val="5D3C3250"/>
    <w:rsid w:val="5D3E70CC"/>
    <w:rsid w:val="5D412E9E"/>
    <w:rsid w:val="5D503C55"/>
    <w:rsid w:val="5D5531B4"/>
    <w:rsid w:val="5D574AF6"/>
    <w:rsid w:val="5D5E4BD3"/>
    <w:rsid w:val="5D610FBA"/>
    <w:rsid w:val="5D73062F"/>
    <w:rsid w:val="5D7519FB"/>
    <w:rsid w:val="5D754359"/>
    <w:rsid w:val="5D7D61FF"/>
    <w:rsid w:val="5D7E072C"/>
    <w:rsid w:val="5D7F5B3F"/>
    <w:rsid w:val="5D8374DA"/>
    <w:rsid w:val="5D9043C5"/>
    <w:rsid w:val="5D917380"/>
    <w:rsid w:val="5D942484"/>
    <w:rsid w:val="5D976281"/>
    <w:rsid w:val="5D9F66F5"/>
    <w:rsid w:val="5DA04471"/>
    <w:rsid w:val="5DAB78D0"/>
    <w:rsid w:val="5DBF03EB"/>
    <w:rsid w:val="5DBF5867"/>
    <w:rsid w:val="5DC04997"/>
    <w:rsid w:val="5DC53591"/>
    <w:rsid w:val="5DC85744"/>
    <w:rsid w:val="5DCF2F34"/>
    <w:rsid w:val="5DD2534B"/>
    <w:rsid w:val="5DD36523"/>
    <w:rsid w:val="5DEB2D6E"/>
    <w:rsid w:val="5DF85FBA"/>
    <w:rsid w:val="5DFB0575"/>
    <w:rsid w:val="5DFC2939"/>
    <w:rsid w:val="5E023CAE"/>
    <w:rsid w:val="5E027BA8"/>
    <w:rsid w:val="5E0A0BB4"/>
    <w:rsid w:val="5E0A3A10"/>
    <w:rsid w:val="5E2860C8"/>
    <w:rsid w:val="5E2A0754"/>
    <w:rsid w:val="5E2B3F5E"/>
    <w:rsid w:val="5E384323"/>
    <w:rsid w:val="5E3B2009"/>
    <w:rsid w:val="5E3B3903"/>
    <w:rsid w:val="5E3C3CAB"/>
    <w:rsid w:val="5E3E2839"/>
    <w:rsid w:val="5E425E09"/>
    <w:rsid w:val="5E445E81"/>
    <w:rsid w:val="5E4E3305"/>
    <w:rsid w:val="5E561E50"/>
    <w:rsid w:val="5E6D2BC6"/>
    <w:rsid w:val="5E7516A9"/>
    <w:rsid w:val="5E757973"/>
    <w:rsid w:val="5E7D0D70"/>
    <w:rsid w:val="5E8B5B78"/>
    <w:rsid w:val="5E8D40BB"/>
    <w:rsid w:val="5E8E5A07"/>
    <w:rsid w:val="5E912506"/>
    <w:rsid w:val="5EA0790D"/>
    <w:rsid w:val="5EA20FD9"/>
    <w:rsid w:val="5EA96EBE"/>
    <w:rsid w:val="5EAC37CE"/>
    <w:rsid w:val="5EAE7611"/>
    <w:rsid w:val="5EB47C6B"/>
    <w:rsid w:val="5EB505C8"/>
    <w:rsid w:val="5EB97BFE"/>
    <w:rsid w:val="5EBB4529"/>
    <w:rsid w:val="5EBC4050"/>
    <w:rsid w:val="5EBD6D92"/>
    <w:rsid w:val="5ECE4AD3"/>
    <w:rsid w:val="5ED90A4F"/>
    <w:rsid w:val="5EDB5760"/>
    <w:rsid w:val="5EDC5CD9"/>
    <w:rsid w:val="5EE575E0"/>
    <w:rsid w:val="5EF04834"/>
    <w:rsid w:val="5EF13379"/>
    <w:rsid w:val="5EF51C65"/>
    <w:rsid w:val="5EF77A28"/>
    <w:rsid w:val="5EFA508F"/>
    <w:rsid w:val="5F1A537B"/>
    <w:rsid w:val="5F1D3DA3"/>
    <w:rsid w:val="5F2004B7"/>
    <w:rsid w:val="5F207D18"/>
    <w:rsid w:val="5F22545D"/>
    <w:rsid w:val="5F24765D"/>
    <w:rsid w:val="5F290D15"/>
    <w:rsid w:val="5F2A666C"/>
    <w:rsid w:val="5F2B466E"/>
    <w:rsid w:val="5F306E6E"/>
    <w:rsid w:val="5F4209AC"/>
    <w:rsid w:val="5F424C71"/>
    <w:rsid w:val="5F432EAB"/>
    <w:rsid w:val="5F4420C1"/>
    <w:rsid w:val="5F4E1724"/>
    <w:rsid w:val="5F58372D"/>
    <w:rsid w:val="5F5C17A0"/>
    <w:rsid w:val="5F654B11"/>
    <w:rsid w:val="5F6649D0"/>
    <w:rsid w:val="5F67640E"/>
    <w:rsid w:val="5F755CC4"/>
    <w:rsid w:val="5F7A430A"/>
    <w:rsid w:val="5F7F18C1"/>
    <w:rsid w:val="5F8124DD"/>
    <w:rsid w:val="5F8B58BB"/>
    <w:rsid w:val="5F94225B"/>
    <w:rsid w:val="5F9840E4"/>
    <w:rsid w:val="5F9A5730"/>
    <w:rsid w:val="5FAB0881"/>
    <w:rsid w:val="5FB872AD"/>
    <w:rsid w:val="5FBA585B"/>
    <w:rsid w:val="5FC111DF"/>
    <w:rsid w:val="5FD6077A"/>
    <w:rsid w:val="5FD91EC4"/>
    <w:rsid w:val="5FDA00BB"/>
    <w:rsid w:val="5FDC6830"/>
    <w:rsid w:val="5FE57F90"/>
    <w:rsid w:val="5FF73DFD"/>
    <w:rsid w:val="5FF842D2"/>
    <w:rsid w:val="5FF96B92"/>
    <w:rsid w:val="5FFF6B3B"/>
    <w:rsid w:val="5FFFEFFF"/>
    <w:rsid w:val="60010018"/>
    <w:rsid w:val="60033EF8"/>
    <w:rsid w:val="60103832"/>
    <w:rsid w:val="6011375B"/>
    <w:rsid w:val="60170FDD"/>
    <w:rsid w:val="601A4CAC"/>
    <w:rsid w:val="602A33E5"/>
    <w:rsid w:val="602B6C72"/>
    <w:rsid w:val="602D12EB"/>
    <w:rsid w:val="60354303"/>
    <w:rsid w:val="60381E7E"/>
    <w:rsid w:val="603A319D"/>
    <w:rsid w:val="603B39E3"/>
    <w:rsid w:val="603D123C"/>
    <w:rsid w:val="60405096"/>
    <w:rsid w:val="60430916"/>
    <w:rsid w:val="60433F1A"/>
    <w:rsid w:val="604638DA"/>
    <w:rsid w:val="604B2C00"/>
    <w:rsid w:val="60531BBE"/>
    <w:rsid w:val="605A2653"/>
    <w:rsid w:val="605B16EF"/>
    <w:rsid w:val="606030AA"/>
    <w:rsid w:val="607029FA"/>
    <w:rsid w:val="60820079"/>
    <w:rsid w:val="60825995"/>
    <w:rsid w:val="60866FAA"/>
    <w:rsid w:val="608951D9"/>
    <w:rsid w:val="608A3E83"/>
    <w:rsid w:val="608A60FA"/>
    <w:rsid w:val="608F3439"/>
    <w:rsid w:val="60911AB1"/>
    <w:rsid w:val="60914E6D"/>
    <w:rsid w:val="609D4A67"/>
    <w:rsid w:val="60AB53BD"/>
    <w:rsid w:val="60AE1332"/>
    <w:rsid w:val="60B06382"/>
    <w:rsid w:val="60B238E8"/>
    <w:rsid w:val="60C07CD3"/>
    <w:rsid w:val="60C56A58"/>
    <w:rsid w:val="60D05951"/>
    <w:rsid w:val="60D52D3C"/>
    <w:rsid w:val="60E40FCB"/>
    <w:rsid w:val="60E727D0"/>
    <w:rsid w:val="60F431B6"/>
    <w:rsid w:val="60F80E08"/>
    <w:rsid w:val="60F80F7E"/>
    <w:rsid w:val="610D091A"/>
    <w:rsid w:val="61101393"/>
    <w:rsid w:val="6117277E"/>
    <w:rsid w:val="612C6F7A"/>
    <w:rsid w:val="613624C4"/>
    <w:rsid w:val="613B28D7"/>
    <w:rsid w:val="613C16FE"/>
    <w:rsid w:val="613C2142"/>
    <w:rsid w:val="61411BD9"/>
    <w:rsid w:val="61431625"/>
    <w:rsid w:val="6144456B"/>
    <w:rsid w:val="61520F1C"/>
    <w:rsid w:val="615858BA"/>
    <w:rsid w:val="615C2A71"/>
    <w:rsid w:val="61620211"/>
    <w:rsid w:val="61647FDF"/>
    <w:rsid w:val="616D3F1F"/>
    <w:rsid w:val="616F7D6C"/>
    <w:rsid w:val="617B185C"/>
    <w:rsid w:val="6182718B"/>
    <w:rsid w:val="618B6600"/>
    <w:rsid w:val="618F3B50"/>
    <w:rsid w:val="619176D1"/>
    <w:rsid w:val="619B1D96"/>
    <w:rsid w:val="619E3328"/>
    <w:rsid w:val="619E6FB0"/>
    <w:rsid w:val="61A84FD3"/>
    <w:rsid w:val="61AD6547"/>
    <w:rsid w:val="61B629E5"/>
    <w:rsid w:val="61BA64FF"/>
    <w:rsid w:val="61BE455F"/>
    <w:rsid w:val="61C16E98"/>
    <w:rsid w:val="61CA4A08"/>
    <w:rsid w:val="61CE1FA4"/>
    <w:rsid w:val="61D67110"/>
    <w:rsid w:val="61D758C9"/>
    <w:rsid w:val="61E044C2"/>
    <w:rsid w:val="61E54BC6"/>
    <w:rsid w:val="61E61E86"/>
    <w:rsid w:val="61F14599"/>
    <w:rsid w:val="61F9117D"/>
    <w:rsid w:val="61FA0D76"/>
    <w:rsid w:val="61FD12D7"/>
    <w:rsid w:val="6202633D"/>
    <w:rsid w:val="62067684"/>
    <w:rsid w:val="62072558"/>
    <w:rsid w:val="620956CC"/>
    <w:rsid w:val="620A2EB8"/>
    <w:rsid w:val="620B0F65"/>
    <w:rsid w:val="620D48D5"/>
    <w:rsid w:val="62125C14"/>
    <w:rsid w:val="622802D4"/>
    <w:rsid w:val="622C60B8"/>
    <w:rsid w:val="622F0784"/>
    <w:rsid w:val="62365A7B"/>
    <w:rsid w:val="623955FF"/>
    <w:rsid w:val="62421627"/>
    <w:rsid w:val="62434609"/>
    <w:rsid w:val="624779E5"/>
    <w:rsid w:val="62487455"/>
    <w:rsid w:val="624A7EEB"/>
    <w:rsid w:val="6251701E"/>
    <w:rsid w:val="625A4EAE"/>
    <w:rsid w:val="62632E08"/>
    <w:rsid w:val="627358D5"/>
    <w:rsid w:val="6276629E"/>
    <w:rsid w:val="627F1C0C"/>
    <w:rsid w:val="627F535F"/>
    <w:rsid w:val="6287237F"/>
    <w:rsid w:val="62880A87"/>
    <w:rsid w:val="628841ED"/>
    <w:rsid w:val="62894017"/>
    <w:rsid w:val="628D497B"/>
    <w:rsid w:val="62915BF9"/>
    <w:rsid w:val="62935911"/>
    <w:rsid w:val="629F4FFC"/>
    <w:rsid w:val="62AE35A5"/>
    <w:rsid w:val="62AF758F"/>
    <w:rsid w:val="62B74707"/>
    <w:rsid w:val="62C4751A"/>
    <w:rsid w:val="62C50258"/>
    <w:rsid w:val="62C70051"/>
    <w:rsid w:val="62CC1A55"/>
    <w:rsid w:val="62D033D7"/>
    <w:rsid w:val="62D24E91"/>
    <w:rsid w:val="62D261A4"/>
    <w:rsid w:val="62D56E87"/>
    <w:rsid w:val="62D64631"/>
    <w:rsid w:val="62DB42A1"/>
    <w:rsid w:val="62DC7633"/>
    <w:rsid w:val="62E4189E"/>
    <w:rsid w:val="6300533B"/>
    <w:rsid w:val="63005D3D"/>
    <w:rsid w:val="6300796F"/>
    <w:rsid w:val="630D2FD5"/>
    <w:rsid w:val="630F3E93"/>
    <w:rsid w:val="63140052"/>
    <w:rsid w:val="631779FB"/>
    <w:rsid w:val="63181EE7"/>
    <w:rsid w:val="631D0BDB"/>
    <w:rsid w:val="632150B7"/>
    <w:rsid w:val="63282367"/>
    <w:rsid w:val="63292FE2"/>
    <w:rsid w:val="634250D9"/>
    <w:rsid w:val="63436FC8"/>
    <w:rsid w:val="634B54BD"/>
    <w:rsid w:val="634B676D"/>
    <w:rsid w:val="634F4786"/>
    <w:rsid w:val="635458F8"/>
    <w:rsid w:val="63654F5B"/>
    <w:rsid w:val="6365621B"/>
    <w:rsid w:val="63690152"/>
    <w:rsid w:val="636B401B"/>
    <w:rsid w:val="636D5B47"/>
    <w:rsid w:val="63704A0B"/>
    <w:rsid w:val="637356EA"/>
    <w:rsid w:val="63743354"/>
    <w:rsid w:val="63774C12"/>
    <w:rsid w:val="637A1D49"/>
    <w:rsid w:val="637B1AF3"/>
    <w:rsid w:val="637D4470"/>
    <w:rsid w:val="638A3FB7"/>
    <w:rsid w:val="63AB6274"/>
    <w:rsid w:val="63B252AA"/>
    <w:rsid w:val="63B268A4"/>
    <w:rsid w:val="63B278AE"/>
    <w:rsid w:val="63BF01CA"/>
    <w:rsid w:val="63C26F97"/>
    <w:rsid w:val="63D81139"/>
    <w:rsid w:val="63DA30BD"/>
    <w:rsid w:val="63DE1E1F"/>
    <w:rsid w:val="63DF7591"/>
    <w:rsid w:val="640A7E6F"/>
    <w:rsid w:val="640D5592"/>
    <w:rsid w:val="640F111D"/>
    <w:rsid w:val="641066DF"/>
    <w:rsid w:val="6415471B"/>
    <w:rsid w:val="64184A94"/>
    <w:rsid w:val="641A7BE7"/>
    <w:rsid w:val="641C62B2"/>
    <w:rsid w:val="641C6342"/>
    <w:rsid w:val="641D5D90"/>
    <w:rsid w:val="642A4A6F"/>
    <w:rsid w:val="642A69E2"/>
    <w:rsid w:val="642E14F0"/>
    <w:rsid w:val="644106C9"/>
    <w:rsid w:val="64487864"/>
    <w:rsid w:val="644B4BED"/>
    <w:rsid w:val="644D348F"/>
    <w:rsid w:val="6455416E"/>
    <w:rsid w:val="645A2BDF"/>
    <w:rsid w:val="645E43AA"/>
    <w:rsid w:val="645E510F"/>
    <w:rsid w:val="64675F8C"/>
    <w:rsid w:val="647E2BEE"/>
    <w:rsid w:val="64821DEA"/>
    <w:rsid w:val="6484560E"/>
    <w:rsid w:val="648834FC"/>
    <w:rsid w:val="64933326"/>
    <w:rsid w:val="649550A5"/>
    <w:rsid w:val="649A0BB7"/>
    <w:rsid w:val="649E604B"/>
    <w:rsid w:val="64A20B38"/>
    <w:rsid w:val="64A25691"/>
    <w:rsid w:val="64A31301"/>
    <w:rsid w:val="64B132E4"/>
    <w:rsid w:val="64B47BFE"/>
    <w:rsid w:val="64BD510F"/>
    <w:rsid w:val="64BF5725"/>
    <w:rsid w:val="64C13236"/>
    <w:rsid w:val="64C202A5"/>
    <w:rsid w:val="64C82295"/>
    <w:rsid w:val="64CD091C"/>
    <w:rsid w:val="64D578D7"/>
    <w:rsid w:val="64D72494"/>
    <w:rsid w:val="64D76205"/>
    <w:rsid w:val="64D9683E"/>
    <w:rsid w:val="64E2648D"/>
    <w:rsid w:val="64E45FE6"/>
    <w:rsid w:val="64EA01BF"/>
    <w:rsid w:val="64EF2F60"/>
    <w:rsid w:val="64F6737C"/>
    <w:rsid w:val="650A6B91"/>
    <w:rsid w:val="650A7524"/>
    <w:rsid w:val="650C1046"/>
    <w:rsid w:val="650C3283"/>
    <w:rsid w:val="65121881"/>
    <w:rsid w:val="65146114"/>
    <w:rsid w:val="651B2C2A"/>
    <w:rsid w:val="652930F2"/>
    <w:rsid w:val="65305B8D"/>
    <w:rsid w:val="653921B1"/>
    <w:rsid w:val="653C59A6"/>
    <w:rsid w:val="653E5583"/>
    <w:rsid w:val="653F64B5"/>
    <w:rsid w:val="65442CBA"/>
    <w:rsid w:val="654E3F8C"/>
    <w:rsid w:val="65513C14"/>
    <w:rsid w:val="6556452E"/>
    <w:rsid w:val="65584095"/>
    <w:rsid w:val="656324A7"/>
    <w:rsid w:val="65634180"/>
    <w:rsid w:val="656514DA"/>
    <w:rsid w:val="65707C2C"/>
    <w:rsid w:val="6572029D"/>
    <w:rsid w:val="65741979"/>
    <w:rsid w:val="657F2E63"/>
    <w:rsid w:val="65853AE9"/>
    <w:rsid w:val="658D62E6"/>
    <w:rsid w:val="659805C0"/>
    <w:rsid w:val="65985977"/>
    <w:rsid w:val="659A1697"/>
    <w:rsid w:val="65A5705B"/>
    <w:rsid w:val="65A87423"/>
    <w:rsid w:val="65AA4C86"/>
    <w:rsid w:val="65B43AEC"/>
    <w:rsid w:val="65BB400B"/>
    <w:rsid w:val="65CE0C9E"/>
    <w:rsid w:val="65D5165C"/>
    <w:rsid w:val="65DB009A"/>
    <w:rsid w:val="65DD32BC"/>
    <w:rsid w:val="65E21CCA"/>
    <w:rsid w:val="65E855CE"/>
    <w:rsid w:val="65EC32E5"/>
    <w:rsid w:val="65F061C8"/>
    <w:rsid w:val="65F441B3"/>
    <w:rsid w:val="65FC3089"/>
    <w:rsid w:val="65FD4589"/>
    <w:rsid w:val="65FF7A90"/>
    <w:rsid w:val="66003EE4"/>
    <w:rsid w:val="6603735B"/>
    <w:rsid w:val="66070283"/>
    <w:rsid w:val="66090F89"/>
    <w:rsid w:val="660B3E3D"/>
    <w:rsid w:val="660C6E9F"/>
    <w:rsid w:val="66191177"/>
    <w:rsid w:val="6619154B"/>
    <w:rsid w:val="66255BFF"/>
    <w:rsid w:val="662639BA"/>
    <w:rsid w:val="66265180"/>
    <w:rsid w:val="66273292"/>
    <w:rsid w:val="662B77A0"/>
    <w:rsid w:val="662F01E1"/>
    <w:rsid w:val="6630148C"/>
    <w:rsid w:val="66407CB9"/>
    <w:rsid w:val="66447EBD"/>
    <w:rsid w:val="66475647"/>
    <w:rsid w:val="664775F0"/>
    <w:rsid w:val="664B6F71"/>
    <w:rsid w:val="664E23DC"/>
    <w:rsid w:val="664F3D0B"/>
    <w:rsid w:val="6652062B"/>
    <w:rsid w:val="665C1474"/>
    <w:rsid w:val="66615364"/>
    <w:rsid w:val="66621740"/>
    <w:rsid w:val="66731E80"/>
    <w:rsid w:val="66831332"/>
    <w:rsid w:val="66860FFF"/>
    <w:rsid w:val="668F2D4B"/>
    <w:rsid w:val="6697363C"/>
    <w:rsid w:val="66AE6F5D"/>
    <w:rsid w:val="66D13795"/>
    <w:rsid w:val="66D7487B"/>
    <w:rsid w:val="66DB4D83"/>
    <w:rsid w:val="66E5153A"/>
    <w:rsid w:val="66E71872"/>
    <w:rsid w:val="66F2311B"/>
    <w:rsid w:val="66F66888"/>
    <w:rsid w:val="66F727EF"/>
    <w:rsid w:val="66F77E3C"/>
    <w:rsid w:val="66F8124E"/>
    <w:rsid w:val="66FD3534"/>
    <w:rsid w:val="66FF280D"/>
    <w:rsid w:val="66FF5A8F"/>
    <w:rsid w:val="670D6659"/>
    <w:rsid w:val="671A2E3A"/>
    <w:rsid w:val="671B753A"/>
    <w:rsid w:val="672226B7"/>
    <w:rsid w:val="6724186C"/>
    <w:rsid w:val="672D4731"/>
    <w:rsid w:val="673858C6"/>
    <w:rsid w:val="674C7A41"/>
    <w:rsid w:val="674E7649"/>
    <w:rsid w:val="6755619C"/>
    <w:rsid w:val="675B102C"/>
    <w:rsid w:val="675B7579"/>
    <w:rsid w:val="675D55A7"/>
    <w:rsid w:val="675F2192"/>
    <w:rsid w:val="676845C8"/>
    <w:rsid w:val="676B1118"/>
    <w:rsid w:val="676B22CD"/>
    <w:rsid w:val="67746652"/>
    <w:rsid w:val="677B3668"/>
    <w:rsid w:val="677C15A0"/>
    <w:rsid w:val="677F65D8"/>
    <w:rsid w:val="67802EFA"/>
    <w:rsid w:val="67841640"/>
    <w:rsid w:val="678802ED"/>
    <w:rsid w:val="67961046"/>
    <w:rsid w:val="67980139"/>
    <w:rsid w:val="679876DF"/>
    <w:rsid w:val="679B2F2F"/>
    <w:rsid w:val="67A23989"/>
    <w:rsid w:val="67A74E48"/>
    <w:rsid w:val="67B178B3"/>
    <w:rsid w:val="67B23D02"/>
    <w:rsid w:val="67CA36CD"/>
    <w:rsid w:val="67CB5AE3"/>
    <w:rsid w:val="67CB7E43"/>
    <w:rsid w:val="67D01EEE"/>
    <w:rsid w:val="67D05F56"/>
    <w:rsid w:val="67D11F53"/>
    <w:rsid w:val="67DF56A4"/>
    <w:rsid w:val="67E01BA5"/>
    <w:rsid w:val="67E03808"/>
    <w:rsid w:val="67E97759"/>
    <w:rsid w:val="67EB0B9E"/>
    <w:rsid w:val="68006EC8"/>
    <w:rsid w:val="68074CEB"/>
    <w:rsid w:val="681346F9"/>
    <w:rsid w:val="68160DEC"/>
    <w:rsid w:val="681D7936"/>
    <w:rsid w:val="68295146"/>
    <w:rsid w:val="682B0D20"/>
    <w:rsid w:val="6836153B"/>
    <w:rsid w:val="683A21CA"/>
    <w:rsid w:val="683E1810"/>
    <w:rsid w:val="683E47B8"/>
    <w:rsid w:val="683F7AD2"/>
    <w:rsid w:val="68420858"/>
    <w:rsid w:val="684B55E1"/>
    <w:rsid w:val="684E6A48"/>
    <w:rsid w:val="685112E9"/>
    <w:rsid w:val="68514113"/>
    <w:rsid w:val="685F0A3E"/>
    <w:rsid w:val="68607763"/>
    <w:rsid w:val="686B6416"/>
    <w:rsid w:val="686C4C12"/>
    <w:rsid w:val="686F092D"/>
    <w:rsid w:val="6874626F"/>
    <w:rsid w:val="68792AA5"/>
    <w:rsid w:val="68794E8B"/>
    <w:rsid w:val="687B1AA8"/>
    <w:rsid w:val="687E630D"/>
    <w:rsid w:val="687F00C0"/>
    <w:rsid w:val="6890596A"/>
    <w:rsid w:val="68941AA2"/>
    <w:rsid w:val="689533A1"/>
    <w:rsid w:val="6895507A"/>
    <w:rsid w:val="68965998"/>
    <w:rsid w:val="689D2BEF"/>
    <w:rsid w:val="689F675E"/>
    <w:rsid w:val="68A20A77"/>
    <w:rsid w:val="68C25F2A"/>
    <w:rsid w:val="68CD0A14"/>
    <w:rsid w:val="68D3413B"/>
    <w:rsid w:val="68D75378"/>
    <w:rsid w:val="68EA3C2B"/>
    <w:rsid w:val="68EF4BB6"/>
    <w:rsid w:val="68FD6E33"/>
    <w:rsid w:val="69015277"/>
    <w:rsid w:val="6903697B"/>
    <w:rsid w:val="69097608"/>
    <w:rsid w:val="691B586A"/>
    <w:rsid w:val="691E3EA3"/>
    <w:rsid w:val="691E41B2"/>
    <w:rsid w:val="691E6BA5"/>
    <w:rsid w:val="692B6129"/>
    <w:rsid w:val="692F6AA9"/>
    <w:rsid w:val="69332C99"/>
    <w:rsid w:val="69341180"/>
    <w:rsid w:val="6934737D"/>
    <w:rsid w:val="693518FB"/>
    <w:rsid w:val="693C7BB9"/>
    <w:rsid w:val="693F7551"/>
    <w:rsid w:val="69465531"/>
    <w:rsid w:val="6947220C"/>
    <w:rsid w:val="69547952"/>
    <w:rsid w:val="69560380"/>
    <w:rsid w:val="695738BD"/>
    <w:rsid w:val="695D7D9C"/>
    <w:rsid w:val="69665058"/>
    <w:rsid w:val="697E134C"/>
    <w:rsid w:val="699E6C3A"/>
    <w:rsid w:val="69A52143"/>
    <w:rsid w:val="69AF66D8"/>
    <w:rsid w:val="69B31FE7"/>
    <w:rsid w:val="69B4541D"/>
    <w:rsid w:val="69BA0787"/>
    <w:rsid w:val="69C4397C"/>
    <w:rsid w:val="69CB3757"/>
    <w:rsid w:val="69CE25A3"/>
    <w:rsid w:val="69CF221A"/>
    <w:rsid w:val="69CF257E"/>
    <w:rsid w:val="69D71C14"/>
    <w:rsid w:val="69D96B71"/>
    <w:rsid w:val="69E11ACF"/>
    <w:rsid w:val="69E36BE2"/>
    <w:rsid w:val="69E74168"/>
    <w:rsid w:val="69E90419"/>
    <w:rsid w:val="69ED4E05"/>
    <w:rsid w:val="69EF7D5B"/>
    <w:rsid w:val="69FD3A97"/>
    <w:rsid w:val="6A034FCE"/>
    <w:rsid w:val="6A07144C"/>
    <w:rsid w:val="6A0C65D5"/>
    <w:rsid w:val="6A0E7AE3"/>
    <w:rsid w:val="6A1433DC"/>
    <w:rsid w:val="6A171A02"/>
    <w:rsid w:val="6A1908E3"/>
    <w:rsid w:val="6A1D1985"/>
    <w:rsid w:val="6A1E0C4C"/>
    <w:rsid w:val="6A2076C3"/>
    <w:rsid w:val="6A240F66"/>
    <w:rsid w:val="6A3047AA"/>
    <w:rsid w:val="6A3421A1"/>
    <w:rsid w:val="6A381952"/>
    <w:rsid w:val="6A420882"/>
    <w:rsid w:val="6A436049"/>
    <w:rsid w:val="6A4A6A21"/>
    <w:rsid w:val="6A4E7B99"/>
    <w:rsid w:val="6A525926"/>
    <w:rsid w:val="6A5273D1"/>
    <w:rsid w:val="6A543885"/>
    <w:rsid w:val="6A57091D"/>
    <w:rsid w:val="6A6910C1"/>
    <w:rsid w:val="6A7171D7"/>
    <w:rsid w:val="6A750AE2"/>
    <w:rsid w:val="6A782BBF"/>
    <w:rsid w:val="6A803564"/>
    <w:rsid w:val="6A88614A"/>
    <w:rsid w:val="6A8A5C7F"/>
    <w:rsid w:val="6A8D7B0B"/>
    <w:rsid w:val="6A8F16D0"/>
    <w:rsid w:val="6A903F85"/>
    <w:rsid w:val="6A9D776B"/>
    <w:rsid w:val="6A9F22CE"/>
    <w:rsid w:val="6AAD3DCE"/>
    <w:rsid w:val="6ABA4E64"/>
    <w:rsid w:val="6ABC585C"/>
    <w:rsid w:val="6ABD0EED"/>
    <w:rsid w:val="6AC133C0"/>
    <w:rsid w:val="6AC974D8"/>
    <w:rsid w:val="6ACF3D34"/>
    <w:rsid w:val="6AD77D3B"/>
    <w:rsid w:val="6AD85FE7"/>
    <w:rsid w:val="6AD87AE0"/>
    <w:rsid w:val="6AD93742"/>
    <w:rsid w:val="6AE875B9"/>
    <w:rsid w:val="6AE96989"/>
    <w:rsid w:val="6AEB7E41"/>
    <w:rsid w:val="6AED195F"/>
    <w:rsid w:val="6AEE0ED6"/>
    <w:rsid w:val="6AEE38D8"/>
    <w:rsid w:val="6AF200A6"/>
    <w:rsid w:val="6AF512F4"/>
    <w:rsid w:val="6AF9600E"/>
    <w:rsid w:val="6AF97ECD"/>
    <w:rsid w:val="6AFB68EC"/>
    <w:rsid w:val="6AFD51CF"/>
    <w:rsid w:val="6AFD5828"/>
    <w:rsid w:val="6B0C4EA8"/>
    <w:rsid w:val="6B1A4248"/>
    <w:rsid w:val="6B1E7C2F"/>
    <w:rsid w:val="6B2F380D"/>
    <w:rsid w:val="6B307A32"/>
    <w:rsid w:val="6B370BDA"/>
    <w:rsid w:val="6B437334"/>
    <w:rsid w:val="6B451619"/>
    <w:rsid w:val="6B4D65ED"/>
    <w:rsid w:val="6B4F2441"/>
    <w:rsid w:val="6B5837AB"/>
    <w:rsid w:val="6B6429DD"/>
    <w:rsid w:val="6B661536"/>
    <w:rsid w:val="6B673E74"/>
    <w:rsid w:val="6B6C6E76"/>
    <w:rsid w:val="6B743A82"/>
    <w:rsid w:val="6B7F1B93"/>
    <w:rsid w:val="6B8D46FD"/>
    <w:rsid w:val="6B8E7A00"/>
    <w:rsid w:val="6B926010"/>
    <w:rsid w:val="6B931943"/>
    <w:rsid w:val="6B970D25"/>
    <w:rsid w:val="6B9C6539"/>
    <w:rsid w:val="6B9F6E02"/>
    <w:rsid w:val="6BA31BB1"/>
    <w:rsid w:val="6BA5131C"/>
    <w:rsid w:val="6BAA7061"/>
    <w:rsid w:val="6BBA1542"/>
    <w:rsid w:val="6BBD6A19"/>
    <w:rsid w:val="6BD565AB"/>
    <w:rsid w:val="6BE52720"/>
    <w:rsid w:val="6BF94813"/>
    <w:rsid w:val="6C3111D6"/>
    <w:rsid w:val="6C312507"/>
    <w:rsid w:val="6C3702A4"/>
    <w:rsid w:val="6C394FC3"/>
    <w:rsid w:val="6C3D0992"/>
    <w:rsid w:val="6C441988"/>
    <w:rsid w:val="6C467A32"/>
    <w:rsid w:val="6C481D33"/>
    <w:rsid w:val="6C492842"/>
    <w:rsid w:val="6C4A6009"/>
    <w:rsid w:val="6C4F21FC"/>
    <w:rsid w:val="6C570557"/>
    <w:rsid w:val="6C735652"/>
    <w:rsid w:val="6C7F5660"/>
    <w:rsid w:val="6C851344"/>
    <w:rsid w:val="6C857B97"/>
    <w:rsid w:val="6C891D4F"/>
    <w:rsid w:val="6C8A2C02"/>
    <w:rsid w:val="6C976618"/>
    <w:rsid w:val="6CA21B6A"/>
    <w:rsid w:val="6CAF490C"/>
    <w:rsid w:val="6CB76809"/>
    <w:rsid w:val="6CBD2908"/>
    <w:rsid w:val="6CC9331B"/>
    <w:rsid w:val="6CD401EC"/>
    <w:rsid w:val="6CE22ADB"/>
    <w:rsid w:val="6CE9267E"/>
    <w:rsid w:val="6CED230E"/>
    <w:rsid w:val="6CED2B28"/>
    <w:rsid w:val="6CF03AEE"/>
    <w:rsid w:val="6CF3402D"/>
    <w:rsid w:val="6CF91D8C"/>
    <w:rsid w:val="6D051620"/>
    <w:rsid w:val="6D075075"/>
    <w:rsid w:val="6D08270F"/>
    <w:rsid w:val="6D105559"/>
    <w:rsid w:val="6D162F7C"/>
    <w:rsid w:val="6D1652A1"/>
    <w:rsid w:val="6D2A4F0D"/>
    <w:rsid w:val="6D2C31D6"/>
    <w:rsid w:val="6D330529"/>
    <w:rsid w:val="6D3C511D"/>
    <w:rsid w:val="6D3F766C"/>
    <w:rsid w:val="6D5652DD"/>
    <w:rsid w:val="6D5768B7"/>
    <w:rsid w:val="6D5A3393"/>
    <w:rsid w:val="6D6629C1"/>
    <w:rsid w:val="6D683D05"/>
    <w:rsid w:val="6D6A2C2F"/>
    <w:rsid w:val="6D6B5B7D"/>
    <w:rsid w:val="6D7C77B7"/>
    <w:rsid w:val="6D7E02BC"/>
    <w:rsid w:val="6D8C1E89"/>
    <w:rsid w:val="6D8E4518"/>
    <w:rsid w:val="6D951ED6"/>
    <w:rsid w:val="6D9B1CAE"/>
    <w:rsid w:val="6DA27507"/>
    <w:rsid w:val="6DB207D0"/>
    <w:rsid w:val="6DBC5712"/>
    <w:rsid w:val="6DBE64B8"/>
    <w:rsid w:val="6DCC6136"/>
    <w:rsid w:val="6DD8502D"/>
    <w:rsid w:val="6DDC381E"/>
    <w:rsid w:val="6DE005A7"/>
    <w:rsid w:val="6DE24784"/>
    <w:rsid w:val="6DE32556"/>
    <w:rsid w:val="6DE42232"/>
    <w:rsid w:val="6DE9770C"/>
    <w:rsid w:val="6E0018F5"/>
    <w:rsid w:val="6E0918AE"/>
    <w:rsid w:val="6E115DE8"/>
    <w:rsid w:val="6E142D35"/>
    <w:rsid w:val="6E151D5A"/>
    <w:rsid w:val="6E171279"/>
    <w:rsid w:val="6E1F4036"/>
    <w:rsid w:val="6E2128BE"/>
    <w:rsid w:val="6E246E46"/>
    <w:rsid w:val="6E25722B"/>
    <w:rsid w:val="6E297B9D"/>
    <w:rsid w:val="6E2F1C57"/>
    <w:rsid w:val="6E3418C4"/>
    <w:rsid w:val="6E394366"/>
    <w:rsid w:val="6E533829"/>
    <w:rsid w:val="6E5D013A"/>
    <w:rsid w:val="6E605C81"/>
    <w:rsid w:val="6E614566"/>
    <w:rsid w:val="6E712C93"/>
    <w:rsid w:val="6E7B658E"/>
    <w:rsid w:val="6E8E2CF2"/>
    <w:rsid w:val="6E904D24"/>
    <w:rsid w:val="6E94767F"/>
    <w:rsid w:val="6E991824"/>
    <w:rsid w:val="6E9947B3"/>
    <w:rsid w:val="6E9A775F"/>
    <w:rsid w:val="6E9E3FA6"/>
    <w:rsid w:val="6E9F03D8"/>
    <w:rsid w:val="6EA23008"/>
    <w:rsid w:val="6EA97671"/>
    <w:rsid w:val="6EBF45C8"/>
    <w:rsid w:val="6EC06586"/>
    <w:rsid w:val="6ED042F3"/>
    <w:rsid w:val="6EE3488B"/>
    <w:rsid w:val="6EEA2389"/>
    <w:rsid w:val="6EF1606D"/>
    <w:rsid w:val="6EF71452"/>
    <w:rsid w:val="6EF86CF7"/>
    <w:rsid w:val="6EFB1A58"/>
    <w:rsid w:val="6F036E5D"/>
    <w:rsid w:val="6F050BC0"/>
    <w:rsid w:val="6F097FDF"/>
    <w:rsid w:val="6F0D1CD6"/>
    <w:rsid w:val="6F0F4C4D"/>
    <w:rsid w:val="6F1E7E69"/>
    <w:rsid w:val="6F2868C8"/>
    <w:rsid w:val="6F293789"/>
    <w:rsid w:val="6F2B0496"/>
    <w:rsid w:val="6F2C5348"/>
    <w:rsid w:val="6F2F090E"/>
    <w:rsid w:val="6F324291"/>
    <w:rsid w:val="6F5615D5"/>
    <w:rsid w:val="6F5942E0"/>
    <w:rsid w:val="6F5F2937"/>
    <w:rsid w:val="6F6868FE"/>
    <w:rsid w:val="6F6B7A4C"/>
    <w:rsid w:val="6F6E46E3"/>
    <w:rsid w:val="6F7932D6"/>
    <w:rsid w:val="6F7A7103"/>
    <w:rsid w:val="6F882B72"/>
    <w:rsid w:val="6F8F4E86"/>
    <w:rsid w:val="6FB63D4C"/>
    <w:rsid w:val="6FB64E3E"/>
    <w:rsid w:val="6FBD0418"/>
    <w:rsid w:val="6FC048BC"/>
    <w:rsid w:val="6FC70A73"/>
    <w:rsid w:val="6FCB24DF"/>
    <w:rsid w:val="6FD5651B"/>
    <w:rsid w:val="6FD66065"/>
    <w:rsid w:val="6FD7411F"/>
    <w:rsid w:val="6FDC7086"/>
    <w:rsid w:val="6FDD4897"/>
    <w:rsid w:val="6FEA1419"/>
    <w:rsid w:val="6FEF0689"/>
    <w:rsid w:val="6FF86561"/>
    <w:rsid w:val="6FFD46A9"/>
    <w:rsid w:val="70041191"/>
    <w:rsid w:val="70055A2E"/>
    <w:rsid w:val="70094861"/>
    <w:rsid w:val="70116EF3"/>
    <w:rsid w:val="7017396E"/>
    <w:rsid w:val="701A5543"/>
    <w:rsid w:val="70271646"/>
    <w:rsid w:val="702A3801"/>
    <w:rsid w:val="70445721"/>
    <w:rsid w:val="70532079"/>
    <w:rsid w:val="705423B6"/>
    <w:rsid w:val="70677DE3"/>
    <w:rsid w:val="706F76FE"/>
    <w:rsid w:val="707137F1"/>
    <w:rsid w:val="70732A2D"/>
    <w:rsid w:val="70766CF4"/>
    <w:rsid w:val="70803921"/>
    <w:rsid w:val="70881160"/>
    <w:rsid w:val="708D466D"/>
    <w:rsid w:val="70904285"/>
    <w:rsid w:val="7096018B"/>
    <w:rsid w:val="7098290A"/>
    <w:rsid w:val="70983EB2"/>
    <w:rsid w:val="709D2060"/>
    <w:rsid w:val="709D27EF"/>
    <w:rsid w:val="70A00E1F"/>
    <w:rsid w:val="70AA0F73"/>
    <w:rsid w:val="70B84826"/>
    <w:rsid w:val="70C25F11"/>
    <w:rsid w:val="70C7085B"/>
    <w:rsid w:val="70C75C1B"/>
    <w:rsid w:val="70CB4C66"/>
    <w:rsid w:val="70D07E34"/>
    <w:rsid w:val="70D1066A"/>
    <w:rsid w:val="70D14DB1"/>
    <w:rsid w:val="70DE2209"/>
    <w:rsid w:val="70E06E29"/>
    <w:rsid w:val="70EC5AB1"/>
    <w:rsid w:val="70EE204C"/>
    <w:rsid w:val="70F0560F"/>
    <w:rsid w:val="70F72A90"/>
    <w:rsid w:val="70F93503"/>
    <w:rsid w:val="71073280"/>
    <w:rsid w:val="71092F0B"/>
    <w:rsid w:val="711737C7"/>
    <w:rsid w:val="711C3351"/>
    <w:rsid w:val="712136F8"/>
    <w:rsid w:val="71276BFD"/>
    <w:rsid w:val="712C665B"/>
    <w:rsid w:val="713E37CA"/>
    <w:rsid w:val="71415607"/>
    <w:rsid w:val="71435B37"/>
    <w:rsid w:val="71480353"/>
    <w:rsid w:val="71497D42"/>
    <w:rsid w:val="714E0C12"/>
    <w:rsid w:val="71533507"/>
    <w:rsid w:val="716B53BA"/>
    <w:rsid w:val="716C7460"/>
    <w:rsid w:val="71811901"/>
    <w:rsid w:val="71815A56"/>
    <w:rsid w:val="718657BA"/>
    <w:rsid w:val="718A2D0C"/>
    <w:rsid w:val="718C381B"/>
    <w:rsid w:val="718C51B4"/>
    <w:rsid w:val="71914168"/>
    <w:rsid w:val="71940B11"/>
    <w:rsid w:val="719F3EAC"/>
    <w:rsid w:val="71AD4DCE"/>
    <w:rsid w:val="71B61B68"/>
    <w:rsid w:val="71BC7B23"/>
    <w:rsid w:val="71C52870"/>
    <w:rsid w:val="71CA2F8E"/>
    <w:rsid w:val="71CB1C7C"/>
    <w:rsid w:val="71D04246"/>
    <w:rsid w:val="71D3277F"/>
    <w:rsid w:val="71D747B4"/>
    <w:rsid w:val="71D93505"/>
    <w:rsid w:val="71E70440"/>
    <w:rsid w:val="71F14621"/>
    <w:rsid w:val="71F37248"/>
    <w:rsid w:val="7201728A"/>
    <w:rsid w:val="720965F3"/>
    <w:rsid w:val="72155B21"/>
    <w:rsid w:val="721D249D"/>
    <w:rsid w:val="72203D1C"/>
    <w:rsid w:val="72342D06"/>
    <w:rsid w:val="72362B15"/>
    <w:rsid w:val="72394BFF"/>
    <w:rsid w:val="723A1D4B"/>
    <w:rsid w:val="723B3B13"/>
    <w:rsid w:val="723C28FC"/>
    <w:rsid w:val="723F0DBE"/>
    <w:rsid w:val="723F67BB"/>
    <w:rsid w:val="72431B31"/>
    <w:rsid w:val="72451C4A"/>
    <w:rsid w:val="7245554A"/>
    <w:rsid w:val="72481207"/>
    <w:rsid w:val="72556D83"/>
    <w:rsid w:val="725839D3"/>
    <w:rsid w:val="72617A8A"/>
    <w:rsid w:val="72621A7F"/>
    <w:rsid w:val="726D6CAB"/>
    <w:rsid w:val="72700DF5"/>
    <w:rsid w:val="72705CB2"/>
    <w:rsid w:val="72711126"/>
    <w:rsid w:val="72732F9F"/>
    <w:rsid w:val="727A7C8D"/>
    <w:rsid w:val="727B319C"/>
    <w:rsid w:val="72811CEE"/>
    <w:rsid w:val="72945A53"/>
    <w:rsid w:val="72B047B2"/>
    <w:rsid w:val="72B90F04"/>
    <w:rsid w:val="72C31B2D"/>
    <w:rsid w:val="72C8493B"/>
    <w:rsid w:val="72CB2CD0"/>
    <w:rsid w:val="72CD144E"/>
    <w:rsid w:val="72D57966"/>
    <w:rsid w:val="72DD01BE"/>
    <w:rsid w:val="72DD1BDE"/>
    <w:rsid w:val="72E316E7"/>
    <w:rsid w:val="72E44DF3"/>
    <w:rsid w:val="72F15B2F"/>
    <w:rsid w:val="72F73362"/>
    <w:rsid w:val="72FA752B"/>
    <w:rsid w:val="72FD6392"/>
    <w:rsid w:val="7314592C"/>
    <w:rsid w:val="731A4C2B"/>
    <w:rsid w:val="73213812"/>
    <w:rsid w:val="732661C4"/>
    <w:rsid w:val="732B1540"/>
    <w:rsid w:val="732F34C5"/>
    <w:rsid w:val="733C60FD"/>
    <w:rsid w:val="7348540A"/>
    <w:rsid w:val="73495B32"/>
    <w:rsid w:val="734B54A4"/>
    <w:rsid w:val="735A3627"/>
    <w:rsid w:val="7364132F"/>
    <w:rsid w:val="73666F58"/>
    <w:rsid w:val="736953A2"/>
    <w:rsid w:val="73892637"/>
    <w:rsid w:val="738D49B5"/>
    <w:rsid w:val="738E14FD"/>
    <w:rsid w:val="7390162E"/>
    <w:rsid w:val="73A6581B"/>
    <w:rsid w:val="73AE1BE5"/>
    <w:rsid w:val="73AF37DA"/>
    <w:rsid w:val="73B344B6"/>
    <w:rsid w:val="73BD1EB7"/>
    <w:rsid w:val="73CB1409"/>
    <w:rsid w:val="73CE790A"/>
    <w:rsid w:val="73D23222"/>
    <w:rsid w:val="73E003D1"/>
    <w:rsid w:val="73E23B6D"/>
    <w:rsid w:val="73FB375D"/>
    <w:rsid w:val="740272D5"/>
    <w:rsid w:val="740B3EAE"/>
    <w:rsid w:val="740C0D95"/>
    <w:rsid w:val="740D0733"/>
    <w:rsid w:val="740E228F"/>
    <w:rsid w:val="740E7F30"/>
    <w:rsid w:val="741C0D36"/>
    <w:rsid w:val="741C619B"/>
    <w:rsid w:val="74221EBD"/>
    <w:rsid w:val="74237D69"/>
    <w:rsid w:val="74295BD7"/>
    <w:rsid w:val="743562A5"/>
    <w:rsid w:val="7437463E"/>
    <w:rsid w:val="74387305"/>
    <w:rsid w:val="744B103D"/>
    <w:rsid w:val="74552352"/>
    <w:rsid w:val="745B0F15"/>
    <w:rsid w:val="745D2DF2"/>
    <w:rsid w:val="74632A5E"/>
    <w:rsid w:val="746E7D68"/>
    <w:rsid w:val="746F3611"/>
    <w:rsid w:val="7470586B"/>
    <w:rsid w:val="7478139A"/>
    <w:rsid w:val="748162CE"/>
    <w:rsid w:val="748202F8"/>
    <w:rsid w:val="74834279"/>
    <w:rsid w:val="74877914"/>
    <w:rsid w:val="74944D9B"/>
    <w:rsid w:val="749642FF"/>
    <w:rsid w:val="749811BB"/>
    <w:rsid w:val="749D23FA"/>
    <w:rsid w:val="74A40EAA"/>
    <w:rsid w:val="74B15492"/>
    <w:rsid w:val="74BC310B"/>
    <w:rsid w:val="74BC781F"/>
    <w:rsid w:val="74BF4B59"/>
    <w:rsid w:val="74C65346"/>
    <w:rsid w:val="74D0590E"/>
    <w:rsid w:val="74D13438"/>
    <w:rsid w:val="74D97635"/>
    <w:rsid w:val="74E97B45"/>
    <w:rsid w:val="74EF2AE7"/>
    <w:rsid w:val="74F016BD"/>
    <w:rsid w:val="75066890"/>
    <w:rsid w:val="750F1CF5"/>
    <w:rsid w:val="751C2BC7"/>
    <w:rsid w:val="752000AC"/>
    <w:rsid w:val="75220300"/>
    <w:rsid w:val="752539F4"/>
    <w:rsid w:val="752C6330"/>
    <w:rsid w:val="75337796"/>
    <w:rsid w:val="75381CB1"/>
    <w:rsid w:val="753C6ECE"/>
    <w:rsid w:val="754108DA"/>
    <w:rsid w:val="75453D02"/>
    <w:rsid w:val="754629E6"/>
    <w:rsid w:val="754A0877"/>
    <w:rsid w:val="75521659"/>
    <w:rsid w:val="75533FDA"/>
    <w:rsid w:val="75581C24"/>
    <w:rsid w:val="75591B46"/>
    <w:rsid w:val="756B7033"/>
    <w:rsid w:val="756C0ECD"/>
    <w:rsid w:val="757728D2"/>
    <w:rsid w:val="758E2AA6"/>
    <w:rsid w:val="759115EC"/>
    <w:rsid w:val="75913ABF"/>
    <w:rsid w:val="759F3282"/>
    <w:rsid w:val="75A212FA"/>
    <w:rsid w:val="75A46D13"/>
    <w:rsid w:val="75A7723F"/>
    <w:rsid w:val="75AB1E72"/>
    <w:rsid w:val="75B60ECF"/>
    <w:rsid w:val="75B64F3F"/>
    <w:rsid w:val="75C87B64"/>
    <w:rsid w:val="75CA2C48"/>
    <w:rsid w:val="75D106D7"/>
    <w:rsid w:val="75D66DBB"/>
    <w:rsid w:val="75D831F0"/>
    <w:rsid w:val="75E1615B"/>
    <w:rsid w:val="75F2380A"/>
    <w:rsid w:val="760D5CD0"/>
    <w:rsid w:val="761806BD"/>
    <w:rsid w:val="76227E09"/>
    <w:rsid w:val="76276092"/>
    <w:rsid w:val="76295220"/>
    <w:rsid w:val="762A60A0"/>
    <w:rsid w:val="762A6A1E"/>
    <w:rsid w:val="762D0EFC"/>
    <w:rsid w:val="7634605A"/>
    <w:rsid w:val="763C7558"/>
    <w:rsid w:val="76436971"/>
    <w:rsid w:val="76492863"/>
    <w:rsid w:val="764D2D48"/>
    <w:rsid w:val="7652295A"/>
    <w:rsid w:val="7653033D"/>
    <w:rsid w:val="765859FE"/>
    <w:rsid w:val="76591F00"/>
    <w:rsid w:val="765B28D5"/>
    <w:rsid w:val="765C6931"/>
    <w:rsid w:val="76641FF3"/>
    <w:rsid w:val="766C76F7"/>
    <w:rsid w:val="76734F12"/>
    <w:rsid w:val="76760B78"/>
    <w:rsid w:val="767D1A60"/>
    <w:rsid w:val="76834910"/>
    <w:rsid w:val="76854545"/>
    <w:rsid w:val="768F064E"/>
    <w:rsid w:val="769245DD"/>
    <w:rsid w:val="769A67F5"/>
    <w:rsid w:val="769E62A4"/>
    <w:rsid w:val="76A62318"/>
    <w:rsid w:val="76AD22C2"/>
    <w:rsid w:val="76CA2B96"/>
    <w:rsid w:val="76CC46E8"/>
    <w:rsid w:val="76D654E3"/>
    <w:rsid w:val="76E11B21"/>
    <w:rsid w:val="76E91448"/>
    <w:rsid w:val="76EE5DA5"/>
    <w:rsid w:val="76F4274E"/>
    <w:rsid w:val="76F468C1"/>
    <w:rsid w:val="77003864"/>
    <w:rsid w:val="77057AC7"/>
    <w:rsid w:val="77176176"/>
    <w:rsid w:val="77184DBB"/>
    <w:rsid w:val="772054B7"/>
    <w:rsid w:val="77273EF9"/>
    <w:rsid w:val="772B7C4A"/>
    <w:rsid w:val="77353F3A"/>
    <w:rsid w:val="77355FF8"/>
    <w:rsid w:val="773B3B6C"/>
    <w:rsid w:val="773E690B"/>
    <w:rsid w:val="77400703"/>
    <w:rsid w:val="7756121A"/>
    <w:rsid w:val="7758133C"/>
    <w:rsid w:val="775B5A6C"/>
    <w:rsid w:val="775B68E4"/>
    <w:rsid w:val="77606A50"/>
    <w:rsid w:val="7763584A"/>
    <w:rsid w:val="777668F5"/>
    <w:rsid w:val="777B48D8"/>
    <w:rsid w:val="777B6635"/>
    <w:rsid w:val="777E21DF"/>
    <w:rsid w:val="777F7BCB"/>
    <w:rsid w:val="7785679F"/>
    <w:rsid w:val="77A00DF4"/>
    <w:rsid w:val="77A15356"/>
    <w:rsid w:val="77AE3264"/>
    <w:rsid w:val="77B72383"/>
    <w:rsid w:val="77B935E5"/>
    <w:rsid w:val="77BC6466"/>
    <w:rsid w:val="77D77B93"/>
    <w:rsid w:val="77EE0CEA"/>
    <w:rsid w:val="77EF091C"/>
    <w:rsid w:val="77F109E8"/>
    <w:rsid w:val="77F56FD2"/>
    <w:rsid w:val="77FE37C0"/>
    <w:rsid w:val="780E2EA0"/>
    <w:rsid w:val="781A6637"/>
    <w:rsid w:val="78213EEA"/>
    <w:rsid w:val="782220D3"/>
    <w:rsid w:val="782A457F"/>
    <w:rsid w:val="78335386"/>
    <w:rsid w:val="783B305E"/>
    <w:rsid w:val="783D7A4E"/>
    <w:rsid w:val="783E55CA"/>
    <w:rsid w:val="784758CF"/>
    <w:rsid w:val="784937C3"/>
    <w:rsid w:val="784E3B4B"/>
    <w:rsid w:val="7857163D"/>
    <w:rsid w:val="785A41C8"/>
    <w:rsid w:val="785C7C68"/>
    <w:rsid w:val="7861169D"/>
    <w:rsid w:val="786609D2"/>
    <w:rsid w:val="78671B47"/>
    <w:rsid w:val="78693FFC"/>
    <w:rsid w:val="787F34C3"/>
    <w:rsid w:val="78811BD8"/>
    <w:rsid w:val="78862191"/>
    <w:rsid w:val="78864B66"/>
    <w:rsid w:val="788823C6"/>
    <w:rsid w:val="788B388D"/>
    <w:rsid w:val="788D3784"/>
    <w:rsid w:val="78920B5A"/>
    <w:rsid w:val="78954C16"/>
    <w:rsid w:val="7898512E"/>
    <w:rsid w:val="78990247"/>
    <w:rsid w:val="789B6C35"/>
    <w:rsid w:val="78A75ED7"/>
    <w:rsid w:val="78B6638E"/>
    <w:rsid w:val="78C12DE6"/>
    <w:rsid w:val="78C347C2"/>
    <w:rsid w:val="78C410EC"/>
    <w:rsid w:val="78C62E83"/>
    <w:rsid w:val="78CE0448"/>
    <w:rsid w:val="78D05AFB"/>
    <w:rsid w:val="78D5211B"/>
    <w:rsid w:val="78E97A5B"/>
    <w:rsid w:val="78EC2277"/>
    <w:rsid w:val="78EC73CE"/>
    <w:rsid w:val="78FD39FA"/>
    <w:rsid w:val="790B0C35"/>
    <w:rsid w:val="792B1C50"/>
    <w:rsid w:val="792C0101"/>
    <w:rsid w:val="792D0F75"/>
    <w:rsid w:val="79375CA0"/>
    <w:rsid w:val="79433AAE"/>
    <w:rsid w:val="79443176"/>
    <w:rsid w:val="79447590"/>
    <w:rsid w:val="794637B7"/>
    <w:rsid w:val="79501B57"/>
    <w:rsid w:val="79595B42"/>
    <w:rsid w:val="7969495B"/>
    <w:rsid w:val="797A140D"/>
    <w:rsid w:val="797B0594"/>
    <w:rsid w:val="797D7D49"/>
    <w:rsid w:val="79846BBF"/>
    <w:rsid w:val="79930A9D"/>
    <w:rsid w:val="799D3504"/>
    <w:rsid w:val="799F0BFC"/>
    <w:rsid w:val="79A143D1"/>
    <w:rsid w:val="79A872C0"/>
    <w:rsid w:val="79B00387"/>
    <w:rsid w:val="79B13DC0"/>
    <w:rsid w:val="79B17F93"/>
    <w:rsid w:val="79CB4676"/>
    <w:rsid w:val="79CC73D5"/>
    <w:rsid w:val="79CD74FE"/>
    <w:rsid w:val="79D033A0"/>
    <w:rsid w:val="79D450AC"/>
    <w:rsid w:val="79D5076B"/>
    <w:rsid w:val="79D55C9B"/>
    <w:rsid w:val="79D87769"/>
    <w:rsid w:val="79DB5F2F"/>
    <w:rsid w:val="79DE28E7"/>
    <w:rsid w:val="79E370AE"/>
    <w:rsid w:val="79E65A0C"/>
    <w:rsid w:val="79EB1840"/>
    <w:rsid w:val="79EF70E4"/>
    <w:rsid w:val="79F3603F"/>
    <w:rsid w:val="79FB0B3C"/>
    <w:rsid w:val="7A0467B1"/>
    <w:rsid w:val="7A0744D1"/>
    <w:rsid w:val="7A0C60E7"/>
    <w:rsid w:val="7A1258C5"/>
    <w:rsid w:val="7A260A8F"/>
    <w:rsid w:val="7A3C369B"/>
    <w:rsid w:val="7A3F2AE4"/>
    <w:rsid w:val="7A436F7C"/>
    <w:rsid w:val="7A467EA8"/>
    <w:rsid w:val="7A5A4E87"/>
    <w:rsid w:val="7A670DC1"/>
    <w:rsid w:val="7A6B03D2"/>
    <w:rsid w:val="7A6C57E5"/>
    <w:rsid w:val="7A774DAF"/>
    <w:rsid w:val="7A7F15E3"/>
    <w:rsid w:val="7A83138F"/>
    <w:rsid w:val="7A940F25"/>
    <w:rsid w:val="7A9462B6"/>
    <w:rsid w:val="7A961A4D"/>
    <w:rsid w:val="7AB363D7"/>
    <w:rsid w:val="7AB54D14"/>
    <w:rsid w:val="7AB67D8C"/>
    <w:rsid w:val="7AC14589"/>
    <w:rsid w:val="7AC83FC8"/>
    <w:rsid w:val="7ACB43A1"/>
    <w:rsid w:val="7ACE310B"/>
    <w:rsid w:val="7ACE6E75"/>
    <w:rsid w:val="7AD42842"/>
    <w:rsid w:val="7AE82445"/>
    <w:rsid w:val="7AF0377F"/>
    <w:rsid w:val="7AFD6738"/>
    <w:rsid w:val="7B106685"/>
    <w:rsid w:val="7B195822"/>
    <w:rsid w:val="7B1E559E"/>
    <w:rsid w:val="7B2E6F57"/>
    <w:rsid w:val="7B2F3A28"/>
    <w:rsid w:val="7B3F1555"/>
    <w:rsid w:val="7B407547"/>
    <w:rsid w:val="7B4600E8"/>
    <w:rsid w:val="7B507E0D"/>
    <w:rsid w:val="7B5764AF"/>
    <w:rsid w:val="7B660E1E"/>
    <w:rsid w:val="7B6A143F"/>
    <w:rsid w:val="7B6A39F0"/>
    <w:rsid w:val="7B714987"/>
    <w:rsid w:val="7B744F90"/>
    <w:rsid w:val="7B7E7B27"/>
    <w:rsid w:val="7B821168"/>
    <w:rsid w:val="7B8E1F50"/>
    <w:rsid w:val="7B903451"/>
    <w:rsid w:val="7B97514F"/>
    <w:rsid w:val="7B99368A"/>
    <w:rsid w:val="7B9E07F1"/>
    <w:rsid w:val="7BA040F1"/>
    <w:rsid w:val="7BA47084"/>
    <w:rsid w:val="7BA54215"/>
    <w:rsid w:val="7BAA1F2C"/>
    <w:rsid w:val="7BB7779F"/>
    <w:rsid w:val="7BBE39A4"/>
    <w:rsid w:val="7BBE732B"/>
    <w:rsid w:val="7BC171FB"/>
    <w:rsid w:val="7BCB0D94"/>
    <w:rsid w:val="7BD12079"/>
    <w:rsid w:val="7BD44407"/>
    <w:rsid w:val="7BE026AA"/>
    <w:rsid w:val="7BE36225"/>
    <w:rsid w:val="7BE839B7"/>
    <w:rsid w:val="7BEB4059"/>
    <w:rsid w:val="7BEC3A1C"/>
    <w:rsid w:val="7BED4CCC"/>
    <w:rsid w:val="7BEE1668"/>
    <w:rsid w:val="7BF04785"/>
    <w:rsid w:val="7BF371E7"/>
    <w:rsid w:val="7C1B4269"/>
    <w:rsid w:val="7C1D1AC9"/>
    <w:rsid w:val="7C232DD9"/>
    <w:rsid w:val="7C314D89"/>
    <w:rsid w:val="7C3364BB"/>
    <w:rsid w:val="7C446A13"/>
    <w:rsid w:val="7C470633"/>
    <w:rsid w:val="7C4934A5"/>
    <w:rsid w:val="7C4A0658"/>
    <w:rsid w:val="7C4B536B"/>
    <w:rsid w:val="7C58030D"/>
    <w:rsid w:val="7C5B2D6E"/>
    <w:rsid w:val="7C63414E"/>
    <w:rsid w:val="7C664EC1"/>
    <w:rsid w:val="7C78742B"/>
    <w:rsid w:val="7C873497"/>
    <w:rsid w:val="7C8768C5"/>
    <w:rsid w:val="7C8A5C27"/>
    <w:rsid w:val="7C8B5447"/>
    <w:rsid w:val="7C932453"/>
    <w:rsid w:val="7C934DE7"/>
    <w:rsid w:val="7C953BE3"/>
    <w:rsid w:val="7C9D54D2"/>
    <w:rsid w:val="7CA2449E"/>
    <w:rsid w:val="7CAD45BC"/>
    <w:rsid w:val="7CB116A9"/>
    <w:rsid w:val="7CB127A0"/>
    <w:rsid w:val="7CB2301F"/>
    <w:rsid w:val="7CB5650E"/>
    <w:rsid w:val="7CBE3A51"/>
    <w:rsid w:val="7CBF5C25"/>
    <w:rsid w:val="7CC05BC2"/>
    <w:rsid w:val="7CC87BC1"/>
    <w:rsid w:val="7CCC763D"/>
    <w:rsid w:val="7CD132A4"/>
    <w:rsid w:val="7CD92172"/>
    <w:rsid w:val="7CE25338"/>
    <w:rsid w:val="7CEB1193"/>
    <w:rsid w:val="7CF02985"/>
    <w:rsid w:val="7CF84B94"/>
    <w:rsid w:val="7D030A4F"/>
    <w:rsid w:val="7D056582"/>
    <w:rsid w:val="7D0C5E81"/>
    <w:rsid w:val="7D0F745D"/>
    <w:rsid w:val="7D176B5E"/>
    <w:rsid w:val="7D2C0077"/>
    <w:rsid w:val="7D2C0EC1"/>
    <w:rsid w:val="7D2C20B6"/>
    <w:rsid w:val="7D332EF4"/>
    <w:rsid w:val="7D34140C"/>
    <w:rsid w:val="7D393DF7"/>
    <w:rsid w:val="7D4352DB"/>
    <w:rsid w:val="7D4B0519"/>
    <w:rsid w:val="7D4F5A86"/>
    <w:rsid w:val="7D5250FF"/>
    <w:rsid w:val="7D5721C5"/>
    <w:rsid w:val="7D5D262F"/>
    <w:rsid w:val="7D7A4997"/>
    <w:rsid w:val="7D7C34F2"/>
    <w:rsid w:val="7D843283"/>
    <w:rsid w:val="7D8B036D"/>
    <w:rsid w:val="7D8E1A04"/>
    <w:rsid w:val="7D91049C"/>
    <w:rsid w:val="7D925CA6"/>
    <w:rsid w:val="7D9F51B4"/>
    <w:rsid w:val="7DA76092"/>
    <w:rsid w:val="7DB62A23"/>
    <w:rsid w:val="7DBB659E"/>
    <w:rsid w:val="7DC40AC5"/>
    <w:rsid w:val="7DC55815"/>
    <w:rsid w:val="7DCA7547"/>
    <w:rsid w:val="7DD05968"/>
    <w:rsid w:val="7DD24A07"/>
    <w:rsid w:val="7DD412D2"/>
    <w:rsid w:val="7DD47685"/>
    <w:rsid w:val="7DD6794C"/>
    <w:rsid w:val="7DDC707F"/>
    <w:rsid w:val="7DDD0E6A"/>
    <w:rsid w:val="7DE11004"/>
    <w:rsid w:val="7DE2584F"/>
    <w:rsid w:val="7DE37E98"/>
    <w:rsid w:val="7DEB5EEA"/>
    <w:rsid w:val="7DF17F81"/>
    <w:rsid w:val="7DFA1D9D"/>
    <w:rsid w:val="7DFF788D"/>
    <w:rsid w:val="7E01023E"/>
    <w:rsid w:val="7E0263DA"/>
    <w:rsid w:val="7E061337"/>
    <w:rsid w:val="7E064983"/>
    <w:rsid w:val="7E0B0110"/>
    <w:rsid w:val="7E0D5661"/>
    <w:rsid w:val="7E105CE8"/>
    <w:rsid w:val="7E3239CA"/>
    <w:rsid w:val="7E340F89"/>
    <w:rsid w:val="7E4048AC"/>
    <w:rsid w:val="7E48758C"/>
    <w:rsid w:val="7E49178E"/>
    <w:rsid w:val="7E510BDD"/>
    <w:rsid w:val="7E536C69"/>
    <w:rsid w:val="7E5D449D"/>
    <w:rsid w:val="7E5F3432"/>
    <w:rsid w:val="7E602721"/>
    <w:rsid w:val="7E607448"/>
    <w:rsid w:val="7E623997"/>
    <w:rsid w:val="7E6512BF"/>
    <w:rsid w:val="7E675E9D"/>
    <w:rsid w:val="7E7136CC"/>
    <w:rsid w:val="7E740F7D"/>
    <w:rsid w:val="7E744041"/>
    <w:rsid w:val="7E76359A"/>
    <w:rsid w:val="7E763966"/>
    <w:rsid w:val="7E8055E4"/>
    <w:rsid w:val="7E815EE3"/>
    <w:rsid w:val="7E852C56"/>
    <w:rsid w:val="7E873097"/>
    <w:rsid w:val="7E8A7EF6"/>
    <w:rsid w:val="7E9C129E"/>
    <w:rsid w:val="7EA65DA5"/>
    <w:rsid w:val="7EAD2F22"/>
    <w:rsid w:val="7EAF7397"/>
    <w:rsid w:val="7EB07BF7"/>
    <w:rsid w:val="7EB67F24"/>
    <w:rsid w:val="7EBB57F9"/>
    <w:rsid w:val="7EC07259"/>
    <w:rsid w:val="7EC60FC9"/>
    <w:rsid w:val="7EDA0B2E"/>
    <w:rsid w:val="7EDB7D56"/>
    <w:rsid w:val="7EDD7534"/>
    <w:rsid w:val="7EE44903"/>
    <w:rsid w:val="7EEE656E"/>
    <w:rsid w:val="7EFA764E"/>
    <w:rsid w:val="7F011DF8"/>
    <w:rsid w:val="7F113AB8"/>
    <w:rsid w:val="7F1629A4"/>
    <w:rsid w:val="7F1F284B"/>
    <w:rsid w:val="7F257AF9"/>
    <w:rsid w:val="7F3215EA"/>
    <w:rsid w:val="7F4120DD"/>
    <w:rsid w:val="7F4412FD"/>
    <w:rsid w:val="7F4A32B5"/>
    <w:rsid w:val="7F4A651E"/>
    <w:rsid w:val="7F512408"/>
    <w:rsid w:val="7F5417F6"/>
    <w:rsid w:val="7F700B74"/>
    <w:rsid w:val="7F7109D4"/>
    <w:rsid w:val="7F802227"/>
    <w:rsid w:val="7F841B51"/>
    <w:rsid w:val="7F8504DC"/>
    <w:rsid w:val="7F8E33B3"/>
    <w:rsid w:val="7F9B10FB"/>
    <w:rsid w:val="7F9B62CF"/>
    <w:rsid w:val="7FA0574E"/>
    <w:rsid w:val="7FA2124B"/>
    <w:rsid w:val="7FAC731C"/>
    <w:rsid w:val="7FBE6720"/>
    <w:rsid w:val="7FC134F1"/>
    <w:rsid w:val="7FC9626B"/>
    <w:rsid w:val="7FCA5619"/>
    <w:rsid w:val="7FCF1612"/>
    <w:rsid w:val="7FD52433"/>
    <w:rsid w:val="7FDB3C42"/>
    <w:rsid w:val="7FDF1520"/>
    <w:rsid w:val="7FDF3365"/>
    <w:rsid w:val="7FE06151"/>
    <w:rsid w:val="7FE2771A"/>
    <w:rsid w:val="7FE53A16"/>
    <w:rsid w:val="7FE81533"/>
    <w:rsid w:val="7FEA5BDF"/>
    <w:rsid w:val="7FF5306F"/>
    <w:rsid w:val="7FFD7E2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42"/>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43"/>
    <w:qFormat/>
    <w:uiPriority w:val="99"/>
    <w:pPr>
      <w:keepNext/>
      <w:keepLines/>
      <w:widowControl w:val="0"/>
      <w:spacing w:before="380" w:after="380" w:line="412" w:lineRule="auto"/>
      <w:jc w:val="center"/>
      <w:outlineLvl w:val="2"/>
    </w:pPr>
    <w:rPr>
      <w:rFonts w:ascii="Times New Roman" w:hAnsi="Times New Roman" w:eastAsia="宋体"/>
      <w:b/>
      <w:bCs/>
      <w:sz w:val="28"/>
      <w:szCs w:val="32"/>
    </w:rPr>
  </w:style>
  <w:style w:type="paragraph" w:styleId="5">
    <w:name w:val="heading 4"/>
    <w:basedOn w:val="1"/>
    <w:next w:val="1"/>
    <w:qFormat/>
    <w:uiPriority w:val="0"/>
    <w:pPr>
      <w:keepNext/>
      <w:keepLines/>
      <w:widowControl/>
      <w:spacing w:before="280" w:after="290" w:line="376" w:lineRule="auto"/>
      <w:jc w:val="center"/>
      <w:outlineLvl w:val="3"/>
    </w:pPr>
    <w:rPr>
      <w:rFonts w:ascii="Arial" w:hAnsi="Arial" w:eastAsia="黑体"/>
      <w:b/>
      <w:bCs/>
      <w:szCs w:val="28"/>
    </w:rPr>
  </w:style>
  <w:style w:type="paragraph" w:styleId="6">
    <w:name w:val="heading 6"/>
    <w:basedOn w:val="1"/>
    <w:next w:val="1"/>
    <w:link w:val="44"/>
    <w:qFormat/>
    <w:uiPriority w:val="9"/>
    <w:pPr>
      <w:keepNext/>
      <w:keepLines/>
      <w:spacing w:before="240" w:after="64" w:line="320" w:lineRule="auto"/>
      <w:outlineLvl w:val="5"/>
    </w:pPr>
    <w:rPr>
      <w:rFonts w:ascii="等线 Light" w:hAnsi="等线 Light" w:eastAsia="等线 Light" w:cs="Times New Roman"/>
      <w:b/>
      <w:bCs/>
      <w:sz w:val="24"/>
      <w:szCs w:val="24"/>
    </w:rPr>
  </w:style>
  <w:style w:type="character" w:default="1" w:styleId="35">
    <w:name w:val="Default Paragraph Font"/>
    <w:unhideWhenUsed/>
    <w:qFormat/>
    <w:uiPriority w:val="1"/>
  </w:style>
  <w:style w:type="table" w:default="1" w:styleId="33">
    <w:name w:val="Normal Table"/>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1260"/>
    </w:pPr>
    <w:rPr>
      <w:rFonts w:ascii="Calibri" w:hAnsi="Calibri" w:cs="Calibri"/>
      <w:sz w:val="18"/>
      <w:szCs w:val="18"/>
    </w:rPr>
  </w:style>
  <w:style w:type="paragraph" w:styleId="8">
    <w:name w:val="Normal Indent"/>
    <w:basedOn w:val="1"/>
    <w:next w:val="1"/>
    <w:unhideWhenUsed/>
    <w:qFormat/>
    <w:uiPriority w:val="99"/>
    <w:pPr>
      <w:ind w:firstLine="420" w:firstLineChars="200"/>
    </w:pPr>
  </w:style>
  <w:style w:type="paragraph" w:styleId="9">
    <w:name w:val="Document Map"/>
    <w:basedOn w:val="1"/>
    <w:link w:val="45"/>
    <w:unhideWhenUsed/>
    <w:qFormat/>
    <w:uiPriority w:val="99"/>
    <w:rPr>
      <w:rFonts w:ascii="宋体"/>
      <w:sz w:val="18"/>
      <w:szCs w:val="18"/>
    </w:rPr>
  </w:style>
  <w:style w:type="paragraph" w:styleId="10">
    <w:name w:val="toa heading"/>
    <w:basedOn w:val="1"/>
    <w:next w:val="1"/>
    <w:semiHidden/>
    <w:qFormat/>
    <w:uiPriority w:val="0"/>
    <w:pPr>
      <w:widowControl w:val="0"/>
      <w:spacing w:before="120"/>
      <w:jc w:val="both"/>
    </w:pPr>
    <w:rPr>
      <w:rFonts w:ascii="Arial" w:hAnsi="Arial" w:cs="Arial"/>
      <w:kern w:val="2"/>
      <w:sz w:val="24"/>
      <w:szCs w:val="24"/>
    </w:rPr>
  </w:style>
  <w:style w:type="paragraph" w:styleId="11">
    <w:name w:val="annotation text"/>
    <w:basedOn w:val="1"/>
    <w:link w:val="46"/>
    <w:unhideWhenUsed/>
    <w:qFormat/>
    <w:uiPriority w:val="99"/>
    <w:pPr>
      <w:jc w:val="left"/>
    </w:pPr>
  </w:style>
  <w:style w:type="paragraph" w:styleId="12">
    <w:name w:val="Body Text 3"/>
    <w:basedOn w:val="1"/>
    <w:link w:val="47"/>
    <w:unhideWhenUsed/>
    <w:qFormat/>
    <w:uiPriority w:val="99"/>
    <w:rPr>
      <w:rFonts w:ascii="宋体"/>
      <w:sz w:val="24"/>
      <w:szCs w:val="24"/>
    </w:rPr>
  </w:style>
  <w:style w:type="paragraph" w:styleId="13">
    <w:name w:val="Body Text"/>
    <w:basedOn w:val="1"/>
    <w:next w:val="1"/>
    <w:link w:val="48"/>
    <w:qFormat/>
    <w:uiPriority w:val="0"/>
    <w:pPr>
      <w:spacing w:line="360" w:lineRule="auto"/>
    </w:pPr>
    <w:rPr>
      <w:rFonts w:ascii="Times New Roman" w:hAnsi="Times New Roman"/>
      <w:kern w:val="2"/>
      <w:sz w:val="21"/>
      <w:szCs w:val="24"/>
    </w:rPr>
  </w:style>
  <w:style w:type="paragraph" w:styleId="14">
    <w:name w:val="Body Text Indent"/>
    <w:basedOn w:val="1"/>
    <w:link w:val="49"/>
    <w:unhideWhenUsed/>
    <w:qFormat/>
    <w:uiPriority w:val="99"/>
    <w:pPr>
      <w:spacing w:line="460" w:lineRule="exact"/>
      <w:ind w:firstLine="510"/>
    </w:pPr>
  </w:style>
  <w:style w:type="paragraph" w:styleId="15">
    <w:name w:val="Block Text"/>
    <w:basedOn w:val="1"/>
    <w:qFormat/>
    <w:uiPriority w:val="99"/>
    <w:pPr>
      <w:widowControl w:val="0"/>
      <w:adjustRightInd w:val="0"/>
      <w:snapToGrid w:val="0"/>
      <w:spacing w:line="400" w:lineRule="exact"/>
      <w:ind w:left="-359" w:leftChars="-171" w:right="-244" w:rightChars="-244" w:firstLine="501" w:firstLineChars="239"/>
    </w:pPr>
    <w:rPr>
      <w:rFonts w:ascii="仿宋_GB2312" w:hAnsi="宋体" w:eastAsia="仿宋_GB2312" w:cs="仿宋_GB2312"/>
      <w:kern w:val="2"/>
      <w:sz w:val="30"/>
      <w:szCs w:val="30"/>
    </w:rPr>
  </w:style>
  <w:style w:type="paragraph" w:styleId="16">
    <w:name w:val="toc 5"/>
    <w:basedOn w:val="1"/>
    <w:next w:val="1"/>
    <w:unhideWhenUsed/>
    <w:qFormat/>
    <w:uiPriority w:val="39"/>
    <w:pPr>
      <w:ind w:left="840"/>
    </w:pPr>
    <w:rPr>
      <w:rFonts w:ascii="Calibri" w:hAnsi="Calibri" w:cs="Calibri"/>
      <w:sz w:val="18"/>
      <w:szCs w:val="18"/>
    </w:rPr>
  </w:style>
  <w:style w:type="paragraph" w:styleId="17">
    <w:name w:val="toc 3"/>
    <w:basedOn w:val="1"/>
    <w:next w:val="1"/>
    <w:unhideWhenUsed/>
    <w:qFormat/>
    <w:uiPriority w:val="39"/>
    <w:pPr>
      <w:ind w:left="420"/>
    </w:pPr>
    <w:rPr>
      <w:rFonts w:ascii="Calibri" w:hAnsi="Calibri" w:cs="Calibri"/>
      <w:iCs/>
      <w:sz w:val="20"/>
      <w:szCs w:val="20"/>
    </w:rPr>
  </w:style>
  <w:style w:type="paragraph" w:styleId="18">
    <w:name w:val="Plain Text"/>
    <w:basedOn w:val="1"/>
    <w:next w:val="1"/>
    <w:link w:val="50"/>
    <w:qFormat/>
    <w:uiPriority w:val="0"/>
    <w:rPr>
      <w:rFonts w:ascii="宋体" w:hAnsi="Courier New"/>
      <w:szCs w:val="20"/>
    </w:rPr>
  </w:style>
  <w:style w:type="paragraph" w:styleId="19">
    <w:name w:val="toc 8"/>
    <w:basedOn w:val="1"/>
    <w:next w:val="1"/>
    <w:unhideWhenUsed/>
    <w:qFormat/>
    <w:uiPriority w:val="39"/>
    <w:pPr>
      <w:ind w:left="1470"/>
    </w:pPr>
    <w:rPr>
      <w:rFonts w:ascii="Calibri" w:hAnsi="Calibri" w:cs="Calibri"/>
      <w:sz w:val="18"/>
      <w:szCs w:val="18"/>
    </w:rPr>
  </w:style>
  <w:style w:type="paragraph" w:styleId="20">
    <w:name w:val="Balloon Text"/>
    <w:basedOn w:val="1"/>
    <w:link w:val="51"/>
    <w:unhideWhenUsed/>
    <w:qFormat/>
    <w:uiPriority w:val="99"/>
    <w:rPr>
      <w:sz w:val="18"/>
      <w:szCs w:val="18"/>
    </w:rPr>
  </w:style>
  <w:style w:type="paragraph" w:styleId="21">
    <w:name w:val="footer"/>
    <w:basedOn w:val="1"/>
    <w:link w:val="52"/>
    <w:unhideWhenUsed/>
    <w:qFormat/>
    <w:uiPriority w:val="99"/>
    <w:pPr>
      <w:tabs>
        <w:tab w:val="center" w:pos="4153"/>
        <w:tab w:val="right" w:pos="8306"/>
      </w:tabs>
      <w:snapToGrid w:val="0"/>
      <w:jc w:val="left"/>
    </w:pPr>
    <w:rPr>
      <w:sz w:val="18"/>
      <w:szCs w:val="18"/>
    </w:rPr>
  </w:style>
  <w:style w:type="paragraph" w:styleId="22">
    <w:name w:val="header"/>
    <w:basedOn w:val="1"/>
    <w:link w:val="53"/>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pPr>
      <w:spacing w:before="120" w:after="120"/>
    </w:pPr>
    <w:rPr>
      <w:rFonts w:ascii="Calibri" w:hAnsi="Calibri" w:cs="Calibri"/>
      <w:b/>
      <w:bCs/>
      <w:caps/>
      <w:sz w:val="20"/>
      <w:szCs w:val="20"/>
    </w:rPr>
  </w:style>
  <w:style w:type="paragraph" w:styleId="24">
    <w:name w:val="toc 4"/>
    <w:basedOn w:val="1"/>
    <w:next w:val="1"/>
    <w:unhideWhenUsed/>
    <w:qFormat/>
    <w:uiPriority w:val="39"/>
    <w:pPr>
      <w:ind w:left="630"/>
    </w:pPr>
    <w:rPr>
      <w:rFonts w:ascii="Calibri" w:hAnsi="Calibri" w:cs="Calibri"/>
      <w:sz w:val="18"/>
      <w:szCs w:val="18"/>
    </w:rPr>
  </w:style>
  <w:style w:type="paragraph" w:styleId="25">
    <w:name w:val="footnote text"/>
    <w:basedOn w:val="1"/>
    <w:qFormat/>
    <w:uiPriority w:val="0"/>
    <w:pPr>
      <w:adjustRightInd w:val="0"/>
      <w:spacing w:line="312" w:lineRule="atLeast"/>
      <w:jc w:val="left"/>
      <w:textAlignment w:val="baseline"/>
    </w:pPr>
    <w:rPr>
      <w:kern w:val="0"/>
      <w:sz w:val="18"/>
      <w:szCs w:val="20"/>
    </w:rPr>
  </w:style>
  <w:style w:type="paragraph" w:styleId="26">
    <w:name w:val="toc 6"/>
    <w:basedOn w:val="1"/>
    <w:next w:val="1"/>
    <w:unhideWhenUsed/>
    <w:qFormat/>
    <w:uiPriority w:val="39"/>
    <w:pPr>
      <w:ind w:left="1050"/>
    </w:pPr>
    <w:rPr>
      <w:rFonts w:ascii="Calibri" w:hAnsi="Calibri" w:cs="Calibri"/>
      <w:sz w:val="18"/>
      <w:szCs w:val="18"/>
    </w:rPr>
  </w:style>
  <w:style w:type="paragraph" w:styleId="27">
    <w:name w:val="toc 2"/>
    <w:basedOn w:val="1"/>
    <w:next w:val="1"/>
    <w:unhideWhenUsed/>
    <w:qFormat/>
    <w:uiPriority w:val="39"/>
    <w:pPr>
      <w:ind w:left="210"/>
    </w:pPr>
    <w:rPr>
      <w:rFonts w:ascii="Calibri" w:hAnsi="Calibri" w:cs="Calibri"/>
      <w:smallCaps/>
      <w:sz w:val="20"/>
      <w:szCs w:val="20"/>
    </w:rPr>
  </w:style>
  <w:style w:type="paragraph" w:styleId="28">
    <w:name w:val="toc 9"/>
    <w:basedOn w:val="1"/>
    <w:next w:val="1"/>
    <w:unhideWhenUsed/>
    <w:qFormat/>
    <w:uiPriority w:val="39"/>
    <w:pPr>
      <w:ind w:left="1680"/>
    </w:pPr>
    <w:rPr>
      <w:rFonts w:ascii="Calibri" w:hAnsi="Calibri" w:cs="Calibri"/>
      <w:sz w:val="18"/>
      <w:szCs w:val="18"/>
    </w:rPr>
  </w:style>
  <w:style w:type="paragraph" w:styleId="29">
    <w:name w:val="Normal (Web)"/>
    <w:basedOn w:val="1"/>
    <w:unhideWhenUsed/>
    <w:qFormat/>
    <w:uiPriority w:val="99"/>
    <w:pPr>
      <w:spacing w:before="100" w:beforeAutospacing="1" w:after="100" w:afterAutospacing="1"/>
    </w:pPr>
    <w:rPr>
      <w:sz w:val="24"/>
      <w:szCs w:val="24"/>
    </w:rPr>
  </w:style>
  <w:style w:type="paragraph" w:styleId="30">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31">
    <w:name w:val="annotation subject"/>
    <w:basedOn w:val="11"/>
    <w:next w:val="11"/>
    <w:link w:val="54"/>
    <w:unhideWhenUsed/>
    <w:qFormat/>
    <w:uiPriority w:val="99"/>
    <w:rPr>
      <w:b/>
      <w:bCs/>
    </w:rPr>
  </w:style>
  <w:style w:type="paragraph" w:styleId="32">
    <w:name w:val="Body Text First Indent 2"/>
    <w:basedOn w:val="14"/>
    <w:qFormat/>
    <w:uiPriority w:val="99"/>
    <w:pPr>
      <w:spacing w:after="120"/>
      <w:ind w:firstLine="420" w:firstLineChars="200"/>
    </w:pPr>
  </w:style>
  <w:style w:type="table" w:styleId="34">
    <w:name w:val="Table Grid"/>
    <w:basedOn w:val="33"/>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rPr>
  </w:style>
  <w:style w:type="character" w:styleId="37">
    <w:name w:val="FollowedHyperlink"/>
    <w:unhideWhenUsed/>
    <w:qFormat/>
    <w:uiPriority w:val="99"/>
    <w:rPr>
      <w:color w:val="333333"/>
      <w:u w:val="none"/>
    </w:rPr>
  </w:style>
  <w:style w:type="character" w:styleId="38">
    <w:name w:val="Emphasis"/>
    <w:qFormat/>
    <w:uiPriority w:val="20"/>
    <w:rPr>
      <w:i/>
    </w:rPr>
  </w:style>
  <w:style w:type="character" w:styleId="39">
    <w:name w:val="Hyperlink"/>
    <w:unhideWhenUsed/>
    <w:qFormat/>
    <w:uiPriority w:val="99"/>
    <w:rPr>
      <w:color w:val="333333"/>
      <w:u w:val="none"/>
    </w:rPr>
  </w:style>
  <w:style w:type="character" w:styleId="40">
    <w:name w:val="annotation reference"/>
    <w:unhideWhenUsed/>
    <w:qFormat/>
    <w:uiPriority w:val="99"/>
    <w:rPr>
      <w:sz w:val="21"/>
      <w:szCs w:val="21"/>
    </w:rPr>
  </w:style>
  <w:style w:type="character" w:customStyle="1" w:styleId="41">
    <w:name w:val="标题 1 Char"/>
    <w:link w:val="2"/>
    <w:qFormat/>
    <w:uiPriority w:val="99"/>
    <w:rPr>
      <w:rFonts w:ascii="Calibri" w:hAnsi="Calibri" w:eastAsia="宋体" w:cs="Times New Roman"/>
      <w:b/>
      <w:bCs/>
      <w:kern w:val="44"/>
      <w:sz w:val="44"/>
      <w:szCs w:val="44"/>
    </w:rPr>
  </w:style>
  <w:style w:type="character" w:customStyle="1" w:styleId="42">
    <w:name w:val="标题 2 Char"/>
    <w:link w:val="3"/>
    <w:qFormat/>
    <w:uiPriority w:val="99"/>
    <w:rPr>
      <w:rFonts w:ascii="Arial" w:hAnsi="Arial" w:eastAsia="黑体" w:cs="Times New Roman"/>
      <w:b/>
      <w:bCs/>
      <w:kern w:val="0"/>
      <w:sz w:val="32"/>
      <w:szCs w:val="32"/>
    </w:rPr>
  </w:style>
  <w:style w:type="character" w:customStyle="1" w:styleId="43">
    <w:name w:val="标题 3 Char"/>
    <w:link w:val="4"/>
    <w:qFormat/>
    <w:uiPriority w:val="99"/>
    <w:rPr>
      <w:rFonts w:ascii="Times New Roman" w:hAnsi="Times New Roman" w:eastAsia="宋体" w:cs="Times New Roman"/>
      <w:b/>
      <w:bCs/>
      <w:kern w:val="0"/>
      <w:sz w:val="28"/>
      <w:szCs w:val="32"/>
    </w:rPr>
  </w:style>
  <w:style w:type="character" w:customStyle="1" w:styleId="44">
    <w:name w:val="标题 6 Char"/>
    <w:link w:val="6"/>
    <w:semiHidden/>
    <w:qFormat/>
    <w:uiPriority w:val="9"/>
    <w:rPr>
      <w:rFonts w:ascii="等线 Light" w:hAnsi="等线 Light" w:eastAsia="等线 Light" w:cs="Times New Roman"/>
      <w:b/>
      <w:bCs/>
      <w:sz w:val="24"/>
      <w:szCs w:val="24"/>
    </w:rPr>
  </w:style>
  <w:style w:type="character" w:customStyle="1" w:styleId="45">
    <w:name w:val="文档结构图 Char"/>
    <w:link w:val="9"/>
    <w:semiHidden/>
    <w:qFormat/>
    <w:uiPriority w:val="99"/>
    <w:rPr>
      <w:rFonts w:ascii="宋体"/>
      <w:sz w:val="18"/>
      <w:szCs w:val="18"/>
    </w:rPr>
  </w:style>
  <w:style w:type="character" w:customStyle="1" w:styleId="46">
    <w:name w:val="批注文字 Char"/>
    <w:link w:val="11"/>
    <w:qFormat/>
    <w:uiPriority w:val="99"/>
    <w:rPr>
      <w:sz w:val="21"/>
      <w:szCs w:val="21"/>
    </w:rPr>
  </w:style>
  <w:style w:type="character" w:customStyle="1" w:styleId="47">
    <w:name w:val="正文文本 3 Char"/>
    <w:link w:val="12"/>
    <w:qFormat/>
    <w:uiPriority w:val="99"/>
    <w:rPr>
      <w:rFonts w:ascii="宋体" w:hAnsi="Calibri" w:eastAsia="宋体" w:cs="Times New Roman"/>
      <w:kern w:val="0"/>
      <w:sz w:val="24"/>
      <w:szCs w:val="24"/>
    </w:rPr>
  </w:style>
  <w:style w:type="character" w:customStyle="1" w:styleId="48">
    <w:name w:val="正文文本 Char"/>
    <w:link w:val="13"/>
    <w:qFormat/>
    <w:uiPriority w:val="0"/>
    <w:rPr>
      <w:kern w:val="2"/>
      <w:sz w:val="21"/>
      <w:szCs w:val="24"/>
    </w:rPr>
  </w:style>
  <w:style w:type="character" w:customStyle="1" w:styleId="49">
    <w:name w:val="正文文本缩进 Char"/>
    <w:link w:val="14"/>
    <w:qFormat/>
    <w:uiPriority w:val="99"/>
    <w:rPr>
      <w:rFonts w:ascii="Calibri" w:hAnsi="Calibri" w:eastAsia="宋体" w:cs="Times New Roman"/>
      <w:kern w:val="0"/>
      <w:szCs w:val="21"/>
    </w:rPr>
  </w:style>
  <w:style w:type="character" w:customStyle="1" w:styleId="50">
    <w:name w:val="纯文本 Char"/>
    <w:link w:val="18"/>
    <w:qFormat/>
    <w:uiPriority w:val="0"/>
    <w:rPr>
      <w:rFonts w:ascii="宋体" w:hAnsi="Courier New"/>
      <w:sz w:val="21"/>
    </w:rPr>
  </w:style>
  <w:style w:type="character" w:customStyle="1" w:styleId="51">
    <w:name w:val="批注框文本 Char"/>
    <w:link w:val="20"/>
    <w:semiHidden/>
    <w:qFormat/>
    <w:uiPriority w:val="99"/>
    <w:rPr>
      <w:sz w:val="18"/>
      <w:szCs w:val="18"/>
    </w:rPr>
  </w:style>
  <w:style w:type="character" w:customStyle="1" w:styleId="52">
    <w:name w:val="页脚 Char"/>
    <w:link w:val="21"/>
    <w:qFormat/>
    <w:uiPriority w:val="99"/>
    <w:rPr>
      <w:sz w:val="18"/>
      <w:szCs w:val="18"/>
    </w:rPr>
  </w:style>
  <w:style w:type="character" w:customStyle="1" w:styleId="53">
    <w:name w:val="页眉 Char"/>
    <w:link w:val="22"/>
    <w:qFormat/>
    <w:uiPriority w:val="99"/>
    <w:rPr>
      <w:sz w:val="18"/>
      <w:szCs w:val="18"/>
    </w:rPr>
  </w:style>
  <w:style w:type="character" w:customStyle="1" w:styleId="54">
    <w:name w:val="批注主题 Char"/>
    <w:basedOn w:val="46"/>
    <w:link w:val="31"/>
    <w:qFormat/>
    <w:uiPriority w:val="0"/>
  </w:style>
  <w:style w:type="character" w:customStyle="1" w:styleId="55">
    <w:name w:val="16"/>
    <w:qFormat/>
    <w:uiPriority w:val="0"/>
    <w:rPr>
      <w:rFonts w:hint="default" w:ascii="Times New Roman" w:hAnsi="Times New Roman" w:cs="Times New Roman"/>
      <w:b/>
      <w:bCs/>
      <w:sz w:val="32"/>
      <w:szCs w:val="32"/>
    </w:rPr>
  </w:style>
  <w:style w:type="character" w:customStyle="1" w:styleId="56">
    <w:name w:val="font11"/>
    <w:qFormat/>
    <w:uiPriority w:val="0"/>
    <w:rPr>
      <w:rFonts w:hint="default" w:ascii="方正仿宋_GBK" w:hAnsi="方正仿宋_GBK" w:eastAsia="方正仿宋_GBK" w:cs="方正仿宋_GBK"/>
      <w:color w:val="000000"/>
      <w:sz w:val="24"/>
      <w:szCs w:val="24"/>
      <w:u w:val="none"/>
      <w:vertAlign w:val="superscript"/>
    </w:rPr>
  </w:style>
  <w:style w:type="character" w:customStyle="1" w:styleId="57">
    <w:name w:val="15"/>
    <w:qFormat/>
    <w:uiPriority w:val="0"/>
    <w:rPr>
      <w:rFonts w:hint="default" w:ascii="Times New Roman" w:hAnsi="Times New Roman" w:cs="Times New Roman"/>
      <w:b/>
      <w:bCs/>
      <w:kern w:val="44"/>
      <w:sz w:val="44"/>
      <w:szCs w:val="44"/>
    </w:rPr>
  </w:style>
  <w:style w:type="character" w:customStyle="1" w:styleId="58">
    <w:name w:val="grame"/>
    <w:qFormat/>
    <w:uiPriority w:val="0"/>
  </w:style>
  <w:style w:type="character" w:customStyle="1" w:styleId="59">
    <w:name w:val="font41"/>
    <w:qFormat/>
    <w:uiPriority w:val="0"/>
    <w:rPr>
      <w:rFonts w:hint="default" w:ascii="仿宋_GB2312" w:eastAsia="仿宋_GB2312" w:cs="仿宋_GB2312"/>
      <w:color w:val="000000"/>
      <w:sz w:val="24"/>
      <w:szCs w:val="24"/>
      <w:u w:val="none"/>
      <w:vertAlign w:val="superscript"/>
    </w:rPr>
  </w:style>
  <w:style w:type="character" w:customStyle="1" w:styleId="60">
    <w:name w:val="font01"/>
    <w:qFormat/>
    <w:uiPriority w:val="0"/>
    <w:rPr>
      <w:rFonts w:hint="default" w:ascii="仿宋_GB2312" w:eastAsia="仿宋_GB2312" w:cs="仿宋_GB2312"/>
      <w:color w:val="000000"/>
      <w:sz w:val="28"/>
      <w:szCs w:val="28"/>
      <w:u w:val="none"/>
      <w:vertAlign w:val="superscript"/>
    </w:rPr>
  </w:style>
  <w:style w:type="paragraph" w:customStyle="1" w:styleId="61">
    <w:name w:val="索引 11"/>
    <w:basedOn w:val="1"/>
    <w:next w:val="1"/>
    <w:qFormat/>
    <w:uiPriority w:val="0"/>
    <w:pPr>
      <w:spacing w:line="360" w:lineRule="auto"/>
    </w:pPr>
    <w:rPr>
      <w:rFonts w:ascii="仿宋_GB2312" w:eastAsia="仿宋_GB2312"/>
      <w:sz w:val="24"/>
      <w:szCs w:val="20"/>
    </w:rPr>
  </w:style>
  <w:style w:type="paragraph" w:customStyle="1" w:styleId="62">
    <w:name w:val=" Char Char Char Char Char Char Char"/>
    <w:basedOn w:val="1"/>
    <w:semiHidden/>
    <w:qFormat/>
    <w:uiPriority w:val="0"/>
    <w:pPr>
      <w:widowControl w:val="0"/>
      <w:spacing w:line="520" w:lineRule="exact"/>
      <w:jc w:val="both"/>
    </w:pPr>
    <w:rPr>
      <w:rFonts w:ascii="宋体" w:hAnsi="宋体"/>
      <w:kern w:val="2"/>
      <w:szCs w:val="24"/>
    </w:rPr>
  </w:style>
  <w:style w:type="paragraph" w:customStyle="1" w:styleId="63">
    <w:name w:val="_Style 2"/>
    <w:basedOn w:val="1"/>
    <w:qFormat/>
    <w:uiPriority w:val="0"/>
  </w:style>
  <w:style w:type="paragraph" w:customStyle="1" w:styleId="64">
    <w:name w:val="_Style 4"/>
    <w:basedOn w:val="1"/>
    <w:next w:val="1"/>
    <w:qFormat/>
    <w:uiPriority w:val="0"/>
    <w:pPr>
      <w:pBdr>
        <w:bottom w:val="single" w:color="auto" w:sz="6" w:space="1"/>
      </w:pBdr>
      <w:jc w:val="center"/>
    </w:pPr>
    <w:rPr>
      <w:rFonts w:ascii="Arial" w:eastAsia="宋体"/>
      <w:vanish/>
      <w:sz w:val="16"/>
    </w:rPr>
  </w:style>
  <w:style w:type="paragraph" w:customStyle="1" w:styleId="65">
    <w:name w:val="纯文本1"/>
    <w:basedOn w:val="1"/>
    <w:qFormat/>
    <w:uiPriority w:val="0"/>
    <w:rPr>
      <w:rFonts w:ascii="宋体" w:hAnsi="Courier New" w:eastAsia="宋体" w:cs="Times New Roman"/>
      <w:szCs w:val="22"/>
    </w:rPr>
  </w:style>
  <w:style w:type="paragraph" w:customStyle="1" w:styleId="66">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67">
    <w:name w:val="样式 标题 3 + (中文) 黑体 小四 非加粗 段前: 7.8 磅 段后: 0 磅 行距: 固定值 20 磅"/>
    <w:basedOn w:val="4"/>
    <w:qFormat/>
    <w:uiPriority w:val="0"/>
    <w:pPr>
      <w:spacing w:before="0" w:after="0" w:line="400" w:lineRule="exact"/>
      <w:jc w:val="both"/>
    </w:pPr>
    <w:rPr>
      <w:rFonts w:eastAsia="黑体" w:cs="宋体"/>
      <w:b w:val="0"/>
      <w:bCs w:val="0"/>
      <w:kern w:val="2"/>
      <w:sz w:val="24"/>
      <w:szCs w:val="20"/>
    </w:rPr>
  </w:style>
  <w:style w:type="paragraph" w:customStyle="1" w:styleId="68">
    <w:name w:val="BodyText"/>
    <w:basedOn w:val="1"/>
    <w:qFormat/>
    <w:uiPriority w:val="0"/>
    <w:pPr>
      <w:widowControl/>
      <w:spacing w:line="360" w:lineRule="auto"/>
      <w:textAlignment w:val="baseline"/>
    </w:pPr>
    <w:rPr>
      <w:rFonts w:ascii="Times New Roman" w:hAnsi="Times New Roman"/>
      <w:kern w:val="2"/>
      <w:sz w:val="21"/>
      <w:szCs w:val="24"/>
      <w:lang w:val="en-US" w:eastAsia="zh-CN" w:bidi="ar-SA"/>
    </w:rPr>
  </w:style>
  <w:style w:type="paragraph" w:customStyle="1" w:styleId="69">
    <w:name w:val="_Style 3"/>
    <w:basedOn w:val="1"/>
    <w:next w:val="1"/>
    <w:qFormat/>
    <w:uiPriority w:val="0"/>
    <w:pPr>
      <w:pBdr>
        <w:top w:val="single" w:color="auto" w:sz="6" w:space="1"/>
      </w:pBdr>
      <w:jc w:val="center"/>
    </w:pPr>
    <w:rPr>
      <w:rFonts w:ascii="Arial" w:eastAsia="宋体"/>
      <w:vanish/>
      <w:sz w:val="16"/>
    </w:rPr>
  </w:style>
  <w:style w:type="paragraph" w:customStyle="1" w:styleId="70">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71">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72">
    <w:name w:val="List Paragraph"/>
    <w:basedOn w:val="1"/>
    <w:qFormat/>
    <w:uiPriority w:val="34"/>
    <w:pPr>
      <w:ind w:firstLine="420" w:firstLineChars="200"/>
    </w:pPr>
  </w:style>
  <w:style w:type="paragraph" w:styleId="73">
    <w:name w:val="Quote"/>
    <w:basedOn w:val="1"/>
    <w:next w:val="1"/>
    <w:qFormat/>
    <w:uiPriority w:val="0"/>
    <w:pPr>
      <w:wordWrap w:val="0"/>
      <w:spacing w:before="200" w:after="160"/>
      <w:ind w:left="864" w:right="864"/>
      <w:jc w:val="center"/>
    </w:pPr>
    <w:rPr>
      <w:rFonts w:ascii="Calibri" w:hAnsi="Calibri"/>
      <w:i/>
    </w:rPr>
  </w:style>
  <w:style w:type="paragraph" w:customStyle="1" w:styleId="7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75">
    <w:name w:val="标题 5（有编号）（绿盟科技）"/>
    <w:basedOn w:val="1"/>
    <w:next w:val="76"/>
    <w:qFormat/>
    <w:uiPriority w:val="0"/>
    <w:pPr>
      <w:keepNext/>
      <w:keepLines/>
      <w:numPr>
        <w:ilvl w:val="4"/>
        <w:numId w:val="1"/>
      </w:numPr>
      <w:spacing w:before="280" w:after="156" w:line="377" w:lineRule="auto"/>
      <w:outlineLvl w:val="4"/>
    </w:pPr>
    <w:rPr>
      <w:rFonts w:ascii="Arial" w:hAnsi="Arial" w:eastAsia="黑体"/>
      <w:b/>
      <w:szCs w:val="28"/>
    </w:rPr>
  </w:style>
  <w:style w:type="paragraph" w:customStyle="1" w:styleId="76">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7">
    <w:name w:val="font31"/>
    <w:basedOn w:val="35"/>
    <w:qFormat/>
    <w:uiPriority w:val="0"/>
    <w:rPr>
      <w:rFonts w:hint="eastAsia" w:ascii="宋体" w:hAnsi="宋体" w:eastAsia="宋体" w:cs="宋体"/>
      <w:color w:val="000000"/>
      <w:sz w:val="21"/>
      <w:szCs w:val="21"/>
      <w:u w:val="none"/>
    </w:rPr>
  </w:style>
  <w:style w:type="paragraph" w:customStyle="1" w:styleId="78">
    <w:name w:val="列出段落4"/>
    <w:basedOn w:val="1"/>
    <w:unhideWhenUsed/>
    <w:qFormat/>
    <w:uiPriority w:val="34"/>
    <w:pPr>
      <w:ind w:firstLine="420" w:firstLineChars="200"/>
    </w:pPr>
    <w:rPr>
      <w:szCs w:val="21"/>
    </w:rPr>
  </w:style>
  <w:style w:type="paragraph" w:customStyle="1" w:styleId="79">
    <w:name w:val="Normal Indent1"/>
    <w:basedOn w:val="80"/>
    <w:qFormat/>
    <w:uiPriority w:val="99"/>
    <w:pPr>
      <w:ind w:firstLine="420"/>
    </w:pPr>
  </w:style>
  <w:style w:type="paragraph" w:customStyle="1" w:styleId="80">
    <w:name w:val="正文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1">
    <w:name w:val="正文文本样式"/>
    <w:basedOn w:val="1"/>
    <w:qFormat/>
    <w:uiPriority w:val="0"/>
    <w:pPr>
      <w:spacing w:before="100" w:beforeAutospacing="1" w:after="100" w:afterAutospacing="1" w:line="360" w:lineRule="auto"/>
      <w:ind w:firstLine="425" w:firstLineChars="177"/>
    </w:pPr>
    <w:rPr>
      <w:rFonts w:ascii="宋体" w:hAnsi="宋体"/>
      <w:kern w:val="0"/>
      <w:sz w:val="24"/>
    </w:rPr>
  </w:style>
  <w:style w:type="paragraph" w:customStyle="1" w:styleId="82">
    <w:name w:val="无间隔1"/>
    <w:next w:val="17"/>
    <w:unhideWhenUsed/>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z正文"/>
    <w:qFormat/>
    <w:uiPriority w:val="0"/>
    <w:pPr>
      <w:ind w:firstLine="641"/>
      <w:jc w:val="both"/>
    </w:pPr>
    <w:rPr>
      <w:rFonts w:ascii="仿宋_GB2312" w:hAnsi="方正仿宋简体" w:eastAsia="仿宋_GB2312" w:cstheme="minorBidi"/>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a1aeb4c4-7568-4b90-a32a-a2d5aa625772</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 73B6339</paraID>
      <start xmlns="http://schemas.wps.cn/vas-ai-hub/contract-review">130</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6daada7c-51e6-4604-a50f-a4101b4b8477</errorID>
      <errorWord xmlns="http://schemas.wps.cn/vas-ai-hub/contract-review">[2003]857号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〔2003〕857号</item>
      </candidateList>
      <explain xmlns="http://schemas.wps.cn/vas-ai-hub/contract-review">发文字号格式错误。</explain>
      <paraID xmlns="http://schemas.wps.cn/vas-ai-hub/contract-review">669160E5</paraID>
      <start xmlns="http://schemas.wps.cn/vas-ai-hub/contract-review">60</start>
      <end xmlns="http://schemas.wps.cn/vas-ai-hub/contract-review">70</end>
      <status xmlns="http://schemas.wps.cn/vas-ai-hub/contract-review">modified</status>
      <modifiedWord xmlns="http://schemas.wps.cn/vas-ai-hub/contract-review">〔2003〕857号</modifiedWord>
      <trackRevisions xmlns="http://schemas.wps.cn/vas-ai-hub/contract-review">false</trackRevisions>
    </reviewItem>
    <reviewItem xmlns="http://schemas.wps.cn/vas-ai-hub/contract-review">
      <errorID xmlns="http://schemas.wps.cn/vas-ai-hub/contract-review">ff051488-ce43-409b-8b41-449cafa05926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78D6E689</paraID>
      <start xmlns="http://schemas.wps.cn/vas-ai-hub/contract-review">17</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b2c78b09-5a42-4f3b-9976-e328d7fc530c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78D6E689</paraID>
      <start xmlns="http://schemas.wps.cn/vas-ai-hub/contract-review">23</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8a8a2151-f13c-4464-ad90-90824e107a4d</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705826EF</paraID>
      <start xmlns="http://schemas.wps.cn/vas-ai-hub/contract-review">19</start>
      <end xmlns="http://schemas.wps.cn/vas-ai-hub/contract-review">20</end>
      <status xmlns="http://schemas.wps.cn/vas-ai-hub/contract-review">modified</status>
      <modifiedWord xmlns="http://schemas.wps.cn/vas-ai-hub/contract-review">地</modifiedWord>
      <trackRevisions xmlns="http://schemas.wps.cn/vas-ai-hub/contract-review">false</trackRevisions>
    </reviewItem>
    <reviewItem xmlns="http://schemas.wps.cn/vas-ai-hub/contract-review">
      <errorID xmlns="http://schemas.wps.cn/vas-ai-hub/contract-review">ce1e10f1-35c8-418d-b100-a7edbfe6feee</errorID>
      <errorWord xmlns="http://schemas.wps.cn/vas-ai-hub/contract-review">操作合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操作台</item>
      </candidateList>
      <explain xmlns="http://schemas.wps.cn/vas-ai-hub/contract-review"/>
      <paraID xmlns="http://schemas.wps.cn/vas-ai-hub/contract-review">6F323940</paraID>
      <start xmlns="http://schemas.wps.cn/vas-ai-hub/contract-review">8</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635f4e45-64b1-483b-be08-b5e7a9080de8</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716912D2</paraID>
      <start xmlns="http://schemas.wps.cn/vas-ai-hub/contract-review">27</start>
      <end xmlns="http://schemas.wps.cn/vas-ai-hub/contract-review">29</end>
      <status xmlns="http://schemas.wps.cn/vas-ai-hub/contract-review">modified</status>
      <modifiedWord xmlns="http://schemas.wps.cn/vas-ai-hub/contract-review">间内</modifiedWord>
      <trackRevisions xmlns="http://schemas.wps.cn/vas-ai-hub/contract-review">false</trackRevisions>
    </reviewItem>
    <reviewItem xmlns="http://schemas.wps.cn/vas-ai-hub/contract-review">
      <errorID xmlns="http://schemas.wps.cn/vas-ai-hub/contract-review">a3c38b13-7087-4a00-9bbd-f27f04dd4011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5AA6A6B8</paraID>
      <start xmlns="http://schemas.wps.cn/vas-ai-hub/contract-review">11</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06c8965e-48be-4e59-b3ba-1289345d0053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CB28CF8</paraID>
      <start xmlns="http://schemas.wps.cn/vas-ai-hub/contract-review">7</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1405fdd9-fe57-455d-8a92-825fa505aafa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FC62EAD</paraID>
      <start xmlns="http://schemas.wps.cn/vas-ai-hub/contract-review">6</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7231e5ae-fd79-44ab-a98a-f6a73cd565f4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633F7385</paraID>
      <start xmlns="http://schemas.wps.cn/vas-ai-hub/contract-review">62</start>
      <end xmlns="http://schemas.wps.cn/vas-ai-hub/contract-review">63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8f4a4c64-e767-4665-b619-9657e9765cab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633F7385</paraID>
      <start xmlns="http://schemas.wps.cn/vas-ai-hub/contract-review">85</start>
      <end xmlns="http://schemas.wps.cn/vas-ai-hub/contract-review">86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215acf7f-58f7-4bf2-864e-fb90f750094e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633F7385</paraID>
      <start xmlns="http://schemas.wps.cn/vas-ai-hub/contract-review">109</start>
      <end xmlns="http://schemas.wps.cn/vas-ai-hub/contract-review">110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bd6c327b-a1d4-4d87-8f0e-c178ace79a21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633F7385</paraID>
      <start xmlns="http://schemas.wps.cn/vas-ai-hub/contract-review">125</start>
      <end xmlns="http://schemas.wps.cn/vas-ai-hub/contract-review">126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b37ee909-0415-495f-93df-47421770b586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7FB002DC</paraID>
      <start xmlns="http://schemas.wps.cn/vas-ai-hub/contract-review">22</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b875ee1f-44c3-4bdb-96d2-fd52721d9ff4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7FB002DC</paraID>
      <start xmlns="http://schemas.wps.cn/vas-ai-hub/contract-review">29</start>
      <end xmlns="http://schemas.wps.cn/vas-ai-hub/contract-review">31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6c571f72-cf18-42f4-8131-d7fe47d4bb1c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775BEE8F</paraID>
      <start xmlns="http://schemas.wps.cn/vas-ai-hub/contract-review">25</start>
      <end xmlns="http://schemas.wps.cn/vas-ai-hub/contract-review">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d234494c-971d-417c-91a5-b672648ece1d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775BEE8F</paraID>
      <start xmlns="http://schemas.wps.cn/vas-ai-hub/contract-review">32</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e4a8832b-5741-43f5-aff7-50810e6095a0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3F1191FA</paraID>
      <start xmlns="http://schemas.wps.cn/vas-ai-hub/contract-review">77</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73e777b0-34e7-404b-b541-19a2f2fed956</errorID>
      <errorWord xmlns="http://schemas.wps.cn/vas-ai-hub/contract-review">现场中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现场</item>
      </candidateList>
      <explain xmlns="http://schemas.wps.cn/vas-ai-hub/contract-review"/>
      <paraID xmlns="http://schemas.wps.cn/vas-ai-hub/contract-review"> D33DAC3</paraID>
      <start xmlns="http://schemas.wps.cn/vas-ai-hub/contract-review">24</start>
      <end xmlns="http://schemas.wps.cn/vas-ai-hub/contract-review">26</end>
      <status xmlns="http://schemas.wps.cn/vas-ai-hub/contract-review">modified</status>
      <modifiedWord xmlns="http://schemas.wps.cn/vas-ai-hub/contract-review">现场</modifiedWord>
      <trackRevisions xmlns="http://schemas.wps.cn/vas-ai-hub/contract-review">false</trackRevisions>
    </reviewItem>
    <reviewItem xmlns="http://schemas.wps.cn/vas-ai-hub/contract-review">
      <errorID xmlns="http://schemas.wps.cn/vas-ai-hub/contract-review">cdb54ed5-078b-4c95-b2fa-767dc8ef0192</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2B246403</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edce9c94-6724-445a-a74b-dab18e869bee</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〈动〉提出疑问：～问难。</explain>
      <paraID xmlns="http://schemas.wps.cn/vas-ai-hub/contract-review">2F363E00</paraID>
      <start xmlns="http://schemas.wps.cn/vas-ai-hub/contract-review">62</start>
      <end xmlns="http://schemas.wps.cn/vas-ai-hub/contract-review">66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8a19ab90-053f-484e-8bbe-c6f26b5f3b5c</errorID>
      <errorWord xmlns="http://schemas.wps.cn/vas-ai-hub/contract-review">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传播</item>
      </candidateList>
      <explain xmlns="http://schemas.wps.cn/vas-ai-hub/contract-review"/>
      <paraID xmlns="http://schemas.wps.cn/vas-ai-hub/contract-review">6CA21A3E</paraID>
      <start xmlns="http://schemas.wps.cn/vas-ai-hub/contract-review">36</start>
      <end xmlns="http://schemas.wps.cn/vas-ai-hub/contract-review">38</end>
      <status xmlns="http://schemas.wps.cn/vas-ai-hub/contract-review">modified</status>
      <modifiedWord xmlns="http://schemas.wps.cn/vas-ai-hub/contract-review">传播</modifiedWord>
      <trackRevisions xmlns="http://schemas.wps.cn/vas-ai-hub/contract-review">false</trackRevisions>
    </reviewItem>
    <reviewItem xmlns="http://schemas.wps.cn/vas-ai-hub/contract-review">
      <errorID xmlns="http://schemas.wps.cn/vas-ai-hub/contract-review">cbedf434-0dc9-4fb1-9dbf-8f5edc7f75fb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758959DF</paraID>
      <start xmlns="http://schemas.wps.cn/vas-ai-hub/contract-review">3</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e8f28b17-4542-4d29-ac97-f4e16eb9c300</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〈动〉回声相应，比喻用言语行动表示赞同、支持某种号召或倡议：～号召。</explain>
      <paraID xmlns="http://schemas.wps.cn/vas-ai-hub/contract-review">5B275F5F</paraID>
      <start xmlns="http://schemas.wps.cn/vas-ai-hub/contract-review">21</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c1c9cf66-13a4-4ff9-a03f-59ee89f784a9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59F8273A</paraID>
      <start xmlns="http://schemas.wps.cn/vas-ai-hub/contract-review">47</start>
      <end xmlns="http://schemas.wps.cn/vas-ai-hub/contract-review">48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e49b2462-47f7-4e7f-924e-016d155b3bb5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59F8273A</paraID>
      <start xmlns="http://schemas.wps.cn/vas-ai-hub/contract-review">61</start>
      <end xmlns="http://schemas.wps.cn/vas-ai-hub/contract-review">62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fe880dad-4562-4e95-bc3b-c48c5a184219</errorID>
      <errorWord xmlns="http://schemas.wps.cn/vas-ai-hub/contract-review">项目的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1684E478</paraID>
      <start xmlns="http://schemas.wps.cn/vas-ai-hub/contract-review">8</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933125c3-8733-4223-8480-8f448a45e773</errorID>
      <errorWord xmlns="http://schemas.wps.cn/vas-ai-hub/contract-review">突然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突发</item>
      </candidateList>
      <explain xmlns="http://schemas.wps.cn/vas-ai-hub/contract-review"/>
      <paraID xmlns="http://schemas.wps.cn/vas-ai-hub/contract-review">1684E478</paraID>
      <start xmlns="http://schemas.wps.cn/vas-ai-hub/contract-review">11</start>
      <end xmlns="http://schemas.wps.cn/vas-ai-hub/contract-review">13</end>
      <status xmlns="http://schemas.wps.cn/vas-ai-hub/contract-review">modified</status>
      <modifiedWord xmlns="http://schemas.wps.cn/vas-ai-hub/contract-review">突发</modifiedWord>
      <trackRevisions xmlns="http://schemas.wps.cn/vas-ai-hub/contract-review">false</trackRevisions>
    </reviewItem>
    <reviewItem xmlns="http://schemas.wps.cn/vas-ai-hub/contract-review">
      <errorID xmlns="http://schemas.wps.cn/vas-ai-hub/contract-review">82a7b44e-7e4c-4b25-b7b9-d7639c2e2394</errorID>
      <errorWord xmlns="http://schemas.wps.cn/vas-ai-hub/contract-review">完整的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完整</item>
      </candidateList>
      <explain xmlns="http://schemas.wps.cn/vas-ai-hub/contract-review"/>
      <paraID xmlns="http://schemas.wps.cn/vas-ai-hub/contract-review">6C0A3B4A</paraID>
      <start xmlns="http://schemas.wps.cn/vas-ai-hub/contract-review">11</start>
      <end xmlns="http://schemas.wps.cn/vas-ai-hub/contract-review">13</end>
      <status xmlns="http://schemas.wps.cn/vas-ai-hub/contract-review">modified</status>
      <modifiedWord xmlns="http://schemas.wps.cn/vas-ai-hub/contract-review">完整</modifiedWord>
      <trackRevisions xmlns="http://schemas.wps.cn/vas-ai-hub/contract-review">false</trackRevisions>
    </reviewItem>
    <reviewItem xmlns="http://schemas.wps.cn/vas-ai-hub/contract-review">
      <errorID xmlns="http://schemas.wps.cn/vas-ai-hub/contract-review">37fc96d1-d5aa-4831-b5eb-4f537cb52fb7</errorID>
      <errorWord xmlns="http://schemas.wps.cn/vas-ai-hub/contract-review">2个方面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两个方面</item>
      </candidateList>
      <explain xmlns="http://schemas.wps.cn/vas-ai-hub/contract-review"/>
      <paraID xmlns="http://schemas.wps.cn/vas-ai-hub/contract-review">24638935</paraID>
      <start xmlns="http://schemas.wps.cn/vas-ai-hub/contract-review">2</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c7f34710-dc3f-4441-9e55-b23abbf95d8a</errorID>
      <errorWord xmlns="http://schemas.wps.cn/vas-ai-hub/contract-review">完整的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完整</item>
      </candidateList>
      <explain xmlns="http://schemas.wps.cn/vas-ai-hub/contract-review"/>
      <paraID xmlns="http://schemas.wps.cn/vas-ai-hub/contract-review">24638935</paraID>
      <start xmlns="http://schemas.wps.cn/vas-ai-hub/contract-review">12</start>
      <end xmlns="http://schemas.wps.cn/vas-ai-hub/contract-review">14</end>
      <status xmlns="http://schemas.wps.cn/vas-ai-hub/contract-review">modified</status>
      <modifiedWord xmlns="http://schemas.wps.cn/vas-ai-hub/contract-review">完整</modifiedWord>
      <trackRevisions xmlns="http://schemas.wps.cn/vas-ai-hub/contract-review">false</trackRevisions>
    </reviewItem>
    <reviewItem xmlns="http://schemas.wps.cn/vas-ai-hub/contract-review">
      <errorID xmlns="http://schemas.wps.cn/vas-ai-hub/contract-review">6d21bb0c-ad6a-4c39-9009-87b91eb68d75</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24638935</paraID>
      <start xmlns="http://schemas.wps.cn/vas-ai-hub/contract-review">17</start>
      <end xmlns="http://schemas.wps.cn/vas-ai-hub/contract-review">19</end>
      <status xmlns="http://schemas.wps.cn/vas-ai-hub/contract-review">modified</status>
      <modifiedWord xmlns="http://schemas.wps.cn/vas-ai-hub/contract-review">、具</modifiedWord>
      <trackRevisions xmlns="http://schemas.wps.cn/vas-ai-hub/contract-review">false</trackRevisions>
    </reviewItem>
    <reviewItem xmlns="http://schemas.wps.cn/vas-ai-hub/contract-review">
      <errorID xmlns="http://schemas.wps.cn/vas-ai-hub/contract-review">77d6eda0-a4e5-4997-91cb-2db381b7f590</errorID>
      <errorWord xmlns="http://schemas.wps.cn/vas-ai-hub/contract-review">依次类推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依此类推</item>
      </candidateList>
      <explain xmlns="http://schemas.wps.cn/vas-ai-hub/contract-review"/>
      <paraID xmlns="http://schemas.wps.cn/vas-ai-hub/contract-review">  A8498B</paraID>
      <start xmlns="http://schemas.wps.cn/vas-ai-hub/contract-review">241</start>
      <end xmlns="http://schemas.wps.cn/vas-ai-hub/contract-review">245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d10f4c9c-2e8e-483b-a672-765da2b0cd46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32AECD86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0c8cbcda-fda8-438a-b0da-baa40043e35d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3BC85712</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68acbbcd-8d2b-405c-88e1-6a7a07496d57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a3ff7428-bb01-4cc8-be91-b408bc46ef4d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0a7a0946-0e1a-4d03-9b65-51c66006597d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cfc171f0-6570-4faa-8dd2-2c6405bbc49c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32fa931e-08c8-45fc-a5fb-804f10044e9f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fa8be0e5-29b3-4148-b24c-a860658f6830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3F15279A</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8e86af98-d733-40ba-9745-29d08f8b8cdf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12CE04DE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52b3951b-b048-40c0-9c00-2d0f496f60d6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10F933EB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e612d24f-d0ec-4a23-9309-21f288db29dc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B53C091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a3113e7e-656a-4b7e-9cc5-65e6302e4e29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5D10FCAE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7068a28c-eb9a-41ab-823b-116a19a6c2c7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72FDB27B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414e574b-c755-4512-bd17-93938d6da42e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194F7350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bfc87cee-1000-4acc-8e0f-ed76e2c2d03c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75BF87CF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a4dbfd86-100f-44b8-b724-26e5b90bfd7d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3E29A4A4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ed89b95c-77c5-4d65-b642-b37941966f6f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2FAC990E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ae7602e6-fa7f-49e2-a38d-2879a6dcf5c8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4A29AC15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d739d3a4-c5ab-4a93-9749-d15b75e5d23b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595B07EA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bb05c345-ed7d-4f9c-8234-52e47db1a0f9</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4AF0FB7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e0ab46db-fbe8-436b-8e0a-51076305fc12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26D70618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41a02818-0264-41b3-93dc-99941b8d5f52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6680AC1A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ac9ad602-c048-451e-a07e-0e9faaaa0084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407C0E00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a08abddc-a27a-4e48-84e6-acfbaceacbcc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5B0B35A9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a46be8f7-c4ae-4116-a1b8-76919c2a9a9a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2E346D7D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e1a326eb-4c23-4d0b-b666-44563da9f1c7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525B3FB3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e94c00ce-a917-47be-8482-0be20c55286b</errorID>
      <errorWord xmlns="http://schemas.wps.cn/vas-ai-hub/contract-review">银行帐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银行账</item>
      </candidateList>
      <explain xmlns="http://schemas.wps.cn/vas-ai-hub/contract-review">词汇[银行帐]为不规范表述或旧称，其规范书面表述为[银行账]。</explain>
      <paraID xmlns="http://schemas.wps.cn/vas-ai-hub/contract-review">525B3FB3</paraID>
      <start xmlns="http://schemas.wps.cn/vas-ai-hub/contract-review">25</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1d2ba570-3bb2-4f2a-92cf-96878c10439e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525B3FB3</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fb8c5cc6-4d6b-4c14-973c-a04e625e9522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38A896B4</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725943b0-73df-416b-82e5-dcfab2c01a0c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79DDC806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3abc7579-55dd-434e-a27f-f05c80ac2c51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667FB9FB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71e6af2b-3146-4cce-bd29-ca1756db0b86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5A4E2C74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b5b8eb2f-22b4-45e2-9238-49d344cb54df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7E0F215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0cfec169-6cbb-47b8-9aa9-a72e279288d6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5BFCA1FE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d060dafa-852c-4972-9666-8d0b2e97cee5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630F9C30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9776af65-f81a-4e0b-97e4-4d8b1d1a2120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47376A36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92a91952-5479-44a8-8b6b-08473cf746c8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144D34C5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2cbbd4f9-bea0-4ffa-8f20-852ecc7af2da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418BD627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4d53a6d2-4192-44c6-b008-f0b988123ae3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1766033F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1d57e95f-6460-4301-ba95-b56bc4edda4c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2AA2A051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e553a011-3903-4ff9-b91e-78bf4b5a89a5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6B21442D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04572726-8d8f-4cd9-b069-e8acda16ddf1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3BB589B1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61535076-1a26-47a1-a0d0-a0998ac39ae4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580EC90A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5160633b-c536-4224-98fe-604e57175122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629BA977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2f32678a-5ca0-44be-bea6-b245d29247fe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3BF997A7</paraID>
      <start xmlns="http://schemas.wps.cn/vas-ai-hub/contract-review">45</start>
      <end xmlns="http://schemas.wps.cn/vas-ai-hub/contract-review">46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caf210d4-12fe-4004-b0db-361163a39ee2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61260E36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84514ac5-8b31-4ea3-82e1-57b0895e7c76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67E69E09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03e30564-9a07-4cd4-a6bb-7b3792937c62</errorID>
      <errorWord xmlns="http://schemas.wps.cn/vas-ai-hub/contract-review">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违反</item>
      </candidateList>
      <explain xmlns="http://schemas.wps.cn/vas-ai-hub/contract-review">〈动〉不遵守；不符合（法则、规程等）：～纪律｜～政策。</explain>
      <paraID xmlns="http://schemas.wps.cn/vas-ai-hub/contract-review">67E69E09</paraID>
      <start xmlns="http://schemas.wps.cn/vas-ai-hub/contract-review">5</start>
      <end xmlns="http://schemas.wps.cn/vas-ai-hub/contract-review">7</end>
      <status xmlns="http://schemas.wps.cn/vas-ai-hub/contract-review">modified</status>
      <modifiedWord xmlns="http://schemas.wps.cn/vas-ai-hub/contract-review">违反</modifiedWord>
      <trackRevisions xmlns="http://schemas.wps.cn/vas-ai-hub/contract-review">false</trackRevisions>
    </reviewItem>
    <reviewItem xmlns="http://schemas.wps.cn/vas-ai-hub/contract-review">
      <errorID xmlns="http://schemas.wps.cn/vas-ai-hub/contract-review">aa33681a-7e01-4349-9f42-0c001cbd0356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45BCFFFD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4d700f12-6013-4b5d-ae35-56d9f0191c6b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10C90275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22ed9b3c-157a-41c4-91c3-0f81a421cbce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4184F8C6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905fca48-3012-4ab4-8e5d-cb4126cd1f80</errorID>
      <errorWord xmlns="http://schemas.wps.cn/vas-ai-hub/contract-review">肆份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四份</item>
      </candidateList>
      <explain xmlns="http://schemas.wps.cn/vas-ai-hub/contract-review">存在发音相同字词的误用。</explain>
      <paraID xmlns="http://schemas.wps.cn/vas-ai-hub/contract-review">41AC27F6</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9df821a5-11f1-43b4-ac5c-51b196e2a877</errorID>
      <errorWord xmlns="http://schemas.wps.cn/vas-ai-hub/contract-review">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具有</item>
      </candidateList>
      <explain xmlns="http://schemas.wps.cn/vas-ai-hub/contract-review">〈动〉有（多用于抽象事物）：～信心｜～伟大的意义。</explain>
      <paraID xmlns="http://schemas.wps.cn/vas-ai-hub/contract-review">41AC27F6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264279b3-48f2-4a5f-bf24-165700a540ff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2590ED69</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ebf83afa-4152-434b-af2e-6de7d2f30379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2590ED69</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c87ab783-3c26-4b6e-be39-cbde1c1a75e5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153FCB51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e2fb7a03-56b7-43ae-b48a-5484cdc04579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ED28A5D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aadde793-0194-4128-ada7-51bec0ab2ce0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325E436E</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3b418092-a89f-4193-a56d-00bd536d0a60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325E436E</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32e17356-a102-42af-9853-88e2586b3728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56B4276C</paraID>
      <start xmlns="http://schemas.wps.cn/vas-ai-hub/contract-review">29</start>
      <end xmlns="http://schemas.wps.cn/vas-ai-hub/contract-review">30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064e910f-f9ff-4831-9bb8-0c7dbd86f2c8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56B4276C</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1976156f-cac4-4713-ac67-db3b747396c4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15ACDD7F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4e286b76-7fd1-4192-9dc8-4278cfa4723a</errorID>
      <errorWord xmlns="http://schemas.wps.cn/vas-ai-hub/contract-review">规范化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规范</item>
      </candidateList>
      <explain xmlns="http://schemas.wps.cn/vas-ai-hub/contract-review">❶〈名〉约定俗成或明文规定的标准：语音～｜道德～。❷〈形〉合乎规范：这个词的用法不～。❸〈动〉使合乎规范：用新的社会道德来～人们的行为。</explain>
      <paraID xmlns="http://schemas.wps.cn/vas-ai-hub/contract-review"> BACD659</paraID>
      <start xmlns="http://schemas.wps.cn/vas-ai-hub/contract-review">38</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8cb099e9-19f6-4baa-a187-f23debd8eecf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73C2E851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61a016b6-6493-42b5-8cbb-728557e60e2b</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151363DA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4d0bff7a-aa76-493a-9fb2-efec77bc180a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4F64A4CF</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8af78d0d-a2ef-4543-bd8d-26476d9aee1d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70CF824E</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f38bf3c0-31b0-4096-a24b-3b365949d27c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714a6327-e02c-46ec-a2d9-e83242ce8f37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a5154198-8820-4fec-97e8-d970882fe853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493196c2-1d98-48c6-93b2-b41b9ad2222a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545e1432-6df5-4cd3-90f6-8b7209e597e5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81ebdc1f-dbe5-427e-ba4b-8a1ebee57736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7113518E</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5c937bac-24dc-4e61-9023-dc9af7385bcc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139CD015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30f04461-11e7-46b6-8a88-7f117eacbdd5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5158D8C5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29a3c6a6-c405-4bfd-9910-c23bb19079a1</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期为</item>
      </candidateList>
      <explain xmlns="http://schemas.wps.cn/vas-ai-hub/contract-review"/>
      <paraID xmlns="http://schemas.wps.cn/vas-ai-hub/contract-review">1953AF17</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ca1a3851-045a-4502-8f36-1907171c3ad7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30FB32EC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1ccc1cc1-b1ac-4bb5-91fa-a0659acc4f53</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3950D3EA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01f5753f-81fd-47bc-acb2-7982c60c3afb</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498552EE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d0ed0528-7b1b-45bd-9b22-180055b92df2</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45D91FDA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461129f4-9feb-4f14-a463-619ffcda4665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4E77A5B4</paraID>
      <start xmlns="http://schemas.wps.cn/vas-ai-hub/contract-review">41</start>
      <end xmlns="http://schemas.wps.cn/vas-ai-hub/contract-review">42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a2c2e957-8fde-483e-8d6f-fcfaf77363cf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4E77A5B4</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8b79b8b7-52bf-44e6-bebc-0efd65dc5d45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54AB4BEE</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f6a83a47-b36e-4982-a0a5-8e6c1193b808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54AB4BEE</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8e4770-246f-4d58-a09f-b8d628ba914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72</Pages>
  <Words>36088</Words>
  <Characters>38265</Characters>
  <Lines>220</Lines>
  <Paragraphs>61</Paragraphs>
  <TotalTime>22</TotalTime>
  <ScaleCrop>false</ScaleCrop>
  <LinksUpToDate>false</LinksUpToDate>
  <CharactersWithSpaces>39965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2020-10-14T18:41:00Z</dcterms:created>
  <dc:creator>jsb</dc:creator>
  <cp:lastModifiedBy>Administrator</cp:lastModifiedBy>
  <cp:lastPrinted>2021-01-12T19:35:00Z</cp:lastPrinted>
  <dcterms:modified xsi:type="dcterms:W3CDTF">2026-04-30T08:16:48Z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C300E57990BD42A49DDD3A790DAA4891_13</vt:lpwstr>
  </property>
  <property fmtid="{D5CDD505-2E9C-101B-9397-08002B2CF9AE}" pid="4" name="KSOTemplateDocerSaveRecord">
    <vt:lpwstr>eyJoZGlkIjoiNDVhY2Q2MzY4MTQ5YWFkOTMxYmU4NGZlYzk0ZjY2MzkiLCJ1c2VySWQiOiIzNDk4OTMzNzAifQ==</vt:lpwstr>
  </property>
</Properties>
</file>