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8F9A6D">
      <w:pPr>
        <w:tabs>
          <w:tab w:val="left" w:pos="5790"/>
          <w:tab w:val="right" w:pos="9158"/>
        </w:tabs>
        <w:spacing w:line="600" w:lineRule="auto"/>
        <w:ind w:right="-143" w:firstLine="520"/>
        <w:jc w:val="right"/>
        <w:rPr>
          <w:rFonts w:hint="eastAsia" w:ascii="宋体" w:hAnsi="宋体" w:eastAsia="宋体"/>
          <w:b/>
          <w:color w:val="auto"/>
          <w:sz w:val="24"/>
          <w:highlight w:val="none"/>
          <w:lang w:eastAsia="zh-CN"/>
        </w:rPr>
      </w:pPr>
      <w:r>
        <w:rPr>
          <w:rFonts w:hint="eastAsia" w:ascii="宋体" w:hAnsi="宋体"/>
          <w:b/>
          <w:color w:val="auto"/>
          <w:sz w:val="24"/>
          <w:highlight w:val="none"/>
        </w:rPr>
        <w:t>招标编号：</w:t>
      </w:r>
      <w:r>
        <w:rPr>
          <w:rFonts w:hint="eastAsia" w:ascii="宋体" w:hAnsi="宋体"/>
          <w:b/>
          <w:color w:val="auto"/>
          <w:sz w:val="24"/>
          <w:highlight w:val="none"/>
          <w:lang w:eastAsia="zh-CN"/>
        </w:rPr>
        <w:t>ZG-2026087</w:t>
      </w:r>
    </w:p>
    <w:p w14:paraId="152451EB">
      <w:pPr>
        <w:pStyle w:val="14"/>
        <w:spacing w:line="360" w:lineRule="auto"/>
        <w:rPr>
          <w:rFonts w:hint="eastAsia" w:eastAsia="宋体"/>
          <w:color w:val="auto"/>
          <w:sz w:val="44"/>
          <w:szCs w:val="52"/>
          <w:highlight w:val="none"/>
          <w:lang w:eastAsia="zh-CN"/>
        </w:rPr>
      </w:pPr>
      <w:r>
        <w:rPr>
          <w:rFonts w:hint="eastAsia"/>
          <w:color w:val="auto"/>
          <w:sz w:val="44"/>
          <w:szCs w:val="52"/>
          <w:highlight w:val="none"/>
          <w:lang w:eastAsia="zh-CN"/>
        </w:rPr>
        <w:t>天敌昆虫资源及产品转化平台建设项目采购一批天敌昆虫扩繁设备</w:t>
      </w:r>
    </w:p>
    <w:p w14:paraId="2D6763D6">
      <w:pPr>
        <w:spacing w:line="2000" w:lineRule="exact"/>
        <w:ind w:firstLine="4233" w:firstLineChars="441"/>
        <w:rPr>
          <w:rFonts w:ascii="宋体" w:hAnsi="宋体"/>
          <w:b/>
          <w:color w:val="auto"/>
          <w:sz w:val="96"/>
          <w:szCs w:val="96"/>
          <w:highlight w:val="none"/>
        </w:rPr>
      </w:pPr>
      <w:r>
        <w:rPr>
          <w:rFonts w:hint="eastAsia" w:ascii="宋体" w:hAnsi="宋体"/>
          <w:b/>
          <w:color w:val="auto"/>
          <w:sz w:val="96"/>
          <w:szCs w:val="96"/>
          <w:highlight w:val="none"/>
        </w:rPr>
        <w:t>招</w:t>
      </w:r>
    </w:p>
    <w:p w14:paraId="726DDCCF">
      <w:pPr>
        <w:spacing w:line="2000" w:lineRule="exact"/>
        <w:ind w:firstLine="4233" w:firstLineChars="441"/>
        <w:rPr>
          <w:rFonts w:ascii="宋体" w:hAnsi="宋体"/>
          <w:b/>
          <w:color w:val="auto"/>
          <w:sz w:val="96"/>
          <w:szCs w:val="96"/>
          <w:highlight w:val="none"/>
        </w:rPr>
      </w:pPr>
      <w:r>
        <w:rPr>
          <w:rFonts w:hint="eastAsia" w:ascii="宋体" w:hAnsi="宋体"/>
          <w:b/>
          <w:color w:val="auto"/>
          <w:sz w:val="96"/>
          <w:szCs w:val="96"/>
          <w:highlight w:val="none"/>
        </w:rPr>
        <w:t>标</w:t>
      </w:r>
    </w:p>
    <w:p w14:paraId="7BBCE9C1">
      <w:pPr>
        <w:spacing w:line="2000" w:lineRule="exact"/>
        <w:ind w:firstLine="4233" w:firstLineChars="441"/>
        <w:rPr>
          <w:rFonts w:ascii="宋体" w:hAnsi="宋体"/>
          <w:b/>
          <w:color w:val="auto"/>
          <w:sz w:val="96"/>
          <w:szCs w:val="96"/>
          <w:highlight w:val="none"/>
        </w:rPr>
      </w:pPr>
      <w:r>
        <w:rPr>
          <w:rFonts w:hint="eastAsia" w:ascii="宋体" w:hAnsi="宋体"/>
          <w:b/>
          <w:color w:val="auto"/>
          <w:sz w:val="96"/>
          <w:szCs w:val="96"/>
          <w:highlight w:val="none"/>
        </w:rPr>
        <w:t>文</w:t>
      </w:r>
    </w:p>
    <w:p w14:paraId="2A34D0D8">
      <w:pPr>
        <w:spacing w:line="2000" w:lineRule="exact"/>
        <w:ind w:firstLine="4233" w:firstLineChars="441"/>
        <w:rPr>
          <w:rFonts w:ascii="宋体" w:hAnsi="宋体"/>
          <w:b/>
          <w:color w:val="auto"/>
          <w:sz w:val="28"/>
          <w:highlight w:val="none"/>
        </w:rPr>
      </w:pPr>
      <w:r>
        <w:rPr>
          <w:rFonts w:hint="eastAsia" w:ascii="宋体" w:hAnsi="宋体"/>
          <w:b/>
          <w:color w:val="auto"/>
          <w:sz w:val="96"/>
          <w:szCs w:val="96"/>
          <w:highlight w:val="none"/>
        </w:rPr>
        <w:t>件</w:t>
      </w:r>
    </w:p>
    <w:p w14:paraId="473CBFB1">
      <w:pPr>
        <w:tabs>
          <w:tab w:val="left" w:pos="1473"/>
          <w:tab w:val="left" w:pos="1709"/>
        </w:tabs>
        <w:spacing w:before="331" w:beforeLines="100" w:line="480" w:lineRule="auto"/>
        <w:ind w:firstLine="1680" w:firstLineChars="600"/>
        <w:jc w:val="left"/>
        <w:rPr>
          <w:rFonts w:hint="eastAsia" w:ascii="宋体" w:hAnsi="宋体" w:eastAsia="宋体"/>
          <w:b/>
          <w:color w:val="auto"/>
          <w:sz w:val="28"/>
          <w:highlight w:val="none"/>
          <w:lang w:eastAsia="zh-CN"/>
        </w:rPr>
      </w:pPr>
      <w:r>
        <w:rPr>
          <w:rFonts w:hint="eastAsia" w:ascii="宋体" w:hAnsi="宋体"/>
          <w:b/>
          <w:color w:val="auto"/>
          <w:sz w:val="28"/>
          <w:highlight w:val="none"/>
          <w:lang w:eastAsia="zh-CN"/>
        </w:rPr>
        <w:t>采购人</w:t>
      </w:r>
      <w:r>
        <w:rPr>
          <w:rFonts w:hint="eastAsia" w:ascii="宋体" w:hAnsi="宋体"/>
          <w:b/>
          <w:color w:val="auto"/>
          <w:sz w:val="28"/>
          <w:highlight w:val="none"/>
        </w:rPr>
        <w:t>：</w:t>
      </w:r>
      <w:r>
        <w:rPr>
          <w:rFonts w:hint="eastAsia" w:ascii="宋体" w:hAnsi="宋体"/>
          <w:b/>
          <w:color w:val="auto"/>
          <w:sz w:val="28"/>
          <w:highlight w:val="none"/>
          <w:lang w:eastAsia="zh-CN"/>
        </w:rPr>
        <w:t>云南省农业科学院农业环境资源研究所</w:t>
      </w:r>
    </w:p>
    <w:p w14:paraId="0092BF3F">
      <w:pPr>
        <w:tabs>
          <w:tab w:val="left" w:pos="1473"/>
          <w:tab w:val="left" w:pos="1709"/>
        </w:tabs>
        <w:spacing w:line="480" w:lineRule="auto"/>
        <w:ind w:firstLine="1680" w:firstLineChars="600"/>
        <w:jc w:val="left"/>
        <w:rPr>
          <w:rFonts w:ascii="宋体" w:hAnsi="宋体"/>
          <w:b/>
          <w:color w:val="auto"/>
          <w:sz w:val="28"/>
          <w:highlight w:val="none"/>
        </w:rPr>
      </w:pPr>
      <w:r>
        <w:rPr>
          <w:rFonts w:hint="eastAsia" w:ascii="宋体" w:hAnsi="宋体"/>
          <w:b/>
          <w:color w:val="auto"/>
          <w:sz w:val="28"/>
          <w:highlight w:val="none"/>
          <w:lang w:eastAsia="zh-CN"/>
        </w:rPr>
        <w:t>采购代理</w:t>
      </w:r>
      <w:r>
        <w:rPr>
          <w:rFonts w:hint="eastAsia" w:ascii="宋体" w:hAnsi="宋体"/>
          <w:b/>
          <w:color w:val="auto"/>
          <w:sz w:val="28"/>
          <w:highlight w:val="none"/>
        </w:rPr>
        <w:t>：云南众高工程咨询有限公司</w:t>
      </w:r>
    </w:p>
    <w:p w14:paraId="18BF947A">
      <w:pPr>
        <w:tabs>
          <w:tab w:val="left" w:pos="1473"/>
          <w:tab w:val="left" w:pos="1709"/>
        </w:tabs>
        <w:spacing w:line="480" w:lineRule="auto"/>
        <w:ind w:firstLine="1680" w:firstLineChars="600"/>
        <w:jc w:val="left"/>
        <w:rPr>
          <w:rFonts w:ascii="宋体" w:hAnsi="宋体"/>
          <w:b/>
          <w:color w:val="auto"/>
          <w:sz w:val="28"/>
          <w:highlight w:val="none"/>
        </w:rPr>
      </w:pPr>
      <w:r>
        <w:rPr>
          <w:rFonts w:hint="eastAsia" w:ascii="宋体" w:hAnsi="宋体"/>
          <w:b/>
          <w:color w:val="auto"/>
          <w:sz w:val="28"/>
          <w:highlight w:val="none"/>
        </w:rPr>
        <w:t>日    期：二〇二</w:t>
      </w:r>
      <w:r>
        <w:rPr>
          <w:rFonts w:hint="eastAsia" w:ascii="宋体" w:hAnsi="宋体"/>
          <w:b/>
          <w:color w:val="auto"/>
          <w:sz w:val="28"/>
          <w:highlight w:val="none"/>
          <w:lang w:val="en-US" w:eastAsia="zh-CN"/>
        </w:rPr>
        <w:t>六</w:t>
      </w:r>
      <w:r>
        <w:rPr>
          <w:rFonts w:hint="eastAsia" w:ascii="宋体" w:hAnsi="宋体"/>
          <w:b/>
          <w:color w:val="auto"/>
          <w:sz w:val="28"/>
          <w:highlight w:val="none"/>
        </w:rPr>
        <w:t>年</w:t>
      </w:r>
      <w:r>
        <w:rPr>
          <w:rFonts w:hint="eastAsia" w:ascii="宋体" w:hAnsi="宋体"/>
          <w:b/>
          <w:color w:val="auto"/>
          <w:sz w:val="28"/>
          <w:highlight w:val="none"/>
          <w:lang w:val="en-US" w:eastAsia="zh-CN"/>
        </w:rPr>
        <w:t>四</w:t>
      </w:r>
      <w:r>
        <w:rPr>
          <w:rFonts w:hint="eastAsia" w:ascii="宋体" w:hAnsi="宋体"/>
          <w:b/>
          <w:color w:val="auto"/>
          <w:sz w:val="28"/>
          <w:highlight w:val="none"/>
        </w:rPr>
        <w:t>月</w:t>
      </w:r>
    </w:p>
    <w:p w14:paraId="08AFD5D4">
      <w:pPr>
        <w:tabs>
          <w:tab w:val="left" w:pos="1473"/>
          <w:tab w:val="left" w:pos="1709"/>
        </w:tabs>
        <w:spacing w:line="480" w:lineRule="auto"/>
        <w:ind w:left="-428" w:leftChars="-204" w:firstLine="2945" w:firstLineChars="1052"/>
        <w:jc w:val="left"/>
        <w:rPr>
          <w:rFonts w:ascii="宋体" w:hAnsi="宋体"/>
          <w:b/>
          <w:color w:val="auto"/>
          <w:sz w:val="28"/>
          <w:highlight w:val="none"/>
        </w:rPr>
        <w:sectPr>
          <w:footerReference r:id="rId5" w:type="first"/>
          <w:footerReference r:id="rId3" w:type="default"/>
          <w:footerReference r:id="rId4" w:type="even"/>
          <w:pgSz w:w="11906" w:h="16838"/>
          <w:pgMar w:top="1418" w:right="1134" w:bottom="1134" w:left="1134" w:header="777" w:footer="720" w:gutter="0"/>
          <w:pgBorders>
            <w:top w:val="none" w:sz="0" w:space="0"/>
            <w:left w:val="none" w:sz="0" w:space="0"/>
            <w:bottom w:val="none" w:sz="0" w:space="0"/>
            <w:right w:val="none" w:sz="0" w:space="0"/>
          </w:pgBorders>
          <w:cols w:space="720" w:num="1"/>
          <w:titlePg/>
          <w:docGrid w:type="linesAndChars" w:linePitch="331" w:charSpace="0"/>
        </w:sectPr>
      </w:pPr>
    </w:p>
    <w:p w14:paraId="5CAAEC42">
      <w:pPr>
        <w:pStyle w:val="21"/>
        <w:tabs>
          <w:tab w:val="left" w:pos="3990"/>
          <w:tab w:val="center" w:pos="4677"/>
        </w:tabs>
        <w:spacing w:line="360" w:lineRule="auto"/>
        <w:ind w:firstLine="3960" w:firstLineChars="1100"/>
        <w:rPr>
          <w:b/>
          <w:color w:val="auto"/>
          <w:sz w:val="36"/>
          <w:szCs w:val="36"/>
          <w:highlight w:val="none"/>
        </w:rPr>
      </w:pPr>
      <w:r>
        <w:rPr>
          <w:rFonts w:hint="eastAsia"/>
          <w:b/>
          <w:color w:val="auto"/>
          <w:sz w:val="36"/>
          <w:szCs w:val="36"/>
          <w:highlight w:val="none"/>
        </w:rPr>
        <w:t>目  录</w:t>
      </w:r>
    </w:p>
    <w:p w14:paraId="2436980D">
      <w:pPr>
        <w:keepNext w:val="0"/>
        <w:keepLines w:val="0"/>
        <w:pageBreakBefore w:val="0"/>
        <w:widowControl w:val="0"/>
        <w:kinsoku/>
        <w:wordWrap/>
        <w:overflowPunct/>
        <w:topLinePunct w:val="0"/>
        <w:autoSpaceDE/>
        <w:autoSpaceDN/>
        <w:bidi w:val="0"/>
        <w:adjustRightInd/>
        <w:snapToGrid/>
        <w:spacing w:line="360" w:lineRule="exact"/>
        <w:ind w:firstLine="522"/>
        <w:textAlignment w:val="auto"/>
        <w:rPr>
          <w:color w:val="auto"/>
          <w:highlight w:val="none"/>
        </w:rPr>
      </w:pPr>
    </w:p>
    <w:p w14:paraId="6D95D9E9">
      <w:pPr>
        <w:pStyle w:val="20"/>
        <w:tabs>
          <w:tab w:val="right" w:leader="dot" w:pos="9354"/>
          <w:tab w:val="clear" w:pos="945"/>
          <w:tab w:val="clear" w:pos="9344"/>
        </w:tabs>
        <w:ind w:left="537" w:leftChars="200" w:hanging="117" w:hangingChars="56"/>
        <w:rPr>
          <w:rFonts w:hint="eastAsia" w:ascii="宋体" w:hAnsi="宋体" w:eastAsia="宋体" w:cs="宋体"/>
          <w:b/>
          <w:bCs/>
          <w:color w:val="auto"/>
          <w:sz w:val="24"/>
          <w:szCs w:val="24"/>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TOC \o "1-1" \h \z \t "标题 2,2,标题 3,3" </w:instrText>
      </w:r>
      <w:r>
        <w:rPr>
          <w:rFonts w:hint="eastAsia" w:ascii="宋体" w:hAnsi="宋体" w:eastAsia="宋体" w:cs="宋体"/>
          <w:color w:val="auto"/>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_Toc24612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第一章  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_Toc24612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68EADF99">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_Toc4583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_Toc4583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9</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050A1A9F">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_Toc32720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一、总  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_Toc32720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DE0E4DD">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_Toc8429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1.说明与定义</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_Toc8429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636D9D0">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_Toc24506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2.资金来源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_Toc24506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8B1EA93">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_Toc21716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3.招标内容、合同履行期限（实质性要求）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_Toc21716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DBFDA11">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_Toc22838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4.合格投标人和产品的条件（实质性要求）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_Toc22838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4A7973A">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_Toc30833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5.投标费用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_Toc30833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660D187">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_Toc20296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6.质疑</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_Toc20296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C8C462C">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_Toc16412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7.投诉</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_Toc16412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40E161C">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_Toc5319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二、招标文件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_Toc5319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17D4135">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_Toc19392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8.招标文件构成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_Toc19392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9E242E9">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_Toc18585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9.招标文件的澄清</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_Toc18585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2966738">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_Toc27306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10.招标文件的修改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_Toc27306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2AB5823">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三、投标文件的编制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14E6320">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_Toc14000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11.投标文件编写注意事项（实质性要求）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_Toc14000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25C4A8F">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_Toc9150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12.投标文件构成（实质性要求）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_Toc9150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7D50660">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_Toc24507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13.投标文件的格式要求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_Toc24507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CC38D05">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_Toc1598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14.投标报价（实质性要求）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_Toc1598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5F3895A">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_Toc30127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15.投标货币（实质性要求）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_Toc30127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931FC23">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_Toc16861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16.投标有效期（实质性要求）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_Toc16861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D1C98B9">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_Toc896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17.投标文件的书写要求（实质性要求）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_Toc896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CA3CDC1">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_Toc11013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18.投标保证金（实质性要求）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_Toc11013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EEBCA22">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_Toc4697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四、投标文件的提交</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_Toc4697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B36007C">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_Toc6437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19.投标文件的密封与标记（实质性要求）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_Toc6437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B6C2880">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_Toc2843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20.提交投标文件的截止时间和地点（实质性要求）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_Toc2843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A1E2EC9">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_Toc11292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五、开标与评标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_Toc11292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0B01A6E">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_Toc1696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21.开标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_Toc1696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C17A3AF">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_Toc6125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22.评标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_Toc6125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8259624">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_Toc13611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23.评标过程的保密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_Toc13611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2281293">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_Toc3826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24.在招标采购中，出现下列情形之一的，应予废标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_Toc3826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EC2F494">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_Toc15942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六、中标结果</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_Toc15942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E674D2E">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_Toc18114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25.中标人的确定</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_Toc18114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48C5389">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_Toc17560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26.中标通知书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_Toc17560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B5DE69A">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_Toc13605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27.签订合同（实质性要求）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_Toc13605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C8BA48D">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_Toc21891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28.合同分包（实质性要求）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_Toc21891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B0AADCA">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_Toc19914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29.禁止合同转包</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_Toc19914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39113FF">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_Toc2689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30.补充合同</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_Toc2689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14AF448">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_Toc3747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31.履约保证金（实质性要求）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_Toc3747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6388EDC">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_Toc4764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32.验收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_Toc4764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8EB6108">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_Toc22534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七、其他事项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_Toc22534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C7A5549">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_Toc19574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33.解释权</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_Toc19574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B63D7AA">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_Toc14095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34.政府采购有关政策（实质性要求）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_Toc14095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AA4E244">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_Toc7608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第三章  合同书样式及主要条款</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_Toc7608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749F9D18">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_Toc15316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第四章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_Toc15316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31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67C2F871">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FFFFFF" w:fill="D9D9D9"/>
        </w:rPr>
        <w:fldChar w:fldCharType="begin"/>
      </w:r>
      <w:r>
        <w:rPr>
          <w:rFonts w:hint="eastAsia" w:ascii="宋体" w:hAnsi="宋体" w:eastAsia="宋体" w:cs="宋体"/>
          <w:color w:val="auto"/>
          <w:sz w:val="24"/>
          <w:szCs w:val="24"/>
          <w:highlight w:val="none"/>
          <w:shd w:val="clear" w:color="FFFFFF" w:fill="D9D9D9"/>
        </w:rPr>
        <w:instrText xml:space="preserve"> HYPERLINK \l _Toc23272 </w:instrText>
      </w:r>
      <w:r>
        <w:rPr>
          <w:rFonts w:hint="eastAsia" w:ascii="宋体" w:hAnsi="宋体" w:eastAsia="宋体" w:cs="宋体"/>
          <w:color w:val="auto"/>
          <w:sz w:val="24"/>
          <w:szCs w:val="24"/>
          <w:highlight w:val="none"/>
          <w:shd w:val="clear" w:color="FFFFFF" w:fill="D9D9D9"/>
        </w:rPr>
        <w:fldChar w:fldCharType="separate"/>
      </w:r>
      <w:r>
        <w:rPr>
          <w:rFonts w:hint="eastAsia" w:ascii="宋体" w:hAnsi="宋体" w:eastAsia="宋体" w:cs="宋体"/>
          <w:color w:val="auto"/>
          <w:sz w:val="24"/>
          <w:szCs w:val="24"/>
          <w:highlight w:val="none"/>
          <w:shd w:val="clear" w:color="FFFFFF" w:fill="D9D9D9"/>
        </w:rPr>
        <w:t>一、资格审查部分</w:t>
      </w:r>
      <w:r>
        <w:rPr>
          <w:rFonts w:hint="eastAsia" w:ascii="宋体" w:hAnsi="宋体" w:eastAsia="宋体" w:cs="宋体"/>
          <w:color w:val="auto"/>
          <w:sz w:val="24"/>
          <w:szCs w:val="24"/>
          <w:highlight w:val="none"/>
          <w:shd w:val="clear" w:color="FFFFFF" w:fill="D9D9D9"/>
        </w:rPr>
        <w:tab/>
      </w:r>
      <w:r>
        <w:rPr>
          <w:rFonts w:hint="eastAsia" w:ascii="宋体" w:hAnsi="宋体" w:eastAsia="宋体" w:cs="宋体"/>
          <w:color w:val="auto"/>
          <w:sz w:val="24"/>
          <w:szCs w:val="24"/>
          <w:highlight w:val="none"/>
          <w:shd w:val="clear" w:color="FFFFFF" w:fill="D9D9D9"/>
        </w:rPr>
        <w:fldChar w:fldCharType="begin"/>
      </w:r>
      <w:r>
        <w:rPr>
          <w:rFonts w:hint="eastAsia" w:ascii="宋体" w:hAnsi="宋体" w:eastAsia="宋体" w:cs="宋体"/>
          <w:color w:val="auto"/>
          <w:sz w:val="24"/>
          <w:szCs w:val="24"/>
          <w:highlight w:val="none"/>
          <w:shd w:val="clear" w:color="FFFFFF" w:fill="D9D9D9"/>
        </w:rPr>
        <w:instrText xml:space="preserve"> PAGEREF _Toc23272 \h </w:instrText>
      </w:r>
      <w:r>
        <w:rPr>
          <w:rFonts w:hint="eastAsia" w:ascii="宋体" w:hAnsi="宋体" w:eastAsia="宋体" w:cs="宋体"/>
          <w:color w:val="auto"/>
          <w:sz w:val="24"/>
          <w:szCs w:val="24"/>
          <w:highlight w:val="none"/>
          <w:shd w:val="clear" w:color="FFFFFF" w:fill="D9D9D9"/>
        </w:rPr>
        <w:fldChar w:fldCharType="separate"/>
      </w:r>
      <w:r>
        <w:rPr>
          <w:rFonts w:hint="eastAsia" w:ascii="宋体" w:hAnsi="宋体" w:eastAsia="宋体" w:cs="宋体"/>
          <w:color w:val="auto"/>
          <w:sz w:val="24"/>
          <w:szCs w:val="24"/>
          <w:highlight w:val="none"/>
          <w:shd w:val="clear" w:color="FFFFFF" w:fill="D9D9D9"/>
        </w:rPr>
        <w:t>32</w:t>
      </w:r>
      <w:r>
        <w:rPr>
          <w:rFonts w:hint="eastAsia" w:ascii="宋体" w:hAnsi="宋体" w:eastAsia="宋体" w:cs="宋体"/>
          <w:color w:val="auto"/>
          <w:sz w:val="24"/>
          <w:szCs w:val="24"/>
          <w:highlight w:val="none"/>
          <w:shd w:val="clear" w:color="FFFFFF" w:fill="D9D9D9"/>
        </w:rPr>
        <w:fldChar w:fldCharType="end"/>
      </w:r>
      <w:r>
        <w:rPr>
          <w:rFonts w:hint="eastAsia" w:ascii="宋体" w:hAnsi="宋体" w:eastAsia="宋体" w:cs="宋体"/>
          <w:color w:val="auto"/>
          <w:sz w:val="24"/>
          <w:szCs w:val="24"/>
          <w:highlight w:val="none"/>
          <w:shd w:val="clear" w:color="FFFFFF" w:fill="D9D9D9"/>
        </w:rPr>
        <w:fldChar w:fldCharType="end"/>
      </w:r>
    </w:p>
    <w:p w14:paraId="5E62BF80">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_Toc614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投标文件封面格式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_Toc614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FE6A016">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_Toc27376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格式1：投标人信息表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_Toc27376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C233B08">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_Toc3256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资格审查相关材料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_Toc3256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2D2404D">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shd w:val="clear" w:color="FFFFFF" w:fill="D9D9D9"/>
        </w:rPr>
        <w:fldChar w:fldCharType="begin"/>
      </w:r>
      <w:r>
        <w:rPr>
          <w:rFonts w:hint="eastAsia" w:ascii="宋体" w:hAnsi="宋体" w:eastAsia="宋体" w:cs="宋体"/>
          <w:color w:val="auto"/>
          <w:sz w:val="24"/>
          <w:szCs w:val="24"/>
          <w:highlight w:val="none"/>
          <w:shd w:val="clear" w:color="FFFFFF" w:fill="D9D9D9"/>
        </w:rPr>
        <w:instrText xml:space="preserve"> HYPERLINK \l _Toc27613 </w:instrText>
      </w:r>
      <w:r>
        <w:rPr>
          <w:rFonts w:hint="eastAsia" w:ascii="宋体" w:hAnsi="宋体" w:eastAsia="宋体" w:cs="宋体"/>
          <w:color w:val="auto"/>
          <w:sz w:val="24"/>
          <w:szCs w:val="24"/>
          <w:highlight w:val="none"/>
          <w:shd w:val="clear" w:color="FFFFFF" w:fill="D9D9D9"/>
        </w:rPr>
        <w:fldChar w:fldCharType="separate"/>
      </w:r>
      <w:r>
        <w:rPr>
          <w:rFonts w:hint="eastAsia" w:ascii="宋体" w:hAnsi="宋体" w:eastAsia="宋体" w:cs="宋体"/>
          <w:color w:val="auto"/>
          <w:sz w:val="24"/>
          <w:szCs w:val="24"/>
          <w:highlight w:val="none"/>
          <w:shd w:val="clear" w:color="FFFFFF" w:fill="D9D9D9"/>
        </w:rPr>
        <w:t>二、技术部分</w:t>
      </w:r>
      <w:r>
        <w:rPr>
          <w:rFonts w:hint="eastAsia" w:ascii="宋体" w:hAnsi="宋体" w:eastAsia="宋体" w:cs="宋体"/>
          <w:color w:val="auto"/>
          <w:sz w:val="24"/>
          <w:szCs w:val="24"/>
          <w:highlight w:val="none"/>
          <w:shd w:val="clear" w:color="FFFFFF" w:fill="D9D9D9"/>
        </w:rPr>
        <w:tab/>
      </w:r>
      <w:r>
        <w:rPr>
          <w:rFonts w:hint="eastAsia" w:ascii="宋体" w:hAnsi="宋体" w:eastAsia="宋体" w:cs="宋体"/>
          <w:color w:val="auto"/>
          <w:sz w:val="24"/>
          <w:szCs w:val="24"/>
          <w:highlight w:val="none"/>
          <w:shd w:val="clear" w:color="FFFFFF" w:fill="D9D9D9"/>
        </w:rPr>
        <w:fldChar w:fldCharType="begin"/>
      </w:r>
      <w:r>
        <w:rPr>
          <w:rFonts w:hint="eastAsia" w:ascii="宋体" w:hAnsi="宋体" w:eastAsia="宋体" w:cs="宋体"/>
          <w:color w:val="auto"/>
          <w:sz w:val="24"/>
          <w:szCs w:val="24"/>
          <w:highlight w:val="none"/>
          <w:shd w:val="clear" w:color="FFFFFF" w:fill="D9D9D9"/>
        </w:rPr>
        <w:instrText xml:space="preserve"> PAGEREF _Toc27613 \h </w:instrText>
      </w:r>
      <w:r>
        <w:rPr>
          <w:rFonts w:hint="eastAsia" w:ascii="宋体" w:hAnsi="宋体" w:eastAsia="宋体" w:cs="宋体"/>
          <w:color w:val="auto"/>
          <w:sz w:val="24"/>
          <w:szCs w:val="24"/>
          <w:highlight w:val="none"/>
          <w:shd w:val="clear" w:color="FFFFFF" w:fill="D9D9D9"/>
        </w:rPr>
        <w:fldChar w:fldCharType="separate"/>
      </w:r>
      <w:r>
        <w:rPr>
          <w:rFonts w:hint="eastAsia" w:ascii="宋体" w:hAnsi="宋体" w:eastAsia="宋体" w:cs="宋体"/>
          <w:color w:val="auto"/>
          <w:sz w:val="24"/>
          <w:szCs w:val="24"/>
          <w:highlight w:val="none"/>
          <w:shd w:val="clear" w:color="FFFFFF" w:fill="D9D9D9"/>
        </w:rPr>
        <w:t>36</w:t>
      </w:r>
      <w:r>
        <w:rPr>
          <w:rFonts w:hint="eastAsia" w:ascii="宋体" w:hAnsi="宋体" w:eastAsia="宋体" w:cs="宋体"/>
          <w:color w:val="auto"/>
          <w:sz w:val="24"/>
          <w:szCs w:val="24"/>
          <w:highlight w:val="none"/>
          <w:shd w:val="clear" w:color="FFFFFF" w:fill="D9D9D9"/>
        </w:rPr>
        <w:fldChar w:fldCharType="end"/>
      </w:r>
      <w:r>
        <w:rPr>
          <w:rFonts w:hint="eastAsia" w:ascii="宋体" w:hAnsi="宋体" w:eastAsia="宋体" w:cs="宋体"/>
          <w:color w:val="auto"/>
          <w:sz w:val="24"/>
          <w:szCs w:val="24"/>
          <w:highlight w:val="none"/>
          <w:shd w:val="clear" w:color="FFFFFF" w:fill="D9D9D9"/>
        </w:rPr>
        <w:fldChar w:fldCharType="end"/>
      </w:r>
    </w:p>
    <w:p w14:paraId="2C8EEA12">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_Toc15586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技术规格响应偏离表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_Toc15586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CA13546">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_Toc2725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：项目实施方案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_Toc2725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8CD573E">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_Toc31323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：质量承诺及保障措施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_Toc31323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6E85ABE">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shd w:val="clear" w:color="FFFFFF" w:fill="D9D9D9"/>
        </w:rPr>
        <w:fldChar w:fldCharType="begin"/>
      </w:r>
      <w:r>
        <w:rPr>
          <w:rFonts w:hint="eastAsia" w:ascii="宋体" w:hAnsi="宋体" w:eastAsia="宋体" w:cs="宋体"/>
          <w:color w:val="auto"/>
          <w:sz w:val="24"/>
          <w:szCs w:val="24"/>
          <w:highlight w:val="none"/>
          <w:shd w:val="clear" w:color="FFFFFF" w:fill="D9D9D9"/>
        </w:rPr>
        <w:instrText xml:space="preserve"> HYPERLINK \l _Toc3560 </w:instrText>
      </w:r>
      <w:r>
        <w:rPr>
          <w:rFonts w:hint="eastAsia" w:ascii="宋体" w:hAnsi="宋体" w:eastAsia="宋体" w:cs="宋体"/>
          <w:color w:val="auto"/>
          <w:sz w:val="24"/>
          <w:szCs w:val="24"/>
          <w:highlight w:val="none"/>
          <w:shd w:val="clear" w:color="FFFFFF" w:fill="D9D9D9"/>
        </w:rPr>
        <w:fldChar w:fldCharType="separate"/>
      </w:r>
      <w:r>
        <w:rPr>
          <w:rFonts w:hint="eastAsia" w:ascii="宋体" w:hAnsi="宋体" w:eastAsia="宋体" w:cs="宋体"/>
          <w:color w:val="auto"/>
          <w:sz w:val="24"/>
          <w:szCs w:val="24"/>
          <w:highlight w:val="none"/>
          <w:shd w:val="clear" w:color="FFFFFF" w:fill="D9D9D9"/>
        </w:rPr>
        <w:t>三、商务部分</w:t>
      </w:r>
      <w:r>
        <w:rPr>
          <w:rFonts w:hint="eastAsia" w:ascii="宋体" w:hAnsi="宋体" w:eastAsia="宋体" w:cs="宋体"/>
          <w:color w:val="auto"/>
          <w:sz w:val="24"/>
          <w:szCs w:val="24"/>
          <w:highlight w:val="none"/>
          <w:shd w:val="clear" w:color="FFFFFF" w:fill="D9D9D9"/>
        </w:rPr>
        <w:tab/>
      </w:r>
      <w:r>
        <w:rPr>
          <w:rFonts w:hint="eastAsia" w:ascii="宋体" w:hAnsi="宋体" w:eastAsia="宋体" w:cs="宋体"/>
          <w:color w:val="auto"/>
          <w:sz w:val="24"/>
          <w:szCs w:val="24"/>
          <w:highlight w:val="none"/>
          <w:shd w:val="clear" w:color="FFFFFF" w:fill="D9D9D9"/>
        </w:rPr>
        <w:fldChar w:fldCharType="begin"/>
      </w:r>
      <w:r>
        <w:rPr>
          <w:rFonts w:hint="eastAsia" w:ascii="宋体" w:hAnsi="宋体" w:eastAsia="宋体" w:cs="宋体"/>
          <w:color w:val="auto"/>
          <w:sz w:val="24"/>
          <w:szCs w:val="24"/>
          <w:highlight w:val="none"/>
          <w:shd w:val="clear" w:color="FFFFFF" w:fill="D9D9D9"/>
        </w:rPr>
        <w:instrText xml:space="preserve"> PAGEREF _Toc3560 \h </w:instrText>
      </w:r>
      <w:r>
        <w:rPr>
          <w:rFonts w:hint="eastAsia" w:ascii="宋体" w:hAnsi="宋体" w:eastAsia="宋体" w:cs="宋体"/>
          <w:color w:val="auto"/>
          <w:sz w:val="24"/>
          <w:szCs w:val="24"/>
          <w:highlight w:val="none"/>
          <w:shd w:val="clear" w:color="FFFFFF" w:fill="D9D9D9"/>
        </w:rPr>
        <w:fldChar w:fldCharType="separate"/>
      </w:r>
      <w:r>
        <w:rPr>
          <w:rFonts w:hint="eastAsia" w:ascii="宋体" w:hAnsi="宋体" w:eastAsia="宋体" w:cs="宋体"/>
          <w:color w:val="auto"/>
          <w:sz w:val="24"/>
          <w:szCs w:val="24"/>
          <w:highlight w:val="none"/>
          <w:shd w:val="clear" w:color="FFFFFF" w:fill="D9D9D9"/>
        </w:rPr>
        <w:t>41</w:t>
      </w:r>
      <w:r>
        <w:rPr>
          <w:rFonts w:hint="eastAsia" w:ascii="宋体" w:hAnsi="宋体" w:eastAsia="宋体" w:cs="宋体"/>
          <w:color w:val="auto"/>
          <w:sz w:val="24"/>
          <w:szCs w:val="24"/>
          <w:highlight w:val="none"/>
          <w:shd w:val="clear" w:color="FFFFFF" w:fill="D9D9D9"/>
        </w:rPr>
        <w:fldChar w:fldCharType="end"/>
      </w:r>
      <w:r>
        <w:rPr>
          <w:rFonts w:hint="eastAsia" w:ascii="宋体" w:hAnsi="宋体" w:eastAsia="宋体" w:cs="宋体"/>
          <w:color w:val="auto"/>
          <w:sz w:val="24"/>
          <w:szCs w:val="24"/>
          <w:highlight w:val="none"/>
          <w:shd w:val="clear" w:color="FFFFFF" w:fill="D9D9D9"/>
        </w:rPr>
        <w:fldChar w:fldCharType="end"/>
      </w:r>
    </w:p>
    <w:p w14:paraId="1F1A5D6E">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_Toc8734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：商务条款偏离表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_Toc8734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4C7EC51">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_Toc21526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：开标（唱标）一览表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_Toc21526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B03555C">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_Toc8404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：投标分项报价一览表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_Toc8404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73F3178">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_Toc18265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_Toc18265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C6A4BF5">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_Toc20348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：法定代表人身份证明书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_Toc20348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422F393">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_Toc7729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：法定代表人签署的授权委托书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_Toc7729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78CBA89">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_Toc11815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：售后服务方案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_Toc11815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693DF2A">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_Toc13745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：近</w:t>
      </w:r>
      <w:r>
        <w:rPr>
          <w:rFonts w:hint="eastAsia" w:ascii="宋体" w:hAnsi="宋体" w:eastAsia="宋体" w:cs="宋体"/>
          <w:color w:val="auto"/>
          <w:sz w:val="24"/>
          <w:szCs w:val="24"/>
          <w:highlight w:val="none"/>
          <w:lang w:eastAsia="zh-CN"/>
        </w:rPr>
        <w:t>年来</w:t>
      </w:r>
      <w:r>
        <w:rPr>
          <w:rFonts w:hint="eastAsia" w:ascii="宋体" w:hAnsi="宋体" w:eastAsia="宋体" w:cs="宋体"/>
          <w:color w:val="auto"/>
          <w:sz w:val="24"/>
          <w:szCs w:val="24"/>
          <w:highlight w:val="none"/>
          <w:lang w:val="en-US" w:eastAsia="zh-CN"/>
        </w:rPr>
        <w:t>承接</w:t>
      </w:r>
      <w:r>
        <w:rPr>
          <w:rFonts w:hint="eastAsia" w:ascii="宋体" w:hAnsi="宋体" w:eastAsia="宋体" w:cs="宋体"/>
          <w:color w:val="auto"/>
          <w:sz w:val="24"/>
          <w:szCs w:val="24"/>
          <w:highlight w:val="none"/>
        </w:rPr>
        <w:t>类似项目业绩表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_Toc13745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96935A0">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_Toc13764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：中小企业声明函（货物）</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_Toc13764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D453BC7">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_Toc31402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：残疾人福利性单位声明函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_Toc31402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D5484BE">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：监狱企业证明材料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B254A3B">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_Toc16729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_Toc16729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C2BAB71">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_Toc19981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第五章  招标内容及要求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_Toc19981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60</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1B6B1D0B">
      <w:pPr>
        <w:pStyle w:val="20"/>
        <w:keepNext w:val="0"/>
        <w:keepLines w:val="0"/>
        <w:pageBreakBefore w:val="0"/>
        <w:widowControl w:val="0"/>
        <w:tabs>
          <w:tab w:val="right" w:leader="dot" w:pos="9354"/>
          <w:tab w:val="clear" w:pos="945"/>
          <w:tab w:val="clear" w:pos="9344"/>
        </w:tabs>
        <w:kinsoku/>
        <w:wordWrap/>
        <w:overflowPunct/>
        <w:topLinePunct w:val="0"/>
        <w:autoSpaceDE/>
        <w:autoSpaceDN/>
        <w:bidi w:val="0"/>
        <w:adjustRightInd/>
        <w:snapToGrid/>
        <w:spacing w:line="380" w:lineRule="exact"/>
        <w:ind w:left="554" w:leftChars="200" w:hanging="134" w:hangingChars="56"/>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_Toc10059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第六章  评标办法（综合评分法）</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_Toc10059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66</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5ACE1499">
      <w:pPr>
        <w:pStyle w:val="20"/>
        <w:tabs>
          <w:tab w:val="right" w:leader="dot" w:pos="9354"/>
          <w:tab w:val="clear" w:pos="945"/>
          <w:tab w:val="clear" w:pos="9344"/>
        </w:tabs>
        <w:ind w:left="537" w:leftChars="200" w:hanging="117" w:hangingChars="56"/>
        <w:rPr>
          <w:color w:val="auto"/>
          <w:highlight w:val="none"/>
        </w:rPr>
        <w:sectPr>
          <w:pgSz w:w="11906" w:h="16838"/>
          <w:pgMar w:top="1418" w:right="1134" w:bottom="1134" w:left="1418" w:header="935" w:footer="720" w:gutter="0"/>
          <w:pgBorders>
            <w:top w:val="none" w:sz="0" w:space="0"/>
            <w:left w:val="none" w:sz="0" w:space="0"/>
            <w:bottom w:val="none" w:sz="0" w:space="0"/>
            <w:right w:val="none" w:sz="0" w:space="0"/>
          </w:pgBorders>
          <w:pgNumType w:start="1"/>
          <w:cols w:space="720" w:num="1"/>
          <w:docGrid w:type="linesAndChars" w:linePitch="331" w:charSpace="0"/>
        </w:sectPr>
      </w:pPr>
      <w:r>
        <w:rPr>
          <w:rFonts w:hint="eastAsia" w:ascii="宋体" w:hAnsi="宋体" w:eastAsia="宋体" w:cs="宋体"/>
          <w:color w:val="auto"/>
          <w:szCs w:val="24"/>
          <w:highlight w:val="none"/>
        </w:rPr>
        <w:fldChar w:fldCharType="end"/>
      </w:r>
    </w:p>
    <w:p w14:paraId="4CC4C09E">
      <w:pPr>
        <w:rPr>
          <w:color w:val="auto"/>
          <w:highlight w:val="none"/>
        </w:rPr>
      </w:pPr>
    </w:p>
    <w:p w14:paraId="2D3C1A9C">
      <w:pPr>
        <w:pStyle w:val="2"/>
        <w:rPr>
          <w:color w:val="auto"/>
          <w:highlight w:val="none"/>
        </w:rPr>
      </w:pPr>
      <w:bookmarkStart w:id="0" w:name="_Toc24612"/>
      <w:r>
        <w:rPr>
          <w:rFonts w:hint="eastAsia"/>
          <w:color w:val="auto"/>
          <w:highlight w:val="none"/>
        </w:rPr>
        <w:t>第一章  招标公告</w:t>
      </w:r>
      <w:bookmarkEnd w:id="0"/>
    </w:p>
    <w:p w14:paraId="75D590EF">
      <w:pPr>
        <w:pBdr>
          <w:top w:val="single" w:color="auto" w:sz="4" w:space="0"/>
          <w:left w:val="single" w:color="auto" w:sz="4" w:space="0"/>
          <w:bottom w:val="single" w:color="auto" w:sz="4" w:space="0"/>
          <w:right w:val="single" w:color="auto" w:sz="4" w:space="0"/>
        </w:pBdr>
        <w:spacing w:line="460" w:lineRule="exact"/>
        <w:ind w:firstLine="480" w:firstLineChars="200"/>
        <w:rPr>
          <w:rFonts w:ascii="宋体" w:hAnsi="宋体" w:cs="宋体"/>
          <w:b/>
          <w:bCs/>
          <w:color w:val="auto"/>
          <w:sz w:val="24"/>
          <w:highlight w:val="none"/>
        </w:rPr>
      </w:pPr>
      <w:r>
        <w:rPr>
          <w:rFonts w:hint="eastAsia" w:ascii="宋体" w:hAnsi="宋体" w:cs="宋体"/>
          <w:b/>
          <w:bCs/>
          <w:color w:val="auto"/>
          <w:sz w:val="24"/>
          <w:highlight w:val="none"/>
        </w:rPr>
        <w:t>项目概况</w:t>
      </w:r>
    </w:p>
    <w:p w14:paraId="1D261EDB">
      <w:pPr>
        <w:pBdr>
          <w:top w:val="single" w:color="auto" w:sz="4" w:space="0"/>
          <w:left w:val="single" w:color="auto" w:sz="4" w:space="0"/>
          <w:bottom w:val="single" w:color="auto" w:sz="4" w:space="0"/>
          <w:right w:val="single" w:color="auto" w:sz="4" w:space="0"/>
        </w:pBdr>
        <w:spacing w:line="460" w:lineRule="exact"/>
        <w:ind w:firstLine="480" w:firstLineChars="200"/>
        <w:rPr>
          <w:rFonts w:ascii="宋体" w:hAnsi="宋体" w:cs="宋体"/>
          <w:color w:val="auto"/>
          <w:sz w:val="24"/>
          <w:highlight w:val="none"/>
        </w:rPr>
      </w:pPr>
      <w:r>
        <w:rPr>
          <w:rFonts w:hint="eastAsia" w:ascii="宋体" w:hAnsi="宋体" w:cs="宋体"/>
          <w:b/>
          <w:bCs/>
          <w:color w:val="auto"/>
          <w:sz w:val="24"/>
          <w:highlight w:val="none"/>
          <w:u w:val="single"/>
          <w:lang w:eastAsia="zh-CN"/>
        </w:rPr>
        <w:t>天敌昆虫资源及产品转化平台建设项目采购一批天敌昆虫扩繁设备</w:t>
      </w:r>
      <w:r>
        <w:rPr>
          <w:rFonts w:hint="eastAsia" w:ascii="宋体" w:hAnsi="宋体" w:cs="宋体"/>
          <w:color w:val="auto"/>
          <w:sz w:val="24"/>
          <w:highlight w:val="none"/>
        </w:rPr>
        <w:t>的潜在投标人应在</w:t>
      </w:r>
      <w:r>
        <w:rPr>
          <w:rFonts w:hint="eastAsia" w:ascii="宋体" w:hAnsi="宋体" w:cs="宋体"/>
          <w:b/>
          <w:bCs/>
          <w:color w:val="auto"/>
          <w:sz w:val="24"/>
          <w:highlight w:val="none"/>
          <w:u w:val="single"/>
        </w:rPr>
        <w:t>政采云平台（https://www.zcygov.cn）登录获取采购文件</w:t>
      </w:r>
      <w:r>
        <w:rPr>
          <w:rFonts w:hint="eastAsia" w:ascii="宋体" w:hAnsi="宋体" w:cs="宋体"/>
          <w:color w:val="auto"/>
          <w:sz w:val="24"/>
          <w:highlight w:val="none"/>
        </w:rPr>
        <w:t>，并于</w:t>
      </w:r>
      <w:r>
        <w:rPr>
          <w:rFonts w:hint="eastAsia" w:ascii="宋体" w:hAnsi="宋体" w:cs="宋体"/>
          <w:b/>
          <w:bCs/>
          <w:color w:val="auto"/>
          <w:sz w:val="24"/>
          <w:highlight w:val="none"/>
          <w:u w:val="single"/>
        </w:rPr>
        <w:t xml:space="preserve"> 202</w:t>
      </w:r>
      <w:r>
        <w:rPr>
          <w:rFonts w:hint="eastAsia" w:ascii="宋体" w:hAnsi="宋体" w:cs="宋体"/>
          <w:b/>
          <w:bCs/>
          <w:color w:val="auto"/>
          <w:sz w:val="24"/>
          <w:highlight w:val="none"/>
          <w:u w:val="single"/>
          <w:lang w:val="en-US" w:eastAsia="zh-CN"/>
        </w:rPr>
        <w:t>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5 </w:t>
      </w:r>
      <w:r>
        <w:rPr>
          <w:rFonts w:hint="eastAsia" w:ascii="宋体" w:hAnsi="宋体" w:cs="宋体"/>
          <w:b/>
          <w:bCs/>
          <w:color w:val="auto"/>
          <w:sz w:val="24"/>
          <w:highlight w:val="none"/>
        </w:rPr>
        <w:t>月</w:t>
      </w:r>
      <w:r>
        <w:rPr>
          <w:rFonts w:hint="eastAsia" w:ascii="宋体" w:hAnsi="宋体" w:cs="宋体"/>
          <w:b/>
          <w:bCs/>
          <w:color w:val="auto"/>
          <w:sz w:val="24"/>
          <w:highlight w:val="none"/>
          <w:u w:val="single"/>
          <w:lang w:val="en-US" w:eastAsia="zh-CN"/>
        </w:rPr>
        <w:t xml:space="preserve"> 11 </w:t>
      </w:r>
      <w:r>
        <w:rPr>
          <w:rFonts w:hint="eastAsia" w:ascii="宋体" w:hAnsi="宋体" w:cs="宋体"/>
          <w:b/>
          <w:bCs/>
          <w:color w:val="auto"/>
          <w:sz w:val="24"/>
          <w:highlight w:val="none"/>
        </w:rPr>
        <w:t>日</w:t>
      </w:r>
      <w:r>
        <w:rPr>
          <w:rFonts w:hint="eastAsia" w:ascii="宋体" w:hAnsi="宋体" w:cs="宋体"/>
          <w:b/>
          <w:bCs/>
          <w:color w:val="auto"/>
          <w:sz w:val="24"/>
          <w:highlight w:val="none"/>
          <w:u w:val="single"/>
          <w:lang w:val="en-US" w:eastAsia="zh-CN"/>
        </w:rPr>
        <w:t xml:space="preserve">14 </w:t>
      </w:r>
      <w:r>
        <w:rPr>
          <w:rFonts w:hint="eastAsia" w:ascii="宋体" w:hAnsi="宋体" w:cs="宋体"/>
          <w:b/>
          <w:bCs/>
          <w:color w:val="auto"/>
          <w:sz w:val="24"/>
          <w:highlight w:val="none"/>
        </w:rPr>
        <w:t>时</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30</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分</w:t>
      </w:r>
      <w:r>
        <w:rPr>
          <w:rFonts w:hint="eastAsia" w:ascii="宋体" w:hAnsi="宋体" w:cs="宋体"/>
          <w:color w:val="auto"/>
          <w:sz w:val="24"/>
          <w:highlight w:val="none"/>
        </w:rPr>
        <w:t>（北京时间）前递交投标文件。</w:t>
      </w:r>
    </w:p>
    <w:p w14:paraId="5A7A7F1D">
      <w:pPr>
        <w:spacing w:line="460" w:lineRule="exact"/>
        <w:ind w:firstLine="480" w:firstLineChars="200"/>
        <w:rPr>
          <w:b/>
          <w:color w:val="auto"/>
          <w:sz w:val="24"/>
          <w:highlight w:val="none"/>
        </w:rPr>
      </w:pPr>
    </w:p>
    <w:p w14:paraId="286B6749">
      <w:pPr>
        <w:spacing w:line="460" w:lineRule="exact"/>
        <w:ind w:firstLine="482"/>
        <w:rPr>
          <w:rFonts w:ascii="宋体" w:hAnsi="宋体" w:cs="宋体"/>
          <w:b/>
          <w:bCs/>
          <w:color w:val="auto"/>
          <w:sz w:val="24"/>
          <w:highlight w:val="none"/>
        </w:rPr>
      </w:pPr>
      <w:bookmarkStart w:id="1" w:name="_Toc35393621"/>
      <w:bookmarkStart w:id="2" w:name="_Toc28359079"/>
      <w:bookmarkStart w:id="3" w:name="_Toc28359002"/>
      <w:bookmarkStart w:id="4" w:name="_Toc35393790"/>
      <w:bookmarkStart w:id="5" w:name="_Hlk24379207"/>
      <w:r>
        <w:rPr>
          <w:rFonts w:hint="eastAsia" w:ascii="宋体" w:hAnsi="宋体" w:cs="宋体"/>
          <w:b/>
          <w:bCs/>
          <w:color w:val="auto"/>
          <w:sz w:val="24"/>
          <w:highlight w:val="none"/>
        </w:rPr>
        <w:t>一、项目基本情况</w:t>
      </w:r>
      <w:bookmarkEnd w:id="1"/>
      <w:bookmarkEnd w:id="2"/>
      <w:bookmarkEnd w:id="3"/>
      <w:bookmarkEnd w:id="4"/>
    </w:p>
    <w:bookmarkEnd w:id="5"/>
    <w:p w14:paraId="3B6616A3">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lang w:eastAsia="zh-CN"/>
        </w:rPr>
        <w:t>ZG-2026087</w:t>
      </w:r>
      <w:r>
        <w:rPr>
          <w:rFonts w:hint="eastAsia" w:ascii="宋体" w:hAnsi="宋体" w:cs="宋体"/>
          <w:color w:val="auto"/>
          <w:sz w:val="24"/>
          <w:highlight w:val="none"/>
        </w:rPr>
        <w:t>。</w:t>
      </w:r>
    </w:p>
    <w:p w14:paraId="567F511E">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lang w:eastAsia="zh-CN"/>
        </w:rPr>
        <w:t>天敌昆虫资源及产品转化平台建设项目采购一批天敌昆虫扩繁设备</w:t>
      </w:r>
      <w:r>
        <w:rPr>
          <w:rFonts w:hint="eastAsia" w:ascii="宋体" w:hAnsi="宋体" w:cs="宋体"/>
          <w:color w:val="auto"/>
          <w:sz w:val="24"/>
          <w:highlight w:val="none"/>
        </w:rPr>
        <w:t>。</w:t>
      </w:r>
    </w:p>
    <w:p w14:paraId="6D57C6EF">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3.预算金额：</w:t>
      </w:r>
      <w:r>
        <w:rPr>
          <w:rFonts w:hint="eastAsia" w:ascii="宋体" w:hAnsi="宋体" w:cs="宋体"/>
          <w:color w:val="auto"/>
          <w:sz w:val="24"/>
          <w:highlight w:val="none"/>
          <w:lang w:val="en-US" w:eastAsia="zh-CN"/>
        </w:rPr>
        <w:t>185万元（人民币：壹佰捌拾伍万元整）</w:t>
      </w:r>
      <w:r>
        <w:rPr>
          <w:rFonts w:hint="eastAsia" w:ascii="宋体" w:hAnsi="宋体" w:cs="宋体"/>
          <w:color w:val="auto"/>
          <w:sz w:val="24"/>
          <w:highlight w:val="none"/>
        </w:rPr>
        <w:t>。</w:t>
      </w:r>
    </w:p>
    <w:p w14:paraId="5B77B343">
      <w:pPr>
        <w:spacing w:line="440" w:lineRule="exact"/>
        <w:ind w:firstLine="480" w:firstLineChars="200"/>
        <w:rPr>
          <w:rFonts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.最高限价：</w:t>
      </w:r>
      <w:r>
        <w:rPr>
          <w:rFonts w:hint="eastAsia" w:ascii="宋体" w:hAnsi="宋体" w:cs="宋体"/>
          <w:color w:val="auto"/>
          <w:sz w:val="24"/>
          <w:highlight w:val="none"/>
          <w:lang w:val="en-US" w:eastAsia="zh-CN"/>
        </w:rPr>
        <w:t>185万元（人民币：壹佰捌拾伍万元整）</w:t>
      </w:r>
      <w:r>
        <w:rPr>
          <w:rFonts w:hint="eastAsia" w:ascii="宋体" w:hAnsi="宋体" w:cs="宋体"/>
          <w:color w:val="auto"/>
          <w:sz w:val="24"/>
          <w:highlight w:val="none"/>
        </w:rPr>
        <w:t>。</w:t>
      </w:r>
    </w:p>
    <w:p w14:paraId="1A24F5AC">
      <w:pPr>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5.采购需求：采购标的名称、数量及</w:t>
      </w:r>
      <w:r>
        <w:rPr>
          <w:rFonts w:hint="eastAsia" w:ascii="宋体" w:hAnsi="宋体" w:cs="宋体"/>
          <w:color w:val="auto"/>
          <w:sz w:val="24"/>
          <w:highlight w:val="none"/>
          <w:lang w:val="en-US" w:eastAsia="zh-CN"/>
        </w:rPr>
        <w:t>技术参数</w:t>
      </w:r>
      <w:r>
        <w:rPr>
          <w:rFonts w:hint="eastAsia" w:ascii="宋体" w:hAnsi="宋体" w:cs="宋体"/>
          <w:color w:val="auto"/>
          <w:sz w:val="24"/>
          <w:highlight w:val="none"/>
        </w:rPr>
        <w:t>要求见下表</w:t>
      </w:r>
    </w:p>
    <w:tbl>
      <w:tblPr>
        <w:tblStyle w:val="32"/>
        <w:tblW w:w="544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8"/>
        <w:gridCol w:w="634"/>
        <w:gridCol w:w="683"/>
        <w:gridCol w:w="517"/>
        <w:gridCol w:w="700"/>
        <w:gridCol w:w="983"/>
        <w:gridCol w:w="5345"/>
        <w:gridCol w:w="1107"/>
      </w:tblGrid>
      <w:tr w14:paraId="33016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219" w:type="pct"/>
            <w:tcBorders>
              <w:top w:val="single" w:color="000000" w:sz="4" w:space="0"/>
              <w:left w:val="single" w:color="000000" w:sz="4" w:space="0"/>
              <w:bottom w:val="single" w:color="000000" w:sz="4" w:space="0"/>
              <w:right w:val="single" w:color="000000" w:sz="4" w:space="0"/>
            </w:tcBorders>
            <w:shd w:val="pct5" w:color="000000" w:fill="FFFFFF"/>
            <w:vAlign w:val="center"/>
          </w:tcPr>
          <w:p w14:paraId="491BBD3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序号</w:t>
            </w:r>
          </w:p>
        </w:tc>
        <w:tc>
          <w:tcPr>
            <w:tcW w:w="303" w:type="pct"/>
            <w:tcBorders>
              <w:top w:val="single" w:color="000000" w:sz="4" w:space="0"/>
              <w:left w:val="single" w:color="000000" w:sz="4" w:space="0"/>
              <w:bottom w:val="single" w:color="000000" w:sz="4" w:space="0"/>
              <w:right w:val="single" w:color="000000" w:sz="4" w:space="0"/>
            </w:tcBorders>
            <w:shd w:val="pct5" w:color="000000" w:fill="FFFFFF"/>
            <w:vAlign w:val="center"/>
          </w:tcPr>
          <w:p w14:paraId="3C70A79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标的名称</w:t>
            </w:r>
          </w:p>
        </w:tc>
        <w:tc>
          <w:tcPr>
            <w:tcW w:w="327" w:type="pct"/>
            <w:tcBorders>
              <w:top w:val="single" w:color="000000" w:sz="4" w:space="0"/>
              <w:left w:val="single" w:color="000000" w:sz="4" w:space="0"/>
              <w:bottom w:val="single" w:color="000000" w:sz="4" w:space="0"/>
              <w:right w:val="single" w:color="000000" w:sz="4" w:space="0"/>
            </w:tcBorders>
            <w:shd w:val="pct5" w:color="000000" w:fill="FFFFFF"/>
            <w:vAlign w:val="center"/>
          </w:tcPr>
          <w:p w14:paraId="17C4AFEC">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是否进口</w:t>
            </w:r>
          </w:p>
        </w:tc>
        <w:tc>
          <w:tcPr>
            <w:tcW w:w="247" w:type="pct"/>
            <w:tcBorders>
              <w:top w:val="single" w:color="000000" w:sz="4" w:space="0"/>
              <w:left w:val="single" w:color="000000" w:sz="4" w:space="0"/>
              <w:bottom w:val="single" w:color="000000" w:sz="4" w:space="0"/>
              <w:right w:val="single" w:color="000000" w:sz="4" w:space="0"/>
            </w:tcBorders>
            <w:shd w:val="pct5" w:color="000000" w:fill="FFFFFF"/>
            <w:vAlign w:val="center"/>
          </w:tcPr>
          <w:p w14:paraId="73FE3A5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数量</w:t>
            </w:r>
          </w:p>
        </w:tc>
        <w:tc>
          <w:tcPr>
            <w:tcW w:w="335" w:type="pct"/>
            <w:tcBorders>
              <w:top w:val="single" w:color="000000" w:sz="4" w:space="0"/>
              <w:left w:val="single" w:color="000000" w:sz="4" w:space="0"/>
              <w:bottom w:val="single" w:color="000000" w:sz="4" w:space="0"/>
              <w:right w:val="single" w:color="000000" w:sz="4" w:space="0"/>
            </w:tcBorders>
            <w:shd w:val="pct5" w:color="000000" w:fill="FFFFFF"/>
            <w:vAlign w:val="center"/>
          </w:tcPr>
          <w:p w14:paraId="5BD61C0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计量单位</w:t>
            </w:r>
          </w:p>
        </w:tc>
        <w:tc>
          <w:tcPr>
            <w:tcW w:w="471" w:type="pct"/>
            <w:tcBorders>
              <w:top w:val="single" w:color="000000" w:sz="4" w:space="0"/>
              <w:left w:val="single" w:color="000000" w:sz="4" w:space="0"/>
              <w:bottom w:val="single" w:color="auto" w:sz="4" w:space="0"/>
              <w:right w:val="single" w:color="000000" w:sz="4" w:space="0"/>
            </w:tcBorders>
            <w:shd w:val="pct5" w:color="000000" w:fill="FFFFFF"/>
            <w:vAlign w:val="center"/>
          </w:tcPr>
          <w:p w14:paraId="14C274B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预算单价（万元）</w:t>
            </w:r>
          </w:p>
        </w:tc>
        <w:tc>
          <w:tcPr>
            <w:tcW w:w="2563" w:type="pct"/>
            <w:tcBorders>
              <w:top w:val="single" w:color="000000" w:sz="4" w:space="0"/>
              <w:left w:val="single" w:color="000000" w:sz="4" w:space="0"/>
              <w:bottom w:val="single" w:color="auto" w:sz="4" w:space="0"/>
              <w:right w:val="single" w:color="000000" w:sz="4" w:space="0"/>
            </w:tcBorders>
            <w:shd w:val="pct5" w:color="000000" w:fill="FFFFFF"/>
            <w:vAlign w:val="center"/>
          </w:tcPr>
          <w:p w14:paraId="1C90C0F0">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技术参数要求</w:t>
            </w:r>
          </w:p>
        </w:tc>
        <w:tc>
          <w:tcPr>
            <w:tcW w:w="530" w:type="pct"/>
            <w:tcBorders>
              <w:top w:val="single" w:color="000000" w:sz="4" w:space="0"/>
              <w:left w:val="single" w:color="000000" w:sz="4" w:space="0"/>
              <w:bottom w:val="single" w:color="auto" w:sz="4" w:space="0"/>
              <w:right w:val="single" w:color="000000" w:sz="4" w:space="0"/>
            </w:tcBorders>
            <w:shd w:val="pct5" w:color="000000" w:fill="FFFFFF"/>
            <w:vAlign w:val="center"/>
          </w:tcPr>
          <w:p w14:paraId="5011501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备注</w:t>
            </w:r>
          </w:p>
        </w:tc>
      </w:tr>
      <w:tr w14:paraId="1A9A3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6"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F935197">
            <w:pPr>
              <w:widowControl/>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kern w:val="0"/>
                <w:sz w:val="18"/>
                <w:szCs w:val="18"/>
                <w:lang w:bidi="ar"/>
              </w:rPr>
              <w:t>1</w:t>
            </w:r>
          </w:p>
        </w:tc>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B37AE">
            <w:pPr>
              <w:widowControl/>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kern w:val="0"/>
                <w:sz w:val="18"/>
                <w:szCs w:val="18"/>
                <w:lang w:bidi="ar"/>
              </w:rPr>
              <w:t>寄主卵处理器</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E5C59">
            <w:pPr>
              <w:widowControl/>
              <w:jc w:val="center"/>
              <w:textAlignment w:val="center"/>
              <w:rPr>
                <w:rFonts w:hint="eastAsia" w:ascii="宋体" w:hAnsi="宋体" w:eastAsia="宋体" w:cs="宋体"/>
                <w:color w:val="auto"/>
                <w:kern w:val="0"/>
                <w:sz w:val="18"/>
                <w:szCs w:val="18"/>
                <w:lang w:bidi="ar"/>
              </w:rPr>
            </w:pPr>
            <w:r>
              <w:rPr>
                <w:rFonts w:hint="eastAsia" w:ascii="宋体" w:hAnsi="宋体" w:eastAsia="宋体" w:cs="宋体"/>
                <w:i w:val="0"/>
                <w:iCs w:val="0"/>
                <w:color w:val="auto"/>
                <w:kern w:val="0"/>
                <w:sz w:val="18"/>
                <w:szCs w:val="18"/>
                <w:u w:val="none"/>
                <w:lang w:val="en-US" w:eastAsia="zh-CN" w:bidi="ar"/>
              </w:rPr>
              <w:t>否</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D5C37">
            <w:pPr>
              <w:widowControl/>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335" w:type="pct"/>
            <w:tcBorders>
              <w:top w:val="single" w:color="000000" w:sz="4" w:space="0"/>
              <w:left w:val="single" w:color="000000" w:sz="4" w:space="0"/>
              <w:bottom w:val="single" w:color="000000" w:sz="4" w:space="0"/>
              <w:right w:val="single" w:color="auto" w:sz="4" w:space="0"/>
            </w:tcBorders>
            <w:shd w:val="clear" w:color="auto" w:fill="auto"/>
            <w:vAlign w:val="center"/>
          </w:tcPr>
          <w:p w14:paraId="3560C954">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eastAsia="宋体" w:cs="宋体"/>
                <w:color w:val="auto"/>
                <w:kern w:val="0"/>
                <w:sz w:val="18"/>
                <w:szCs w:val="18"/>
                <w:lang w:val="en-US" w:eastAsia="zh-CN" w:bidi="ar"/>
              </w:rPr>
              <w:t>台/套</w:t>
            </w:r>
          </w:p>
        </w:tc>
        <w:tc>
          <w:tcPr>
            <w:tcW w:w="47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46FEC77">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eastAsia="宋体" w:cs="宋体"/>
                <w:color w:val="auto"/>
                <w:kern w:val="0"/>
                <w:sz w:val="18"/>
                <w:szCs w:val="18"/>
                <w:lang w:val="en-US" w:eastAsia="zh-CN" w:bidi="ar"/>
              </w:rPr>
              <w:t>30</w:t>
            </w:r>
          </w:p>
        </w:tc>
        <w:tc>
          <w:tcPr>
            <w:tcW w:w="256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9B73543">
            <w:pPr>
              <w:widowControl/>
              <w:numPr>
                <w:ilvl w:val="0"/>
                <w:numId w:val="2"/>
              </w:numPr>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保温结构外形尺寸：长*宽*高（</w:t>
            </w:r>
            <w:r>
              <w:rPr>
                <w:rFonts w:ascii="Arial" w:hAnsi="Arial" w:cs="Arial"/>
                <w:color w:val="auto"/>
                <w:kern w:val="0"/>
                <w:sz w:val="18"/>
                <w:szCs w:val="18"/>
                <w:lang w:bidi="ar"/>
              </w:rPr>
              <w:t>≥</w:t>
            </w:r>
            <w:r>
              <w:rPr>
                <w:rFonts w:hint="eastAsia" w:ascii="宋体" w:hAnsi="宋体" w:cs="宋体"/>
                <w:color w:val="auto"/>
                <w:kern w:val="0"/>
                <w:sz w:val="18"/>
                <w:szCs w:val="18"/>
                <w:lang w:bidi="ar"/>
              </w:rPr>
              <w:t>4000*2500*2600mmH</w:t>
            </w:r>
            <w:r>
              <w:rPr>
                <w:rFonts w:ascii="宋体" w:hAnsi="宋体" w:cs="宋体"/>
                <w:color w:val="auto"/>
                <w:kern w:val="0"/>
                <w:sz w:val="18"/>
                <w:szCs w:val="18"/>
                <w:lang w:bidi="ar"/>
              </w:rPr>
              <w:t>）</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保温结构六面体采用钢板厚度</w:t>
            </w:r>
            <w:r>
              <w:rPr>
                <w:rFonts w:ascii="Arial" w:hAnsi="Arial" w:cs="Arial"/>
                <w:color w:val="auto"/>
                <w:kern w:val="0"/>
                <w:sz w:val="18"/>
                <w:szCs w:val="18"/>
                <w:lang w:bidi="ar"/>
              </w:rPr>
              <w:t>≥</w:t>
            </w:r>
            <w:r>
              <w:rPr>
                <w:rFonts w:hint="eastAsia" w:ascii="宋体" w:hAnsi="宋体" w:cs="宋体"/>
                <w:color w:val="auto"/>
                <w:kern w:val="0"/>
                <w:sz w:val="18"/>
                <w:szCs w:val="18"/>
                <w:lang w:bidi="ar"/>
              </w:rPr>
              <w:t>0.5毫米</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保温厚度</w:t>
            </w:r>
            <w:r>
              <w:rPr>
                <w:rFonts w:ascii="Arial" w:hAnsi="Arial" w:cs="Arial"/>
                <w:color w:val="auto"/>
                <w:kern w:val="0"/>
                <w:sz w:val="18"/>
                <w:szCs w:val="18"/>
                <w:lang w:bidi="ar"/>
              </w:rPr>
              <w:t>≥</w:t>
            </w:r>
            <w:r>
              <w:rPr>
                <w:rFonts w:hint="eastAsia" w:ascii="宋体" w:hAnsi="宋体" w:cs="宋体"/>
                <w:color w:val="auto"/>
                <w:kern w:val="0"/>
                <w:sz w:val="18"/>
                <w:szCs w:val="18"/>
                <w:lang w:bidi="ar"/>
              </w:rPr>
              <w:t>100毫米整体发泡聚氨酯保温夹芯拼装板；保温地板铺设</w:t>
            </w:r>
            <w:r>
              <w:rPr>
                <w:rFonts w:ascii="Arial" w:hAnsi="Arial" w:cs="Arial"/>
                <w:color w:val="auto"/>
                <w:kern w:val="0"/>
                <w:sz w:val="18"/>
                <w:szCs w:val="18"/>
                <w:lang w:bidi="ar"/>
              </w:rPr>
              <w:t>≥</w:t>
            </w:r>
            <w:r>
              <w:rPr>
                <w:rFonts w:hint="eastAsia" w:ascii="宋体" w:hAnsi="宋体" w:cs="宋体"/>
                <w:color w:val="auto"/>
                <w:kern w:val="0"/>
                <w:sz w:val="18"/>
                <w:szCs w:val="18"/>
                <w:lang w:bidi="ar"/>
              </w:rPr>
              <w:t>3毫米压花铝板；结构保温夹芯板材工厂预制现场拼装；门洞尺寸1900*800，采用冷库密闭半埋门。</w:t>
            </w:r>
          </w:p>
          <w:p w14:paraId="42A0976F">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2.需提供系统结构平面、立面图。</w:t>
            </w:r>
          </w:p>
          <w:p w14:paraId="036577B1">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3.环境控制精度部分：</w:t>
            </w:r>
          </w:p>
          <w:p w14:paraId="5E17C0C8">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★（1）控温范围10℃～20℃可调，控温精度±0.5℃。</w:t>
            </w:r>
          </w:p>
          <w:p w14:paraId="3A2977C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★（2）控温系统采用环保型制冷剂，工作空间自动温度控制，作业空间温度均匀；室内均匀度≤1℃。</w:t>
            </w:r>
          </w:p>
          <w:p w14:paraId="1B349131">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室内新风与排风：新风换气次数1—3次/h，室内微正压，新风机采用EC直流调速风机，风机风量根据室内空气质量，自动调节风量。新风口安装在结构外侧便于维护清扫。排风口设G4过级防虫功能滤网，排风口安装在新风口的对面侧立面外置，避免排风与新风交叉污染，安装位置便于日常维护清扫。</w:t>
            </w:r>
          </w:p>
          <w:p w14:paraId="02EC1FEF">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（4）新风经初效过滤G4+中效过滤F7净化处理后进入室内；防止室内环境污染。</w:t>
            </w:r>
          </w:p>
          <w:p w14:paraId="612FECA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（5）配置恒温控湿一体机2台（互为备用）：</w:t>
            </w:r>
          </w:p>
          <w:p w14:paraId="49C85C9A">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制冷量3.0kW*2,P=1070W*2，采用等温除湿方式；</w:t>
            </w:r>
          </w:p>
          <w:p w14:paraId="4F580B06">
            <w:pPr>
              <w:widowControl/>
              <w:jc w:val="left"/>
              <w:textAlignment w:val="center"/>
              <w:rPr>
                <w:rFonts w:hint="eastAsia" w:ascii="宋体" w:hAnsi="宋体" w:eastAsia="宋体" w:cs="宋体"/>
                <w:color w:val="auto"/>
                <w:kern w:val="0"/>
                <w:sz w:val="18"/>
                <w:szCs w:val="18"/>
                <w:lang w:val="en-US" w:eastAsia="zh-CN" w:bidi="ar"/>
              </w:rPr>
            </w:pPr>
            <w:r>
              <w:rPr>
                <w:rFonts w:hint="eastAsia" w:ascii="宋体" w:hAnsi="宋体" w:cs="宋体"/>
                <w:color w:val="auto"/>
                <w:kern w:val="0"/>
                <w:sz w:val="18"/>
                <w:szCs w:val="18"/>
                <w:lang w:bidi="ar"/>
              </w:rPr>
              <w:t>制热功率4.5KW，电源采用AC380V,50Hz，三相动力电源。</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61A965">
            <w:pPr>
              <w:rPr>
                <w:rFonts w:hint="eastAsia" w:ascii="宋体" w:hAnsi="宋体" w:eastAsia="宋体" w:cs="宋体"/>
                <w:color w:val="auto"/>
                <w:sz w:val="18"/>
                <w:szCs w:val="18"/>
                <w:lang w:val="en-US" w:eastAsia="zh-CN"/>
              </w:rPr>
            </w:pPr>
          </w:p>
        </w:tc>
      </w:tr>
      <w:tr w14:paraId="3D40E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19B669B">
            <w:pPr>
              <w:widowControl/>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kern w:val="0"/>
                <w:sz w:val="18"/>
                <w:szCs w:val="18"/>
                <w:lang w:bidi="ar"/>
              </w:rPr>
              <w:t>2</w:t>
            </w:r>
          </w:p>
        </w:tc>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D1885">
            <w:pPr>
              <w:widowControl/>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kern w:val="0"/>
                <w:sz w:val="18"/>
                <w:szCs w:val="18"/>
                <w:lang w:bidi="ar"/>
              </w:rPr>
              <w:t>蜂卡成型机</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A07D0">
            <w:pPr>
              <w:widowControl/>
              <w:jc w:val="center"/>
              <w:textAlignment w:val="center"/>
              <w:rPr>
                <w:rFonts w:hint="eastAsia" w:ascii="宋体" w:hAnsi="宋体" w:eastAsia="宋体" w:cs="宋体"/>
                <w:color w:val="auto"/>
                <w:kern w:val="0"/>
                <w:sz w:val="18"/>
                <w:szCs w:val="18"/>
                <w:lang w:bidi="ar"/>
              </w:rPr>
            </w:pPr>
            <w:r>
              <w:rPr>
                <w:rFonts w:hint="eastAsia" w:ascii="宋体" w:hAnsi="宋体" w:eastAsia="宋体" w:cs="宋体"/>
                <w:i w:val="0"/>
                <w:iCs w:val="0"/>
                <w:color w:val="auto"/>
                <w:kern w:val="0"/>
                <w:sz w:val="18"/>
                <w:szCs w:val="18"/>
                <w:u w:val="none"/>
                <w:lang w:val="en-US" w:eastAsia="zh-CN" w:bidi="ar"/>
              </w:rPr>
              <w:t>否</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286B9">
            <w:pPr>
              <w:widowControl/>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335" w:type="pct"/>
            <w:tcBorders>
              <w:top w:val="single" w:color="000000" w:sz="4" w:space="0"/>
              <w:left w:val="single" w:color="000000" w:sz="4" w:space="0"/>
              <w:bottom w:val="single" w:color="000000" w:sz="4" w:space="0"/>
              <w:right w:val="single" w:color="auto" w:sz="4" w:space="0"/>
            </w:tcBorders>
            <w:shd w:val="clear" w:color="auto" w:fill="auto"/>
            <w:vAlign w:val="center"/>
          </w:tcPr>
          <w:p w14:paraId="2D3AB918">
            <w:pPr>
              <w:widowControl/>
              <w:jc w:val="center"/>
              <w:textAlignment w:val="center"/>
              <w:rPr>
                <w:rFonts w:hint="eastAsia" w:ascii="宋体" w:hAnsi="宋体" w:eastAsia="宋体" w:cs="宋体"/>
                <w:color w:val="auto"/>
                <w:kern w:val="0"/>
                <w:sz w:val="18"/>
                <w:szCs w:val="18"/>
                <w:lang w:bidi="ar"/>
              </w:rPr>
            </w:pPr>
            <w:r>
              <w:rPr>
                <w:rFonts w:hint="eastAsia" w:ascii="宋体" w:hAnsi="宋体" w:eastAsia="宋体" w:cs="宋体"/>
                <w:color w:val="auto"/>
                <w:kern w:val="0"/>
                <w:sz w:val="18"/>
                <w:szCs w:val="18"/>
                <w:lang w:val="en-US" w:eastAsia="zh-CN" w:bidi="ar"/>
              </w:rPr>
              <w:t>台/套</w:t>
            </w:r>
          </w:p>
        </w:tc>
        <w:tc>
          <w:tcPr>
            <w:tcW w:w="47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DD7307C">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eastAsia="宋体" w:cs="宋体"/>
                <w:color w:val="auto"/>
                <w:kern w:val="0"/>
                <w:sz w:val="18"/>
                <w:szCs w:val="18"/>
                <w:lang w:val="en-US" w:eastAsia="zh-CN" w:bidi="ar"/>
              </w:rPr>
              <w:t>30</w:t>
            </w:r>
          </w:p>
        </w:tc>
        <w:tc>
          <w:tcPr>
            <w:tcW w:w="256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C572AF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1.电气功率：≤3.5kW。</w:t>
            </w:r>
          </w:p>
          <w:p w14:paraId="0F295254">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2.频    率：50Hz。</w:t>
            </w:r>
          </w:p>
          <w:p w14:paraId="6CF86F45">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★3.制球效率：≥1500个/小时。</w:t>
            </w:r>
          </w:p>
          <w:p w14:paraId="4CADF6F8">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★4.成 品 率：≥99%。</w:t>
            </w:r>
          </w:p>
          <w:p w14:paraId="0BE1B4B4">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5.蜂球外径：≤27mm。</w:t>
            </w:r>
          </w:p>
          <w:p w14:paraId="050F3270">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★6.蜂卵数量：≥1500/球</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可根据要求调节填充量</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w:t>
            </w:r>
          </w:p>
          <w:p w14:paraId="316F543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7.设备尺寸：≥3500*1500*1700（mm）。</w:t>
            </w:r>
          </w:p>
          <w:p w14:paraId="51920D0E">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蜂球壳体满足下列要求：</w:t>
            </w:r>
          </w:p>
          <w:p w14:paraId="328AB0A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1.外径最大尺寸27mm。</w:t>
            </w:r>
          </w:p>
          <w:p w14:paraId="2EA49E75">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2.蜂球壳体分为上半球和下半球两部分，通过边缘卡槽啮合。</w:t>
            </w:r>
          </w:p>
          <w:p w14:paraId="412E4654">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3.上半球圆周均布出蜂孔。</w:t>
            </w:r>
          </w:p>
          <w:p w14:paraId="759F91AC">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4.下半球外边缘留有1mm凸台，便于定位。</w:t>
            </w:r>
          </w:p>
          <w:p w14:paraId="3B3477BB">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5.蜂球外壳采用环保易降解材质，并具有一定的强度。</w:t>
            </w:r>
          </w:p>
          <w:p w14:paraId="23183CC0">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6.需提供蜂球设计说明及实验验证数据。</w:t>
            </w:r>
          </w:p>
          <w:p w14:paraId="62EA68E5">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制作机结构：</w:t>
            </w:r>
          </w:p>
          <w:p w14:paraId="554382AF">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设备整体分为：蜂球组装台、蜂球成品收集、组装机控制系统。</w:t>
            </w:r>
          </w:p>
          <w:p w14:paraId="72EC4536">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1.需提供制作机设备三维图。</w:t>
            </w:r>
          </w:p>
          <w:p w14:paraId="72EBAE75">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2.需提供制作机工作流程说明。</w:t>
            </w:r>
          </w:p>
          <w:p w14:paraId="454DF6D8">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技术要求：</w:t>
            </w:r>
          </w:p>
          <w:p w14:paraId="61E11458">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1.蜂球壳体通过旋转工作台定位以完成蜂球的自动组装。</w:t>
            </w:r>
          </w:p>
          <w:p w14:paraId="0C1C8EF7">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2.工作台圆周分布下半球定位工位、蜂卵填充工位、球体组合工位，由控制系统对蜂球定位、蜂卵填充、蜂球闭合按时序完成动作。</w:t>
            </w:r>
          </w:p>
          <w:p w14:paraId="407CE7B1">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3.设备整体框架采用铝型材搭建，上部采用亚克力防护。</w:t>
            </w:r>
          </w:p>
          <w:p w14:paraId="20E63BB6">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4.工作台下部安装钣金防护罩，控制系统安装在内部。</w:t>
            </w:r>
          </w:p>
          <w:p w14:paraId="3835FC6D">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5.旋转工作台采用伺服电机驱动。</w:t>
            </w:r>
          </w:p>
          <w:p w14:paraId="679451FE">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6.电气采用PLC控制，触摸屏作为人机交互媒体，完成参数设置、工作操作。</w:t>
            </w:r>
          </w:p>
          <w:p w14:paraId="177380DC">
            <w:pPr>
              <w:widowControl/>
              <w:jc w:val="left"/>
              <w:textAlignment w:val="center"/>
              <w:rPr>
                <w:rFonts w:hint="eastAsia" w:ascii="宋体" w:hAnsi="宋体" w:eastAsia="宋体" w:cs="宋体"/>
                <w:color w:val="auto"/>
                <w:kern w:val="0"/>
                <w:sz w:val="18"/>
                <w:szCs w:val="18"/>
                <w:lang w:val="en-US" w:eastAsia="zh-CN" w:bidi="ar"/>
              </w:rPr>
            </w:pPr>
            <w:r>
              <w:rPr>
                <w:rFonts w:hint="eastAsia" w:ascii="宋体" w:hAnsi="宋体" w:cs="宋体"/>
                <w:color w:val="auto"/>
                <w:kern w:val="0"/>
                <w:sz w:val="18"/>
                <w:szCs w:val="18"/>
                <w:lang w:bidi="ar"/>
              </w:rPr>
              <w:t>7.需提供制作机技术说明书。</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BAF627">
            <w:pPr>
              <w:rPr>
                <w:rFonts w:hint="eastAsia" w:ascii="宋体" w:hAnsi="宋体" w:eastAsia="宋体" w:cs="宋体"/>
                <w:color w:val="auto"/>
                <w:sz w:val="18"/>
                <w:szCs w:val="18"/>
              </w:rPr>
            </w:pPr>
          </w:p>
          <w:p w14:paraId="6B02C356">
            <w:pPr>
              <w:widowControl/>
              <w:jc w:val="left"/>
              <w:textAlignment w:val="center"/>
              <w:rPr>
                <w:rFonts w:hint="eastAsia" w:ascii="宋体" w:hAnsi="宋体" w:eastAsia="宋体" w:cs="宋体"/>
                <w:color w:val="auto"/>
                <w:kern w:val="0"/>
                <w:sz w:val="18"/>
                <w:szCs w:val="18"/>
                <w:lang w:val="en-US" w:eastAsia="zh-CN" w:bidi="ar"/>
              </w:rPr>
            </w:pPr>
          </w:p>
        </w:tc>
      </w:tr>
      <w:tr w14:paraId="6BEEA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899C202">
            <w:pPr>
              <w:widowControl/>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kern w:val="0"/>
                <w:sz w:val="18"/>
                <w:szCs w:val="18"/>
                <w:lang w:bidi="ar"/>
              </w:rPr>
              <w:t>3</w:t>
            </w:r>
          </w:p>
        </w:tc>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D983D">
            <w:pPr>
              <w:widowControl/>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cs="宋体"/>
                <w:color w:val="auto"/>
                <w:kern w:val="0"/>
                <w:sz w:val="18"/>
                <w:szCs w:val="18"/>
                <w:lang w:eastAsia="zh-CN" w:bidi="ar"/>
              </w:rPr>
              <w:t>自动化接种繁育机</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763BB">
            <w:pPr>
              <w:widowControl/>
              <w:jc w:val="center"/>
              <w:textAlignment w:val="center"/>
              <w:rPr>
                <w:rFonts w:hint="eastAsia" w:ascii="宋体" w:hAnsi="宋体" w:eastAsia="宋体" w:cs="宋体"/>
                <w:color w:val="auto"/>
                <w:kern w:val="0"/>
                <w:sz w:val="18"/>
                <w:szCs w:val="18"/>
                <w:lang w:bidi="ar"/>
              </w:rPr>
            </w:pPr>
            <w:r>
              <w:rPr>
                <w:rFonts w:hint="eastAsia" w:ascii="宋体" w:hAnsi="宋体" w:eastAsia="宋体" w:cs="宋体"/>
                <w:i w:val="0"/>
                <w:iCs w:val="0"/>
                <w:color w:val="auto"/>
                <w:kern w:val="0"/>
                <w:sz w:val="18"/>
                <w:szCs w:val="18"/>
                <w:u w:val="none"/>
                <w:lang w:val="en-US" w:eastAsia="zh-CN" w:bidi="ar"/>
              </w:rPr>
              <w:t>否</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B7551">
            <w:pPr>
              <w:widowControl/>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335" w:type="pct"/>
            <w:tcBorders>
              <w:top w:val="single" w:color="000000" w:sz="4" w:space="0"/>
              <w:left w:val="single" w:color="000000" w:sz="4" w:space="0"/>
              <w:bottom w:val="single" w:color="000000" w:sz="4" w:space="0"/>
              <w:right w:val="single" w:color="auto" w:sz="4" w:space="0"/>
            </w:tcBorders>
            <w:shd w:val="clear" w:color="auto" w:fill="auto"/>
            <w:vAlign w:val="center"/>
          </w:tcPr>
          <w:p w14:paraId="37A128E7">
            <w:pPr>
              <w:widowControl/>
              <w:jc w:val="center"/>
              <w:textAlignment w:val="center"/>
              <w:rPr>
                <w:rFonts w:hint="eastAsia" w:ascii="宋体" w:hAnsi="宋体" w:eastAsia="宋体" w:cs="宋体"/>
                <w:color w:val="auto"/>
                <w:kern w:val="0"/>
                <w:sz w:val="18"/>
                <w:szCs w:val="18"/>
                <w:lang w:bidi="ar"/>
              </w:rPr>
            </w:pPr>
            <w:r>
              <w:rPr>
                <w:rFonts w:hint="eastAsia" w:ascii="宋体" w:hAnsi="宋体" w:eastAsia="宋体" w:cs="宋体"/>
                <w:color w:val="auto"/>
                <w:kern w:val="0"/>
                <w:sz w:val="18"/>
                <w:szCs w:val="18"/>
                <w:lang w:val="en-US" w:eastAsia="zh-CN" w:bidi="ar"/>
              </w:rPr>
              <w:t>台/套</w:t>
            </w:r>
          </w:p>
        </w:tc>
        <w:tc>
          <w:tcPr>
            <w:tcW w:w="47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E100E2">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eastAsia="宋体" w:cs="宋体"/>
                <w:color w:val="auto"/>
                <w:kern w:val="0"/>
                <w:sz w:val="18"/>
                <w:szCs w:val="18"/>
                <w:lang w:val="en-US" w:eastAsia="zh-CN" w:bidi="ar"/>
              </w:rPr>
              <w:t>40</w:t>
            </w:r>
          </w:p>
        </w:tc>
        <w:tc>
          <w:tcPr>
            <w:tcW w:w="256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4D60E9">
            <w:pPr>
              <w:rPr>
                <w:rFonts w:hint="eastAsia" w:ascii="宋体" w:hAnsi="宋体" w:cs="宋体"/>
                <w:color w:val="auto"/>
                <w:sz w:val="18"/>
                <w:szCs w:val="18"/>
              </w:rPr>
            </w:pPr>
            <w:r>
              <w:rPr>
                <w:rFonts w:hint="eastAsia" w:ascii="宋体" w:hAnsi="宋体" w:cs="宋体"/>
                <w:color w:val="auto"/>
                <w:sz w:val="18"/>
                <w:szCs w:val="18"/>
              </w:rPr>
              <w:t>1.主要技术参数：材质：不锈钢+木质；结构尺寸：尺寸单位：米（长×宽×高）：≥1.08×0.81×1.8，上下结构，上部分饲养，下部分收集。</w:t>
            </w:r>
          </w:p>
          <w:p w14:paraId="262DE3FF">
            <w:pPr>
              <w:rPr>
                <w:rFonts w:hint="eastAsia" w:ascii="宋体" w:hAnsi="宋体" w:cs="宋体"/>
                <w:color w:val="auto"/>
                <w:sz w:val="18"/>
                <w:szCs w:val="18"/>
              </w:rPr>
            </w:pPr>
            <w:r>
              <w:rPr>
                <w:rFonts w:hint="eastAsia" w:ascii="宋体" w:hAnsi="宋体" w:cs="宋体"/>
                <w:color w:val="auto"/>
                <w:sz w:val="18"/>
                <w:szCs w:val="18"/>
              </w:rPr>
              <w:t>2.功能：用于麦蛾成虫饲养与收集。</w:t>
            </w:r>
          </w:p>
          <w:p w14:paraId="19027A76">
            <w:pPr>
              <w:rPr>
                <w:rFonts w:hint="eastAsia" w:ascii="宋体" w:hAnsi="宋体" w:cs="宋体"/>
                <w:color w:val="auto"/>
                <w:sz w:val="18"/>
                <w:szCs w:val="18"/>
              </w:rPr>
            </w:pPr>
            <w:r>
              <w:rPr>
                <w:rFonts w:hint="eastAsia" w:ascii="宋体" w:hAnsi="宋体" w:cs="宋体"/>
                <w:color w:val="auto"/>
                <w:kern w:val="0"/>
                <w:sz w:val="18"/>
                <w:szCs w:val="18"/>
                <w:lang w:bidi="ar"/>
              </w:rPr>
              <w:t>★</w:t>
            </w:r>
            <w:r>
              <w:rPr>
                <w:rFonts w:hint="eastAsia" w:ascii="宋体" w:hAnsi="宋体" w:cs="宋体"/>
                <w:color w:val="auto"/>
                <w:sz w:val="18"/>
                <w:szCs w:val="18"/>
              </w:rPr>
              <w:t>3.设备结构形式：上下结构；上部分饲养，下部分收集。上部分由木质框架、不锈钢网、隔离卡槽构成；收集部分由收集箱、不锈钢制支架及收集壶组成；收集箱材质：不锈钢；收集壶由不锈钢制作，具体规格为：底部直径约8.5cm，上口直径约6cm，高约20cm）。</w:t>
            </w:r>
          </w:p>
          <w:p w14:paraId="4279B14A">
            <w:pPr>
              <w:rPr>
                <w:rFonts w:hint="eastAsia" w:ascii="宋体" w:hAnsi="宋体" w:eastAsia="宋体" w:cs="宋体"/>
                <w:color w:val="auto"/>
                <w:kern w:val="0"/>
                <w:sz w:val="18"/>
                <w:szCs w:val="18"/>
                <w:lang w:val="en-US" w:eastAsia="zh-CN" w:bidi="ar"/>
              </w:rPr>
            </w:pPr>
            <w:r>
              <w:rPr>
                <w:rFonts w:hint="eastAsia" w:ascii="宋体" w:hAnsi="宋体" w:cs="宋体"/>
                <w:color w:val="auto"/>
                <w:sz w:val="18"/>
                <w:szCs w:val="18"/>
              </w:rPr>
              <w:t>4</w:t>
            </w:r>
            <w:r>
              <w:rPr>
                <w:rFonts w:hint="eastAsia" w:ascii="宋体" w:hAnsi="宋体" w:cs="宋体"/>
                <w:color w:val="auto"/>
                <w:sz w:val="18"/>
                <w:szCs w:val="18"/>
                <w:lang w:eastAsia="zh-CN"/>
              </w:rPr>
              <w:t>.</w:t>
            </w:r>
            <w:r>
              <w:rPr>
                <w:rFonts w:hint="eastAsia" w:ascii="宋体" w:hAnsi="宋体" w:cs="宋体"/>
                <w:color w:val="auto"/>
                <w:sz w:val="18"/>
                <w:szCs w:val="18"/>
              </w:rPr>
              <w:t>投标时提供实物图片或加工图2张。</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C6EBE05">
            <w:pPr>
              <w:rPr>
                <w:rFonts w:hint="eastAsia" w:ascii="宋体" w:hAnsi="宋体" w:eastAsia="宋体" w:cs="宋体"/>
                <w:color w:val="auto"/>
                <w:sz w:val="18"/>
                <w:szCs w:val="18"/>
              </w:rPr>
            </w:pPr>
          </w:p>
        </w:tc>
      </w:tr>
      <w:tr w14:paraId="74F77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370033C">
            <w:pPr>
              <w:widowControl/>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kern w:val="0"/>
                <w:sz w:val="18"/>
                <w:szCs w:val="18"/>
                <w:lang w:bidi="ar"/>
              </w:rPr>
              <w:t>4</w:t>
            </w:r>
          </w:p>
        </w:tc>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01C90">
            <w:pPr>
              <w:widowControl/>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kern w:val="0"/>
                <w:sz w:val="18"/>
                <w:szCs w:val="18"/>
                <w:lang w:bidi="ar"/>
              </w:rPr>
              <w:t>自动化包装机</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BB213">
            <w:pPr>
              <w:widowControl/>
              <w:jc w:val="center"/>
              <w:textAlignment w:val="center"/>
              <w:rPr>
                <w:rFonts w:hint="eastAsia" w:ascii="宋体" w:hAnsi="宋体" w:eastAsia="宋体" w:cs="宋体"/>
                <w:color w:val="auto"/>
                <w:kern w:val="0"/>
                <w:sz w:val="18"/>
                <w:szCs w:val="18"/>
                <w:lang w:bidi="ar"/>
              </w:rPr>
            </w:pPr>
            <w:r>
              <w:rPr>
                <w:rFonts w:hint="eastAsia" w:ascii="宋体" w:hAnsi="宋体" w:eastAsia="宋体" w:cs="宋体"/>
                <w:i w:val="0"/>
                <w:iCs w:val="0"/>
                <w:color w:val="auto"/>
                <w:kern w:val="0"/>
                <w:sz w:val="18"/>
                <w:szCs w:val="18"/>
                <w:u w:val="none"/>
                <w:lang w:val="en-US" w:eastAsia="zh-CN" w:bidi="ar"/>
              </w:rPr>
              <w:t>否</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30A10">
            <w:pPr>
              <w:widowControl/>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335" w:type="pct"/>
            <w:tcBorders>
              <w:top w:val="single" w:color="000000" w:sz="4" w:space="0"/>
              <w:left w:val="single" w:color="000000" w:sz="4" w:space="0"/>
              <w:bottom w:val="single" w:color="000000" w:sz="4" w:space="0"/>
              <w:right w:val="single" w:color="auto" w:sz="4" w:space="0"/>
            </w:tcBorders>
            <w:shd w:val="clear" w:color="auto" w:fill="auto"/>
            <w:vAlign w:val="center"/>
          </w:tcPr>
          <w:p w14:paraId="5338C01D">
            <w:pPr>
              <w:widowControl/>
              <w:jc w:val="center"/>
              <w:textAlignment w:val="center"/>
              <w:rPr>
                <w:rFonts w:hint="eastAsia" w:ascii="宋体" w:hAnsi="宋体" w:eastAsia="宋体" w:cs="宋体"/>
                <w:color w:val="auto"/>
                <w:kern w:val="0"/>
                <w:sz w:val="18"/>
                <w:szCs w:val="18"/>
                <w:lang w:bidi="ar"/>
              </w:rPr>
            </w:pPr>
            <w:r>
              <w:rPr>
                <w:rFonts w:hint="eastAsia" w:ascii="宋体" w:hAnsi="宋体" w:eastAsia="宋体" w:cs="宋体"/>
                <w:color w:val="auto"/>
                <w:kern w:val="0"/>
                <w:sz w:val="18"/>
                <w:szCs w:val="18"/>
                <w:lang w:val="en-US" w:eastAsia="zh-CN" w:bidi="ar"/>
              </w:rPr>
              <w:t>台/套</w:t>
            </w:r>
          </w:p>
        </w:tc>
        <w:tc>
          <w:tcPr>
            <w:tcW w:w="47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3C749C0">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eastAsia="宋体" w:cs="宋体"/>
                <w:color w:val="auto"/>
                <w:kern w:val="0"/>
                <w:sz w:val="18"/>
                <w:szCs w:val="18"/>
                <w:lang w:val="en-US" w:eastAsia="zh-CN" w:bidi="ar"/>
              </w:rPr>
              <w:t>25</w:t>
            </w:r>
          </w:p>
        </w:tc>
        <w:tc>
          <w:tcPr>
            <w:tcW w:w="256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C38023">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1.包装部分：</w:t>
            </w:r>
          </w:p>
          <w:p w14:paraId="1F5E5B24">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（1）包装盒（圆形纸杯）自动上料传送系统。</w:t>
            </w:r>
          </w:p>
          <w:p w14:paraId="7E9F95AC">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（2）辅助物料灌装系统：辅助物料（刨花和菜叶）双料混合仓，电动搅拌装置，电动定量输送机至包装盒内装置，视频工位定量检测系统；检测合格后，输送至叉角厉蝽下一道灌装工序。</w:t>
            </w:r>
          </w:p>
          <w:p w14:paraId="0E3D2997">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2.筛分部分：将叉角厉蝽成虫及饲料混合物进行筛分处理，分离出叉角厉蝽成虫至存储仓，</w:t>
            </w:r>
            <w:r>
              <w:rPr>
                <w:rFonts w:hint="eastAsia" w:ascii="宋体" w:hAnsi="宋体" w:cs="宋体"/>
                <w:color w:val="auto"/>
                <w:kern w:val="0"/>
                <w:sz w:val="18"/>
                <w:szCs w:val="18"/>
                <w:lang w:eastAsia="zh-CN" w:bidi="ar"/>
              </w:rPr>
              <w:t>其他</w:t>
            </w:r>
            <w:r>
              <w:rPr>
                <w:rFonts w:hint="eastAsia" w:ascii="宋体" w:hAnsi="宋体" w:cs="宋体"/>
                <w:color w:val="auto"/>
                <w:kern w:val="0"/>
                <w:sz w:val="18"/>
                <w:szCs w:val="18"/>
                <w:lang w:bidi="ar"/>
              </w:rPr>
              <w:t>残余饲料、基质混合物存入废料仓。</w:t>
            </w:r>
          </w:p>
          <w:p w14:paraId="1FC9EBD5">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3.存储仓内的叉角厉蝽经人工操作置入上料仓，叉角厉蝽经过多通道分拣传输系统，将叉角厉蝽成虫计数计量后经过机械灌装收集口放置下侧同步传输带包装杯内；经过视频检测后传输带进入下一个旋盖工序。</w:t>
            </w:r>
          </w:p>
          <w:p w14:paraId="38627B3F">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4.杯盖闭合：机械臂将杯盖放置在灌装叉角厉蝽成虫及饲养物料的杯口上；杯盖和杯口结合，适度按压后的包装杯完成产品包装。</w:t>
            </w:r>
          </w:p>
          <w:p w14:paraId="5F39073A">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★5.产品包装完成后传输至成品存放区；包装瓶为可降解材质</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瓶口带透气滤网，容积≥350mm</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单瓶叉角厉蝽成虫数量≥40只。</w:t>
            </w:r>
          </w:p>
          <w:p w14:paraId="61F927E4">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6.筛分包装采用PLC编程控制及视觉采集识别系统精确操控筛分包装的每一步协调动作。人机对话配置15寸液晶显示屏对筛分包装进行参数设定，满足客户不同需求。</w:t>
            </w:r>
          </w:p>
          <w:p w14:paraId="32B81A56">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7.针对叉角厉蝽特点需提供设备详尽工艺流程图。</w:t>
            </w:r>
          </w:p>
          <w:p w14:paraId="4F1219C7">
            <w:pPr>
              <w:widowControl/>
              <w:jc w:val="left"/>
              <w:textAlignment w:val="center"/>
              <w:rPr>
                <w:rFonts w:hint="eastAsia" w:ascii="宋体" w:hAnsi="宋体" w:eastAsia="宋体" w:cs="宋体"/>
                <w:color w:val="auto"/>
                <w:kern w:val="0"/>
                <w:sz w:val="18"/>
                <w:szCs w:val="18"/>
                <w:lang w:val="en-US" w:eastAsia="zh-CN" w:bidi="ar"/>
              </w:rPr>
            </w:pPr>
            <w:r>
              <w:rPr>
                <w:rFonts w:hint="eastAsia" w:ascii="宋体" w:hAnsi="宋体" w:cs="宋体"/>
                <w:color w:val="auto"/>
                <w:kern w:val="0"/>
                <w:sz w:val="18"/>
                <w:szCs w:val="18"/>
                <w:lang w:bidi="ar"/>
              </w:rPr>
              <w:t>8.需提供该设备的技术说明书。</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D403FF">
            <w:pPr>
              <w:rPr>
                <w:rFonts w:hint="eastAsia" w:ascii="宋体" w:hAnsi="宋体" w:eastAsia="宋体" w:cs="宋体"/>
                <w:color w:val="auto"/>
                <w:sz w:val="18"/>
                <w:szCs w:val="18"/>
                <w:lang w:val="en-US" w:eastAsia="zh-CN"/>
              </w:rPr>
            </w:pPr>
          </w:p>
        </w:tc>
      </w:tr>
      <w:tr w14:paraId="17C8C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36A7F01">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lang w:val="en-US" w:eastAsia="zh-CN"/>
              </w:rPr>
              <w:t>5</w:t>
            </w:r>
          </w:p>
        </w:tc>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AC046">
            <w:pPr>
              <w:spacing w:beforeLines="0" w:afterLines="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rPr>
              <w:t>智能化识别系统</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FCC8C">
            <w:pPr>
              <w:spacing w:beforeLines="0" w:afterLines="0"/>
              <w:jc w:val="center"/>
              <w:rPr>
                <w:rFonts w:hint="eastAsia" w:ascii="宋体" w:hAnsi="宋体" w:eastAsia="宋体" w:cs="宋体"/>
                <w:color w:val="auto"/>
                <w:sz w:val="18"/>
                <w:szCs w:val="18"/>
              </w:rPr>
            </w:pPr>
            <w:r>
              <w:rPr>
                <w:rFonts w:hint="eastAsia" w:ascii="宋体" w:hAnsi="宋体" w:eastAsia="宋体" w:cs="宋体"/>
                <w:i w:val="0"/>
                <w:iCs w:val="0"/>
                <w:color w:val="auto"/>
                <w:kern w:val="0"/>
                <w:sz w:val="18"/>
                <w:szCs w:val="18"/>
                <w:u w:val="none"/>
                <w:lang w:val="en-US" w:eastAsia="zh-CN" w:bidi="ar"/>
              </w:rPr>
              <w:t>否</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5B2E0">
            <w:pPr>
              <w:spacing w:beforeLines="0" w:afterLines="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335" w:type="pct"/>
            <w:tcBorders>
              <w:top w:val="single" w:color="000000" w:sz="4" w:space="0"/>
              <w:left w:val="single" w:color="000000" w:sz="4" w:space="0"/>
              <w:bottom w:val="single" w:color="000000" w:sz="4" w:space="0"/>
              <w:right w:val="single" w:color="auto" w:sz="4" w:space="0"/>
            </w:tcBorders>
            <w:shd w:val="clear" w:color="auto" w:fill="auto"/>
            <w:vAlign w:val="center"/>
          </w:tcPr>
          <w:p w14:paraId="21EF8AAE">
            <w:pPr>
              <w:widowControl/>
              <w:jc w:val="center"/>
              <w:textAlignment w:val="center"/>
              <w:rPr>
                <w:rFonts w:hint="eastAsia" w:ascii="宋体" w:hAnsi="宋体" w:eastAsia="宋体" w:cs="宋体"/>
                <w:color w:val="auto"/>
                <w:kern w:val="0"/>
                <w:sz w:val="18"/>
                <w:szCs w:val="18"/>
                <w:lang w:bidi="ar"/>
              </w:rPr>
            </w:pPr>
            <w:r>
              <w:rPr>
                <w:rFonts w:hint="eastAsia" w:ascii="宋体" w:hAnsi="宋体" w:eastAsia="宋体" w:cs="宋体"/>
                <w:color w:val="auto"/>
                <w:kern w:val="0"/>
                <w:sz w:val="18"/>
                <w:szCs w:val="18"/>
                <w:lang w:val="en-US" w:eastAsia="zh-CN" w:bidi="ar"/>
              </w:rPr>
              <w:t>台/套</w:t>
            </w:r>
          </w:p>
        </w:tc>
        <w:tc>
          <w:tcPr>
            <w:tcW w:w="47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3D6BE6">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eastAsia="宋体" w:cs="宋体"/>
                <w:color w:val="auto"/>
                <w:kern w:val="0"/>
                <w:sz w:val="18"/>
                <w:szCs w:val="18"/>
                <w:lang w:val="en-US" w:eastAsia="zh-CN" w:bidi="ar"/>
              </w:rPr>
              <w:t>3</w:t>
            </w:r>
            <w:r>
              <w:rPr>
                <w:rFonts w:hint="eastAsia" w:ascii="宋体" w:hAnsi="宋体" w:cs="宋体"/>
                <w:color w:val="auto"/>
                <w:kern w:val="0"/>
                <w:sz w:val="18"/>
                <w:szCs w:val="18"/>
                <w:lang w:val="en-US" w:eastAsia="zh-CN" w:bidi="ar"/>
              </w:rPr>
              <w:t>5</w:t>
            </w:r>
          </w:p>
        </w:tc>
        <w:tc>
          <w:tcPr>
            <w:tcW w:w="256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33994A">
            <w:pPr>
              <w:rPr>
                <w:rFonts w:hint="eastAsia" w:ascii="宋体" w:hAnsi="宋体" w:cs="宋体"/>
                <w:color w:val="auto"/>
                <w:sz w:val="18"/>
                <w:szCs w:val="18"/>
              </w:rPr>
            </w:pPr>
            <w:r>
              <w:rPr>
                <w:rFonts w:hint="eastAsia" w:ascii="宋体" w:hAnsi="宋体" w:cs="宋体"/>
                <w:color w:val="auto"/>
                <w:kern w:val="0"/>
                <w:sz w:val="18"/>
                <w:szCs w:val="18"/>
                <w:lang w:bidi="ar"/>
              </w:rPr>
              <w:t>★</w:t>
            </w:r>
            <w:r>
              <w:rPr>
                <w:rFonts w:hint="eastAsia" w:ascii="宋体" w:hAnsi="宋体" w:cs="宋体"/>
                <w:color w:val="auto"/>
                <w:sz w:val="18"/>
                <w:szCs w:val="18"/>
              </w:rPr>
              <w:t>1.数据信息采集系统：</w:t>
            </w:r>
            <w:r>
              <w:rPr>
                <w:rFonts w:hint="eastAsia" w:ascii="宋体" w:hAnsi="宋体" w:cs="宋体"/>
                <w:color w:val="auto"/>
                <w:kern w:val="0"/>
                <w:sz w:val="18"/>
                <w:szCs w:val="18"/>
                <w:lang w:bidi="ar"/>
              </w:rPr>
              <w:t>2000万像素1英寸CMOS以太网工业面相机，靶面尺寸1英寸，分辨率≥5472*3648彩色；像素格式Mono 8/10/12 Bayer GB 8/10Packed/</w:t>
            </w:r>
            <w:r>
              <w:rPr>
                <w:rFonts w:hint="eastAsia" w:ascii="宋体" w:hAnsi="宋体" w:cs="宋体"/>
                <w:color w:val="auto"/>
                <w:sz w:val="18"/>
                <w:szCs w:val="18"/>
              </w:rPr>
              <w:t>12Packed YUV422Packed，YUV422_YUYV_Packed RGB 8,BGR8。数据接口Gigabit Ethemet（1000Mbit/s</w:t>
            </w:r>
            <w:r>
              <w:rPr>
                <w:rFonts w:hint="eastAsia" w:ascii="宋体" w:hAnsi="宋体" w:cs="宋体"/>
                <w:color w:val="auto"/>
                <w:sz w:val="18"/>
                <w:szCs w:val="18"/>
                <w:lang w:eastAsia="zh-CN"/>
              </w:rPr>
              <w:t>）</w:t>
            </w:r>
            <w:r>
              <w:rPr>
                <w:rFonts w:hint="eastAsia" w:ascii="宋体" w:hAnsi="宋体" w:cs="宋体"/>
                <w:color w:val="auto"/>
                <w:sz w:val="18"/>
                <w:szCs w:val="18"/>
              </w:rPr>
              <w:t>兼容Fast Ethemet(1000Mbit/s</w:t>
            </w:r>
            <w:r>
              <w:rPr>
                <w:rFonts w:hint="eastAsia" w:ascii="宋体" w:hAnsi="宋体" w:cs="宋体"/>
                <w:color w:val="auto"/>
                <w:sz w:val="18"/>
                <w:szCs w:val="18"/>
                <w:lang w:eastAsia="zh-CN"/>
              </w:rPr>
              <w:t>）</w:t>
            </w:r>
            <w:r>
              <w:rPr>
                <w:rFonts w:hint="eastAsia" w:ascii="宋体" w:hAnsi="宋体" w:cs="宋体"/>
                <w:color w:val="auto"/>
                <w:sz w:val="18"/>
                <w:szCs w:val="18"/>
              </w:rPr>
              <w:t>。数字I/O:6-pin P7接头提供供电和I/O:1路光耦隔离输入（line0）</w:t>
            </w:r>
            <w:r>
              <w:rPr>
                <w:rFonts w:hint="eastAsia" w:ascii="宋体" w:hAnsi="宋体" w:cs="宋体"/>
                <w:color w:val="auto"/>
                <w:sz w:val="18"/>
                <w:szCs w:val="18"/>
                <w:lang w:eastAsia="zh-CN"/>
              </w:rPr>
              <w:t>，</w:t>
            </w:r>
            <w:r>
              <w:rPr>
                <w:rFonts w:hint="eastAsia" w:ascii="宋体" w:hAnsi="宋体" w:cs="宋体"/>
                <w:color w:val="auto"/>
                <w:sz w:val="18"/>
                <w:szCs w:val="18"/>
              </w:rPr>
              <w:t>1路光耦隔离输出（line1）</w:t>
            </w:r>
            <w:r>
              <w:rPr>
                <w:rFonts w:hint="eastAsia" w:ascii="宋体" w:hAnsi="宋体" w:cs="宋体"/>
                <w:color w:val="auto"/>
                <w:sz w:val="18"/>
                <w:szCs w:val="18"/>
                <w:lang w:eastAsia="zh-CN"/>
              </w:rPr>
              <w:t>，</w:t>
            </w:r>
            <w:r>
              <w:rPr>
                <w:rFonts w:hint="eastAsia" w:ascii="宋体" w:hAnsi="宋体" w:cs="宋体"/>
                <w:color w:val="auto"/>
                <w:sz w:val="18"/>
                <w:szCs w:val="18"/>
              </w:rPr>
              <w:t>1路双向可配置非隔离I/O(line2</w:t>
            </w:r>
            <w:r>
              <w:rPr>
                <w:rFonts w:hint="eastAsia" w:ascii="宋体" w:hAnsi="宋体" w:cs="宋体"/>
                <w:color w:val="auto"/>
                <w:sz w:val="18"/>
                <w:szCs w:val="18"/>
                <w:lang w:eastAsia="zh-CN"/>
              </w:rPr>
              <w:t>）</w:t>
            </w:r>
            <w:r>
              <w:rPr>
                <w:rFonts w:hint="eastAsia" w:ascii="宋体" w:hAnsi="宋体" w:cs="宋体"/>
                <w:color w:val="auto"/>
                <w:sz w:val="18"/>
                <w:szCs w:val="18"/>
              </w:rPr>
              <w:t>。供电9～24VDC。镜头接口C-Mount</w:t>
            </w:r>
            <w:r>
              <w:rPr>
                <w:rFonts w:hint="eastAsia" w:ascii="宋体" w:hAnsi="宋体" w:cs="宋体"/>
                <w:color w:val="auto"/>
                <w:sz w:val="18"/>
                <w:szCs w:val="18"/>
                <w:lang w:eastAsia="zh-CN"/>
              </w:rPr>
              <w:t>，</w:t>
            </w:r>
            <w:r>
              <w:rPr>
                <w:rFonts w:hint="eastAsia" w:ascii="宋体" w:hAnsi="宋体" w:cs="宋体"/>
                <w:color w:val="auto"/>
                <w:sz w:val="18"/>
                <w:szCs w:val="18"/>
              </w:rPr>
              <w:t xml:space="preserve">防护等级IP40。                                                                                      </w:t>
            </w:r>
          </w:p>
          <w:p w14:paraId="2EFF0107">
            <w:pPr>
              <w:rPr>
                <w:rFonts w:hint="eastAsia" w:ascii="宋体" w:hAnsi="宋体" w:cs="宋体"/>
                <w:color w:val="auto"/>
                <w:sz w:val="18"/>
                <w:szCs w:val="18"/>
              </w:rPr>
            </w:pPr>
            <w:r>
              <w:rPr>
                <w:rFonts w:hint="eastAsia" w:ascii="宋体" w:hAnsi="宋体" w:cs="宋体"/>
                <w:color w:val="auto"/>
                <w:sz w:val="18"/>
                <w:szCs w:val="18"/>
              </w:rPr>
              <w:t>2.显微系统：</w:t>
            </w:r>
          </w:p>
          <w:p w14:paraId="0E36D260">
            <w:pPr>
              <w:rPr>
                <w:rFonts w:hint="eastAsia" w:ascii="宋体" w:hAnsi="宋体" w:cs="宋体"/>
                <w:color w:val="auto"/>
                <w:sz w:val="18"/>
                <w:szCs w:val="18"/>
              </w:rPr>
            </w:pPr>
            <w:r>
              <w:rPr>
                <w:rFonts w:hint="eastAsia" w:ascii="宋体" w:hAnsi="宋体" w:cs="宋体"/>
                <w:color w:val="auto"/>
                <w:sz w:val="18"/>
                <w:szCs w:val="18"/>
              </w:rPr>
              <w:t>（1）光学系统：采用内斜光学系统，内置式连续变倍体，变倍比7.5</w:t>
            </w:r>
            <w:r>
              <w:rPr>
                <w:rFonts w:hint="eastAsia" w:ascii="宋体" w:hAnsi="宋体" w:cs="宋体"/>
                <w:color w:val="auto"/>
                <w:sz w:val="18"/>
                <w:szCs w:val="18"/>
                <w:lang w:eastAsia="zh-CN"/>
              </w:rPr>
              <w:t>:</w:t>
            </w:r>
            <w:r>
              <w:rPr>
                <w:rFonts w:hint="eastAsia" w:ascii="宋体" w:hAnsi="宋体" w:cs="宋体"/>
                <w:color w:val="auto"/>
                <w:sz w:val="18"/>
                <w:szCs w:val="18"/>
              </w:rPr>
              <w:t>1。</w:t>
            </w:r>
          </w:p>
          <w:p w14:paraId="6EBF018B">
            <w:pPr>
              <w:rPr>
                <w:rFonts w:hint="eastAsia" w:ascii="宋体" w:hAnsi="宋体" w:cs="宋体"/>
                <w:color w:val="auto"/>
                <w:sz w:val="18"/>
                <w:szCs w:val="18"/>
              </w:rPr>
            </w:pPr>
            <w:r>
              <w:rPr>
                <w:rFonts w:hint="eastAsia" w:ascii="宋体" w:hAnsi="宋体" w:cs="宋体"/>
                <w:color w:val="auto"/>
                <w:sz w:val="18"/>
                <w:szCs w:val="18"/>
              </w:rPr>
              <w:t>（2）变倍范围：0.67-5X，（0.67/1/2/3/4/5档），0.67X至5X的变焦范围确保了广阔的观察范围。</w:t>
            </w:r>
          </w:p>
          <w:p w14:paraId="7E2DDC29">
            <w:pPr>
              <w:rPr>
                <w:rFonts w:hint="eastAsia" w:ascii="宋体" w:hAnsi="宋体" w:cs="宋体"/>
                <w:color w:val="auto"/>
                <w:sz w:val="18"/>
                <w:szCs w:val="18"/>
              </w:rPr>
            </w:pPr>
            <w:r>
              <w:rPr>
                <w:rFonts w:hint="eastAsia" w:ascii="宋体" w:hAnsi="宋体" w:cs="宋体"/>
                <w:color w:val="auto"/>
                <w:sz w:val="18"/>
                <w:szCs w:val="18"/>
              </w:rPr>
              <w:t>（3）调焦：粗微调同轴调焦。</w:t>
            </w:r>
          </w:p>
          <w:p w14:paraId="0978F19B">
            <w:pPr>
              <w:rPr>
                <w:rFonts w:hint="eastAsia" w:ascii="宋体" w:hAnsi="宋体" w:cs="宋体"/>
                <w:color w:val="auto"/>
                <w:sz w:val="18"/>
                <w:szCs w:val="18"/>
              </w:rPr>
            </w:pPr>
            <w:r>
              <w:rPr>
                <w:rFonts w:hint="eastAsia" w:ascii="宋体" w:hAnsi="宋体" w:cs="宋体"/>
                <w:color w:val="auto"/>
                <w:sz w:val="18"/>
                <w:szCs w:val="18"/>
              </w:rPr>
              <w:t>（4）机体小巧的透射光源底座，扶手便于舒适操作，与透射LED光源搭配使用。</w:t>
            </w:r>
          </w:p>
          <w:p w14:paraId="774B846B">
            <w:pPr>
              <w:rPr>
                <w:rFonts w:hint="eastAsia" w:ascii="宋体" w:hAnsi="宋体" w:cs="宋体"/>
                <w:color w:val="auto"/>
                <w:sz w:val="18"/>
                <w:szCs w:val="18"/>
              </w:rPr>
            </w:pPr>
            <w:r>
              <w:rPr>
                <w:rFonts w:hint="eastAsia" w:ascii="宋体" w:hAnsi="宋体" w:cs="宋体"/>
                <w:color w:val="auto"/>
                <w:sz w:val="18"/>
                <w:szCs w:val="18"/>
              </w:rPr>
              <w:t>（5）上照明系统：斜落射照明 LED 灯；环形 LED 磨砂照明。</w:t>
            </w:r>
          </w:p>
          <w:p w14:paraId="63CB7F5F">
            <w:pPr>
              <w:rPr>
                <w:rFonts w:hint="eastAsia" w:ascii="宋体" w:hAnsi="宋体" w:cs="宋体"/>
                <w:color w:val="auto"/>
                <w:sz w:val="18"/>
                <w:szCs w:val="18"/>
              </w:rPr>
            </w:pPr>
            <w:r>
              <w:rPr>
                <w:rFonts w:hint="eastAsia" w:ascii="宋体" w:hAnsi="宋体" w:cs="宋体"/>
                <w:color w:val="auto"/>
                <w:sz w:val="18"/>
                <w:szCs w:val="18"/>
              </w:rPr>
              <w:t>（6）目镜观察筒：目镜倾角45°，瞳距调节范围52</w:t>
            </w:r>
            <w:r>
              <w:rPr>
                <w:rFonts w:hint="eastAsia" w:ascii="宋体" w:hAnsi="宋体" w:cs="宋体"/>
                <w:color w:val="auto"/>
                <w:sz w:val="18"/>
                <w:szCs w:val="18"/>
                <w:lang w:eastAsia="zh-CN"/>
              </w:rPr>
              <w:t>—</w:t>
            </w:r>
            <w:r>
              <w:rPr>
                <w:rFonts w:hint="eastAsia" w:ascii="宋体" w:hAnsi="宋体" w:cs="宋体"/>
                <w:color w:val="auto"/>
                <w:sz w:val="18"/>
                <w:szCs w:val="18"/>
              </w:rPr>
              <w:t>75mm。</w:t>
            </w:r>
          </w:p>
          <w:p w14:paraId="14A85672">
            <w:pPr>
              <w:rPr>
                <w:rFonts w:hint="eastAsia" w:ascii="宋体" w:hAnsi="宋体" w:cs="宋体"/>
                <w:color w:val="auto"/>
                <w:sz w:val="18"/>
                <w:szCs w:val="18"/>
              </w:rPr>
            </w:pPr>
            <w:r>
              <w:rPr>
                <w:rFonts w:hint="eastAsia" w:ascii="宋体" w:hAnsi="宋体" w:cs="宋体"/>
                <w:color w:val="auto"/>
                <w:sz w:val="18"/>
                <w:szCs w:val="18"/>
              </w:rPr>
              <w:t>（7）目镜：10倍宽视野目镜（FN22），双侧屈光度均可调。</w:t>
            </w:r>
          </w:p>
          <w:p w14:paraId="0C171A66">
            <w:pPr>
              <w:rPr>
                <w:rFonts w:hint="eastAsia" w:ascii="宋体" w:hAnsi="宋体" w:cs="宋体"/>
                <w:color w:val="auto"/>
                <w:sz w:val="18"/>
                <w:szCs w:val="18"/>
              </w:rPr>
            </w:pPr>
            <w:r>
              <w:rPr>
                <w:rFonts w:hint="eastAsia" w:ascii="宋体" w:hAnsi="宋体" w:cs="宋体"/>
                <w:color w:val="auto"/>
                <w:sz w:val="18"/>
                <w:szCs w:val="18"/>
              </w:rPr>
              <w:t>（8）物镜：有0.5X，0.7X，1X，1.5X，2X可选。</w:t>
            </w:r>
          </w:p>
          <w:p w14:paraId="279DADFA">
            <w:pPr>
              <w:rPr>
                <w:rFonts w:hint="eastAsia" w:ascii="宋体" w:hAnsi="宋体" w:cs="宋体"/>
                <w:color w:val="auto"/>
                <w:sz w:val="18"/>
                <w:szCs w:val="18"/>
              </w:rPr>
            </w:pPr>
            <w:r>
              <w:rPr>
                <w:rFonts w:hint="eastAsia" w:ascii="宋体" w:hAnsi="宋体" w:cs="宋体"/>
                <w:color w:val="auto"/>
                <w:sz w:val="18"/>
                <w:szCs w:val="18"/>
              </w:rPr>
              <w:t>（9）总放大倍率：6.7-50X（搭配10X目镜，1X物镜时）。</w:t>
            </w:r>
          </w:p>
          <w:p w14:paraId="05A57C0E">
            <w:pPr>
              <w:rPr>
                <w:rFonts w:hint="eastAsia" w:ascii="宋体" w:hAnsi="宋体" w:cs="宋体"/>
                <w:color w:val="auto"/>
                <w:sz w:val="18"/>
                <w:szCs w:val="18"/>
              </w:rPr>
            </w:pPr>
            <w:r>
              <w:rPr>
                <w:rFonts w:hint="eastAsia" w:ascii="宋体" w:hAnsi="宋体" w:cs="宋体"/>
                <w:color w:val="auto"/>
                <w:sz w:val="18"/>
                <w:szCs w:val="18"/>
              </w:rPr>
              <w:t>（10）集成了光路切换杆，便于轻松切换目镜和相机。</w:t>
            </w:r>
          </w:p>
          <w:p w14:paraId="68D2F459">
            <w:pPr>
              <w:rPr>
                <w:rFonts w:hint="eastAsia" w:ascii="宋体" w:hAnsi="宋体" w:cs="宋体"/>
                <w:color w:val="auto"/>
                <w:sz w:val="18"/>
                <w:szCs w:val="18"/>
              </w:rPr>
            </w:pPr>
            <w:r>
              <w:rPr>
                <w:rFonts w:hint="eastAsia" w:ascii="宋体" w:hAnsi="宋体" w:cs="宋体"/>
                <w:color w:val="auto"/>
                <w:sz w:val="18"/>
                <w:szCs w:val="18"/>
              </w:rPr>
              <w:t>（11）工作距离：115mm的超长工作距离（1X物镜时）。</w:t>
            </w:r>
          </w:p>
          <w:p w14:paraId="0004093F">
            <w:pPr>
              <w:rPr>
                <w:rFonts w:hint="eastAsia" w:ascii="宋体" w:hAnsi="宋体" w:cs="宋体"/>
                <w:color w:val="auto"/>
                <w:sz w:val="18"/>
                <w:szCs w:val="18"/>
              </w:rPr>
            </w:pPr>
            <w:r>
              <w:rPr>
                <w:rFonts w:hint="eastAsia" w:ascii="宋体" w:hAnsi="宋体" w:cs="宋体"/>
                <w:color w:val="auto"/>
                <w:sz w:val="18"/>
                <w:szCs w:val="18"/>
              </w:rPr>
              <w:t>（12）最大工作距离：211mm（0.5X物镜时）。</w:t>
            </w:r>
          </w:p>
          <w:p w14:paraId="27A849E0">
            <w:pPr>
              <w:rPr>
                <w:rFonts w:hint="eastAsia" w:ascii="宋体" w:hAnsi="宋体" w:cs="宋体"/>
                <w:color w:val="auto"/>
                <w:sz w:val="18"/>
                <w:szCs w:val="18"/>
              </w:rPr>
            </w:pPr>
            <w:r>
              <w:rPr>
                <w:rFonts w:hint="eastAsia" w:ascii="宋体" w:hAnsi="宋体" w:cs="宋体"/>
                <w:color w:val="auto"/>
                <w:sz w:val="18"/>
                <w:szCs w:val="18"/>
              </w:rPr>
              <w:t>（13）最大放大倍率：300X（2X物镜，30X目镜时）。</w:t>
            </w:r>
          </w:p>
          <w:p w14:paraId="78120187">
            <w:pPr>
              <w:rPr>
                <w:rFonts w:hint="eastAsia" w:ascii="宋体" w:hAnsi="宋体" w:cs="宋体"/>
                <w:color w:val="auto"/>
                <w:sz w:val="18"/>
                <w:szCs w:val="18"/>
              </w:rPr>
            </w:pPr>
            <w:r>
              <w:rPr>
                <w:rFonts w:hint="eastAsia" w:ascii="宋体" w:hAnsi="宋体" w:cs="宋体"/>
                <w:color w:val="auto"/>
                <w:sz w:val="18"/>
                <w:szCs w:val="18"/>
              </w:rPr>
              <w:t>（14）防霉设计：防霉设计，在过热或过湿的环境下也可放心使用。</w:t>
            </w:r>
          </w:p>
          <w:p w14:paraId="6F9149E1">
            <w:pPr>
              <w:rPr>
                <w:rFonts w:hint="eastAsia" w:ascii="宋体" w:hAnsi="宋体" w:cs="宋体"/>
                <w:color w:val="auto"/>
                <w:sz w:val="18"/>
                <w:szCs w:val="18"/>
              </w:rPr>
            </w:pPr>
            <w:r>
              <w:rPr>
                <w:rFonts w:hint="eastAsia" w:ascii="宋体" w:hAnsi="宋体" w:cs="宋体"/>
                <w:color w:val="auto"/>
                <w:sz w:val="18"/>
                <w:szCs w:val="18"/>
              </w:rPr>
              <w:t>（15）防静电设计：防静电设计使显微镜中聚集的静电可以立即释放，确保更高的效率。</w:t>
            </w:r>
          </w:p>
          <w:p w14:paraId="5D93589B">
            <w:pPr>
              <w:rPr>
                <w:rFonts w:hint="eastAsia" w:ascii="宋体" w:hAnsi="宋体" w:cs="宋体"/>
                <w:color w:val="auto"/>
                <w:sz w:val="18"/>
                <w:szCs w:val="18"/>
              </w:rPr>
            </w:pPr>
            <w:r>
              <w:rPr>
                <w:rFonts w:hint="eastAsia" w:ascii="宋体" w:hAnsi="宋体" w:cs="宋体"/>
                <w:color w:val="auto"/>
                <w:sz w:val="18"/>
                <w:szCs w:val="18"/>
              </w:rPr>
              <w:t>（16）内置C接口0.55X倍率透镜，兼容2/3英寸或者更小的CCD。</w:t>
            </w:r>
          </w:p>
          <w:p w14:paraId="062610BD">
            <w:pPr>
              <w:rPr>
                <w:rFonts w:hint="eastAsia" w:ascii="宋体" w:hAnsi="宋体" w:cs="宋体"/>
                <w:color w:val="auto"/>
                <w:sz w:val="18"/>
                <w:szCs w:val="18"/>
              </w:rPr>
            </w:pPr>
            <w:r>
              <w:rPr>
                <w:rFonts w:hint="eastAsia" w:ascii="宋体" w:hAnsi="宋体" w:cs="宋体"/>
                <w:color w:val="auto"/>
                <w:sz w:val="18"/>
                <w:szCs w:val="18"/>
              </w:rPr>
              <w:t>（17）芯片：彩色cmos，尺寸≥1/1.7"。</w:t>
            </w:r>
          </w:p>
          <w:p w14:paraId="2A934C24">
            <w:pPr>
              <w:rPr>
                <w:rFonts w:hint="eastAsia" w:ascii="宋体" w:hAnsi="宋体" w:cs="宋体"/>
                <w:color w:val="auto"/>
                <w:sz w:val="18"/>
                <w:szCs w:val="18"/>
              </w:rPr>
            </w:pPr>
            <w:r>
              <w:rPr>
                <w:rFonts w:hint="eastAsia" w:ascii="宋体" w:hAnsi="宋体" w:cs="宋体"/>
                <w:color w:val="auto"/>
                <w:sz w:val="18"/>
                <w:szCs w:val="18"/>
              </w:rPr>
              <w:t>（18）分辨率</w:t>
            </w:r>
            <w:r>
              <w:rPr>
                <w:rFonts w:ascii="Arial" w:hAnsi="Arial" w:cs="Arial"/>
                <w:color w:val="auto"/>
                <w:sz w:val="18"/>
                <w:szCs w:val="18"/>
              </w:rPr>
              <w:t>≥</w:t>
            </w:r>
            <w:r>
              <w:rPr>
                <w:rFonts w:hint="eastAsia" w:ascii="宋体" w:hAnsi="宋体" w:cs="宋体"/>
                <w:color w:val="auto"/>
                <w:sz w:val="18"/>
                <w:szCs w:val="18"/>
              </w:rPr>
              <w:t>1200万像素。</w:t>
            </w:r>
          </w:p>
          <w:p w14:paraId="4ED764FE">
            <w:pPr>
              <w:rPr>
                <w:rFonts w:hint="eastAsia" w:ascii="宋体" w:hAnsi="宋体" w:cs="宋体"/>
                <w:color w:val="auto"/>
                <w:sz w:val="18"/>
                <w:szCs w:val="18"/>
              </w:rPr>
            </w:pPr>
            <w:r>
              <w:rPr>
                <w:rFonts w:hint="eastAsia" w:ascii="宋体" w:hAnsi="宋体" w:cs="宋体"/>
                <w:color w:val="auto"/>
                <w:sz w:val="18"/>
                <w:szCs w:val="18"/>
              </w:rPr>
              <w:t>（19）像素点大小1.85um x 1.85um。</w:t>
            </w:r>
          </w:p>
          <w:p w14:paraId="67914066">
            <w:pPr>
              <w:rPr>
                <w:rFonts w:hint="eastAsia" w:ascii="宋体" w:hAnsi="宋体" w:cs="宋体"/>
                <w:color w:val="auto"/>
                <w:sz w:val="18"/>
                <w:szCs w:val="18"/>
              </w:rPr>
            </w:pPr>
            <w:r>
              <w:rPr>
                <w:rFonts w:hint="eastAsia" w:ascii="宋体" w:hAnsi="宋体" w:cs="宋体"/>
                <w:color w:val="auto"/>
                <w:sz w:val="18"/>
                <w:szCs w:val="18"/>
              </w:rPr>
              <w:t>（20）曝光时间：50微秒-10秒</w:t>
            </w:r>
          </w:p>
          <w:p w14:paraId="237113CB">
            <w:pPr>
              <w:rPr>
                <w:rFonts w:hint="eastAsia" w:ascii="宋体" w:hAnsi="宋体" w:cs="宋体"/>
                <w:color w:val="auto"/>
                <w:sz w:val="18"/>
                <w:szCs w:val="18"/>
              </w:rPr>
            </w:pPr>
            <w:r>
              <w:rPr>
                <w:rFonts w:hint="eastAsia" w:ascii="宋体" w:hAnsi="宋体" w:cs="宋体"/>
                <w:color w:val="auto"/>
                <w:sz w:val="18"/>
                <w:szCs w:val="18"/>
              </w:rPr>
              <w:t>（21）增益：1 x -10 x。</w:t>
            </w:r>
          </w:p>
          <w:p w14:paraId="0C201088">
            <w:pPr>
              <w:rPr>
                <w:rFonts w:hint="eastAsia" w:ascii="宋体" w:hAnsi="宋体" w:cs="宋体"/>
                <w:color w:val="auto"/>
                <w:sz w:val="18"/>
                <w:szCs w:val="18"/>
              </w:rPr>
            </w:pPr>
            <w:r>
              <w:rPr>
                <w:rFonts w:hint="eastAsia" w:ascii="宋体" w:hAnsi="宋体" w:cs="宋体"/>
                <w:color w:val="auto"/>
                <w:sz w:val="18"/>
                <w:szCs w:val="18"/>
              </w:rPr>
              <w:t>（22）帧率：20帧/秒（4000×3000）</w:t>
            </w:r>
            <w:r>
              <w:rPr>
                <w:rFonts w:hint="eastAsia" w:ascii="宋体" w:hAnsi="宋体" w:cs="宋体"/>
                <w:color w:val="auto"/>
                <w:sz w:val="18"/>
                <w:szCs w:val="18"/>
                <w:lang w:eastAsia="zh-CN"/>
              </w:rPr>
              <w:t>，</w:t>
            </w:r>
            <w:r>
              <w:rPr>
                <w:rFonts w:hint="eastAsia" w:ascii="宋体" w:hAnsi="宋体" w:cs="宋体"/>
                <w:color w:val="auto"/>
                <w:sz w:val="18"/>
                <w:szCs w:val="18"/>
              </w:rPr>
              <w:t xml:space="preserve"> 80帧/秒（ROI）。</w:t>
            </w:r>
          </w:p>
          <w:p w14:paraId="788EC088">
            <w:pPr>
              <w:rPr>
                <w:rFonts w:hint="eastAsia" w:ascii="宋体" w:hAnsi="宋体" w:cs="宋体"/>
                <w:color w:val="auto"/>
                <w:sz w:val="18"/>
                <w:szCs w:val="18"/>
              </w:rPr>
            </w:pPr>
            <w:r>
              <w:rPr>
                <w:rFonts w:hint="eastAsia" w:ascii="宋体" w:hAnsi="宋体" w:cs="宋体"/>
                <w:color w:val="auto"/>
                <w:sz w:val="18"/>
                <w:szCs w:val="18"/>
              </w:rPr>
              <w:t>（23）AD转换</w:t>
            </w:r>
            <w:r>
              <w:rPr>
                <w:rFonts w:hint="eastAsia" w:ascii="宋体" w:hAnsi="宋体" w:cs="宋体"/>
                <w:color w:val="auto"/>
                <w:sz w:val="18"/>
                <w:szCs w:val="18"/>
              </w:rPr>
              <w:tab/>
            </w:r>
            <w:r>
              <w:rPr>
                <w:rFonts w:hint="eastAsia" w:ascii="宋体" w:hAnsi="宋体" w:cs="宋体"/>
                <w:color w:val="auto"/>
                <w:sz w:val="18"/>
                <w:szCs w:val="18"/>
              </w:rPr>
              <w:t>3 x 10bit and 3 x 12bit （输出3 x 8bit / 3 x 16bit）。</w:t>
            </w:r>
          </w:p>
          <w:p w14:paraId="31B9291D">
            <w:pPr>
              <w:rPr>
                <w:rFonts w:hint="eastAsia" w:ascii="宋体" w:hAnsi="宋体" w:cs="宋体"/>
                <w:color w:val="auto"/>
                <w:sz w:val="18"/>
                <w:szCs w:val="18"/>
              </w:rPr>
            </w:pPr>
            <w:r>
              <w:rPr>
                <w:rFonts w:hint="eastAsia" w:ascii="宋体" w:hAnsi="宋体" w:cs="宋体"/>
                <w:color w:val="auto"/>
                <w:sz w:val="18"/>
                <w:szCs w:val="18"/>
              </w:rPr>
              <w:t>（24）内置图像缓存：DDRII图像缓冲器1Gb。</w:t>
            </w:r>
          </w:p>
          <w:p w14:paraId="0CC91369">
            <w:pPr>
              <w:rPr>
                <w:rFonts w:hint="eastAsia" w:ascii="宋体" w:hAnsi="宋体" w:cs="宋体"/>
                <w:color w:val="auto"/>
                <w:sz w:val="18"/>
                <w:szCs w:val="18"/>
              </w:rPr>
            </w:pPr>
            <w:r>
              <w:rPr>
                <w:rFonts w:hint="eastAsia" w:ascii="宋体" w:hAnsi="宋体" w:cs="宋体"/>
                <w:color w:val="auto"/>
                <w:sz w:val="18"/>
                <w:szCs w:val="18"/>
              </w:rPr>
              <w:t>（25）读出噪声≤2.5e- 。</w:t>
            </w:r>
          </w:p>
          <w:p w14:paraId="4E17F556">
            <w:pPr>
              <w:rPr>
                <w:rFonts w:hint="eastAsia" w:ascii="宋体" w:hAnsi="宋体" w:cs="宋体"/>
                <w:color w:val="auto"/>
                <w:sz w:val="18"/>
                <w:szCs w:val="18"/>
              </w:rPr>
            </w:pPr>
            <w:r>
              <w:rPr>
                <w:rFonts w:hint="eastAsia" w:ascii="宋体" w:hAnsi="宋体" w:cs="宋体"/>
                <w:color w:val="auto"/>
                <w:sz w:val="18"/>
                <w:szCs w:val="18"/>
              </w:rPr>
              <w:t>（26）数据接口：USB3.0。</w:t>
            </w:r>
          </w:p>
          <w:p w14:paraId="39C864CA">
            <w:pPr>
              <w:rPr>
                <w:rFonts w:hint="eastAsia" w:ascii="宋体" w:hAnsi="宋体" w:cs="宋体"/>
                <w:color w:val="auto"/>
                <w:sz w:val="18"/>
                <w:szCs w:val="18"/>
              </w:rPr>
            </w:pPr>
            <w:r>
              <w:rPr>
                <w:rFonts w:hint="eastAsia" w:ascii="宋体" w:hAnsi="宋体" w:cs="宋体"/>
                <w:color w:val="auto"/>
                <w:sz w:val="18"/>
                <w:szCs w:val="18"/>
              </w:rPr>
              <w:t>（27）图像采集模式：单拍、连拍、定时拍摄。</w:t>
            </w:r>
          </w:p>
          <w:p w14:paraId="7309F86A">
            <w:pPr>
              <w:rPr>
                <w:rFonts w:hint="eastAsia" w:ascii="宋体" w:hAnsi="宋体" w:cs="宋体"/>
                <w:color w:val="auto"/>
                <w:sz w:val="18"/>
                <w:szCs w:val="18"/>
              </w:rPr>
            </w:pPr>
            <w:r>
              <w:rPr>
                <w:rFonts w:hint="eastAsia" w:ascii="宋体" w:hAnsi="宋体" w:cs="宋体"/>
                <w:color w:val="auto"/>
                <w:sz w:val="18"/>
                <w:szCs w:val="18"/>
              </w:rPr>
              <w:t>（28）图像保存格式：RAW / JPE / BMP / PNG / TIF</w:t>
            </w:r>
          </w:p>
          <w:p w14:paraId="77E68BE4">
            <w:pPr>
              <w:rPr>
                <w:rFonts w:hint="eastAsia" w:ascii="宋体" w:hAnsi="宋体" w:cs="宋体"/>
                <w:color w:val="auto"/>
                <w:sz w:val="18"/>
                <w:szCs w:val="18"/>
              </w:rPr>
            </w:pPr>
            <w:r>
              <w:rPr>
                <w:rFonts w:hint="eastAsia" w:ascii="宋体" w:hAnsi="宋体" w:cs="宋体"/>
                <w:color w:val="auto"/>
                <w:sz w:val="18"/>
                <w:szCs w:val="18"/>
              </w:rPr>
              <w:t>（29） avi视频采集（可选H.264压缩编码）。</w:t>
            </w:r>
          </w:p>
          <w:p w14:paraId="128AD37F">
            <w:pPr>
              <w:rPr>
                <w:rFonts w:hint="eastAsia" w:ascii="宋体" w:hAnsi="宋体" w:cs="宋体"/>
                <w:color w:val="auto"/>
                <w:sz w:val="18"/>
                <w:szCs w:val="18"/>
              </w:rPr>
            </w:pPr>
            <w:r>
              <w:rPr>
                <w:rFonts w:hint="eastAsia" w:ascii="宋体" w:hAnsi="宋体" w:cs="宋体"/>
                <w:color w:val="auto"/>
                <w:sz w:val="18"/>
                <w:szCs w:val="18"/>
              </w:rPr>
              <w:t>（30）软件接口支持：DirectShow、TWAIN、ImageJ、μManger、MATLAB、LavVIEW。</w:t>
            </w:r>
          </w:p>
          <w:p w14:paraId="3D3BE147">
            <w:pPr>
              <w:rPr>
                <w:rFonts w:hint="eastAsia" w:ascii="宋体" w:hAnsi="宋体" w:cs="宋体"/>
                <w:color w:val="auto"/>
                <w:sz w:val="18"/>
                <w:szCs w:val="18"/>
              </w:rPr>
            </w:pPr>
            <w:r>
              <w:rPr>
                <w:rFonts w:hint="eastAsia" w:ascii="宋体" w:hAnsi="宋体" w:cs="宋体"/>
                <w:color w:val="auto"/>
                <w:sz w:val="18"/>
                <w:szCs w:val="18"/>
              </w:rPr>
              <w:t>（31）自动曝光功能：自动/手动/区域。</w:t>
            </w:r>
          </w:p>
          <w:p w14:paraId="7254E18E">
            <w:pPr>
              <w:rPr>
                <w:rFonts w:hint="eastAsia" w:ascii="宋体" w:hAnsi="宋体" w:cs="宋体"/>
                <w:color w:val="auto"/>
                <w:sz w:val="18"/>
                <w:szCs w:val="18"/>
              </w:rPr>
            </w:pPr>
            <w:r>
              <w:rPr>
                <w:rFonts w:hint="eastAsia" w:ascii="宋体" w:hAnsi="宋体" w:cs="宋体"/>
                <w:color w:val="auto"/>
                <w:sz w:val="18"/>
                <w:szCs w:val="18"/>
              </w:rPr>
              <w:t>（32）辅助对焦功能。</w:t>
            </w:r>
          </w:p>
          <w:p w14:paraId="5FB6D13F">
            <w:pPr>
              <w:rPr>
                <w:rFonts w:hint="eastAsia" w:ascii="宋体" w:hAnsi="宋体" w:cs="宋体"/>
                <w:color w:val="auto"/>
                <w:sz w:val="18"/>
                <w:szCs w:val="18"/>
              </w:rPr>
            </w:pPr>
            <w:r>
              <w:rPr>
                <w:rFonts w:hint="eastAsia" w:ascii="宋体" w:hAnsi="宋体" w:cs="宋体"/>
                <w:color w:val="auto"/>
                <w:sz w:val="18"/>
                <w:szCs w:val="18"/>
              </w:rPr>
              <w:t>（33）荧光多通道合成。</w:t>
            </w:r>
          </w:p>
          <w:p w14:paraId="4EB63A0E">
            <w:pPr>
              <w:rPr>
                <w:rFonts w:hint="eastAsia" w:ascii="宋体" w:hAnsi="宋体" w:cs="宋体"/>
                <w:color w:val="auto"/>
                <w:sz w:val="18"/>
                <w:szCs w:val="18"/>
              </w:rPr>
            </w:pPr>
            <w:r>
              <w:rPr>
                <w:rFonts w:hint="eastAsia" w:ascii="宋体" w:hAnsi="宋体" w:cs="宋体"/>
                <w:color w:val="auto"/>
                <w:sz w:val="18"/>
                <w:szCs w:val="18"/>
              </w:rPr>
              <w:t>（34） 1mip荧光最大密度投影。</w:t>
            </w:r>
          </w:p>
          <w:p w14:paraId="791326F0">
            <w:pPr>
              <w:rPr>
                <w:rFonts w:hint="eastAsia" w:ascii="宋体" w:hAnsi="宋体" w:cs="宋体"/>
                <w:color w:val="auto"/>
                <w:sz w:val="18"/>
                <w:szCs w:val="18"/>
              </w:rPr>
            </w:pPr>
            <w:r>
              <w:rPr>
                <w:rFonts w:hint="eastAsia" w:ascii="宋体" w:hAnsi="宋体" w:cs="宋体"/>
                <w:color w:val="auto"/>
                <w:sz w:val="18"/>
                <w:szCs w:val="18"/>
              </w:rPr>
              <w:t>（35）自定义Word、Excel、PDF报告模板，并导出至Word、Excel、PDF。</w:t>
            </w:r>
          </w:p>
          <w:p w14:paraId="155CD8DC">
            <w:pPr>
              <w:rPr>
                <w:rFonts w:hint="eastAsia" w:ascii="宋体" w:hAnsi="宋体" w:cs="宋体"/>
                <w:color w:val="auto"/>
                <w:sz w:val="18"/>
                <w:szCs w:val="18"/>
              </w:rPr>
            </w:pPr>
            <w:r>
              <w:rPr>
                <w:rFonts w:hint="eastAsia" w:ascii="宋体" w:hAnsi="宋体" w:cs="宋体"/>
                <w:color w:val="auto"/>
                <w:sz w:val="18"/>
                <w:szCs w:val="18"/>
              </w:rPr>
              <w:t>（36）可升级电控系统：电动XY、Z、XYZ拼接，3D超景深。</w:t>
            </w:r>
          </w:p>
          <w:p w14:paraId="2EB629F3">
            <w:pPr>
              <w:rPr>
                <w:rFonts w:hint="eastAsia" w:ascii="宋体" w:hAnsi="宋体" w:eastAsia="宋体" w:cs="宋体"/>
                <w:color w:val="auto"/>
                <w:kern w:val="0"/>
                <w:sz w:val="18"/>
                <w:szCs w:val="18"/>
                <w:lang w:val="en-US" w:eastAsia="zh-CN" w:bidi="ar"/>
              </w:rPr>
            </w:pPr>
            <w:r>
              <w:rPr>
                <w:rFonts w:hint="eastAsia" w:ascii="宋体" w:hAnsi="宋体" w:cs="宋体"/>
                <w:color w:val="auto"/>
                <w:sz w:val="18"/>
                <w:szCs w:val="18"/>
              </w:rPr>
              <w:t>（37）用户可编程控制</w:t>
            </w:r>
            <w:r>
              <w:rPr>
                <w:rFonts w:hint="eastAsia" w:ascii="宋体" w:hAnsi="宋体" w:cs="宋体"/>
                <w:color w:val="auto"/>
                <w:sz w:val="18"/>
                <w:szCs w:val="18"/>
              </w:rPr>
              <w:tab/>
            </w:r>
            <w:r>
              <w:rPr>
                <w:rFonts w:hint="eastAsia" w:ascii="宋体" w:hAnsi="宋体" w:cs="宋体"/>
                <w:color w:val="auto"/>
                <w:sz w:val="18"/>
                <w:szCs w:val="18"/>
              </w:rPr>
              <w:t>自定义用</w:t>
            </w:r>
            <w:bookmarkStart w:id="206" w:name="_GoBack"/>
            <w:bookmarkEnd w:id="206"/>
            <w:r>
              <w:rPr>
                <w:rFonts w:hint="eastAsia" w:ascii="宋体" w:hAnsi="宋体" w:cs="宋体"/>
                <w:color w:val="auto"/>
                <w:sz w:val="18"/>
                <w:szCs w:val="18"/>
              </w:rPr>
              <w:t>户界面UI、图像尺寸、曝光时间、增益、伽玛、对比度、RGB增益、饱和度、黑电平、锐度、2D降噪、3D降噪等。</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F197821">
            <w:pPr>
              <w:rPr>
                <w:rFonts w:hint="eastAsia" w:ascii="宋体" w:hAnsi="宋体" w:eastAsia="宋体" w:cs="宋体"/>
                <w:color w:val="auto"/>
                <w:sz w:val="18"/>
                <w:szCs w:val="18"/>
              </w:rPr>
            </w:pPr>
          </w:p>
        </w:tc>
      </w:tr>
      <w:tr w14:paraId="5E801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584A167">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lang w:val="en-US" w:eastAsia="zh-CN"/>
              </w:rPr>
              <w:t>6</w:t>
            </w:r>
          </w:p>
        </w:tc>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DAE3E">
            <w:pPr>
              <w:spacing w:beforeLines="0" w:afterLines="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rPr>
              <w:t>低频振动分装机</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EDB59">
            <w:pPr>
              <w:spacing w:beforeLines="0" w:afterLines="0"/>
              <w:jc w:val="center"/>
              <w:rPr>
                <w:rFonts w:hint="eastAsia" w:ascii="宋体" w:hAnsi="宋体" w:eastAsia="宋体" w:cs="宋体"/>
                <w:color w:val="auto"/>
                <w:sz w:val="18"/>
                <w:szCs w:val="18"/>
              </w:rPr>
            </w:pPr>
            <w:r>
              <w:rPr>
                <w:rFonts w:hint="eastAsia" w:ascii="宋体" w:hAnsi="宋体" w:eastAsia="宋体" w:cs="宋体"/>
                <w:i w:val="0"/>
                <w:iCs w:val="0"/>
                <w:color w:val="auto"/>
                <w:kern w:val="0"/>
                <w:sz w:val="18"/>
                <w:szCs w:val="18"/>
                <w:u w:val="none"/>
                <w:lang w:val="en-US" w:eastAsia="zh-CN" w:bidi="ar"/>
              </w:rPr>
              <w:t>否</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3298A">
            <w:pPr>
              <w:spacing w:beforeLines="0" w:afterLines="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335" w:type="pct"/>
            <w:tcBorders>
              <w:top w:val="single" w:color="000000" w:sz="4" w:space="0"/>
              <w:left w:val="single" w:color="000000" w:sz="4" w:space="0"/>
              <w:bottom w:val="single" w:color="000000" w:sz="4" w:space="0"/>
              <w:right w:val="single" w:color="auto" w:sz="4" w:space="0"/>
            </w:tcBorders>
            <w:shd w:val="clear" w:color="auto" w:fill="auto"/>
            <w:vAlign w:val="center"/>
          </w:tcPr>
          <w:p w14:paraId="0EECE529">
            <w:pPr>
              <w:widowControl/>
              <w:jc w:val="center"/>
              <w:textAlignment w:val="center"/>
              <w:rPr>
                <w:rFonts w:hint="eastAsia" w:ascii="宋体" w:hAnsi="宋体" w:eastAsia="宋体" w:cs="宋体"/>
                <w:color w:val="auto"/>
                <w:kern w:val="0"/>
                <w:sz w:val="18"/>
                <w:szCs w:val="18"/>
                <w:lang w:bidi="ar"/>
              </w:rPr>
            </w:pPr>
            <w:r>
              <w:rPr>
                <w:rFonts w:hint="eastAsia" w:ascii="宋体" w:hAnsi="宋体" w:eastAsia="宋体" w:cs="宋体"/>
                <w:color w:val="auto"/>
                <w:kern w:val="0"/>
                <w:sz w:val="18"/>
                <w:szCs w:val="18"/>
                <w:lang w:val="en-US" w:eastAsia="zh-CN" w:bidi="ar"/>
              </w:rPr>
              <w:t>台/套</w:t>
            </w:r>
          </w:p>
        </w:tc>
        <w:tc>
          <w:tcPr>
            <w:tcW w:w="47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9659F9">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eastAsia="宋体" w:cs="宋体"/>
                <w:color w:val="auto"/>
                <w:kern w:val="0"/>
                <w:sz w:val="18"/>
                <w:szCs w:val="18"/>
                <w:lang w:val="en-US" w:eastAsia="zh-CN" w:bidi="ar"/>
              </w:rPr>
              <w:t>25</w:t>
            </w:r>
          </w:p>
        </w:tc>
        <w:tc>
          <w:tcPr>
            <w:tcW w:w="256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F92356">
            <w:pPr>
              <w:rPr>
                <w:rFonts w:hint="eastAsia" w:ascii="宋体" w:hAnsi="宋体" w:cs="宋体"/>
                <w:color w:val="auto"/>
                <w:sz w:val="18"/>
                <w:szCs w:val="18"/>
              </w:rPr>
            </w:pPr>
            <w:r>
              <w:rPr>
                <w:rFonts w:hint="eastAsia" w:ascii="宋体" w:hAnsi="宋体" w:cs="宋体"/>
                <w:color w:val="auto"/>
                <w:sz w:val="18"/>
                <w:szCs w:val="18"/>
              </w:rPr>
              <w:t>1.低频振动分装机由两台提升机组成，为蜂卡成型机的配套设备，安装在蜂卡成型机设备主体两侧，分别为蜂球下球提升机（左侧）和蜂球上球提升机（右侧）。</w:t>
            </w:r>
          </w:p>
          <w:p w14:paraId="0E847A54">
            <w:pPr>
              <w:rPr>
                <w:rFonts w:hint="eastAsia" w:ascii="宋体" w:hAnsi="宋体" w:cs="宋体"/>
                <w:color w:val="auto"/>
                <w:sz w:val="18"/>
                <w:szCs w:val="18"/>
              </w:rPr>
            </w:pPr>
            <w:r>
              <w:rPr>
                <w:rFonts w:hint="eastAsia" w:ascii="宋体" w:hAnsi="宋体" w:cs="宋体"/>
                <w:color w:val="auto"/>
                <w:sz w:val="18"/>
                <w:szCs w:val="18"/>
              </w:rPr>
              <w:t>2.提升机有料仓、振动装置、侍服电机、输送带、连接导轨及吹气装置组成；蜂球上下半球在料仓内，通过振动装置使蜂球壳体进入输送带进行输送，吹气装置把蜂球依次吹入连接导轨排序等待。</w:t>
            </w:r>
          </w:p>
          <w:p w14:paraId="5F495BD2">
            <w:pPr>
              <w:rPr>
                <w:rFonts w:hint="eastAsia" w:ascii="宋体" w:hAnsi="宋体" w:cs="宋体"/>
                <w:color w:val="auto"/>
                <w:sz w:val="18"/>
                <w:szCs w:val="18"/>
              </w:rPr>
            </w:pPr>
            <w:r>
              <w:rPr>
                <w:rFonts w:hint="eastAsia" w:ascii="宋体" w:hAnsi="宋体" w:cs="宋体"/>
                <w:color w:val="auto"/>
                <w:sz w:val="18"/>
                <w:szCs w:val="18"/>
              </w:rPr>
              <w:t>3.主要技术指标：</w:t>
            </w:r>
          </w:p>
          <w:p w14:paraId="67C8A2F3">
            <w:pPr>
              <w:rPr>
                <w:rFonts w:hint="eastAsia" w:ascii="宋体" w:hAnsi="宋体" w:cs="宋体"/>
                <w:color w:val="auto"/>
                <w:sz w:val="18"/>
                <w:szCs w:val="18"/>
              </w:rPr>
            </w:pPr>
            <w:r>
              <w:rPr>
                <w:rFonts w:hint="eastAsia" w:ascii="宋体" w:hAnsi="宋体" w:cs="宋体"/>
                <w:color w:val="auto"/>
                <w:kern w:val="0"/>
                <w:sz w:val="18"/>
                <w:szCs w:val="18"/>
                <w:lang w:bidi="ar"/>
              </w:rPr>
              <w:t>★</w:t>
            </w:r>
            <w:r>
              <w:rPr>
                <w:rFonts w:hint="eastAsia" w:ascii="宋体" w:hAnsi="宋体" w:cs="宋体"/>
                <w:color w:val="auto"/>
                <w:sz w:val="18"/>
                <w:szCs w:val="18"/>
              </w:rPr>
              <w:t>（1）料仓容量：≥10000个蜂球半球。</w:t>
            </w:r>
          </w:p>
          <w:p w14:paraId="2E3EDEC6">
            <w:pPr>
              <w:rPr>
                <w:rFonts w:hint="eastAsia" w:ascii="宋体" w:hAnsi="宋体" w:cs="宋体"/>
                <w:color w:val="auto"/>
                <w:sz w:val="18"/>
                <w:szCs w:val="18"/>
              </w:rPr>
            </w:pPr>
            <w:r>
              <w:rPr>
                <w:rFonts w:hint="eastAsia" w:ascii="宋体" w:hAnsi="宋体" w:cs="宋体"/>
                <w:color w:val="auto"/>
                <w:sz w:val="18"/>
                <w:szCs w:val="18"/>
              </w:rPr>
              <w:t>（2）输送速度：可调。</w:t>
            </w:r>
          </w:p>
          <w:p w14:paraId="06E108E5">
            <w:pPr>
              <w:rPr>
                <w:rFonts w:hint="eastAsia" w:ascii="宋体" w:hAnsi="宋体" w:cs="宋体"/>
                <w:color w:val="auto"/>
                <w:sz w:val="18"/>
                <w:szCs w:val="18"/>
              </w:rPr>
            </w:pPr>
            <w:r>
              <w:rPr>
                <w:rFonts w:hint="eastAsia" w:ascii="宋体" w:hAnsi="宋体" w:cs="宋体"/>
                <w:color w:val="auto"/>
                <w:sz w:val="18"/>
                <w:szCs w:val="18"/>
              </w:rPr>
              <w:t>（3）振动频率：可调。</w:t>
            </w:r>
          </w:p>
          <w:p w14:paraId="759C5C0F">
            <w:pPr>
              <w:rPr>
                <w:rFonts w:hint="eastAsia" w:ascii="宋体" w:hAnsi="宋体" w:cs="宋体"/>
                <w:color w:val="auto"/>
                <w:sz w:val="18"/>
                <w:szCs w:val="18"/>
              </w:rPr>
            </w:pPr>
            <w:r>
              <w:rPr>
                <w:rFonts w:hint="eastAsia" w:ascii="宋体" w:hAnsi="宋体" w:cs="宋体"/>
                <w:color w:val="auto"/>
                <w:sz w:val="18"/>
                <w:szCs w:val="18"/>
              </w:rPr>
              <w:t>（4）电气功率：≥300W。</w:t>
            </w:r>
          </w:p>
          <w:p w14:paraId="701C43EF">
            <w:pPr>
              <w:rPr>
                <w:rFonts w:hint="eastAsia" w:ascii="宋体" w:hAnsi="宋体" w:cs="宋体"/>
                <w:color w:val="auto"/>
                <w:sz w:val="18"/>
                <w:szCs w:val="18"/>
              </w:rPr>
            </w:pPr>
            <w:r>
              <w:rPr>
                <w:rFonts w:hint="eastAsia" w:ascii="宋体" w:hAnsi="宋体" w:cs="宋体"/>
                <w:color w:val="auto"/>
                <w:sz w:val="18"/>
                <w:szCs w:val="18"/>
              </w:rPr>
              <w:t>（5）设备尺寸：≥1300*1500*1700mm。</w:t>
            </w:r>
          </w:p>
          <w:p w14:paraId="06267D8A">
            <w:pPr>
              <w:rPr>
                <w:rFonts w:hint="eastAsia" w:ascii="宋体" w:hAnsi="宋体" w:eastAsia="宋体" w:cs="宋体"/>
                <w:color w:val="auto"/>
                <w:kern w:val="0"/>
                <w:sz w:val="18"/>
                <w:szCs w:val="18"/>
                <w:lang w:val="en-US" w:eastAsia="zh-CN" w:bidi="ar"/>
              </w:rPr>
            </w:pPr>
            <w:r>
              <w:rPr>
                <w:rFonts w:hint="eastAsia" w:ascii="宋体" w:hAnsi="宋体" w:cs="宋体"/>
                <w:color w:val="auto"/>
                <w:sz w:val="18"/>
                <w:szCs w:val="18"/>
              </w:rPr>
              <w:t>4.需提供设备三维图。</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B72A304">
            <w:pPr>
              <w:rPr>
                <w:rFonts w:hint="eastAsia" w:ascii="宋体" w:hAnsi="宋体" w:eastAsia="宋体" w:cs="宋体"/>
                <w:b/>
                <w:color w:val="auto"/>
                <w:sz w:val="18"/>
                <w:szCs w:val="18"/>
              </w:rPr>
            </w:pPr>
          </w:p>
        </w:tc>
      </w:tr>
    </w:tbl>
    <w:p w14:paraId="039EDAA2">
      <w:pPr>
        <w:spacing w:line="42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6.交货地点：</w:t>
      </w:r>
      <w:r>
        <w:rPr>
          <w:rFonts w:hint="eastAsia" w:ascii="宋体" w:hAnsi="宋体"/>
          <w:bCs/>
          <w:color w:val="auto"/>
          <w:spacing w:val="10"/>
          <w:sz w:val="24"/>
          <w:highlight w:val="none"/>
          <w:lang w:eastAsia="zh-CN"/>
        </w:rPr>
        <w:t>云南省农业科学院农业环境资源研究所（</w:t>
      </w:r>
      <w:r>
        <w:rPr>
          <w:rFonts w:hint="eastAsia" w:ascii="宋体" w:hAnsi="宋体"/>
          <w:bCs/>
          <w:color w:val="auto"/>
          <w:spacing w:val="10"/>
          <w:sz w:val="24"/>
          <w:highlight w:val="none"/>
          <w:lang w:val="en-US" w:eastAsia="zh-CN"/>
        </w:rPr>
        <w:t>具体以采购人指定地点为准</w:t>
      </w:r>
      <w:r>
        <w:rPr>
          <w:rFonts w:hint="eastAsia" w:ascii="宋体" w:hAnsi="宋体"/>
          <w:bCs/>
          <w:color w:val="auto"/>
          <w:spacing w:val="10"/>
          <w:sz w:val="24"/>
          <w:highlight w:val="none"/>
          <w:lang w:eastAsia="zh-CN"/>
        </w:rPr>
        <w:t>）。</w:t>
      </w:r>
    </w:p>
    <w:p w14:paraId="0A2EEB30">
      <w:pPr>
        <w:spacing w:line="42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.合同履行期限：</w:t>
      </w:r>
      <w:r>
        <w:rPr>
          <w:rFonts w:hint="eastAsia" w:ascii="宋体" w:hAnsi="宋体" w:eastAsia="宋体" w:cs="宋体"/>
          <w:color w:val="auto"/>
          <w:sz w:val="24"/>
        </w:rPr>
        <w:t>交货</w:t>
      </w:r>
      <w:r>
        <w:rPr>
          <w:rFonts w:hint="eastAsia" w:ascii="宋体" w:hAnsi="宋体" w:eastAsia="宋体" w:cs="宋体"/>
          <w:color w:val="auto"/>
          <w:sz w:val="24"/>
          <w:lang w:val="en-US" w:eastAsia="zh-CN"/>
        </w:rPr>
        <w:t>及安装调试</w:t>
      </w:r>
      <w:r>
        <w:rPr>
          <w:rFonts w:hint="eastAsia" w:ascii="宋体" w:hAnsi="宋体" w:eastAsia="宋体" w:cs="宋体"/>
          <w:color w:val="auto"/>
          <w:sz w:val="24"/>
        </w:rPr>
        <w:t>期：合同签订之日起</w:t>
      </w:r>
      <w:r>
        <w:rPr>
          <w:rFonts w:hint="eastAsia" w:ascii="宋体" w:hAnsi="宋体" w:cs="宋体"/>
          <w:color w:val="auto"/>
          <w:sz w:val="24"/>
          <w:lang w:val="en-US" w:eastAsia="zh-CN"/>
        </w:rPr>
        <w:t>90</w:t>
      </w:r>
      <w:r>
        <w:rPr>
          <w:rFonts w:hint="eastAsia" w:ascii="宋体" w:hAnsi="宋体" w:eastAsia="宋体" w:cs="宋体"/>
          <w:color w:val="auto"/>
          <w:sz w:val="24"/>
        </w:rPr>
        <w:t>日历天内完成交货及安装调试。免费质保期：</w:t>
      </w:r>
      <w:r>
        <w:rPr>
          <w:rFonts w:hint="eastAsia" w:ascii="宋体" w:hAnsi="宋体" w:cs="宋体"/>
          <w:color w:val="auto"/>
          <w:sz w:val="24"/>
          <w:lang w:eastAsia="zh-CN"/>
        </w:rPr>
        <w:t>项目验收合格之日起不少于3年</w:t>
      </w:r>
      <w:r>
        <w:rPr>
          <w:rFonts w:hint="eastAsia" w:ascii="宋体" w:hAnsi="宋体" w:eastAsia="宋体" w:cs="宋体"/>
          <w:color w:val="auto"/>
          <w:sz w:val="24"/>
          <w:lang w:eastAsia="zh-CN"/>
        </w:rPr>
        <w:t>。</w:t>
      </w:r>
    </w:p>
    <w:p w14:paraId="45014A82">
      <w:pPr>
        <w:spacing w:line="420" w:lineRule="exact"/>
        <w:ind w:firstLine="480" w:firstLineChars="200"/>
        <w:rPr>
          <w:rFonts w:ascii="宋体" w:hAnsi="宋体" w:cs="宋体"/>
          <w:b/>
          <w:bCs/>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.本项目</w:t>
      </w:r>
      <w:r>
        <w:rPr>
          <w:rFonts w:hint="eastAsia" w:ascii="宋体" w:hAnsi="宋体" w:cs="宋体"/>
          <w:b/>
          <w:bCs/>
          <w:color w:val="auto"/>
          <w:sz w:val="24"/>
          <w:highlight w:val="none"/>
          <w:u w:val="single"/>
        </w:rPr>
        <w:t xml:space="preserve"> 不接受 </w:t>
      </w:r>
      <w:r>
        <w:rPr>
          <w:rFonts w:hint="eastAsia" w:ascii="宋体" w:hAnsi="宋体" w:cs="宋体"/>
          <w:color w:val="auto"/>
          <w:sz w:val="24"/>
          <w:highlight w:val="none"/>
        </w:rPr>
        <w:t>联合体投标。</w:t>
      </w:r>
    </w:p>
    <w:p w14:paraId="5D942E4C">
      <w:pPr>
        <w:spacing w:line="420" w:lineRule="exact"/>
        <w:ind w:firstLine="482"/>
        <w:rPr>
          <w:rFonts w:ascii="宋体" w:hAnsi="宋体" w:cs="宋体"/>
          <w:b/>
          <w:bCs/>
          <w:color w:val="auto"/>
          <w:sz w:val="24"/>
          <w:highlight w:val="none"/>
        </w:rPr>
      </w:pPr>
      <w:bookmarkStart w:id="6" w:name="_Toc35393622"/>
      <w:bookmarkStart w:id="7" w:name="_Toc28359080"/>
      <w:bookmarkStart w:id="8" w:name="_Toc28359003"/>
      <w:bookmarkStart w:id="9" w:name="_Toc35393791"/>
      <w:r>
        <w:rPr>
          <w:rFonts w:hint="eastAsia" w:ascii="宋体" w:hAnsi="宋体" w:cs="宋体"/>
          <w:b/>
          <w:bCs/>
          <w:color w:val="auto"/>
          <w:sz w:val="24"/>
          <w:highlight w:val="none"/>
        </w:rPr>
        <w:t>二、申请人的资格要求：</w:t>
      </w:r>
      <w:bookmarkEnd w:id="6"/>
      <w:bookmarkEnd w:id="7"/>
      <w:bookmarkEnd w:id="8"/>
      <w:bookmarkEnd w:id="9"/>
    </w:p>
    <w:p w14:paraId="18C107FB">
      <w:pPr>
        <w:spacing w:line="420" w:lineRule="exact"/>
        <w:ind w:firstLine="480" w:firstLineChars="200"/>
        <w:rPr>
          <w:rFonts w:hint="eastAsia" w:ascii="宋体" w:hAnsi="宋体" w:eastAsia="宋体" w:cs="宋体"/>
          <w:color w:val="auto"/>
          <w:sz w:val="24"/>
          <w:highlight w:val="none"/>
          <w:lang w:eastAsia="zh-CN"/>
        </w:rPr>
      </w:pPr>
      <w:bookmarkStart w:id="10" w:name="_Toc28359081"/>
      <w:bookmarkStart w:id="11" w:name="_Toc35393623"/>
      <w:bookmarkStart w:id="12" w:name="_Toc28359004"/>
      <w:bookmarkStart w:id="13" w:name="_Toc35393792"/>
      <w:r>
        <w:rPr>
          <w:rFonts w:hint="eastAsia" w:ascii="宋体" w:hAnsi="宋体" w:cs="宋体"/>
          <w:color w:val="auto"/>
          <w:sz w:val="24"/>
          <w:highlight w:val="none"/>
        </w:rPr>
        <w:t>1.满足《中华人民共和国政府采购法》第二十二条规定</w:t>
      </w:r>
      <w:r>
        <w:rPr>
          <w:rFonts w:hint="eastAsia" w:ascii="宋体" w:hAnsi="宋体" w:cs="宋体"/>
          <w:color w:val="auto"/>
          <w:sz w:val="24"/>
          <w:highlight w:val="none"/>
          <w:lang w:eastAsia="zh-CN"/>
        </w:rPr>
        <w:t>：</w:t>
      </w:r>
    </w:p>
    <w:p w14:paraId="405BF104">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2.落实政府采购政策需满足的资格要求：</w:t>
      </w:r>
      <w:r>
        <w:rPr>
          <w:rFonts w:hint="eastAsia" w:ascii="宋体" w:hAnsi="宋体" w:cs="宋体"/>
          <w:b/>
          <w:bCs/>
          <w:color w:val="auto"/>
          <w:sz w:val="24"/>
          <w:highlight w:val="none"/>
          <w:u w:val="single"/>
        </w:rPr>
        <w:t>本项目专门面向中小微企业采购</w:t>
      </w:r>
      <w:r>
        <w:rPr>
          <w:rFonts w:hint="eastAsia" w:ascii="宋体" w:hAnsi="宋体" w:eastAsia="宋体" w:cs="宋体"/>
          <w:color w:val="auto"/>
          <w:sz w:val="24"/>
          <w:highlight w:val="none"/>
          <w:lang w:val="en-US" w:eastAsia="zh-CN"/>
        </w:rPr>
        <w:t>。</w:t>
      </w:r>
    </w:p>
    <w:p w14:paraId="2239EF36">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3.本项目的特定资格要求：</w:t>
      </w:r>
    </w:p>
    <w:p w14:paraId="28C4BD74">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3.1投标人应具有独立承担民事责任的能力，提供营业执照或国家颁发的相关证照等证明文件（原件扫描件加盖电子签章）。</w:t>
      </w:r>
    </w:p>
    <w:p w14:paraId="30BB6806">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3.2投标人应具有良好的商业信誉和健全的财务会计制度：</w:t>
      </w:r>
    </w:p>
    <w:p w14:paraId="078A13F1">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3.2.1投标人若为法人且成立1年及以上</w:t>
      </w:r>
      <w:r>
        <w:rPr>
          <w:rFonts w:hint="eastAsia" w:ascii="宋体" w:hAnsi="宋体" w:cs="宋体"/>
          <w:color w:val="auto"/>
          <w:sz w:val="24"/>
          <w:highlight w:val="none"/>
          <w:lang w:eastAsia="zh-CN"/>
        </w:rPr>
        <w:t>，提供 2024 年或 2025 年经审计的财务报告[报告包含：资产负债表、利润表、现金流量表、所有者权益变动表（若无所有者权益变动，此表可不提供）及会计报表附注]</w:t>
      </w:r>
      <w:r>
        <w:rPr>
          <w:rFonts w:hint="eastAsia" w:ascii="宋体" w:hAnsi="宋体" w:cs="宋体"/>
          <w:color w:val="auto"/>
          <w:sz w:val="24"/>
          <w:highlight w:val="none"/>
        </w:rPr>
        <w:t>（原件扫描件加盖电子签章）。</w:t>
      </w:r>
    </w:p>
    <w:p w14:paraId="5A12A049">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3.2.2投标人若为非法人组织且成立1年及以上</w:t>
      </w:r>
      <w:r>
        <w:rPr>
          <w:rFonts w:hint="eastAsia" w:ascii="宋体" w:hAnsi="宋体" w:cs="宋体"/>
          <w:color w:val="auto"/>
          <w:sz w:val="24"/>
          <w:highlight w:val="none"/>
          <w:lang w:eastAsia="zh-CN"/>
        </w:rPr>
        <w:t>，</w:t>
      </w:r>
      <w:r>
        <w:rPr>
          <w:rFonts w:hint="eastAsia" w:ascii="宋体" w:hAnsi="宋体" w:cs="宋体"/>
          <w:color w:val="auto"/>
          <w:sz w:val="24"/>
          <w:highlight w:val="none"/>
        </w:rPr>
        <w:t>提供2024年或2025</w:t>
      </w:r>
      <w:r>
        <w:rPr>
          <w:rFonts w:hint="eastAsia" w:ascii="宋体" w:hAnsi="宋体" w:cs="宋体"/>
          <w:color w:val="auto"/>
          <w:sz w:val="24"/>
          <w:highlight w:val="none"/>
          <w:lang w:val="en-US" w:eastAsia="zh-CN"/>
        </w:rPr>
        <w:t>年</w:t>
      </w:r>
      <w:r>
        <w:rPr>
          <w:rFonts w:hint="eastAsia" w:ascii="宋体" w:hAnsi="宋体" w:cs="宋体"/>
          <w:color w:val="auto"/>
          <w:sz w:val="24"/>
          <w:highlight w:val="none"/>
        </w:rPr>
        <w:t>财务报表（原件扫描件加盖电子签章）。</w:t>
      </w:r>
    </w:p>
    <w:p w14:paraId="3593DEC2">
      <w:pPr>
        <w:spacing w:line="420" w:lineRule="exact"/>
        <w:ind w:firstLine="480" w:firstLineChars="200"/>
        <w:rPr>
          <w:rFonts w:hint="eastAsia" w:ascii="宋体" w:hAnsi="宋体" w:cs="宋体"/>
          <w:color w:val="auto"/>
          <w:sz w:val="24"/>
          <w:szCs w:val="22"/>
          <w:highlight w:val="none"/>
        </w:rPr>
      </w:pPr>
      <w:r>
        <w:rPr>
          <w:rFonts w:hint="eastAsia" w:ascii="宋体" w:hAnsi="宋体" w:cs="宋体"/>
          <w:color w:val="auto"/>
          <w:sz w:val="24"/>
          <w:highlight w:val="none"/>
        </w:rPr>
        <w:t>3.2.3投标人成立不足1年的</w:t>
      </w:r>
      <w:r>
        <w:rPr>
          <w:rFonts w:hint="eastAsia" w:ascii="宋体" w:hAnsi="宋体" w:cs="宋体"/>
          <w:color w:val="auto"/>
          <w:sz w:val="24"/>
          <w:highlight w:val="none"/>
          <w:lang w:eastAsia="zh-CN"/>
        </w:rPr>
        <w:t>，</w:t>
      </w:r>
      <w:r>
        <w:rPr>
          <w:rFonts w:hint="eastAsia" w:ascii="宋体" w:hAnsi="宋体" w:cs="宋体"/>
          <w:color w:val="auto"/>
          <w:sz w:val="24"/>
          <w:highlight w:val="none"/>
        </w:rPr>
        <w:t>提供自投标文件提交截止时间前三个月内开户银行出具的资信证明或资金存款证明（原件扫描件加盖电子签章）；投标人成立不足3个月的，提供财务状况良好承诺书（原件加盖电子签章）</w:t>
      </w:r>
      <w:r>
        <w:rPr>
          <w:rFonts w:hint="eastAsia" w:ascii="宋体" w:hAnsi="宋体" w:cs="宋体"/>
          <w:color w:val="auto"/>
          <w:sz w:val="24"/>
          <w:szCs w:val="22"/>
          <w:highlight w:val="none"/>
        </w:rPr>
        <w:t>。</w:t>
      </w:r>
    </w:p>
    <w:p w14:paraId="64595AC8">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3.2.4若投标人不属于以上情形或存在特殊情况的</w:t>
      </w:r>
      <w:r>
        <w:rPr>
          <w:rFonts w:hint="eastAsia" w:ascii="宋体" w:hAnsi="宋体" w:cs="宋体"/>
          <w:color w:val="auto"/>
          <w:sz w:val="24"/>
          <w:highlight w:val="none"/>
          <w:lang w:eastAsia="zh-CN"/>
        </w:rPr>
        <w:t>，</w:t>
      </w:r>
      <w:r>
        <w:rPr>
          <w:rFonts w:hint="eastAsia" w:ascii="宋体" w:hAnsi="宋体" w:cs="宋体"/>
          <w:color w:val="auto"/>
          <w:sz w:val="24"/>
          <w:highlight w:val="none"/>
        </w:rPr>
        <w:t>请提供相关证明材料或情况说明或承诺函并对其材料的真实性负责（原件加盖电子签章）。</w:t>
      </w:r>
    </w:p>
    <w:p w14:paraId="5CA30C80">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投标人应具有依法缴纳税收和社会保障资金的良好记录，提供投标文件递交截止时间前1年期内任意1个月的依法缴纳税收和社会保障资金的证明材料（原件扫描件加盖电子签章）。投标人成立时间不足3个月的，提供相关情况说明（原件加盖电子签章）；依法免税或不需要缴纳社会保障资金的投标人，应提供相应文件（原件扫描件加盖电子签章）证明其依法免税或不需要缴纳社会保障资金。</w:t>
      </w:r>
    </w:p>
    <w:p w14:paraId="71BD91A4">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3.4投标人应具有履行合同所必需的设备和专业技术能力，提供具有履行合同所必需的设备和专业技术能力的证明材料或声明函（原件加盖电子签章）。</w:t>
      </w:r>
    </w:p>
    <w:p w14:paraId="3B5E145C">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3.5投标人参加政府采购前三年内，在经营活动中没有重大违法记录（指投标人因违法经营受到刑事处罚或者责令停产停业、吊销许可证或者执照、较大数额罚款等行政处罚），提供承诺函（原件加盖电子签章）。</w:t>
      </w:r>
    </w:p>
    <w:p w14:paraId="07AF82E1">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3.6投标人未对本项目提供整体设计、规范编制或者项目管理、监理、检测等服务，提供承诺函（原件加盖电子签章）。</w:t>
      </w:r>
    </w:p>
    <w:p w14:paraId="3A3F1BB2">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w:t>
      </w:r>
      <w:r>
        <w:rPr>
          <w:rFonts w:hint="eastAsia" w:ascii="宋体" w:hAnsi="宋体" w:cs="宋体"/>
          <w:color w:val="auto"/>
          <w:kern w:val="0"/>
          <w:sz w:val="24"/>
          <w:highlight w:val="none"/>
        </w:rPr>
        <w:t>单位负责人为同一人或者存在直接控股、管理关系的不同投标人，不得参加同一合同项下的政府采购活动，</w:t>
      </w:r>
      <w:r>
        <w:rPr>
          <w:rFonts w:hint="eastAsia" w:ascii="宋体" w:hAnsi="宋体" w:cs="宋体"/>
          <w:color w:val="auto"/>
          <w:sz w:val="24"/>
          <w:highlight w:val="none"/>
        </w:rPr>
        <w:t>提供承诺函（原件加盖电子签章）。</w:t>
      </w:r>
    </w:p>
    <w:p w14:paraId="0B163087">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3.8符合法律、行政法规规定的其他条件，提供承诺函（原件加盖电子签章）。</w:t>
      </w:r>
    </w:p>
    <w:p w14:paraId="54815532">
      <w:pPr>
        <w:spacing w:line="420" w:lineRule="exact"/>
        <w:ind w:firstLine="482"/>
        <w:rPr>
          <w:rFonts w:ascii="宋体" w:hAnsi="宋体" w:cs="宋体"/>
          <w:b/>
          <w:bCs/>
          <w:color w:val="auto"/>
          <w:sz w:val="24"/>
          <w:highlight w:val="none"/>
        </w:rPr>
      </w:pPr>
      <w:r>
        <w:rPr>
          <w:rFonts w:hint="eastAsia" w:ascii="宋体" w:hAnsi="宋体" w:cs="宋体"/>
          <w:color w:val="auto"/>
          <w:sz w:val="24"/>
          <w:highlight w:val="none"/>
        </w:rPr>
        <w:t>3.9根据《财政部关于在政府采购活动中查询及使用信用记录的通知》（财库〔2016〕125号）的要求，采购代理机构将通过“信用中国”网站（www.creditchina.gov.cn）、“中国政府采购网”网站（www.ccgp.gov.cn）等渠道查询投标人的信用记录【查询时间为开标时间当天，查询结果以采购代理机构查询结果为准，并将查询记录和证据留存】，拒绝列入失信被执行人、重大税收违法失信主体、政府采购活动严重违法失信行为记录名单中的投标人参加本项目的投标活动（此部分由采购代理机构查询即可，投标人无需提供）</w:t>
      </w:r>
      <w:r>
        <w:rPr>
          <w:rFonts w:hint="eastAsia" w:ascii="宋体" w:hAnsi="宋体" w:cs="宋体"/>
          <w:color w:val="auto"/>
          <w:sz w:val="24"/>
          <w:highlight w:val="none"/>
          <w:lang w:eastAsia="zh-CN"/>
        </w:rPr>
        <w:t>。</w:t>
      </w:r>
      <w:r>
        <w:rPr>
          <w:rFonts w:hint="eastAsia" w:ascii="宋体" w:hAnsi="宋体" w:cs="宋体"/>
          <w:b/>
          <w:bCs/>
          <w:color w:val="auto"/>
          <w:sz w:val="24"/>
          <w:highlight w:val="none"/>
        </w:rPr>
        <w:t>三、获取招标文件</w:t>
      </w:r>
      <w:bookmarkEnd w:id="10"/>
      <w:bookmarkEnd w:id="11"/>
      <w:bookmarkEnd w:id="12"/>
      <w:bookmarkEnd w:id="13"/>
    </w:p>
    <w:p w14:paraId="00AE52DC">
      <w:pPr>
        <w:shd w:val="clear" w:color="auto" w:fill="FFFFFF"/>
        <w:spacing w:line="420" w:lineRule="exact"/>
        <w:ind w:firstLine="520" w:firstLineChars="200"/>
        <w:jc w:val="left"/>
        <w:rPr>
          <w:rFonts w:ascii="宋体" w:hAnsi="宋体"/>
          <w:bCs/>
          <w:color w:val="auto"/>
          <w:spacing w:val="10"/>
          <w:sz w:val="24"/>
          <w:szCs w:val="22"/>
          <w:highlight w:val="none"/>
        </w:rPr>
      </w:pPr>
      <w:r>
        <w:rPr>
          <w:rFonts w:hint="eastAsia" w:ascii="宋体" w:hAnsi="宋体"/>
          <w:bCs/>
          <w:color w:val="auto"/>
          <w:spacing w:val="10"/>
          <w:sz w:val="24"/>
          <w:szCs w:val="22"/>
          <w:highlight w:val="none"/>
        </w:rPr>
        <w:t>1.时间：</w:t>
      </w:r>
      <w:r>
        <w:rPr>
          <w:rFonts w:hint="eastAsia" w:ascii="宋体" w:hAnsi="宋体"/>
          <w:bCs/>
          <w:color w:val="auto"/>
          <w:spacing w:val="10"/>
          <w:sz w:val="24"/>
          <w:szCs w:val="22"/>
          <w:highlight w:val="none"/>
          <w:u w:val="single"/>
        </w:rPr>
        <w:t>202</w:t>
      </w:r>
      <w:r>
        <w:rPr>
          <w:rFonts w:hint="eastAsia" w:ascii="宋体" w:hAnsi="宋体"/>
          <w:bCs/>
          <w:color w:val="auto"/>
          <w:spacing w:val="10"/>
          <w:sz w:val="24"/>
          <w:szCs w:val="22"/>
          <w:highlight w:val="none"/>
          <w:u w:val="single"/>
          <w:lang w:val="en-US" w:eastAsia="zh-CN"/>
        </w:rPr>
        <w:t>6</w:t>
      </w:r>
      <w:r>
        <w:rPr>
          <w:rFonts w:hint="eastAsia" w:ascii="宋体" w:hAnsi="宋体"/>
          <w:bCs/>
          <w:color w:val="auto"/>
          <w:spacing w:val="10"/>
          <w:sz w:val="24"/>
          <w:szCs w:val="22"/>
          <w:highlight w:val="none"/>
        </w:rPr>
        <w:t>年</w:t>
      </w:r>
      <w:r>
        <w:rPr>
          <w:rFonts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u w:val="single"/>
          <w:lang w:val="en-US" w:eastAsia="zh-CN"/>
        </w:rPr>
        <w:t>4</w:t>
      </w:r>
      <w:r>
        <w:rPr>
          <w:rFonts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月</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u w:val="single"/>
          <w:lang w:val="en-US" w:eastAsia="zh-CN"/>
        </w:rPr>
        <w:t>20</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日至</w:t>
      </w:r>
      <w:r>
        <w:rPr>
          <w:rFonts w:hint="eastAsia" w:ascii="宋体" w:hAnsi="宋体"/>
          <w:bCs/>
          <w:color w:val="auto"/>
          <w:spacing w:val="10"/>
          <w:sz w:val="24"/>
          <w:szCs w:val="22"/>
          <w:highlight w:val="none"/>
          <w:u w:val="single"/>
        </w:rPr>
        <w:t>202</w:t>
      </w:r>
      <w:r>
        <w:rPr>
          <w:rFonts w:hint="eastAsia" w:ascii="宋体" w:hAnsi="宋体"/>
          <w:bCs/>
          <w:color w:val="auto"/>
          <w:spacing w:val="10"/>
          <w:sz w:val="24"/>
          <w:szCs w:val="22"/>
          <w:highlight w:val="none"/>
          <w:u w:val="single"/>
          <w:lang w:val="en-US" w:eastAsia="zh-CN"/>
        </w:rPr>
        <w:t>6</w:t>
      </w:r>
      <w:r>
        <w:rPr>
          <w:rFonts w:hint="eastAsia" w:ascii="宋体" w:hAnsi="宋体"/>
          <w:bCs/>
          <w:color w:val="auto"/>
          <w:spacing w:val="10"/>
          <w:sz w:val="24"/>
          <w:szCs w:val="22"/>
          <w:highlight w:val="none"/>
        </w:rPr>
        <w:t>年</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u w:val="single"/>
          <w:lang w:val="en-US" w:eastAsia="zh-CN"/>
        </w:rPr>
        <w:t>4</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月</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u w:val="single"/>
          <w:lang w:val="en-US" w:eastAsia="zh-CN"/>
        </w:rPr>
        <w:t>27</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日，截止于</w:t>
      </w:r>
      <w:r>
        <w:rPr>
          <w:rFonts w:hint="eastAsia" w:ascii="宋体" w:hAnsi="宋体"/>
          <w:bCs/>
          <w:color w:val="auto"/>
          <w:spacing w:val="10"/>
          <w:sz w:val="24"/>
          <w:szCs w:val="22"/>
          <w:highlight w:val="none"/>
          <w:u w:val="single"/>
        </w:rPr>
        <w:t>202</w:t>
      </w:r>
      <w:r>
        <w:rPr>
          <w:rFonts w:hint="eastAsia" w:ascii="宋体" w:hAnsi="宋体"/>
          <w:bCs/>
          <w:color w:val="auto"/>
          <w:spacing w:val="10"/>
          <w:sz w:val="24"/>
          <w:szCs w:val="22"/>
          <w:highlight w:val="none"/>
          <w:u w:val="single"/>
          <w:lang w:val="en-US" w:eastAsia="zh-CN"/>
        </w:rPr>
        <w:t>6</w:t>
      </w:r>
      <w:r>
        <w:rPr>
          <w:rFonts w:hint="eastAsia" w:ascii="宋体" w:hAnsi="宋体"/>
          <w:bCs/>
          <w:color w:val="auto"/>
          <w:spacing w:val="10"/>
          <w:sz w:val="24"/>
          <w:szCs w:val="22"/>
          <w:highlight w:val="none"/>
        </w:rPr>
        <w:t>年</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u w:val="single"/>
          <w:lang w:val="en-US" w:eastAsia="zh-CN"/>
        </w:rPr>
        <w:t>4</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月</w:t>
      </w:r>
      <w:r>
        <w:rPr>
          <w:rFonts w:hint="eastAsia" w:ascii="宋体" w:hAnsi="宋体"/>
          <w:bCs/>
          <w:color w:val="auto"/>
          <w:spacing w:val="10"/>
          <w:sz w:val="24"/>
          <w:szCs w:val="22"/>
          <w:highlight w:val="none"/>
          <w:u w:val="single"/>
          <w:lang w:val="en-US" w:eastAsia="zh-CN"/>
        </w:rPr>
        <w:t xml:space="preserve"> 27  </w:t>
      </w:r>
      <w:r>
        <w:rPr>
          <w:rFonts w:hint="eastAsia" w:ascii="宋体" w:hAnsi="宋体"/>
          <w:bCs/>
          <w:color w:val="auto"/>
          <w:spacing w:val="10"/>
          <w:sz w:val="24"/>
          <w:szCs w:val="22"/>
          <w:highlight w:val="none"/>
        </w:rPr>
        <w:t>日</w:t>
      </w:r>
      <w:r>
        <w:rPr>
          <w:rFonts w:hint="eastAsia" w:ascii="宋体" w:hAnsi="宋体"/>
          <w:bCs/>
          <w:color w:val="auto"/>
          <w:spacing w:val="10"/>
          <w:sz w:val="24"/>
          <w:szCs w:val="22"/>
          <w:highlight w:val="none"/>
          <w:lang w:eastAsia="zh-CN"/>
        </w:rPr>
        <w:t>23:59</w:t>
      </w:r>
      <w:r>
        <w:rPr>
          <w:rFonts w:hint="eastAsia" w:ascii="宋体" w:hAnsi="宋体"/>
          <w:bCs/>
          <w:color w:val="auto"/>
          <w:spacing w:val="10"/>
          <w:sz w:val="24"/>
          <w:szCs w:val="22"/>
          <w:highlight w:val="none"/>
        </w:rPr>
        <w:t>前。</w:t>
      </w:r>
    </w:p>
    <w:p w14:paraId="3AAD606B">
      <w:pPr>
        <w:shd w:val="clear" w:color="auto" w:fill="FFFFFF"/>
        <w:spacing w:line="420" w:lineRule="exact"/>
        <w:ind w:firstLine="520" w:firstLineChars="200"/>
        <w:jc w:val="left"/>
        <w:rPr>
          <w:rFonts w:ascii="宋体" w:hAnsi="宋体"/>
          <w:bCs/>
          <w:color w:val="auto"/>
          <w:spacing w:val="10"/>
          <w:sz w:val="24"/>
          <w:szCs w:val="22"/>
          <w:highlight w:val="none"/>
        </w:rPr>
      </w:pPr>
      <w:r>
        <w:rPr>
          <w:rFonts w:hint="eastAsia" w:ascii="宋体" w:hAnsi="宋体"/>
          <w:bCs/>
          <w:color w:val="auto"/>
          <w:spacing w:val="10"/>
          <w:sz w:val="24"/>
          <w:szCs w:val="22"/>
          <w:highlight w:val="none"/>
        </w:rPr>
        <w:t>2.地点：</w:t>
      </w:r>
      <w:r>
        <w:rPr>
          <w:rFonts w:hint="eastAsia" w:ascii="宋体" w:hAnsi="宋体"/>
          <w:color w:val="auto"/>
          <w:sz w:val="24"/>
          <w:szCs w:val="22"/>
          <w:highlight w:val="none"/>
        </w:rPr>
        <w:t>政采云平台（https://www.zcygov.cn）</w:t>
      </w:r>
      <w:r>
        <w:rPr>
          <w:rFonts w:hint="eastAsia" w:ascii="宋体" w:hAnsi="宋体"/>
          <w:bCs/>
          <w:color w:val="auto"/>
          <w:spacing w:val="10"/>
          <w:sz w:val="24"/>
          <w:szCs w:val="22"/>
          <w:highlight w:val="none"/>
        </w:rPr>
        <w:t>。</w:t>
      </w:r>
    </w:p>
    <w:p w14:paraId="2858BFF1">
      <w:pPr>
        <w:shd w:val="clear" w:color="auto" w:fill="FFFFFF"/>
        <w:kinsoku w:val="0"/>
        <w:wordWrap w:val="0"/>
        <w:overflowPunct w:val="0"/>
        <w:autoSpaceDN w:val="0"/>
        <w:spacing w:line="420" w:lineRule="exact"/>
        <w:ind w:firstLine="520" w:firstLineChars="200"/>
        <w:rPr>
          <w:rFonts w:ascii="宋体" w:hAnsi="宋体"/>
          <w:bCs/>
          <w:color w:val="auto"/>
          <w:spacing w:val="10"/>
          <w:sz w:val="24"/>
          <w:szCs w:val="22"/>
          <w:highlight w:val="none"/>
        </w:rPr>
      </w:pPr>
      <w:r>
        <w:rPr>
          <w:rFonts w:hint="eastAsia" w:ascii="宋体" w:hAnsi="宋体"/>
          <w:bCs/>
          <w:color w:val="auto"/>
          <w:spacing w:val="10"/>
          <w:sz w:val="24"/>
          <w:szCs w:val="22"/>
          <w:highlight w:val="none"/>
        </w:rPr>
        <w:t>3.方式：（1）凡有意参加投标者，须在政采云平台办理数字证书（CA），CA申领链接：http://yzt.ynsmartcert.cn/cms/yztynzg12.html（客服热线：0871-67276028&lt;紧急可拨19988166369&gt;）或https://middle.zcygov.cn/ca/apply/edit?certType=32，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投标人登录政采云平台（https://www.zcygov.cn/）在线申请获取采购文件（进入“项目采购”应用，在“获取采购文件”菜单中选择本项目，申请获取采购文件）。（3）按上述要求获取文件的供应商视为合法获取了本项目采购文件，具备本项目的投标资格。</w:t>
      </w:r>
    </w:p>
    <w:p w14:paraId="6FC84209">
      <w:pPr>
        <w:shd w:val="clear" w:color="auto" w:fill="FFFFFF"/>
        <w:spacing w:line="420" w:lineRule="exact"/>
        <w:ind w:firstLine="480" w:firstLineChars="200"/>
        <w:jc w:val="left"/>
        <w:rPr>
          <w:rFonts w:ascii="宋体" w:hAnsi="宋体"/>
          <w:color w:val="auto"/>
          <w:sz w:val="24"/>
          <w:szCs w:val="22"/>
          <w:highlight w:val="none"/>
        </w:rPr>
      </w:pPr>
      <w:r>
        <w:rPr>
          <w:rFonts w:hint="eastAsia" w:ascii="宋体" w:hAnsi="宋体"/>
          <w:color w:val="auto"/>
          <w:sz w:val="24"/>
          <w:szCs w:val="22"/>
          <w:highlight w:val="none"/>
        </w:rPr>
        <w:t>4.售价：/。</w:t>
      </w:r>
    </w:p>
    <w:p w14:paraId="709A4A07">
      <w:pPr>
        <w:spacing w:line="420" w:lineRule="exact"/>
        <w:ind w:firstLine="482"/>
        <w:rPr>
          <w:rFonts w:ascii="宋体" w:hAnsi="宋体" w:cs="宋体"/>
          <w:b/>
          <w:bCs/>
          <w:color w:val="auto"/>
          <w:sz w:val="24"/>
          <w:highlight w:val="none"/>
        </w:rPr>
      </w:pPr>
      <w:bookmarkStart w:id="14" w:name="_Toc28359082"/>
      <w:bookmarkStart w:id="15" w:name="_Toc28359005"/>
      <w:bookmarkStart w:id="16" w:name="_Toc35393793"/>
      <w:bookmarkStart w:id="17" w:name="_Toc35393624"/>
      <w:r>
        <w:rPr>
          <w:rFonts w:hint="eastAsia" w:ascii="宋体" w:hAnsi="宋体" w:cs="宋体"/>
          <w:b/>
          <w:bCs/>
          <w:color w:val="auto"/>
          <w:sz w:val="24"/>
          <w:highlight w:val="none"/>
        </w:rPr>
        <w:t>四、提交投标文件</w:t>
      </w:r>
      <w:bookmarkEnd w:id="14"/>
      <w:bookmarkEnd w:id="15"/>
      <w:r>
        <w:rPr>
          <w:rFonts w:hint="eastAsia" w:ascii="宋体" w:hAnsi="宋体" w:cs="宋体"/>
          <w:b/>
          <w:bCs/>
          <w:color w:val="auto"/>
          <w:sz w:val="24"/>
          <w:highlight w:val="none"/>
        </w:rPr>
        <w:t>截止时间、开标时间和地点</w:t>
      </w:r>
      <w:bookmarkEnd w:id="16"/>
      <w:bookmarkEnd w:id="17"/>
    </w:p>
    <w:p w14:paraId="6A16EAFF">
      <w:pPr>
        <w:shd w:val="clear" w:color="auto" w:fill="FFFFFF"/>
        <w:spacing w:line="420" w:lineRule="exact"/>
        <w:ind w:firstLine="520" w:firstLineChars="200"/>
        <w:jc w:val="left"/>
        <w:rPr>
          <w:rFonts w:ascii="宋体" w:hAnsi="宋体"/>
          <w:bCs/>
          <w:color w:val="auto"/>
          <w:spacing w:val="10"/>
          <w:sz w:val="24"/>
          <w:szCs w:val="22"/>
          <w:highlight w:val="none"/>
        </w:rPr>
      </w:pPr>
      <w:bookmarkStart w:id="18" w:name="_Toc35393794"/>
      <w:bookmarkStart w:id="19" w:name="_Toc28359007"/>
      <w:bookmarkStart w:id="20" w:name="_Toc35393625"/>
      <w:bookmarkStart w:id="21" w:name="_Toc28359084"/>
      <w:r>
        <w:rPr>
          <w:rFonts w:hint="eastAsia" w:ascii="宋体" w:hAnsi="宋体"/>
          <w:bCs/>
          <w:color w:val="auto"/>
          <w:spacing w:val="10"/>
          <w:sz w:val="24"/>
          <w:szCs w:val="22"/>
          <w:highlight w:val="none"/>
        </w:rPr>
        <w:t>1.截止时间：</w:t>
      </w:r>
      <w:r>
        <w:rPr>
          <w:rFonts w:hint="eastAsia" w:ascii="宋体" w:hAnsi="宋体"/>
          <w:bCs/>
          <w:color w:val="auto"/>
          <w:spacing w:val="10"/>
          <w:sz w:val="24"/>
          <w:szCs w:val="22"/>
          <w:highlight w:val="none"/>
          <w:u w:val="single"/>
        </w:rPr>
        <w:t>202</w:t>
      </w:r>
      <w:r>
        <w:rPr>
          <w:rFonts w:hint="eastAsia" w:ascii="宋体" w:hAnsi="宋体"/>
          <w:bCs/>
          <w:color w:val="auto"/>
          <w:spacing w:val="10"/>
          <w:sz w:val="24"/>
          <w:szCs w:val="22"/>
          <w:highlight w:val="none"/>
          <w:u w:val="single"/>
          <w:lang w:val="en-US" w:eastAsia="zh-CN"/>
        </w:rPr>
        <w:t>6</w:t>
      </w:r>
      <w:r>
        <w:rPr>
          <w:rFonts w:hint="eastAsia" w:ascii="宋体" w:hAnsi="宋体"/>
          <w:bCs/>
          <w:color w:val="auto"/>
          <w:spacing w:val="10"/>
          <w:sz w:val="24"/>
          <w:szCs w:val="22"/>
          <w:highlight w:val="none"/>
        </w:rPr>
        <w:t>年</w:t>
      </w:r>
      <w:r>
        <w:rPr>
          <w:rFonts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u w:val="single"/>
          <w:lang w:val="en-US" w:eastAsia="zh-CN"/>
        </w:rPr>
        <w:t>5</w:t>
      </w:r>
      <w:r>
        <w:rPr>
          <w:rFonts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月</w:t>
      </w:r>
      <w:r>
        <w:rPr>
          <w:rFonts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u w:val="single"/>
          <w:lang w:val="en-US" w:eastAsia="zh-CN"/>
        </w:rPr>
        <w:t>11</w:t>
      </w:r>
      <w:r>
        <w:rPr>
          <w:rFonts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日</w:t>
      </w:r>
      <w:r>
        <w:rPr>
          <w:rFonts w:hint="eastAsia" w:ascii="宋体" w:hAnsi="宋体"/>
          <w:bCs/>
          <w:color w:val="auto"/>
          <w:spacing w:val="10"/>
          <w:sz w:val="24"/>
          <w:szCs w:val="22"/>
          <w:highlight w:val="none"/>
          <w:u w:val="single"/>
          <w:lang w:val="en-US" w:eastAsia="zh-CN"/>
        </w:rPr>
        <w:t xml:space="preserve"> 14</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u w:val="single"/>
          <w:lang w:val="en-US" w:eastAsia="zh-CN"/>
        </w:rPr>
        <w:t>30</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分（北京时间）。</w:t>
      </w:r>
    </w:p>
    <w:p w14:paraId="0C422D9A">
      <w:pPr>
        <w:shd w:val="clear" w:color="auto" w:fill="FFFFFF"/>
        <w:spacing w:line="420" w:lineRule="exact"/>
        <w:ind w:firstLine="520" w:firstLineChars="200"/>
        <w:jc w:val="left"/>
        <w:rPr>
          <w:rFonts w:ascii="宋体" w:hAnsi="宋体"/>
          <w:bCs/>
          <w:color w:val="auto"/>
          <w:spacing w:val="10"/>
          <w:sz w:val="24"/>
          <w:szCs w:val="22"/>
          <w:highlight w:val="none"/>
        </w:rPr>
      </w:pPr>
      <w:r>
        <w:rPr>
          <w:rFonts w:hint="eastAsia" w:ascii="宋体" w:hAnsi="宋体"/>
          <w:bCs/>
          <w:color w:val="auto"/>
          <w:spacing w:val="10"/>
          <w:sz w:val="24"/>
          <w:szCs w:val="22"/>
          <w:highlight w:val="none"/>
        </w:rPr>
        <w:t>2.地点：通过政采云平台（https://www.zcygov.cn/）在线提交。</w:t>
      </w:r>
    </w:p>
    <w:p w14:paraId="61DC352D">
      <w:pPr>
        <w:pStyle w:val="17"/>
        <w:spacing w:after="0" w:line="420" w:lineRule="exact"/>
        <w:rPr>
          <w:rFonts w:ascii="宋体"/>
          <w:bCs/>
          <w:color w:val="auto"/>
          <w:szCs w:val="22"/>
          <w:highlight w:val="none"/>
        </w:rPr>
      </w:pPr>
      <w:r>
        <w:rPr>
          <w:rFonts w:hint="eastAsia" w:ascii="宋体"/>
          <w:bCs/>
          <w:color w:val="auto"/>
          <w:szCs w:val="22"/>
          <w:highlight w:val="none"/>
        </w:rPr>
        <w:t>3.开标时间及开标地点</w:t>
      </w:r>
    </w:p>
    <w:p w14:paraId="57F0DD15">
      <w:pPr>
        <w:pStyle w:val="17"/>
        <w:spacing w:after="0" w:line="420" w:lineRule="exact"/>
        <w:rPr>
          <w:bCs/>
          <w:color w:val="auto"/>
          <w:highlight w:val="none"/>
        </w:rPr>
      </w:pPr>
      <w:r>
        <w:rPr>
          <w:rFonts w:hint="eastAsia"/>
          <w:bCs/>
          <w:color w:val="auto"/>
          <w:highlight w:val="none"/>
        </w:rPr>
        <w:t>开标时间：</w:t>
      </w:r>
      <w:r>
        <w:rPr>
          <w:rFonts w:hint="eastAsia" w:ascii="宋体"/>
          <w:bCs/>
          <w:color w:val="auto"/>
          <w:szCs w:val="22"/>
          <w:highlight w:val="none"/>
          <w:u w:val="single"/>
        </w:rPr>
        <w:t>202</w:t>
      </w:r>
      <w:r>
        <w:rPr>
          <w:rFonts w:hint="eastAsia" w:ascii="宋体"/>
          <w:bCs/>
          <w:color w:val="auto"/>
          <w:szCs w:val="22"/>
          <w:highlight w:val="none"/>
          <w:u w:val="single"/>
          <w:lang w:val="en-US" w:eastAsia="zh-CN"/>
        </w:rPr>
        <w:t>6</w:t>
      </w:r>
      <w:r>
        <w:rPr>
          <w:rFonts w:hint="eastAsia" w:ascii="宋体"/>
          <w:bCs/>
          <w:color w:val="auto"/>
          <w:szCs w:val="22"/>
          <w:highlight w:val="none"/>
        </w:rPr>
        <w:t>年</w:t>
      </w:r>
      <w:r>
        <w:rPr>
          <w:rFonts w:ascii="宋体" w:hAnsi="宋体"/>
          <w:bCs/>
          <w:color w:val="auto"/>
          <w:spacing w:val="10"/>
          <w:sz w:val="24"/>
          <w:szCs w:val="22"/>
          <w:highlight w:val="none"/>
          <w:u w:val="single"/>
        </w:rPr>
        <w:t xml:space="preserve"> </w:t>
      </w:r>
      <w:r>
        <w:rPr>
          <w:rFonts w:hint="eastAsia" w:ascii="宋体"/>
          <w:bCs/>
          <w:color w:val="auto"/>
          <w:spacing w:val="10"/>
          <w:sz w:val="24"/>
          <w:szCs w:val="22"/>
          <w:highlight w:val="none"/>
          <w:u w:val="single"/>
          <w:lang w:val="en-US" w:eastAsia="zh-CN"/>
        </w:rPr>
        <w:t>5</w:t>
      </w:r>
      <w:r>
        <w:rPr>
          <w:rFonts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月</w:t>
      </w:r>
      <w:r>
        <w:rPr>
          <w:rFonts w:ascii="宋体" w:hAnsi="宋体"/>
          <w:bCs/>
          <w:color w:val="auto"/>
          <w:spacing w:val="10"/>
          <w:sz w:val="24"/>
          <w:szCs w:val="22"/>
          <w:highlight w:val="none"/>
          <w:u w:val="single"/>
        </w:rPr>
        <w:t xml:space="preserve"> </w:t>
      </w:r>
      <w:r>
        <w:rPr>
          <w:rFonts w:hint="eastAsia" w:ascii="宋体"/>
          <w:bCs/>
          <w:color w:val="auto"/>
          <w:spacing w:val="10"/>
          <w:sz w:val="24"/>
          <w:szCs w:val="22"/>
          <w:highlight w:val="none"/>
          <w:u w:val="single"/>
          <w:lang w:val="en-US" w:eastAsia="zh-CN"/>
        </w:rPr>
        <w:t>11</w:t>
      </w:r>
      <w:r>
        <w:rPr>
          <w:rFonts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日</w:t>
      </w:r>
      <w:r>
        <w:rPr>
          <w:rFonts w:hint="eastAsia" w:ascii="宋体" w:hAnsi="宋体"/>
          <w:bCs/>
          <w:color w:val="auto"/>
          <w:spacing w:val="10"/>
          <w:sz w:val="24"/>
          <w:szCs w:val="22"/>
          <w:highlight w:val="none"/>
          <w:u w:val="single"/>
          <w:lang w:val="en-US" w:eastAsia="zh-CN"/>
        </w:rPr>
        <w:t xml:space="preserve"> </w:t>
      </w:r>
      <w:r>
        <w:rPr>
          <w:rFonts w:hint="eastAsia" w:ascii="宋体"/>
          <w:bCs/>
          <w:color w:val="auto"/>
          <w:spacing w:val="10"/>
          <w:sz w:val="24"/>
          <w:szCs w:val="22"/>
          <w:highlight w:val="none"/>
          <w:u w:val="single"/>
          <w:lang w:val="en-US" w:eastAsia="zh-CN"/>
        </w:rPr>
        <w:t>14</w:t>
      </w:r>
      <w:r>
        <w:rPr>
          <w:rFonts w:hint="eastAsia" w:ascii="宋体" w:hAnsi="宋体"/>
          <w:bCs/>
          <w:color w:val="auto"/>
          <w:spacing w:val="10"/>
          <w:sz w:val="24"/>
          <w:szCs w:val="22"/>
          <w:highlight w:val="none"/>
          <w:u w:val="single"/>
        </w:rPr>
        <w:t xml:space="preserve"> </w:t>
      </w:r>
      <w:r>
        <w:rPr>
          <w:rFonts w:hint="eastAsia" w:ascii="宋体" w:hAnsi="宋体"/>
          <w:bCs/>
          <w:color w:val="auto"/>
          <w:spacing w:val="10"/>
          <w:sz w:val="24"/>
          <w:szCs w:val="22"/>
          <w:highlight w:val="none"/>
        </w:rPr>
        <w:t>:</w:t>
      </w:r>
      <w:r>
        <w:rPr>
          <w:rFonts w:hint="eastAsia" w:ascii="宋体" w:hAnsi="宋体"/>
          <w:bCs/>
          <w:color w:val="auto"/>
          <w:spacing w:val="10"/>
          <w:sz w:val="24"/>
          <w:szCs w:val="22"/>
          <w:highlight w:val="none"/>
          <w:u w:val="single"/>
        </w:rPr>
        <w:t xml:space="preserve"> </w:t>
      </w:r>
      <w:r>
        <w:rPr>
          <w:rFonts w:hint="eastAsia" w:ascii="宋体"/>
          <w:bCs/>
          <w:color w:val="auto"/>
          <w:spacing w:val="10"/>
          <w:sz w:val="24"/>
          <w:szCs w:val="22"/>
          <w:highlight w:val="none"/>
          <w:u w:val="single"/>
          <w:lang w:val="en-US" w:eastAsia="zh-CN"/>
        </w:rPr>
        <w:t>30</w:t>
      </w:r>
      <w:r>
        <w:rPr>
          <w:rFonts w:hint="eastAsia" w:ascii="宋体" w:hAnsi="宋体"/>
          <w:bCs/>
          <w:color w:val="auto"/>
          <w:spacing w:val="10"/>
          <w:sz w:val="24"/>
          <w:szCs w:val="22"/>
          <w:highlight w:val="none"/>
          <w:u w:val="single"/>
        </w:rPr>
        <w:t xml:space="preserve"> </w:t>
      </w:r>
      <w:r>
        <w:rPr>
          <w:rFonts w:hint="eastAsia" w:ascii="宋体"/>
          <w:bCs/>
          <w:color w:val="auto"/>
          <w:szCs w:val="22"/>
          <w:highlight w:val="none"/>
        </w:rPr>
        <w:t>分</w:t>
      </w:r>
      <w:r>
        <w:rPr>
          <w:rFonts w:hint="eastAsia"/>
          <w:bCs/>
          <w:color w:val="auto"/>
          <w:highlight w:val="none"/>
        </w:rPr>
        <w:t>。</w:t>
      </w:r>
    </w:p>
    <w:p w14:paraId="4E5E5162">
      <w:pPr>
        <w:pStyle w:val="17"/>
        <w:spacing w:after="0" w:line="420" w:lineRule="exact"/>
        <w:rPr>
          <w:bCs/>
          <w:color w:val="auto"/>
          <w:highlight w:val="none"/>
        </w:rPr>
      </w:pPr>
      <w:r>
        <w:rPr>
          <w:rFonts w:hint="eastAsia"/>
          <w:bCs/>
          <w:color w:val="auto"/>
          <w:highlight w:val="none"/>
        </w:rPr>
        <w:t>开标地点：</w:t>
      </w:r>
      <w:r>
        <w:rPr>
          <w:rFonts w:hint="eastAsia" w:ascii="宋体"/>
          <w:bCs/>
          <w:color w:val="auto"/>
          <w:highlight w:val="none"/>
          <w:u w:val="single"/>
        </w:rPr>
        <w:t>云南众高工程咨询有限公司（昆明市盘龙区北辰大道1号美立方商业广场B座16楼）开标厅</w:t>
      </w:r>
      <w:r>
        <w:rPr>
          <w:rFonts w:hint="eastAsia" w:ascii="宋体"/>
          <w:bCs/>
          <w:color w:val="auto"/>
          <w:szCs w:val="22"/>
          <w:highlight w:val="none"/>
        </w:rPr>
        <w:t>。</w:t>
      </w:r>
    </w:p>
    <w:p w14:paraId="136505E1">
      <w:pPr>
        <w:pStyle w:val="17"/>
        <w:spacing w:after="0" w:line="420" w:lineRule="exact"/>
        <w:rPr>
          <w:rFonts w:ascii="宋体"/>
          <w:bCs/>
          <w:color w:val="auto"/>
          <w:szCs w:val="22"/>
          <w:highlight w:val="none"/>
        </w:rPr>
      </w:pPr>
      <w:r>
        <w:rPr>
          <w:rFonts w:hint="eastAsia" w:ascii="宋体"/>
          <w:bCs/>
          <w:color w:val="auto"/>
          <w:szCs w:val="22"/>
          <w:highlight w:val="none"/>
        </w:rPr>
        <w:t>4.开标方式：网上智能开标及远程解密，具体操作如下：</w:t>
      </w:r>
    </w:p>
    <w:p w14:paraId="259F4415">
      <w:pPr>
        <w:pStyle w:val="17"/>
        <w:spacing w:after="0" w:line="420" w:lineRule="exact"/>
        <w:rPr>
          <w:bCs/>
          <w:color w:val="auto"/>
          <w:highlight w:val="none"/>
        </w:rPr>
      </w:pPr>
      <w:r>
        <w:rPr>
          <w:bCs/>
          <w:color w:val="auto"/>
          <w:highlight w:val="none"/>
        </w:rPr>
        <w:t>（1）开标时投标人无需到现场出席开标会，各投标人应当提前熟悉和掌握网上开标远程解密详细操作。</w:t>
      </w:r>
      <w:r>
        <w:rPr>
          <w:rFonts w:hint="eastAsia"/>
          <w:bCs/>
          <w:color w:val="auto"/>
          <w:highlight w:val="none"/>
        </w:rPr>
        <w:t>本项目解密时间为</w:t>
      </w:r>
      <w:r>
        <w:rPr>
          <w:rFonts w:hint="eastAsia" w:asciiTheme="minorEastAsia" w:hAnsiTheme="minorEastAsia" w:eastAsiaTheme="minorEastAsia" w:cstheme="minorEastAsia"/>
          <w:bCs/>
          <w:color w:val="auto"/>
          <w:highlight w:val="none"/>
        </w:rPr>
        <w:t>30</w:t>
      </w:r>
      <w:r>
        <w:rPr>
          <w:rFonts w:hint="eastAsia"/>
          <w:bCs/>
          <w:color w:val="auto"/>
          <w:highlight w:val="none"/>
        </w:rPr>
        <w:t>分钟，</w:t>
      </w:r>
      <w:r>
        <w:rPr>
          <w:bCs/>
          <w:color w:val="auto"/>
          <w:highlight w:val="none"/>
        </w:rPr>
        <w:t>若投标人未在规定时</w:t>
      </w:r>
      <w:r>
        <w:rPr>
          <w:rFonts w:hint="eastAsia"/>
          <w:bCs/>
          <w:color w:val="auto"/>
          <w:highlight w:val="none"/>
          <w:lang w:eastAsia="zh-CN"/>
        </w:rPr>
        <w:t>间内</w:t>
      </w:r>
      <w:r>
        <w:rPr>
          <w:bCs/>
          <w:color w:val="auto"/>
          <w:highlight w:val="none"/>
        </w:rPr>
        <w:t>完成以上解密</w:t>
      </w:r>
      <w:r>
        <w:rPr>
          <w:rFonts w:hint="eastAsia"/>
          <w:bCs/>
          <w:color w:val="auto"/>
          <w:highlight w:val="none"/>
        </w:rPr>
        <w:t>，</w:t>
      </w:r>
      <w:r>
        <w:rPr>
          <w:bCs/>
          <w:color w:val="auto"/>
          <w:highlight w:val="none"/>
        </w:rPr>
        <w:t>则视为无效投标，不再进入评标阶段。</w:t>
      </w:r>
    </w:p>
    <w:p w14:paraId="6A03AE12">
      <w:pPr>
        <w:pStyle w:val="17"/>
        <w:spacing w:after="0" w:line="420" w:lineRule="exact"/>
        <w:rPr>
          <w:bCs/>
          <w:color w:val="auto"/>
          <w:highlight w:val="none"/>
        </w:rPr>
      </w:pPr>
      <w:r>
        <w:rPr>
          <w:bCs/>
          <w:color w:val="auto"/>
          <w:highlight w:val="none"/>
        </w:rPr>
        <w:t>（2）因开标系统、开标现场网络、设备及其他特殊原因，导致不能正常解密投标文件的，经核实和上报相关部门同意后，可再次下达网上解密指令来延长解密时间。</w:t>
      </w:r>
    </w:p>
    <w:p w14:paraId="2A39DD94">
      <w:pPr>
        <w:pStyle w:val="17"/>
        <w:spacing w:after="0" w:line="420" w:lineRule="exact"/>
        <w:rPr>
          <w:bCs/>
          <w:color w:val="auto"/>
          <w:highlight w:val="none"/>
        </w:rPr>
      </w:pPr>
      <w:r>
        <w:rPr>
          <w:bCs/>
          <w:color w:val="auto"/>
          <w:highlight w:val="none"/>
        </w:rPr>
        <w:t>（3）开标过程中如有问题，可以在线提出异议，由代理机构给予对应的回复。在规定的统一提出异议时间内不提出异议的，则视为对开标结果无异议。</w:t>
      </w:r>
    </w:p>
    <w:p w14:paraId="08F645F8">
      <w:pPr>
        <w:pStyle w:val="17"/>
        <w:spacing w:after="0" w:line="420" w:lineRule="exact"/>
        <w:rPr>
          <w:bCs/>
          <w:color w:val="auto"/>
          <w:highlight w:val="none"/>
        </w:rPr>
      </w:pPr>
      <w:r>
        <w:rPr>
          <w:bCs/>
          <w:color w:val="auto"/>
          <w:highlight w:val="none"/>
        </w:rPr>
        <w:t>（4）各投标人对上传的相关证件及证明资料真实性负责（确保上传的相关资料清晰可辨，如评标过程中，评标委员会无法辨别影响投标的，责任由投标人自行承担），如发现提供虚假材料的，一经查实取消投标资格，并依据相关</w:t>
      </w:r>
      <w:r>
        <w:rPr>
          <w:rFonts w:hint="eastAsia"/>
          <w:bCs/>
          <w:color w:val="auto"/>
          <w:highlight w:val="none"/>
          <w:lang w:eastAsia="zh-CN"/>
        </w:rPr>
        <w:t>法律法规</w:t>
      </w:r>
      <w:r>
        <w:rPr>
          <w:bCs/>
          <w:color w:val="auto"/>
          <w:highlight w:val="none"/>
        </w:rPr>
        <w:t>进行处罚。</w:t>
      </w:r>
    </w:p>
    <w:p w14:paraId="6AE6EE58">
      <w:pPr>
        <w:spacing w:line="420" w:lineRule="exact"/>
        <w:ind w:firstLine="482"/>
        <w:rPr>
          <w:rFonts w:ascii="宋体" w:hAnsi="宋体" w:cs="宋体"/>
          <w:b/>
          <w:bCs/>
          <w:color w:val="auto"/>
          <w:sz w:val="24"/>
          <w:highlight w:val="none"/>
        </w:rPr>
      </w:pPr>
      <w:r>
        <w:rPr>
          <w:rFonts w:hint="eastAsia" w:ascii="宋体" w:hAnsi="宋体" w:cs="宋体"/>
          <w:b/>
          <w:bCs/>
          <w:color w:val="auto"/>
          <w:sz w:val="24"/>
          <w:highlight w:val="none"/>
        </w:rPr>
        <w:t>五、公告期限</w:t>
      </w:r>
      <w:bookmarkEnd w:id="18"/>
      <w:bookmarkEnd w:id="19"/>
      <w:bookmarkEnd w:id="20"/>
      <w:bookmarkEnd w:id="21"/>
    </w:p>
    <w:p w14:paraId="3852891A">
      <w:pPr>
        <w:spacing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自本公告发布之日起5个工作日。</w:t>
      </w:r>
    </w:p>
    <w:p w14:paraId="516269E9">
      <w:pPr>
        <w:spacing w:line="420" w:lineRule="exact"/>
        <w:ind w:firstLine="482"/>
        <w:rPr>
          <w:rFonts w:ascii="宋体" w:hAnsi="宋体" w:cs="宋体"/>
          <w:b/>
          <w:bCs/>
          <w:color w:val="auto"/>
          <w:sz w:val="24"/>
          <w:highlight w:val="none"/>
        </w:rPr>
      </w:pPr>
      <w:bookmarkStart w:id="22" w:name="_Toc35393626"/>
      <w:bookmarkStart w:id="23" w:name="_Toc35393795"/>
      <w:r>
        <w:rPr>
          <w:rFonts w:hint="eastAsia" w:ascii="宋体" w:hAnsi="宋体" w:cs="宋体"/>
          <w:b/>
          <w:bCs/>
          <w:color w:val="auto"/>
          <w:sz w:val="24"/>
          <w:highlight w:val="none"/>
        </w:rPr>
        <w:t>六、其他补充事宜</w:t>
      </w:r>
      <w:bookmarkEnd w:id="22"/>
      <w:bookmarkEnd w:id="23"/>
    </w:p>
    <w:p w14:paraId="4785E3B7">
      <w:pPr>
        <w:spacing w:line="420" w:lineRule="exact"/>
        <w:ind w:firstLine="520" w:firstLineChars="200"/>
        <w:rPr>
          <w:rFonts w:ascii="宋体" w:hAnsi="宋体"/>
          <w:bCs/>
          <w:color w:val="auto"/>
          <w:spacing w:val="10"/>
          <w:sz w:val="24"/>
          <w:highlight w:val="none"/>
        </w:rPr>
      </w:pPr>
      <w:bookmarkStart w:id="24" w:name="_Toc28359085"/>
      <w:bookmarkStart w:id="25" w:name="_Toc28359008"/>
      <w:bookmarkStart w:id="26" w:name="_Toc35393627"/>
      <w:bookmarkStart w:id="27" w:name="_Toc35393796"/>
      <w:r>
        <w:rPr>
          <w:rFonts w:hint="eastAsia" w:ascii="宋体" w:hAnsi="宋体"/>
          <w:bCs/>
          <w:color w:val="auto"/>
          <w:spacing w:val="10"/>
          <w:sz w:val="24"/>
          <w:highlight w:val="none"/>
        </w:rPr>
        <w:t>1</w:t>
      </w:r>
      <w:r>
        <w:rPr>
          <w:rFonts w:ascii="宋体" w:hAnsi="宋体"/>
          <w:bCs/>
          <w:color w:val="auto"/>
          <w:spacing w:val="10"/>
          <w:sz w:val="24"/>
          <w:highlight w:val="none"/>
        </w:rPr>
        <w:t>.</w:t>
      </w:r>
      <w:r>
        <w:rPr>
          <w:rFonts w:hint="eastAsia" w:ascii="宋体" w:hAnsi="宋体"/>
          <w:bCs/>
          <w:color w:val="auto"/>
          <w:spacing w:val="10"/>
          <w:sz w:val="24"/>
          <w:highlight w:val="none"/>
        </w:rPr>
        <w:t>本次招标落实扶持福利企业、支持中小微企业、支持监狱和戒毒企业、支持残疾人福利性单位政策等相关政策。</w:t>
      </w:r>
    </w:p>
    <w:p w14:paraId="767DB5AC">
      <w:pPr>
        <w:spacing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2.本项目招标公告发布媒介为“云南省政府采购网”（www.yngp.com）和“政采云平台”（https://www.zcygov.cn/），我公司对其他网站转载的公告信息不承担任何责任。</w:t>
      </w:r>
    </w:p>
    <w:p w14:paraId="4FAF91A7">
      <w:pPr>
        <w:spacing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3.本项目实行网上投标，采用电子投标文件，开标方式为线上不见面开标，投标人无需派人到</w:t>
      </w:r>
      <w:r>
        <w:rPr>
          <w:rFonts w:hint="eastAsia" w:ascii="宋体" w:hAnsi="宋体"/>
          <w:bCs/>
          <w:color w:val="auto"/>
          <w:spacing w:val="10"/>
          <w:sz w:val="24"/>
          <w:highlight w:val="none"/>
          <w:lang w:eastAsia="zh-CN"/>
        </w:rPr>
        <w:t>采购代理</w:t>
      </w:r>
      <w:r>
        <w:rPr>
          <w:rFonts w:hint="eastAsia" w:ascii="宋体" w:hAnsi="宋体"/>
          <w:bCs/>
          <w:color w:val="auto"/>
          <w:spacing w:val="10"/>
          <w:sz w:val="24"/>
          <w:highlight w:val="none"/>
        </w:rPr>
        <w:t>公司。</w:t>
      </w:r>
    </w:p>
    <w:p w14:paraId="1D738B69">
      <w:pPr>
        <w:spacing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4</w:t>
      </w:r>
      <w:r>
        <w:rPr>
          <w:rFonts w:ascii="宋体" w:hAnsi="宋体"/>
          <w:bCs/>
          <w:color w:val="auto"/>
          <w:spacing w:val="10"/>
          <w:sz w:val="24"/>
          <w:highlight w:val="none"/>
        </w:rPr>
        <w:t>.各</w:t>
      </w:r>
      <w:r>
        <w:rPr>
          <w:rFonts w:hint="eastAsia" w:ascii="宋体" w:hAnsi="宋体"/>
          <w:bCs/>
          <w:color w:val="auto"/>
          <w:spacing w:val="10"/>
          <w:sz w:val="24"/>
          <w:highlight w:val="none"/>
        </w:rPr>
        <w:t>投标人</w:t>
      </w:r>
      <w:r>
        <w:rPr>
          <w:rFonts w:ascii="宋体" w:hAnsi="宋体"/>
          <w:bCs/>
          <w:color w:val="auto"/>
          <w:spacing w:val="10"/>
          <w:sz w:val="24"/>
          <w:highlight w:val="none"/>
        </w:rPr>
        <w:t>应在开标前应确保成为政采云平台供应商，并完成CA数字证书申领。因未注册入库、未办理CA数字证书等原因造成无法投标或投标失败等后果由</w:t>
      </w:r>
      <w:r>
        <w:rPr>
          <w:rFonts w:hint="eastAsia" w:ascii="宋体" w:hAnsi="宋体"/>
          <w:bCs/>
          <w:color w:val="auto"/>
          <w:spacing w:val="10"/>
          <w:sz w:val="24"/>
          <w:highlight w:val="none"/>
        </w:rPr>
        <w:t>投标人</w:t>
      </w:r>
      <w:r>
        <w:rPr>
          <w:rFonts w:ascii="宋体" w:hAnsi="宋体"/>
          <w:bCs/>
          <w:color w:val="auto"/>
          <w:spacing w:val="10"/>
          <w:sz w:val="24"/>
          <w:highlight w:val="none"/>
        </w:rPr>
        <w:t>自行承担。</w:t>
      </w:r>
    </w:p>
    <w:p w14:paraId="74B80984">
      <w:pPr>
        <w:wordWrap w:val="0"/>
        <w:spacing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5.</w:t>
      </w:r>
      <w:r>
        <w:rPr>
          <w:rFonts w:ascii="宋体" w:hAnsi="宋体"/>
          <w:bCs/>
          <w:color w:val="auto"/>
          <w:spacing w:val="10"/>
          <w:sz w:val="24"/>
          <w:highlight w:val="none"/>
        </w:rPr>
        <w:t>凡有意参加投标的</w:t>
      </w:r>
      <w:r>
        <w:rPr>
          <w:rFonts w:hint="eastAsia" w:ascii="宋体" w:hAnsi="宋体"/>
          <w:bCs/>
          <w:color w:val="auto"/>
          <w:spacing w:val="10"/>
          <w:sz w:val="24"/>
          <w:highlight w:val="none"/>
        </w:rPr>
        <w:t>投标人</w:t>
      </w:r>
      <w:r>
        <w:rPr>
          <w:rFonts w:ascii="宋体" w:hAnsi="宋体"/>
          <w:bCs/>
          <w:color w:val="auto"/>
          <w:spacing w:val="10"/>
          <w:sz w:val="24"/>
          <w:highlight w:val="none"/>
        </w:rPr>
        <w:t>，须在</w:t>
      </w:r>
      <w:r>
        <w:rPr>
          <w:rFonts w:hint="eastAsia" w:ascii="宋体" w:hAnsi="宋体"/>
          <w:bCs/>
          <w:color w:val="auto"/>
          <w:spacing w:val="10"/>
          <w:sz w:val="24"/>
          <w:highlight w:val="none"/>
        </w:rPr>
        <w:t>云南省数字证书认证中心</w:t>
      </w:r>
      <w:r>
        <w:rPr>
          <w:rFonts w:ascii="宋体" w:hAnsi="宋体"/>
          <w:bCs/>
          <w:color w:val="auto"/>
          <w:spacing w:val="10"/>
          <w:sz w:val="24"/>
          <w:highlight w:val="none"/>
        </w:rPr>
        <w:t>https://cap.yunnanca.net/login办理数字证书（CA），并通过政采云绑定数字证书（CA）后在网上获取</w:t>
      </w:r>
      <w:r>
        <w:rPr>
          <w:rFonts w:hint="eastAsia" w:ascii="宋体" w:hAnsi="宋体"/>
          <w:bCs/>
          <w:color w:val="auto"/>
          <w:spacing w:val="10"/>
          <w:sz w:val="24"/>
          <w:highlight w:val="none"/>
        </w:rPr>
        <w:t>招标</w:t>
      </w:r>
      <w:r>
        <w:rPr>
          <w:rFonts w:ascii="宋体" w:hAnsi="宋体"/>
          <w:bCs/>
          <w:color w:val="auto"/>
          <w:spacing w:val="10"/>
          <w:sz w:val="24"/>
          <w:highlight w:val="none"/>
        </w:rPr>
        <w:t>文件及其它</w:t>
      </w:r>
      <w:r>
        <w:rPr>
          <w:rFonts w:hint="eastAsia" w:ascii="宋体" w:hAnsi="宋体"/>
          <w:bCs/>
          <w:color w:val="auto"/>
          <w:spacing w:val="10"/>
          <w:sz w:val="24"/>
          <w:highlight w:val="none"/>
        </w:rPr>
        <w:t>招标</w:t>
      </w:r>
      <w:r>
        <w:rPr>
          <w:rFonts w:ascii="宋体" w:hAnsi="宋体"/>
          <w:bCs/>
          <w:color w:val="auto"/>
          <w:spacing w:val="10"/>
          <w:sz w:val="24"/>
          <w:highlight w:val="none"/>
        </w:rPr>
        <w:t>资料，数字证书（CA）详见其办理流程。注：</w:t>
      </w:r>
      <w:r>
        <w:rPr>
          <w:rFonts w:hint="eastAsia" w:ascii="宋体" w:hAnsi="宋体"/>
          <w:bCs/>
          <w:color w:val="auto"/>
          <w:spacing w:val="10"/>
          <w:sz w:val="24"/>
          <w:highlight w:val="none"/>
        </w:rPr>
        <w:t>投标人</w:t>
      </w:r>
      <w:r>
        <w:rPr>
          <w:rFonts w:ascii="宋体" w:hAnsi="宋体"/>
          <w:bCs/>
          <w:color w:val="auto"/>
          <w:spacing w:val="10"/>
          <w:sz w:val="24"/>
          <w:highlight w:val="none"/>
        </w:rPr>
        <w:t>如之前已在云南CA在线数字证书办理网进行过注册并办理过企业数字证书（CA）的，直接绑定即可，无需重复办理（2022年1月1日前在云南省公共资源交易平台办理过云南CA证书的需到原办理点进行升级后方可使用）。外省</w:t>
      </w:r>
      <w:r>
        <w:rPr>
          <w:rFonts w:hint="eastAsia" w:ascii="宋体" w:hAnsi="宋体"/>
          <w:bCs/>
          <w:color w:val="auto"/>
          <w:spacing w:val="10"/>
          <w:sz w:val="24"/>
          <w:highlight w:val="none"/>
        </w:rPr>
        <w:t>投标人</w:t>
      </w:r>
      <w:r>
        <w:rPr>
          <w:rFonts w:ascii="宋体" w:hAnsi="宋体"/>
          <w:bCs/>
          <w:color w:val="auto"/>
          <w:spacing w:val="10"/>
          <w:sz w:val="24"/>
          <w:highlight w:val="none"/>
        </w:rPr>
        <w:t>在政采云平台办理的其他CA可直接使用，无需重复办理。</w:t>
      </w:r>
      <w:r>
        <w:rPr>
          <w:rFonts w:hint="eastAsia" w:ascii="宋体" w:hAnsi="宋体"/>
          <w:bCs/>
          <w:color w:val="auto"/>
          <w:spacing w:val="10"/>
          <w:sz w:val="24"/>
          <w:highlight w:val="none"/>
        </w:rPr>
        <w:t>投标</w:t>
      </w:r>
      <w:r>
        <w:rPr>
          <w:rFonts w:ascii="宋体" w:hAnsi="宋体"/>
          <w:bCs/>
          <w:color w:val="auto"/>
          <w:spacing w:val="10"/>
          <w:sz w:val="24"/>
          <w:highlight w:val="none"/>
        </w:rPr>
        <w:t>人通过CA证书获取</w:t>
      </w:r>
      <w:r>
        <w:rPr>
          <w:rFonts w:hint="eastAsia" w:ascii="宋体" w:hAnsi="宋体"/>
          <w:bCs/>
          <w:color w:val="auto"/>
          <w:spacing w:val="10"/>
          <w:sz w:val="24"/>
          <w:highlight w:val="none"/>
        </w:rPr>
        <w:t>招标</w:t>
      </w:r>
      <w:r>
        <w:rPr>
          <w:rFonts w:ascii="宋体" w:hAnsi="宋体"/>
          <w:bCs/>
          <w:color w:val="auto"/>
          <w:spacing w:val="10"/>
          <w:sz w:val="24"/>
          <w:highlight w:val="none"/>
        </w:rPr>
        <w:t>文件的视为合法获取了项目</w:t>
      </w:r>
      <w:r>
        <w:rPr>
          <w:rFonts w:hint="eastAsia" w:ascii="宋体" w:hAnsi="宋体"/>
          <w:bCs/>
          <w:color w:val="auto"/>
          <w:spacing w:val="10"/>
          <w:sz w:val="24"/>
          <w:highlight w:val="none"/>
        </w:rPr>
        <w:t>招标</w:t>
      </w:r>
      <w:r>
        <w:rPr>
          <w:rFonts w:ascii="宋体" w:hAnsi="宋体"/>
          <w:bCs/>
          <w:color w:val="auto"/>
          <w:spacing w:val="10"/>
          <w:sz w:val="24"/>
          <w:highlight w:val="none"/>
        </w:rPr>
        <w:t>文件，具备本项目的投标资格。</w:t>
      </w:r>
    </w:p>
    <w:p w14:paraId="53520D01">
      <w:pPr>
        <w:wordWrap w:val="0"/>
        <w:spacing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6</w:t>
      </w:r>
      <w:r>
        <w:rPr>
          <w:rFonts w:ascii="宋体" w:hAnsi="宋体"/>
          <w:bCs/>
          <w:color w:val="auto"/>
          <w:spacing w:val="10"/>
          <w:sz w:val="24"/>
          <w:highlight w:val="none"/>
        </w:rPr>
        <w:t>.</w:t>
      </w:r>
      <w:r>
        <w:rPr>
          <w:rFonts w:hint="eastAsia" w:ascii="宋体" w:hAnsi="宋体"/>
          <w:bCs/>
          <w:color w:val="auto"/>
          <w:spacing w:val="10"/>
          <w:sz w:val="24"/>
          <w:highlight w:val="none"/>
        </w:rPr>
        <w:t>投标人</w:t>
      </w:r>
      <w:r>
        <w:rPr>
          <w:rFonts w:ascii="宋体" w:hAnsi="宋体"/>
          <w:bCs/>
          <w:color w:val="auto"/>
          <w:spacing w:val="10"/>
          <w:sz w:val="24"/>
          <w:highlight w:val="none"/>
        </w:rPr>
        <w:t>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如因</w:t>
      </w:r>
      <w:r>
        <w:rPr>
          <w:rFonts w:hint="eastAsia" w:ascii="宋体" w:hAnsi="宋体"/>
          <w:bCs/>
          <w:color w:val="auto"/>
          <w:spacing w:val="10"/>
          <w:sz w:val="24"/>
          <w:highlight w:val="none"/>
        </w:rPr>
        <w:t>投标人</w:t>
      </w:r>
      <w:r>
        <w:rPr>
          <w:rFonts w:ascii="宋体" w:hAnsi="宋体"/>
          <w:bCs/>
          <w:color w:val="auto"/>
          <w:spacing w:val="10"/>
          <w:sz w:val="24"/>
          <w:highlight w:val="none"/>
        </w:rPr>
        <w:t>自身原因导致在规定时间内无法正常解密的（如：浏览器故障、未安装相关驱动、网络故障、加密CA与解密CA不一致等），代理机构不予异常处理，视为</w:t>
      </w:r>
      <w:r>
        <w:rPr>
          <w:rFonts w:hint="eastAsia" w:ascii="宋体" w:hAnsi="宋体"/>
          <w:bCs/>
          <w:color w:val="auto"/>
          <w:spacing w:val="10"/>
          <w:sz w:val="24"/>
          <w:highlight w:val="none"/>
        </w:rPr>
        <w:t>投标人</w:t>
      </w:r>
      <w:r>
        <w:rPr>
          <w:rFonts w:ascii="宋体" w:hAnsi="宋体"/>
          <w:bCs/>
          <w:color w:val="auto"/>
          <w:spacing w:val="10"/>
          <w:sz w:val="24"/>
          <w:highlight w:val="none"/>
        </w:rPr>
        <w:t>自动</w:t>
      </w:r>
      <w:r>
        <w:rPr>
          <w:rFonts w:hint="eastAsia" w:ascii="宋体" w:hAnsi="宋体"/>
          <w:bCs/>
          <w:color w:val="auto"/>
          <w:spacing w:val="10"/>
          <w:sz w:val="24"/>
          <w:highlight w:val="none"/>
        </w:rPr>
        <w:t>放</w:t>
      </w:r>
      <w:r>
        <w:rPr>
          <w:rFonts w:ascii="宋体" w:hAnsi="宋体"/>
          <w:bCs/>
          <w:color w:val="auto"/>
          <w:spacing w:val="10"/>
          <w:sz w:val="24"/>
          <w:highlight w:val="none"/>
        </w:rPr>
        <w:t>弃</w:t>
      </w:r>
      <w:r>
        <w:rPr>
          <w:rFonts w:hint="eastAsia" w:ascii="宋体" w:hAnsi="宋体"/>
          <w:bCs/>
          <w:color w:val="auto"/>
          <w:spacing w:val="10"/>
          <w:sz w:val="24"/>
          <w:highlight w:val="none"/>
        </w:rPr>
        <w:t>投</w:t>
      </w:r>
      <w:r>
        <w:rPr>
          <w:rFonts w:ascii="宋体" w:hAnsi="宋体"/>
          <w:bCs/>
          <w:color w:val="auto"/>
          <w:spacing w:val="10"/>
          <w:sz w:val="24"/>
          <w:highlight w:val="none"/>
        </w:rPr>
        <w:t>标。</w:t>
      </w:r>
    </w:p>
    <w:p w14:paraId="0DC9C98A">
      <w:pPr>
        <w:spacing w:line="420" w:lineRule="exact"/>
        <w:ind w:firstLine="482"/>
        <w:rPr>
          <w:rFonts w:ascii="宋体" w:hAnsi="宋体" w:cs="宋体"/>
          <w:b/>
          <w:bCs/>
          <w:color w:val="auto"/>
          <w:sz w:val="24"/>
          <w:highlight w:val="none"/>
        </w:rPr>
      </w:pPr>
      <w:r>
        <w:rPr>
          <w:rFonts w:hint="eastAsia" w:ascii="宋体" w:hAnsi="宋体" w:cs="宋体"/>
          <w:b/>
          <w:bCs/>
          <w:color w:val="auto"/>
          <w:sz w:val="24"/>
          <w:highlight w:val="none"/>
        </w:rPr>
        <w:t>七、对本次招标提出询问，请按以下方式联系</w:t>
      </w:r>
      <w:bookmarkEnd w:id="24"/>
      <w:bookmarkEnd w:id="25"/>
      <w:bookmarkEnd w:id="26"/>
      <w:bookmarkEnd w:id="27"/>
    </w:p>
    <w:p w14:paraId="1145755F">
      <w:pPr>
        <w:spacing w:line="420" w:lineRule="exact"/>
        <w:ind w:firstLine="520" w:firstLineChars="200"/>
        <w:rPr>
          <w:rFonts w:ascii="宋体" w:hAnsi="宋体"/>
          <w:b/>
          <w:bCs/>
          <w:color w:val="auto"/>
          <w:spacing w:val="10"/>
          <w:sz w:val="24"/>
          <w:highlight w:val="none"/>
        </w:rPr>
      </w:pPr>
      <w:r>
        <w:rPr>
          <w:rFonts w:hint="eastAsia" w:ascii="宋体" w:hAnsi="宋体"/>
          <w:b/>
          <w:bCs/>
          <w:color w:val="auto"/>
          <w:spacing w:val="10"/>
          <w:sz w:val="24"/>
          <w:highlight w:val="none"/>
        </w:rPr>
        <w:t>1.采购人信息</w:t>
      </w:r>
    </w:p>
    <w:p w14:paraId="30B486DE">
      <w:pPr>
        <w:spacing w:line="420" w:lineRule="exact"/>
        <w:ind w:firstLine="520" w:firstLineChars="200"/>
        <w:rPr>
          <w:rFonts w:hint="eastAsia" w:ascii="宋体" w:hAnsi="宋体" w:eastAsia="宋体"/>
          <w:bCs/>
          <w:color w:val="auto"/>
          <w:spacing w:val="10"/>
          <w:sz w:val="24"/>
          <w:highlight w:val="none"/>
          <w:lang w:eastAsia="zh-CN"/>
        </w:rPr>
      </w:pPr>
      <w:bookmarkStart w:id="28" w:name="_Toc28359086"/>
      <w:bookmarkStart w:id="29" w:name="_Toc28359009"/>
      <w:r>
        <w:rPr>
          <w:rFonts w:hint="eastAsia" w:ascii="宋体" w:hAnsi="宋体"/>
          <w:bCs/>
          <w:color w:val="auto"/>
          <w:spacing w:val="10"/>
          <w:sz w:val="24"/>
          <w:highlight w:val="none"/>
        </w:rPr>
        <w:t>名称：</w:t>
      </w:r>
      <w:r>
        <w:rPr>
          <w:rFonts w:hint="eastAsia" w:ascii="宋体" w:hAnsi="宋体"/>
          <w:bCs/>
          <w:color w:val="auto"/>
          <w:spacing w:val="10"/>
          <w:sz w:val="24"/>
          <w:highlight w:val="none"/>
          <w:lang w:eastAsia="zh-CN"/>
        </w:rPr>
        <w:t>云南省农业科学院农业环境资源研究所</w:t>
      </w:r>
    </w:p>
    <w:p w14:paraId="18A6C5D2">
      <w:pPr>
        <w:spacing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地址：云南省昆明市盘龙区北京路2238号</w:t>
      </w:r>
    </w:p>
    <w:p w14:paraId="50FFD497">
      <w:pPr>
        <w:spacing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联系方式：联系人：</w:t>
      </w:r>
      <w:r>
        <w:rPr>
          <w:rFonts w:hint="eastAsia" w:ascii="宋体" w:hAnsi="宋体"/>
          <w:bCs/>
          <w:color w:val="auto"/>
          <w:spacing w:val="10"/>
          <w:sz w:val="24"/>
          <w:highlight w:val="none"/>
          <w:lang w:val="en-US" w:eastAsia="zh-CN"/>
        </w:rPr>
        <w:t>李璨</w:t>
      </w:r>
      <w:r>
        <w:rPr>
          <w:rFonts w:hint="eastAsia" w:ascii="宋体" w:hAnsi="宋体"/>
          <w:bCs/>
          <w:color w:val="auto"/>
          <w:spacing w:val="10"/>
          <w:sz w:val="24"/>
          <w:highlight w:val="none"/>
        </w:rPr>
        <w:t>，电话：0871-65891333</w:t>
      </w:r>
    </w:p>
    <w:bookmarkEnd w:id="28"/>
    <w:bookmarkEnd w:id="29"/>
    <w:p w14:paraId="018B93C1">
      <w:pPr>
        <w:spacing w:line="420" w:lineRule="exact"/>
        <w:ind w:firstLine="520" w:firstLineChars="200"/>
        <w:rPr>
          <w:rFonts w:ascii="宋体" w:hAnsi="宋体"/>
          <w:b/>
          <w:bCs/>
          <w:color w:val="auto"/>
          <w:spacing w:val="10"/>
          <w:sz w:val="24"/>
          <w:highlight w:val="none"/>
        </w:rPr>
      </w:pPr>
      <w:r>
        <w:rPr>
          <w:rFonts w:hint="eastAsia" w:ascii="宋体" w:hAnsi="宋体"/>
          <w:b/>
          <w:bCs/>
          <w:color w:val="auto"/>
          <w:spacing w:val="10"/>
          <w:sz w:val="24"/>
          <w:highlight w:val="none"/>
        </w:rPr>
        <w:t>2.采购代理机构信息</w:t>
      </w:r>
    </w:p>
    <w:p w14:paraId="62AFFFFE">
      <w:pPr>
        <w:spacing w:line="420" w:lineRule="exact"/>
        <w:ind w:firstLine="520" w:firstLineChars="200"/>
        <w:rPr>
          <w:rFonts w:ascii="宋体" w:hAnsi="宋体"/>
          <w:bCs/>
          <w:color w:val="auto"/>
          <w:spacing w:val="10"/>
          <w:sz w:val="24"/>
          <w:highlight w:val="none"/>
        </w:rPr>
      </w:pPr>
      <w:bookmarkStart w:id="30" w:name="_Toc28359087"/>
      <w:bookmarkStart w:id="31" w:name="_Toc28359010"/>
      <w:r>
        <w:rPr>
          <w:rFonts w:hint="eastAsia" w:ascii="宋体" w:hAnsi="宋体"/>
          <w:bCs/>
          <w:color w:val="auto"/>
          <w:spacing w:val="10"/>
          <w:sz w:val="24"/>
          <w:highlight w:val="none"/>
        </w:rPr>
        <w:t>名称：云南众高工程咨询有限公司</w:t>
      </w:r>
    </w:p>
    <w:p w14:paraId="14FCABE9">
      <w:pPr>
        <w:spacing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地址：昆明市盘龙区北辰大道1号美立方商业广场B座16楼</w:t>
      </w:r>
    </w:p>
    <w:p w14:paraId="3C5BD985">
      <w:pPr>
        <w:spacing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联系方式：0871-67357686</w:t>
      </w:r>
    </w:p>
    <w:p w14:paraId="2AB48EEC">
      <w:pPr>
        <w:spacing w:line="420" w:lineRule="exact"/>
        <w:ind w:firstLine="520" w:firstLineChars="200"/>
        <w:rPr>
          <w:rFonts w:ascii="宋体" w:hAnsi="宋体"/>
          <w:b/>
          <w:bCs/>
          <w:color w:val="auto"/>
          <w:spacing w:val="10"/>
          <w:sz w:val="24"/>
          <w:highlight w:val="none"/>
        </w:rPr>
      </w:pPr>
      <w:r>
        <w:rPr>
          <w:rFonts w:hint="eastAsia" w:ascii="宋体" w:hAnsi="宋体"/>
          <w:b/>
          <w:bCs/>
          <w:color w:val="auto"/>
          <w:spacing w:val="10"/>
          <w:sz w:val="24"/>
          <w:highlight w:val="none"/>
        </w:rPr>
        <w:t>3.项目联系方式</w:t>
      </w:r>
    </w:p>
    <w:bookmarkEnd w:id="30"/>
    <w:bookmarkEnd w:id="31"/>
    <w:p w14:paraId="3C6E02F3">
      <w:pPr>
        <w:spacing w:line="44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项目联系人：</w:t>
      </w:r>
      <w:r>
        <w:rPr>
          <w:rFonts w:hint="eastAsia" w:ascii="宋体" w:hAnsi="宋体"/>
          <w:bCs/>
          <w:color w:val="auto"/>
          <w:spacing w:val="10"/>
          <w:sz w:val="24"/>
          <w:highlight w:val="none"/>
          <w:lang w:val="en-US" w:eastAsia="zh-CN"/>
        </w:rPr>
        <w:t>罗辅、</w:t>
      </w:r>
      <w:r>
        <w:rPr>
          <w:rFonts w:hint="eastAsia" w:ascii="宋体" w:hAnsi="宋体"/>
          <w:bCs/>
          <w:color w:val="auto"/>
          <w:spacing w:val="10"/>
          <w:sz w:val="24"/>
          <w:highlight w:val="none"/>
        </w:rPr>
        <w:t>王蒙、可兆伟、陈主娥、卯明艳、杨光菲</w:t>
      </w:r>
    </w:p>
    <w:p w14:paraId="663FE20D">
      <w:pPr>
        <w:pStyle w:val="17"/>
        <w:spacing w:after="0" w:line="420" w:lineRule="exact"/>
        <w:ind w:firstLine="517" w:firstLineChars="199"/>
        <w:rPr>
          <w:rFonts w:asciiTheme="minorEastAsia" w:hAnsiTheme="minorEastAsia" w:eastAsiaTheme="minorEastAsia" w:cstheme="minorEastAsia"/>
          <w:bCs/>
          <w:color w:val="auto"/>
          <w:highlight w:val="none"/>
        </w:rPr>
      </w:pPr>
      <w:r>
        <w:rPr>
          <w:rFonts w:hint="eastAsia" w:ascii="宋体"/>
          <w:bCs/>
          <w:color w:val="auto"/>
          <w:highlight w:val="none"/>
        </w:rPr>
        <w:t>电话：0871-67357686</w:t>
      </w:r>
    </w:p>
    <w:p w14:paraId="3BD006EE">
      <w:pPr>
        <w:widowControl/>
        <w:spacing w:line="420" w:lineRule="exact"/>
        <w:jc w:val="left"/>
        <w:rPr>
          <w:rFonts w:asciiTheme="minorEastAsia" w:hAnsiTheme="minorEastAsia" w:eastAsiaTheme="minorEastAsia" w:cstheme="minorEastAsia"/>
          <w:bCs/>
          <w:color w:val="auto"/>
          <w:spacing w:val="10"/>
          <w:sz w:val="24"/>
          <w:highlight w:val="none"/>
        </w:rPr>
      </w:pPr>
      <w:r>
        <w:rPr>
          <w:rFonts w:asciiTheme="minorEastAsia" w:hAnsiTheme="minorEastAsia" w:eastAsiaTheme="minorEastAsia" w:cstheme="minorEastAsia"/>
          <w:bCs/>
          <w:color w:val="auto"/>
          <w:highlight w:val="none"/>
        </w:rPr>
        <w:br w:type="page"/>
      </w:r>
    </w:p>
    <w:p w14:paraId="36A6BC1E">
      <w:pPr>
        <w:pStyle w:val="2"/>
        <w:rPr>
          <w:color w:val="auto"/>
          <w:highlight w:val="none"/>
        </w:rPr>
      </w:pPr>
      <w:bookmarkStart w:id="32" w:name="_Toc4583"/>
      <w:r>
        <w:rPr>
          <w:rFonts w:hint="eastAsia"/>
          <w:color w:val="auto"/>
          <w:highlight w:val="none"/>
        </w:rPr>
        <w:t>第二章  投标人须知</w:t>
      </w:r>
      <w:bookmarkEnd w:id="32"/>
    </w:p>
    <w:p w14:paraId="358B94B4">
      <w:pPr>
        <w:ind w:firstLine="520"/>
        <w:jc w:val="center"/>
        <w:rPr>
          <w:color w:val="auto"/>
          <w:highlight w:val="none"/>
        </w:rPr>
      </w:pPr>
      <w:bookmarkStart w:id="33" w:name="_Toc28748"/>
      <w:r>
        <w:rPr>
          <w:rFonts w:hint="eastAsia"/>
          <w:b/>
          <w:bCs/>
          <w:color w:val="auto"/>
          <w:sz w:val="24"/>
          <w:szCs w:val="32"/>
          <w:highlight w:val="none"/>
        </w:rPr>
        <w:t>投标人须知前附表</w:t>
      </w:r>
      <w:bookmarkEnd w:id="33"/>
    </w:p>
    <w:tbl>
      <w:tblPr>
        <w:tblStyle w:val="32"/>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709"/>
        <w:gridCol w:w="2897"/>
        <w:gridCol w:w="5289"/>
      </w:tblGrid>
      <w:tr w14:paraId="2A49C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blHeader/>
          <w:jc w:val="center"/>
        </w:trPr>
        <w:tc>
          <w:tcPr>
            <w:tcW w:w="1384" w:type="dxa"/>
            <w:gridSpan w:val="2"/>
            <w:vAlign w:val="center"/>
          </w:tcPr>
          <w:p w14:paraId="46D49402">
            <w:pPr>
              <w:pStyle w:val="21"/>
              <w:ind w:firstLine="240" w:firstLineChars="100"/>
              <w:rPr>
                <w:b/>
                <w:color w:val="auto"/>
                <w:sz w:val="24"/>
                <w:szCs w:val="24"/>
                <w:highlight w:val="none"/>
              </w:rPr>
            </w:pPr>
            <w:r>
              <w:rPr>
                <w:rFonts w:hint="eastAsia"/>
                <w:b/>
                <w:color w:val="auto"/>
                <w:sz w:val="24"/>
                <w:szCs w:val="24"/>
                <w:highlight w:val="none"/>
              </w:rPr>
              <w:t>序 号</w:t>
            </w:r>
          </w:p>
        </w:tc>
        <w:tc>
          <w:tcPr>
            <w:tcW w:w="2897" w:type="dxa"/>
            <w:vAlign w:val="center"/>
          </w:tcPr>
          <w:p w14:paraId="643EE9AA">
            <w:pPr>
              <w:pStyle w:val="21"/>
              <w:ind w:firstLine="520"/>
              <w:jc w:val="center"/>
              <w:rPr>
                <w:b/>
                <w:color w:val="auto"/>
                <w:sz w:val="24"/>
                <w:szCs w:val="24"/>
                <w:highlight w:val="none"/>
              </w:rPr>
            </w:pPr>
            <w:r>
              <w:rPr>
                <w:rFonts w:hint="eastAsia"/>
                <w:b/>
                <w:color w:val="auto"/>
                <w:sz w:val="24"/>
                <w:szCs w:val="24"/>
                <w:highlight w:val="none"/>
              </w:rPr>
              <w:t>条 款 名 称</w:t>
            </w:r>
          </w:p>
        </w:tc>
        <w:tc>
          <w:tcPr>
            <w:tcW w:w="5289" w:type="dxa"/>
            <w:vAlign w:val="center"/>
          </w:tcPr>
          <w:p w14:paraId="5C970FE6">
            <w:pPr>
              <w:pStyle w:val="21"/>
              <w:ind w:firstLine="520"/>
              <w:jc w:val="center"/>
              <w:rPr>
                <w:b/>
                <w:color w:val="auto"/>
                <w:sz w:val="24"/>
                <w:szCs w:val="24"/>
                <w:highlight w:val="none"/>
              </w:rPr>
            </w:pPr>
            <w:r>
              <w:rPr>
                <w:rFonts w:hint="eastAsia"/>
                <w:b/>
                <w:color w:val="auto"/>
                <w:sz w:val="24"/>
                <w:szCs w:val="24"/>
                <w:highlight w:val="none"/>
              </w:rPr>
              <w:t>编 列 内 容</w:t>
            </w:r>
          </w:p>
        </w:tc>
      </w:tr>
      <w:tr w14:paraId="38EC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1384" w:type="dxa"/>
            <w:gridSpan w:val="2"/>
            <w:vMerge w:val="restart"/>
            <w:vAlign w:val="center"/>
          </w:tcPr>
          <w:p w14:paraId="6C9855FF">
            <w:pPr>
              <w:pStyle w:val="21"/>
              <w:ind w:firstLine="480" w:firstLineChars="200"/>
              <w:rPr>
                <w:color w:val="auto"/>
                <w:sz w:val="24"/>
                <w:szCs w:val="24"/>
                <w:highlight w:val="none"/>
              </w:rPr>
            </w:pPr>
            <w:r>
              <w:rPr>
                <w:rFonts w:hint="eastAsia"/>
                <w:color w:val="auto"/>
                <w:sz w:val="24"/>
                <w:szCs w:val="24"/>
                <w:highlight w:val="none"/>
              </w:rPr>
              <w:t>1</w:t>
            </w:r>
          </w:p>
        </w:tc>
        <w:tc>
          <w:tcPr>
            <w:tcW w:w="2897" w:type="dxa"/>
            <w:vAlign w:val="center"/>
          </w:tcPr>
          <w:p w14:paraId="2B280DA6">
            <w:pPr>
              <w:pStyle w:val="21"/>
              <w:rPr>
                <w:rFonts w:hint="eastAsia" w:eastAsia="宋体"/>
                <w:color w:val="auto"/>
                <w:sz w:val="24"/>
                <w:szCs w:val="24"/>
                <w:highlight w:val="none"/>
                <w:u w:val="single"/>
                <w:lang w:eastAsia="zh-CN"/>
              </w:rPr>
            </w:pPr>
            <w:r>
              <w:rPr>
                <w:rFonts w:hint="eastAsia"/>
                <w:bCs/>
                <w:color w:val="auto"/>
                <w:sz w:val="24"/>
                <w:szCs w:val="24"/>
                <w:highlight w:val="none"/>
                <w:lang w:eastAsia="zh-CN"/>
              </w:rPr>
              <w:t>采购人</w:t>
            </w:r>
          </w:p>
        </w:tc>
        <w:tc>
          <w:tcPr>
            <w:tcW w:w="5289" w:type="dxa"/>
            <w:vAlign w:val="center"/>
          </w:tcPr>
          <w:p w14:paraId="3AA07671">
            <w:pPr>
              <w:pStyle w:val="21"/>
              <w:rPr>
                <w:bCs/>
                <w:color w:val="auto"/>
                <w:sz w:val="24"/>
                <w:szCs w:val="24"/>
                <w:highlight w:val="none"/>
              </w:rPr>
            </w:pPr>
            <w:r>
              <w:rPr>
                <w:rFonts w:hint="eastAsia"/>
                <w:bCs/>
                <w:color w:val="auto"/>
                <w:sz w:val="24"/>
                <w:szCs w:val="24"/>
                <w:highlight w:val="none"/>
                <w:lang w:eastAsia="zh-CN"/>
              </w:rPr>
              <w:t>云南省农业科学院农业环境资源研究所</w:t>
            </w:r>
            <w:r>
              <w:rPr>
                <w:rFonts w:hint="eastAsia"/>
                <w:bCs/>
                <w:color w:val="auto"/>
                <w:sz w:val="24"/>
                <w:szCs w:val="24"/>
                <w:highlight w:val="none"/>
              </w:rPr>
              <w:t>。</w:t>
            </w:r>
          </w:p>
        </w:tc>
      </w:tr>
      <w:tr w14:paraId="122F3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384" w:type="dxa"/>
            <w:gridSpan w:val="2"/>
            <w:vMerge w:val="continue"/>
            <w:vAlign w:val="center"/>
          </w:tcPr>
          <w:p w14:paraId="6886791D">
            <w:pPr>
              <w:ind w:firstLine="522"/>
              <w:rPr>
                <w:color w:val="auto"/>
                <w:sz w:val="24"/>
                <w:highlight w:val="none"/>
              </w:rPr>
            </w:pPr>
          </w:p>
        </w:tc>
        <w:tc>
          <w:tcPr>
            <w:tcW w:w="2897" w:type="dxa"/>
            <w:vAlign w:val="center"/>
          </w:tcPr>
          <w:p w14:paraId="09E12C40">
            <w:pPr>
              <w:pStyle w:val="21"/>
              <w:rPr>
                <w:bCs/>
                <w:color w:val="auto"/>
                <w:sz w:val="24"/>
                <w:szCs w:val="24"/>
                <w:highlight w:val="none"/>
              </w:rPr>
            </w:pPr>
            <w:r>
              <w:rPr>
                <w:rFonts w:hint="eastAsia"/>
                <w:bCs/>
                <w:color w:val="auto"/>
                <w:sz w:val="24"/>
                <w:szCs w:val="24"/>
                <w:highlight w:val="none"/>
                <w:lang w:eastAsia="zh-CN"/>
              </w:rPr>
              <w:t>采购代理</w:t>
            </w:r>
            <w:r>
              <w:rPr>
                <w:rFonts w:hint="eastAsia"/>
                <w:bCs/>
                <w:color w:val="auto"/>
                <w:sz w:val="24"/>
                <w:szCs w:val="24"/>
                <w:highlight w:val="none"/>
              </w:rPr>
              <w:t>机构</w:t>
            </w:r>
          </w:p>
        </w:tc>
        <w:tc>
          <w:tcPr>
            <w:tcW w:w="5289" w:type="dxa"/>
            <w:vAlign w:val="center"/>
          </w:tcPr>
          <w:p w14:paraId="1E6B3725">
            <w:pPr>
              <w:pStyle w:val="21"/>
              <w:rPr>
                <w:bCs/>
                <w:color w:val="auto"/>
                <w:sz w:val="24"/>
                <w:szCs w:val="24"/>
                <w:highlight w:val="none"/>
              </w:rPr>
            </w:pPr>
            <w:r>
              <w:rPr>
                <w:rFonts w:hint="eastAsia"/>
                <w:bCs/>
                <w:color w:val="auto"/>
                <w:sz w:val="24"/>
                <w:szCs w:val="24"/>
                <w:highlight w:val="none"/>
              </w:rPr>
              <w:t>云南众高工程咨询有限公司。</w:t>
            </w:r>
          </w:p>
        </w:tc>
      </w:tr>
      <w:tr w14:paraId="47F2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384" w:type="dxa"/>
            <w:gridSpan w:val="2"/>
            <w:vMerge w:val="continue"/>
            <w:vAlign w:val="center"/>
          </w:tcPr>
          <w:p w14:paraId="38D65DA8">
            <w:pPr>
              <w:ind w:firstLine="522"/>
              <w:rPr>
                <w:color w:val="auto"/>
                <w:sz w:val="24"/>
                <w:highlight w:val="none"/>
              </w:rPr>
            </w:pPr>
          </w:p>
        </w:tc>
        <w:tc>
          <w:tcPr>
            <w:tcW w:w="2897" w:type="dxa"/>
            <w:vAlign w:val="center"/>
          </w:tcPr>
          <w:p w14:paraId="12D3C310">
            <w:pPr>
              <w:pStyle w:val="21"/>
              <w:rPr>
                <w:color w:val="auto"/>
                <w:sz w:val="24"/>
                <w:szCs w:val="24"/>
                <w:highlight w:val="none"/>
              </w:rPr>
            </w:pPr>
            <w:r>
              <w:rPr>
                <w:rFonts w:hint="eastAsia"/>
                <w:color w:val="auto"/>
                <w:sz w:val="24"/>
                <w:szCs w:val="24"/>
                <w:highlight w:val="none"/>
              </w:rPr>
              <w:t>项目名称</w:t>
            </w:r>
          </w:p>
        </w:tc>
        <w:tc>
          <w:tcPr>
            <w:tcW w:w="5289" w:type="dxa"/>
            <w:vAlign w:val="center"/>
          </w:tcPr>
          <w:p w14:paraId="60EEE5CC">
            <w:pPr>
              <w:pStyle w:val="21"/>
              <w:rPr>
                <w:bCs/>
                <w:color w:val="auto"/>
                <w:sz w:val="24"/>
                <w:szCs w:val="24"/>
                <w:highlight w:val="none"/>
              </w:rPr>
            </w:pPr>
            <w:r>
              <w:rPr>
                <w:rFonts w:hint="eastAsia"/>
                <w:bCs/>
                <w:color w:val="auto"/>
                <w:sz w:val="24"/>
                <w:szCs w:val="24"/>
                <w:highlight w:val="none"/>
                <w:lang w:eastAsia="zh-CN"/>
              </w:rPr>
              <w:t>天敌昆虫资源及产品转化平台建设项目采购一批天敌昆虫扩繁设备</w:t>
            </w:r>
            <w:r>
              <w:rPr>
                <w:rFonts w:hint="eastAsia"/>
                <w:bCs/>
                <w:color w:val="auto"/>
                <w:sz w:val="24"/>
                <w:szCs w:val="24"/>
                <w:highlight w:val="none"/>
              </w:rPr>
              <w:t>。</w:t>
            </w:r>
          </w:p>
        </w:tc>
      </w:tr>
      <w:tr w14:paraId="1766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1384" w:type="dxa"/>
            <w:gridSpan w:val="2"/>
            <w:vMerge w:val="continue"/>
            <w:vAlign w:val="center"/>
          </w:tcPr>
          <w:p w14:paraId="4389F048">
            <w:pPr>
              <w:ind w:firstLine="522"/>
              <w:rPr>
                <w:color w:val="auto"/>
                <w:sz w:val="24"/>
                <w:highlight w:val="none"/>
              </w:rPr>
            </w:pPr>
          </w:p>
        </w:tc>
        <w:tc>
          <w:tcPr>
            <w:tcW w:w="2897" w:type="dxa"/>
            <w:vAlign w:val="center"/>
          </w:tcPr>
          <w:p w14:paraId="1DD3E0A9">
            <w:pPr>
              <w:pStyle w:val="21"/>
              <w:rPr>
                <w:color w:val="auto"/>
                <w:sz w:val="24"/>
                <w:szCs w:val="24"/>
                <w:highlight w:val="none"/>
              </w:rPr>
            </w:pPr>
            <w:r>
              <w:rPr>
                <w:rFonts w:hint="eastAsia"/>
                <w:color w:val="auto"/>
                <w:sz w:val="24"/>
                <w:szCs w:val="24"/>
                <w:highlight w:val="none"/>
              </w:rPr>
              <w:t>招标编号</w:t>
            </w:r>
          </w:p>
        </w:tc>
        <w:tc>
          <w:tcPr>
            <w:tcW w:w="5289" w:type="dxa"/>
            <w:vAlign w:val="center"/>
          </w:tcPr>
          <w:p w14:paraId="645E7973">
            <w:pPr>
              <w:pStyle w:val="21"/>
              <w:rPr>
                <w:bCs/>
                <w:color w:val="auto"/>
                <w:sz w:val="24"/>
                <w:szCs w:val="24"/>
                <w:highlight w:val="none"/>
              </w:rPr>
            </w:pPr>
            <w:r>
              <w:rPr>
                <w:rFonts w:hint="eastAsia"/>
                <w:bCs/>
                <w:color w:val="auto"/>
                <w:sz w:val="24"/>
                <w:szCs w:val="24"/>
                <w:highlight w:val="none"/>
                <w:lang w:eastAsia="zh-CN"/>
              </w:rPr>
              <w:t>ZG-2026087</w:t>
            </w:r>
            <w:r>
              <w:rPr>
                <w:rFonts w:hint="eastAsia"/>
                <w:bCs/>
                <w:color w:val="auto"/>
                <w:sz w:val="24"/>
                <w:szCs w:val="24"/>
                <w:highlight w:val="none"/>
              </w:rPr>
              <w:t>。</w:t>
            </w:r>
          </w:p>
        </w:tc>
      </w:tr>
      <w:tr w14:paraId="49EFC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384" w:type="dxa"/>
            <w:gridSpan w:val="2"/>
            <w:vAlign w:val="center"/>
          </w:tcPr>
          <w:p w14:paraId="457D89D9">
            <w:pPr>
              <w:pStyle w:val="21"/>
              <w:ind w:firstLine="480" w:firstLineChars="200"/>
              <w:rPr>
                <w:color w:val="auto"/>
                <w:sz w:val="24"/>
                <w:szCs w:val="24"/>
                <w:highlight w:val="none"/>
              </w:rPr>
            </w:pPr>
            <w:r>
              <w:rPr>
                <w:rFonts w:hint="eastAsia"/>
                <w:color w:val="auto"/>
                <w:sz w:val="24"/>
                <w:szCs w:val="24"/>
                <w:highlight w:val="none"/>
              </w:rPr>
              <w:t>2</w:t>
            </w:r>
          </w:p>
        </w:tc>
        <w:tc>
          <w:tcPr>
            <w:tcW w:w="2897" w:type="dxa"/>
            <w:vAlign w:val="center"/>
          </w:tcPr>
          <w:p w14:paraId="7C1E283D">
            <w:pPr>
              <w:pStyle w:val="21"/>
              <w:rPr>
                <w:color w:val="auto"/>
                <w:sz w:val="24"/>
                <w:szCs w:val="24"/>
                <w:highlight w:val="none"/>
              </w:rPr>
            </w:pPr>
            <w:r>
              <w:rPr>
                <w:rFonts w:hint="eastAsia"/>
                <w:color w:val="auto"/>
                <w:sz w:val="24"/>
                <w:szCs w:val="24"/>
                <w:highlight w:val="none"/>
              </w:rPr>
              <w:t>招标内容（实质性要求）</w:t>
            </w:r>
          </w:p>
        </w:tc>
        <w:tc>
          <w:tcPr>
            <w:tcW w:w="5289" w:type="dxa"/>
            <w:vAlign w:val="center"/>
          </w:tcPr>
          <w:p w14:paraId="2BFAA745">
            <w:pPr>
              <w:pStyle w:val="21"/>
              <w:jc w:val="left"/>
              <w:rPr>
                <w:color w:val="auto"/>
                <w:sz w:val="24"/>
                <w:szCs w:val="24"/>
                <w:highlight w:val="none"/>
              </w:rPr>
            </w:pPr>
            <w:r>
              <w:rPr>
                <w:rFonts w:hint="eastAsia"/>
                <w:color w:val="auto"/>
                <w:sz w:val="24"/>
                <w:szCs w:val="24"/>
                <w:highlight w:val="none"/>
              </w:rPr>
              <w:t>详见第五章“招标内容及要求”。</w:t>
            </w:r>
          </w:p>
        </w:tc>
      </w:tr>
      <w:tr w14:paraId="3AAEE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384" w:type="dxa"/>
            <w:gridSpan w:val="2"/>
            <w:vAlign w:val="center"/>
          </w:tcPr>
          <w:p w14:paraId="0E984A34">
            <w:pPr>
              <w:pStyle w:val="21"/>
              <w:ind w:firstLine="480" w:firstLineChars="200"/>
              <w:rPr>
                <w:color w:val="auto"/>
                <w:sz w:val="24"/>
                <w:szCs w:val="24"/>
                <w:highlight w:val="none"/>
              </w:rPr>
            </w:pPr>
            <w:r>
              <w:rPr>
                <w:rFonts w:hint="eastAsia"/>
                <w:color w:val="auto"/>
                <w:sz w:val="24"/>
                <w:szCs w:val="24"/>
                <w:highlight w:val="none"/>
              </w:rPr>
              <w:t>3</w:t>
            </w:r>
          </w:p>
        </w:tc>
        <w:tc>
          <w:tcPr>
            <w:tcW w:w="2897" w:type="dxa"/>
            <w:vAlign w:val="center"/>
          </w:tcPr>
          <w:p w14:paraId="03635D86">
            <w:pPr>
              <w:pStyle w:val="21"/>
              <w:rPr>
                <w:color w:val="auto"/>
                <w:sz w:val="24"/>
                <w:szCs w:val="24"/>
                <w:highlight w:val="none"/>
              </w:rPr>
            </w:pPr>
            <w:r>
              <w:rPr>
                <w:rFonts w:hint="eastAsia"/>
                <w:bCs/>
                <w:color w:val="auto"/>
                <w:sz w:val="24"/>
                <w:highlight w:val="none"/>
              </w:rPr>
              <w:t>合同履行期限</w:t>
            </w:r>
            <w:r>
              <w:rPr>
                <w:rFonts w:hint="eastAsia"/>
                <w:color w:val="auto"/>
                <w:sz w:val="24"/>
                <w:szCs w:val="24"/>
                <w:highlight w:val="none"/>
              </w:rPr>
              <w:t>（实质性要求）</w:t>
            </w:r>
          </w:p>
        </w:tc>
        <w:tc>
          <w:tcPr>
            <w:tcW w:w="5289" w:type="dxa"/>
            <w:vAlign w:val="center"/>
          </w:tcPr>
          <w:p w14:paraId="16078CBD">
            <w:pPr>
              <w:autoSpaceDE w:val="0"/>
              <w:autoSpaceDN w:val="0"/>
              <w:textAlignment w:val="bottom"/>
              <w:rPr>
                <w:color w:val="auto"/>
                <w:sz w:val="24"/>
                <w:highlight w:val="none"/>
              </w:rPr>
            </w:pPr>
            <w:r>
              <w:rPr>
                <w:rFonts w:hint="eastAsia"/>
                <w:color w:val="auto"/>
                <w:sz w:val="24"/>
                <w:highlight w:val="none"/>
              </w:rPr>
              <w:t>详</w:t>
            </w:r>
            <w:r>
              <w:rPr>
                <w:rFonts w:hint="eastAsia" w:ascii="宋体"/>
                <w:color w:val="auto"/>
                <w:sz w:val="24"/>
                <w:highlight w:val="none"/>
              </w:rPr>
              <w:t>见第一章招标公告。</w:t>
            </w:r>
          </w:p>
        </w:tc>
      </w:tr>
      <w:tr w14:paraId="72954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84" w:type="dxa"/>
            <w:gridSpan w:val="2"/>
            <w:vAlign w:val="center"/>
          </w:tcPr>
          <w:p w14:paraId="628DA5BB">
            <w:pPr>
              <w:pStyle w:val="21"/>
              <w:ind w:firstLine="480" w:firstLineChars="200"/>
              <w:rPr>
                <w:color w:val="auto"/>
                <w:sz w:val="24"/>
                <w:szCs w:val="24"/>
                <w:highlight w:val="none"/>
              </w:rPr>
            </w:pPr>
            <w:r>
              <w:rPr>
                <w:rFonts w:hint="eastAsia"/>
                <w:color w:val="auto"/>
                <w:sz w:val="24"/>
                <w:szCs w:val="24"/>
                <w:highlight w:val="none"/>
              </w:rPr>
              <w:t>4</w:t>
            </w:r>
          </w:p>
        </w:tc>
        <w:tc>
          <w:tcPr>
            <w:tcW w:w="2897" w:type="dxa"/>
            <w:vAlign w:val="center"/>
          </w:tcPr>
          <w:p w14:paraId="6F1BD56A">
            <w:pPr>
              <w:pStyle w:val="21"/>
              <w:rPr>
                <w:color w:val="auto"/>
                <w:sz w:val="24"/>
                <w:szCs w:val="24"/>
                <w:highlight w:val="none"/>
              </w:rPr>
            </w:pPr>
            <w:r>
              <w:rPr>
                <w:rFonts w:hint="eastAsia"/>
                <w:color w:val="auto"/>
                <w:sz w:val="24"/>
                <w:szCs w:val="24"/>
                <w:highlight w:val="none"/>
              </w:rPr>
              <w:t>投标人资格要求（实质性要求）</w:t>
            </w:r>
          </w:p>
        </w:tc>
        <w:tc>
          <w:tcPr>
            <w:tcW w:w="5289" w:type="dxa"/>
            <w:vAlign w:val="center"/>
          </w:tcPr>
          <w:p w14:paraId="19D74596">
            <w:pPr>
              <w:autoSpaceDE w:val="0"/>
              <w:autoSpaceDN w:val="0"/>
              <w:textAlignment w:val="bottom"/>
              <w:rPr>
                <w:color w:val="auto"/>
                <w:sz w:val="24"/>
                <w:highlight w:val="none"/>
              </w:rPr>
            </w:pPr>
            <w:r>
              <w:rPr>
                <w:rFonts w:hint="eastAsia"/>
                <w:color w:val="auto"/>
                <w:sz w:val="24"/>
                <w:highlight w:val="none"/>
              </w:rPr>
              <w:t>详</w:t>
            </w:r>
            <w:r>
              <w:rPr>
                <w:rFonts w:hint="eastAsia" w:ascii="宋体"/>
                <w:color w:val="auto"/>
                <w:sz w:val="24"/>
                <w:highlight w:val="none"/>
              </w:rPr>
              <w:t>见第一章招标公告、第六章评标办法。</w:t>
            </w:r>
          </w:p>
        </w:tc>
      </w:tr>
      <w:tr w14:paraId="2058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1384" w:type="dxa"/>
            <w:gridSpan w:val="2"/>
            <w:vAlign w:val="center"/>
          </w:tcPr>
          <w:p w14:paraId="64806C09">
            <w:pPr>
              <w:pStyle w:val="21"/>
              <w:ind w:firstLine="480" w:firstLineChars="200"/>
              <w:rPr>
                <w:color w:val="auto"/>
                <w:sz w:val="24"/>
                <w:szCs w:val="24"/>
                <w:highlight w:val="none"/>
              </w:rPr>
            </w:pPr>
            <w:r>
              <w:rPr>
                <w:rFonts w:hint="eastAsia"/>
                <w:color w:val="auto"/>
                <w:sz w:val="24"/>
                <w:szCs w:val="24"/>
                <w:highlight w:val="none"/>
              </w:rPr>
              <w:t>5</w:t>
            </w:r>
          </w:p>
        </w:tc>
        <w:tc>
          <w:tcPr>
            <w:tcW w:w="2897" w:type="dxa"/>
            <w:vAlign w:val="center"/>
          </w:tcPr>
          <w:p w14:paraId="2DBD9360">
            <w:pPr>
              <w:pStyle w:val="21"/>
              <w:rPr>
                <w:color w:val="auto"/>
                <w:sz w:val="24"/>
                <w:szCs w:val="24"/>
                <w:highlight w:val="none"/>
              </w:rPr>
            </w:pPr>
            <w:r>
              <w:rPr>
                <w:rFonts w:hint="eastAsia"/>
                <w:color w:val="auto"/>
                <w:sz w:val="24"/>
                <w:szCs w:val="24"/>
                <w:highlight w:val="none"/>
              </w:rPr>
              <w:t>中标服务费</w:t>
            </w:r>
          </w:p>
        </w:tc>
        <w:tc>
          <w:tcPr>
            <w:tcW w:w="5289" w:type="dxa"/>
            <w:vAlign w:val="center"/>
          </w:tcPr>
          <w:p w14:paraId="6FDCE7EA">
            <w:pPr>
              <w:rPr>
                <w:color w:val="auto"/>
                <w:highlight w:val="none"/>
              </w:rPr>
            </w:pPr>
            <w:bookmarkStart w:id="34" w:name="OLE_LINK2"/>
            <w:bookmarkStart w:id="35" w:name="OLE_LINK1"/>
            <w:r>
              <w:rPr>
                <w:rFonts w:hint="eastAsia" w:hAnsi="宋体" w:cs="宋体"/>
                <w:color w:val="auto"/>
                <w:sz w:val="24"/>
                <w:szCs w:val="24"/>
                <w:highlight w:val="none"/>
                <w:lang w:val="en-US" w:eastAsia="zh-CN"/>
              </w:rPr>
              <w:t>按照《云南省建设工程招标代理服务收费参考意见》（云建招协﹝2026﹞11号）标准收取，</w:t>
            </w:r>
            <w:r>
              <w:rPr>
                <w:rFonts w:hint="eastAsia" w:ascii="宋体" w:hAnsi="宋体" w:eastAsia="宋体" w:cs="宋体"/>
                <w:color w:val="auto"/>
                <w:sz w:val="24"/>
                <w:szCs w:val="24"/>
                <w:highlight w:val="none"/>
              </w:rPr>
              <w:t>金额为¥</w:t>
            </w:r>
            <w:r>
              <w:rPr>
                <w:rFonts w:hint="eastAsia" w:hAnsi="宋体" w:cs="宋体"/>
                <w:color w:val="auto"/>
                <w:sz w:val="24"/>
                <w:szCs w:val="24"/>
                <w:highlight w:val="none"/>
                <w:lang w:val="en-US" w:eastAsia="zh-CN"/>
              </w:rPr>
              <w:t>25400.00</w:t>
            </w:r>
            <w:r>
              <w:rPr>
                <w:rFonts w:hint="eastAsia" w:ascii="宋体" w:hAnsi="宋体" w:eastAsia="宋体" w:cs="宋体"/>
                <w:color w:val="auto"/>
                <w:sz w:val="24"/>
                <w:szCs w:val="24"/>
                <w:highlight w:val="none"/>
              </w:rPr>
              <w:t>元，由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在领取</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通知书时一次性向采购代理机构支付</w:t>
            </w:r>
            <w:r>
              <w:rPr>
                <w:rFonts w:hint="eastAsia" w:ascii="宋体" w:hAnsi="宋体" w:cs="宋体"/>
                <w:color w:val="auto"/>
                <w:sz w:val="24"/>
                <w:szCs w:val="24"/>
                <w:highlight w:val="none"/>
                <w:lang w:eastAsia="zh-CN"/>
              </w:rPr>
              <w:t>。</w:t>
            </w:r>
            <w:bookmarkEnd w:id="34"/>
            <w:bookmarkEnd w:id="35"/>
          </w:p>
        </w:tc>
      </w:tr>
      <w:tr w14:paraId="3B5D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384" w:type="dxa"/>
            <w:gridSpan w:val="2"/>
            <w:vAlign w:val="center"/>
          </w:tcPr>
          <w:p w14:paraId="0981B84C">
            <w:pPr>
              <w:pStyle w:val="21"/>
              <w:ind w:firstLine="480" w:firstLineChars="200"/>
              <w:rPr>
                <w:color w:val="auto"/>
                <w:sz w:val="24"/>
                <w:szCs w:val="24"/>
                <w:highlight w:val="none"/>
              </w:rPr>
            </w:pPr>
            <w:r>
              <w:rPr>
                <w:rFonts w:hint="eastAsia"/>
                <w:color w:val="auto"/>
                <w:sz w:val="24"/>
                <w:szCs w:val="24"/>
                <w:highlight w:val="none"/>
              </w:rPr>
              <w:t>6</w:t>
            </w:r>
          </w:p>
        </w:tc>
        <w:tc>
          <w:tcPr>
            <w:tcW w:w="2897" w:type="dxa"/>
            <w:vAlign w:val="center"/>
          </w:tcPr>
          <w:p w14:paraId="5087F3F4">
            <w:pPr>
              <w:autoSpaceDE w:val="0"/>
              <w:autoSpaceDN w:val="0"/>
              <w:snapToGrid w:val="0"/>
              <w:textAlignment w:val="bottom"/>
              <w:rPr>
                <w:rFonts w:ascii="宋体"/>
                <w:color w:val="auto"/>
                <w:sz w:val="24"/>
                <w:highlight w:val="none"/>
              </w:rPr>
            </w:pPr>
            <w:r>
              <w:rPr>
                <w:rFonts w:hint="eastAsia" w:ascii="宋体"/>
                <w:color w:val="auto"/>
                <w:sz w:val="24"/>
                <w:highlight w:val="none"/>
              </w:rPr>
              <w:t>招标文件澄清截止时间</w:t>
            </w:r>
          </w:p>
        </w:tc>
        <w:tc>
          <w:tcPr>
            <w:tcW w:w="5289" w:type="dxa"/>
            <w:vAlign w:val="center"/>
          </w:tcPr>
          <w:p w14:paraId="0AA6C843">
            <w:pPr>
              <w:autoSpaceDE w:val="0"/>
              <w:autoSpaceDN w:val="0"/>
              <w:snapToGrid w:val="0"/>
              <w:textAlignment w:val="bottom"/>
              <w:rPr>
                <w:rFonts w:ascii="宋体"/>
                <w:b/>
                <w:bCs/>
                <w:color w:val="auto"/>
                <w:sz w:val="24"/>
                <w:highlight w:val="none"/>
              </w:rPr>
            </w:pPr>
            <w:r>
              <w:rPr>
                <w:rFonts w:hint="eastAsia" w:ascii="宋体"/>
                <w:color w:val="auto"/>
                <w:sz w:val="24"/>
                <w:highlight w:val="none"/>
              </w:rPr>
              <w:t>提交投标文件的截止日期</w:t>
            </w:r>
            <w:r>
              <w:rPr>
                <w:rFonts w:hint="eastAsia" w:ascii="宋体"/>
                <w:color w:val="auto"/>
                <w:sz w:val="24"/>
                <w:highlight w:val="none"/>
                <w:u w:val="single"/>
              </w:rPr>
              <w:t>15</w:t>
            </w:r>
            <w:r>
              <w:rPr>
                <w:rFonts w:hint="eastAsia" w:ascii="宋体"/>
                <w:color w:val="auto"/>
                <w:sz w:val="24"/>
                <w:highlight w:val="none"/>
              </w:rPr>
              <w:t>日前。</w:t>
            </w:r>
          </w:p>
        </w:tc>
      </w:tr>
      <w:tr w14:paraId="07D9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384" w:type="dxa"/>
            <w:gridSpan w:val="2"/>
            <w:vAlign w:val="center"/>
          </w:tcPr>
          <w:p w14:paraId="09207437">
            <w:pPr>
              <w:pStyle w:val="21"/>
              <w:ind w:firstLine="480" w:firstLineChars="200"/>
              <w:rPr>
                <w:color w:val="auto"/>
                <w:sz w:val="24"/>
                <w:szCs w:val="24"/>
                <w:highlight w:val="none"/>
              </w:rPr>
            </w:pPr>
            <w:r>
              <w:rPr>
                <w:rFonts w:hint="eastAsia"/>
                <w:color w:val="auto"/>
                <w:sz w:val="24"/>
                <w:szCs w:val="24"/>
                <w:highlight w:val="none"/>
              </w:rPr>
              <w:t>7</w:t>
            </w:r>
          </w:p>
        </w:tc>
        <w:tc>
          <w:tcPr>
            <w:tcW w:w="2897" w:type="dxa"/>
            <w:vAlign w:val="center"/>
          </w:tcPr>
          <w:p w14:paraId="3D1708A5">
            <w:pPr>
              <w:autoSpaceDE w:val="0"/>
              <w:autoSpaceDN w:val="0"/>
              <w:snapToGrid w:val="0"/>
              <w:textAlignment w:val="bottom"/>
              <w:rPr>
                <w:rFonts w:ascii="宋体"/>
                <w:color w:val="auto"/>
                <w:sz w:val="24"/>
                <w:highlight w:val="none"/>
              </w:rPr>
            </w:pPr>
            <w:r>
              <w:rPr>
                <w:rFonts w:hint="eastAsia" w:ascii="宋体"/>
                <w:color w:val="auto"/>
                <w:sz w:val="24"/>
                <w:highlight w:val="none"/>
              </w:rPr>
              <w:t>招标文件澄清联系方式</w:t>
            </w:r>
          </w:p>
        </w:tc>
        <w:tc>
          <w:tcPr>
            <w:tcW w:w="5289" w:type="dxa"/>
            <w:vAlign w:val="center"/>
          </w:tcPr>
          <w:p w14:paraId="37B3714B">
            <w:pPr>
              <w:autoSpaceDE w:val="0"/>
              <w:autoSpaceDN w:val="0"/>
              <w:snapToGrid w:val="0"/>
              <w:textAlignment w:val="bottom"/>
              <w:rPr>
                <w:rFonts w:ascii="宋体"/>
                <w:bCs/>
                <w:color w:val="auto"/>
                <w:sz w:val="24"/>
                <w:szCs w:val="24"/>
                <w:highlight w:val="none"/>
              </w:rPr>
            </w:pPr>
            <w:r>
              <w:rPr>
                <w:rFonts w:hint="eastAsia" w:ascii="宋体"/>
                <w:bCs/>
                <w:color w:val="auto"/>
                <w:sz w:val="24"/>
                <w:szCs w:val="24"/>
                <w:highlight w:val="none"/>
              </w:rPr>
              <w:t>澄清联系人：</w:t>
            </w:r>
            <w:r>
              <w:rPr>
                <w:rFonts w:hint="eastAsia" w:hAnsi="宋体"/>
                <w:bCs/>
                <w:color w:val="auto"/>
                <w:spacing w:val="10"/>
                <w:sz w:val="24"/>
                <w:szCs w:val="24"/>
                <w:highlight w:val="none"/>
              </w:rPr>
              <w:t>王蒙、陈主娥</w:t>
            </w:r>
            <w:r>
              <w:rPr>
                <w:rFonts w:hint="eastAsia" w:ascii="宋体"/>
                <w:bCs/>
                <w:color w:val="auto"/>
                <w:sz w:val="24"/>
                <w:szCs w:val="24"/>
                <w:highlight w:val="none"/>
              </w:rPr>
              <w:t>。</w:t>
            </w:r>
          </w:p>
          <w:p w14:paraId="7A0E0B6E">
            <w:pPr>
              <w:autoSpaceDE w:val="0"/>
              <w:autoSpaceDN w:val="0"/>
              <w:snapToGrid w:val="0"/>
              <w:textAlignment w:val="bottom"/>
              <w:rPr>
                <w:rFonts w:ascii="宋体"/>
                <w:bCs/>
                <w:color w:val="auto"/>
                <w:sz w:val="24"/>
                <w:szCs w:val="24"/>
                <w:highlight w:val="none"/>
              </w:rPr>
            </w:pPr>
            <w:r>
              <w:rPr>
                <w:rFonts w:hint="eastAsia" w:ascii="宋体" w:hAnsi="宋体" w:cs="宋体"/>
                <w:bCs/>
                <w:color w:val="auto"/>
                <w:spacing w:val="10"/>
                <w:sz w:val="24"/>
                <w:szCs w:val="24"/>
                <w:highlight w:val="none"/>
              </w:rPr>
              <w:t>电话：0871-67357686。</w:t>
            </w:r>
          </w:p>
        </w:tc>
      </w:tr>
      <w:tr w14:paraId="53C7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1384" w:type="dxa"/>
            <w:gridSpan w:val="2"/>
            <w:vAlign w:val="center"/>
          </w:tcPr>
          <w:p w14:paraId="3D7F0A32">
            <w:pPr>
              <w:pStyle w:val="21"/>
              <w:ind w:firstLine="480" w:firstLineChars="200"/>
              <w:rPr>
                <w:color w:val="auto"/>
                <w:sz w:val="24"/>
                <w:szCs w:val="24"/>
                <w:highlight w:val="none"/>
              </w:rPr>
            </w:pPr>
            <w:r>
              <w:rPr>
                <w:rFonts w:hint="eastAsia"/>
                <w:color w:val="auto"/>
                <w:sz w:val="24"/>
                <w:szCs w:val="24"/>
                <w:highlight w:val="none"/>
              </w:rPr>
              <w:t>8</w:t>
            </w:r>
          </w:p>
        </w:tc>
        <w:tc>
          <w:tcPr>
            <w:tcW w:w="2897" w:type="dxa"/>
            <w:vAlign w:val="center"/>
          </w:tcPr>
          <w:p w14:paraId="4DB6ED31">
            <w:pPr>
              <w:pStyle w:val="21"/>
              <w:rPr>
                <w:color w:val="auto"/>
                <w:sz w:val="24"/>
                <w:szCs w:val="24"/>
                <w:highlight w:val="none"/>
              </w:rPr>
            </w:pPr>
            <w:r>
              <w:rPr>
                <w:rFonts w:hint="eastAsia"/>
                <w:color w:val="auto"/>
                <w:sz w:val="24"/>
                <w:szCs w:val="24"/>
                <w:highlight w:val="none"/>
              </w:rPr>
              <w:t>投标有效期（实质性要求）</w:t>
            </w:r>
          </w:p>
        </w:tc>
        <w:tc>
          <w:tcPr>
            <w:tcW w:w="5289" w:type="dxa"/>
            <w:vAlign w:val="center"/>
          </w:tcPr>
          <w:p w14:paraId="7DB64025">
            <w:pPr>
              <w:pStyle w:val="21"/>
              <w:rPr>
                <w:color w:val="auto"/>
                <w:sz w:val="24"/>
                <w:szCs w:val="24"/>
                <w:highlight w:val="none"/>
              </w:rPr>
            </w:pPr>
            <w:r>
              <w:rPr>
                <w:rFonts w:hint="eastAsia" w:hAnsi="宋体" w:cs="宋体"/>
                <w:color w:val="auto"/>
                <w:sz w:val="24"/>
                <w:szCs w:val="24"/>
                <w:highlight w:val="none"/>
              </w:rPr>
              <w:t>递交投标文件的截止日期后</w:t>
            </w:r>
            <w:r>
              <w:rPr>
                <w:rFonts w:hint="eastAsia"/>
                <w:color w:val="auto"/>
                <w:sz w:val="24"/>
                <w:szCs w:val="24"/>
                <w:highlight w:val="none"/>
                <w:u w:val="single"/>
              </w:rPr>
              <w:t>90</w:t>
            </w:r>
            <w:r>
              <w:rPr>
                <w:rFonts w:hint="eastAsia"/>
                <w:color w:val="auto"/>
                <w:sz w:val="24"/>
                <w:szCs w:val="24"/>
                <w:highlight w:val="none"/>
              </w:rPr>
              <w:t>天。</w:t>
            </w:r>
          </w:p>
        </w:tc>
      </w:tr>
      <w:tr w14:paraId="6C13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1384" w:type="dxa"/>
            <w:gridSpan w:val="2"/>
            <w:vAlign w:val="center"/>
          </w:tcPr>
          <w:p w14:paraId="34EA5319">
            <w:pPr>
              <w:pStyle w:val="21"/>
              <w:ind w:firstLine="480" w:firstLineChars="200"/>
              <w:rPr>
                <w:color w:val="auto"/>
                <w:sz w:val="24"/>
                <w:szCs w:val="24"/>
                <w:highlight w:val="none"/>
              </w:rPr>
            </w:pPr>
            <w:r>
              <w:rPr>
                <w:rFonts w:hint="eastAsia"/>
                <w:color w:val="auto"/>
                <w:sz w:val="24"/>
                <w:szCs w:val="24"/>
                <w:highlight w:val="none"/>
              </w:rPr>
              <w:t>9</w:t>
            </w:r>
          </w:p>
        </w:tc>
        <w:tc>
          <w:tcPr>
            <w:tcW w:w="2897" w:type="dxa"/>
            <w:vAlign w:val="center"/>
          </w:tcPr>
          <w:p w14:paraId="1C82B429">
            <w:pPr>
              <w:pStyle w:val="21"/>
              <w:rPr>
                <w:color w:val="auto"/>
                <w:sz w:val="24"/>
                <w:szCs w:val="24"/>
                <w:highlight w:val="none"/>
              </w:rPr>
            </w:pPr>
            <w:r>
              <w:rPr>
                <w:rFonts w:hint="eastAsia"/>
                <w:color w:val="auto"/>
                <w:sz w:val="24"/>
                <w:szCs w:val="24"/>
                <w:highlight w:val="none"/>
              </w:rPr>
              <w:t>投标文件份数（实质性要求）</w:t>
            </w:r>
          </w:p>
        </w:tc>
        <w:tc>
          <w:tcPr>
            <w:tcW w:w="5289" w:type="dxa"/>
            <w:vAlign w:val="center"/>
          </w:tcPr>
          <w:p w14:paraId="5D4646B5">
            <w:pPr>
              <w:pStyle w:val="21"/>
              <w:ind w:left="-28"/>
              <w:rPr>
                <w:color w:val="auto"/>
                <w:sz w:val="24"/>
                <w:szCs w:val="24"/>
                <w:highlight w:val="none"/>
              </w:rPr>
            </w:pPr>
            <w:r>
              <w:rPr>
                <w:rFonts w:hint="eastAsia"/>
                <w:color w:val="auto"/>
                <w:sz w:val="24"/>
                <w:szCs w:val="24"/>
                <w:highlight w:val="none"/>
              </w:rPr>
              <w:t>本项目采用电子投标文件，投标人应根据招标文件要求制作电子版投标文件。</w:t>
            </w:r>
          </w:p>
        </w:tc>
      </w:tr>
      <w:tr w14:paraId="5F96F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84" w:type="dxa"/>
            <w:gridSpan w:val="2"/>
            <w:vAlign w:val="center"/>
          </w:tcPr>
          <w:p w14:paraId="44622B60">
            <w:pPr>
              <w:pStyle w:val="21"/>
              <w:ind w:firstLine="480" w:firstLineChars="200"/>
              <w:rPr>
                <w:color w:val="auto"/>
                <w:sz w:val="24"/>
                <w:szCs w:val="24"/>
                <w:highlight w:val="none"/>
              </w:rPr>
            </w:pPr>
            <w:r>
              <w:rPr>
                <w:rFonts w:hint="eastAsia"/>
                <w:color w:val="auto"/>
                <w:sz w:val="24"/>
                <w:szCs w:val="24"/>
                <w:highlight w:val="none"/>
              </w:rPr>
              <w:t>10</w:t>
            </w:r>
          </w:p>
        </w:tc>
        <w:tc>
          <w:tcPr>
            <w:tcW w:w="2897" w:type="dxa"/>
            <w:vAlign w:val="center"/>
          </w:tcPr>
          <w:p w14:paraId="0526DD84">
            <w:pPr>
              <w:pStyle w:val="21"/>
              <w:rPr>
                <w:color w:val="auto"/>
                <w:sz w:val="24"/>
                <w:szCs w:val="24"/>
                <w:highlight w:val="none"/>
              </w:rPr>
            </w:pPr>
            <w:r>
              <w:rPr>
                <w:rFonts w:hint="eastAsia"/>
                <w:color w:val="auto"/>
                <w:sz w:val="24"/>
                <w:szCs w:val="24"/>
                <w:highlight w:val="none"/>
              </w:rPr>
              <w:t>投标保证金（实质性要求）</w:t>
            </w:r>
          </w:p>
        </w:tc>
        <w:tc>
          <w:tcPr>
            <w:tcW w:w="5289" w:type="dxa"/>
            <w:vAlign w:val="center"/>
          </w:tcPr>
          <w:p w14:paraId="52FF21A6">
            <w:pPr>
              <w:numPr>
                <w:ilvl w:val="0"/>
                <w:numId w:val="0"/>
              </w:numPr>
              <w:spacing w:line="360" w:lineRule="exact"/>
              <w:jc w:val="left"/>
              <w:rPr>
                <w:rFonts w:hint="eastAsia" w:ascii="宋体" w:hAnsi="宋体"/>
                <w:b/>
                <w:bCs w:val="0"/>
                <w:color w:val="auto"/>
                <w:sz w:val="24"/>
                <w:szCs w:val="24"/>
                <w:highlight w:val="none"/>
              </w:rPr>
            </w:pPr>
            <w:r>
              <w:rPr>
                <w:rFonts w:hint="eastAsia" w:ascii="宋体" w:hAnsi="宋体"/>
                <w:bCs/>
                <w:color w:val="auto"/>
                <w:sz w:val="24"/>
                <w:szCs w:val="24"/>
                <w:highlight w:val="none"/>
              </w:rPr>
              <w:t>一</w:t>
            </w:r>
            <w:r>
              <w:rPr>
                <w:rFonts w:hint="eastAsia" w:ascii="宋体" w:hAnsi="宋体"/>
                <w:bCs/>
                <w:color w:val="auto"/>
                <w:sz w:val="24"/>
                <w:szCs w:val="24"/>
                <w:highlight w:val="none"/>
                <w:lang w:eastAsia="zh-CN"/>
              </w:rPr>
              <w:t>、</w:t>
            </w:r>
            <w:r>
              <w:rPr>
                <w:rFonts w:hint="eastAsia" w:ascii="宋体" w:hAnsi="宋体"/>
                <w:b/>
                <w:bCs w:val="0"/>
                <w:color w:val="auto"/>
                <w:sz w:val="24"/>
                <w:szCs w:val="24"/>
                <w:highlight w:val="none"/>
              </w:rPr>
              <w:t>投标保证金金额</w:t>
            </w:r>
          </w:p>
          <w:p w14:paraId="7F1E1C61">
            <w:pPr>
              <w:numPr>
                <w:ilvl w:val="0"/>
                <w:numId w:val="0"/>
              </w:numPr>
              <w:spacing w:line="360" w:lineRule="exact"/>
              <w:jc w:val="left"/>
              <w:rPr>
                <w:rFonts w:ascii="宋体" w:hAnsi="宋体"/>
                <w:bCs/>
                <w:color w:val="auto"/>
                <w:sz w:val="24"/>
                <w:szCs w:val="24"/>
                <w:highlight w:val="none"/>
              </w:rPr>
            </w:pPr>
            <w:r>
              <w:rPr>
                <w:rFonts w:hint="eastAsia" w:ascii="宋体" w:hAnsi="宋体"/>
                <w:bCs/>
                <w:color w:val="auto"/>
                <w:sz w:val="24"/>
                <w:szCs w:val="24"/>
                <w:highlight w:val="none"/>
                <w:lang w:val="en-US" w:eastAsia="zh-CN"/>
              </w:rPr>
              <w:t>金额为</w:t>
            </w: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18,000</w:t>
            </w:r>
            <w:r>
              <w:rPr>
                <w:rFonts w:hint="eastAsia" w:ascii="宋体" w:hAnsi="宋体"/>
                <w:bCs/>
                <w:color w:val="auto"/>
                <w:sz w:val="24"/>
                <w:szCs w:val="24"/>
                <w:highlight w:val="none"/>
              </w:rPr>
              <w:t>.00元（保证金附言：招标编号：</w:t>
            </w:r>
            <w:r>
              <w:rPr>
                <w:rFonts w:hint="eastAsia" w:ascii="宋体" w:hAnsi="宋体"/>
                <w:bCs/>
                <w:color w:val="auto"/>
                <w:sz w:val="24"/>
                <w:szCs w:val="24"/>
                <w:highlight w:val="none"/>
                <w:lang w:eastAsia="zh-CN"/>
              </w:rPr>
              <w:t>ZG-2026087</w:t>
            </w:r>
            <w:r>
              <w:rPr>
                <w:rFonts w:hint="eastAsia" w:ascii="宋体" w:hAnsi="宋体"/>
                <w:bCs/>
                <w:color w:val="auto"/>
                <w:sz w:val="24"/>
                <w:szCs w:val="24"/>
                <w:highlight w:val="none"/>
              </w:rPr>
              <w:t>保证金）。</w:t>
            </w:r>
          </w:p>
          <w:p w14:paraId="4133A9FA">
            <w:pPr>
              <w:wordWrap w:val="0"/>
              <w:spacing w:line="360" w:lineRule="exact"/>
              <w:jc w:val="left"/>
              <w:rPr>
                <w:rFonts w:ascii="宋体" w:hAnsi="宋体"/>
                <w:bCs/>
                <w:color w:val="auto"/>
                <w:sz w:val="24"/>
                <w:szCs w:val="24"/>
                <w:highlight w:val="none"/>
              </w:rPr>
            </w:pPr>
            <w:r>
              <w:rPr>
                <w:rFonts w:hint="eastAsia" w:ascii="宋体" w:hAnsi="宋体"/>
                <w:bCs/>
                <w:color w:val="auto"/>
                <w:sz w:val="24"/>
                <w:szCs w:val="24"/>
                <w:highlight w:val="none"/>
              </w:rPr>
              <w:t>（说明：根据《云南省财政厅关于促进政府采购公平竞争优化营商环境的实施意⻅》云财规</w:t>
            </w:r>
            <w:r>
              <w:rPr>
                <w:rFonts w:hint="eastAsia" w:ascii="宋体" w:hAnsi="宋体"/>
                <w:bCs/>
                <w:color w:val="auto"/>
                <w:sz w:val="24"/>
                <w:szCs w:val="24"/>
                <w:highlight w:val="none"/>
                <w:lang w:eastAsia="zh-CN"/>
              </w:rPr>
              <w:t>〔2019〕5号</w:t>
            </w:r>
            <w:r>
              <w:rPr>
                <w:rFonts w:hint="eastAsia" w:ascii="宋体" w:hAnsi="宋体"/>
                <w:bCs/>
                <w:color w:val="auto"/>
                <w:sz w:val="24"/>
                <w:szCs w:val="24"/>
                <w:highlight w:val="none"/>
              </w:rPr>
              <w:t>文件精神，本项目投标保证金收取金额在标准收取金额基础上下浮</w:t>
            </w:r>
            <w:r>
              <w:rPr>
                <w:rFonts w:hint="eastAsia" w:ascii="宋体" w:hAnsi="宋体"/>
                <w:bCs/>
                <w:color w:val="auto"/>
                <w:sz w:val="24"/>
                <w:szCs w:val="24"/>
                <w:highlight w:val="none"/>
                <w:lang w:val="en-US" w:eastAsia="zh-CN"/>
              </w:rPr>
              <w:t>50</w:t>
            </w:r>
            <w:r>
              <w:rPr>
                <w:rFonts w:hint="eastAsia" w:ascii="宋体" w:hAnsi="宋体"/>
                <w:bCs/>
                <w:color w:val="auto"/>
                <w:sz w:val="24"/>
                <w:szCs w:val="24"/>
                <w:highlight w:val="none"/>
              </w:rPr>
              <w:t>%）。</w:t>
            </w:r>
          </w:p>
          <w:p w14:paraId="760CB5A8">
            <w:pPr>
              <w:pStyle w:val="15"/>
              <w:spacing w:line="360" w:lineRule="exact"/>
              <w:rPr>
                <w:b/>
                <w:bCs w:val="0"/>
                <w:color w:val="auto"/>
                <w:sz w:val="24"/>
                <w:szCs w:val="24"/>
                <w:highlight w:val="none"/>
              </w:rPr>
            </w:pPr>
            <w:r>
              <w:rPr>
                <w:rFonts w:hint="eastAsia"/>
                <w:b/>
                <w:bCs w:val="0"/>
                <w:color w:val="auto"/>
                <w:sz w:val="24"/>
                <w:szCs w:val="24"/>
                <w:highlight w:val="none"/>
              </w:rPr>
              <w:t>二、投标保证金提交方式</w:t>
            </w:r>
          </w:p>
          <w:p w14:paraId="2B166FCF">
            <w:pPr>
              <w:pStyle w:val="15"/>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投标保证金的提交方式投标人可从以下方式中任选一种：电汇、银行转账、支票、汇票、本票</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银行保函、投标保证保险</w:t>
            </w:r>
            <w:r>
              <w:rPr>
                <w:rFonts w:hint="eastAsia" w:ascii="宋体" w:hAnsi="宋体" w:eastAsia="宋体" w:cs="宋体"/>
                <w:b w:val="0"/>
                <w:bCs/>
                <w:color w:val="auto"/>
                <w:sz w:val="24"/>
                <w:szCs w:val="24"/>
                <w:highlight w:val="none"/>
                <w:lang w:val="en-US" w:eastAsia="zh-CN"/>
              </w:rPr>
              <w:t>等非现金形式</w:t>
            </w:r>
            <w:r>
              <w:rPr>
                <w:rFonts w:hint="eastAsia" w:ascii="宋体" w:hAnsi="宋体" w:eastAsia="宋体" w:cs="宋体"/>
                <w:b w:val="0"/>
                <w:bCs/>
                <w:color w:val="auto"/>
                <w:sz w:val="24"/>
                <w:szCs w:val="24"/>
                <w:highlight w:val="none"/>
              </w:rPr>
              <w:t>。</w:t>
            </w:r>
          </w:p>
          <w:p w14:paraId="4B776FF2">
            <w:pPr>
              <w:pStyle w:val="15"/>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电汇、银行转账、支票、汇票、本票等（非现金形式）：投标保证金应以投标人自身的名义提交，并且必须从其基本账户转出，不得以分支机构或其他名义提交，谢绝个人账户！（按照规定投标人可以为自然人的项目除外）</w:t>
            </w:r>
          </w:p>
          <w:p w14:paraId="38A98FA5">
            <w:pPr>
              <w:pStyle w:val="15"/>
              <w:spacing w:line="360" w:lineRule="exact"/>
              <w:jc w:val="left"/>
              <w:rPr>
                <w:b w:val="0"/>
                <w:bCs/>
                <w:color w:val="auto"/>
                <w:sz w:val="24"/>
                <w:szCs w:val="24"/>
                <w:highlight w:val="none"/>
              </w:rPr>
            </w:pPr>
            <w:r>
              <w:rPr>
                <w:rFonts w:hint="eastAsia"/>
                <w:b w:val="0"/>
                <w:bCs/>
                <w:color w:val="auto"/>
                <w:sz w:val="24"/>
                <w:szCs w:val="24"/>
                <w:highlight w:val="none"/>
              </w:rPr>
              <w:t>附：保证金收款账户信息</w:t>
            </w:r>
          </w:p>
          <w:p w14:paraId="18876D78">
            <w:pPr>
              <w:spacing w:line="360" w:lineRule="exact"/>
              <w:jc w:val="left"/>
              <w:rPr>
                <w:rFonts w:hint="eastAsia" w:ascii="宋体" w:hAnsi="宋体" w:eastAsia="宋体" w:cs="宋体"/>
                <w:b w:val="0"/>
                <w:bCs w:val="0"/>
                <w:color w:val="auto"/>
                <w:sz w:val="24"/>
                <w:szCs w:val="24"/>
                <w:highlight w:val="none"/>
                <w:shd w:val="pct10" w:color="auto" w:fill="FFFFFF"/>
              </w:rPr>
            </w:pPr>
            <w:r>
              <w:rPr>
                <w:rFonts w:hint="eastAsia" w:ascii="宋体" w:hAnsi="宋体" w:eastAsia="宋体" w:cs="宋体"/>
                <w:b w:val="0"/>
                <w:bCs w:val="0"/>
                <w:color w:val="auto"/>
                <w:sz w:val="24"/>
                <w:szCs w:val="24"/>
                <w:highlight w:val="none"/>
                <w:shd w:val="pct10" w:color="auto" w:fill="FFFFFF"/>
              </w:rPr>
              <w:t>户  名：云南众高工程咨询有限公司</w:t>
            </w:r>
          </w:p>
          <w:p w14:paraId="54923129">
            <w:pPr>
              <w:spacing w:line="360" w:lineRule="exact"/>
              <w:jc w:val="left"/>
              <w:rPr>
                <w:rFonts w:hint="eastAsia" w:ascii="宋体" w:hAnsi="宋体" w:eastAsia="宋体" w:cs="宋体"/>
                <w:b w:val="0"/>
                <w:bCs w:val="0"/>
                <w:color w:val="auto"/>
                <w:sz w:val="24"/>
                <w:szCs w:val="24"/>
                <w:highlight w:val="none"/>
                <w:shd w:val="pct10" w:color="auto" w:fill="FFFFFF"/>
              </w:rPr>
            </w:pPr>
            <w:r>
              <w:rPr>
                <w:rFonts w:hint="eastAsia" w:ascii="宋体" w:hAnsi="宋体" w:eastAsia="宋体" w:cs="宋体"/>
                <w:b w:val="0"/>
                <w:bCs w:val="0"/>
                <w:color w:val="auto"/>
                <w:sz w:val="24"/>
                <w:szCs w:val="24"/>
                <w:highlight w:val="none"/>
                <w:shd w:val="pct10" w:color="auto" w:fill="FFFFFF"/>
              </w:rPr>
              <w:t>开户行：昆明市五华区农村信用合作联社长春信用社</w:t>
            </w:r>
          </w:p>
          <w:p w14:paraId="06B28457">
            <w:pPr>
              <w:pStyle w:val="15"/>
              <w:spacing w:line="360" w:lineRule="exact"/>
              <w:rPr>
                <w:rFonts w:hint="eastAsia" w:ascii="宋体" w:hAnsi="宋体" w:eastAsia="宋体" w:cs="宋体"/>
                <w:b w:val="0"/>
                <w:bCs w:val="0"/>
                <w:color w:val="auto"/>
                <w:sz w:val="24"/>
                <w:szCs w:val="24"/>
                <w:highlight w:val="none"/>
                <w:shd w:val="pct10" w:color="auto" w:fill="FFFFFF"/>
              </w:rPr>
            </w:pPr>
            <w:r>
              <w:rPr>
                <w:rFonts w:hint="eastAsia" w:ascii="宋体" w:hAnsi="宋体" w:eastAsia="宋体" w:cs="宋体"/>
                <w:b w:val="0"/>
                <w:bCs w:val="0"/>
                <w:color w:val="auto"/>
                <w:sz w:val="24"/>
                <w:szCs w:val="24"/>
                <w:highlight w:val="none"/>
                <w:shd w:val="pct10" w:color="auto" w:fill="FFFFFF"/>
              </w:rPr>
              <w:t>账  号：7100014214841012</w:t>
            </w:r>
          </w:p>
          <w:p w14:paraId="13C10649">
            <w:pPr>
              <w:spacing w:line="360" w:lineRule="exact"/>
              <w:jc w:val="left"/>
              <w:rPr>
                <w:rFonts w:hint="eastAsia" w:ascii="宋体" w:hAnsi="宋体" w:eastAsia="宋体" w:cs="宋体"/>
                <w:b w:val="0"/>
                <w:bCs w:val="0"/>
                <w:color w:val="auto"/>
                <w:sz w:val="24"/>
                <w:szCs w:val="24"/>
                <w:highlight w:val="none"/>
                <w:shd w:val="pct10" w:color="auto" w:fill="FFFFFF"/>
              </w:rPr>
            </w:pPr>
            <w:r>
              <w:rPr>
                <w:rFonts w:hint="eastAsia" w:ascii="宋体" w:hAnsi="宋体" w:eastAsia="宋体" w:cs="宋体"/>
                <w:b w:val="0"/>
                <w:bCs w:val="0"/>
                <w:color w:val="auto"/>
                <w:sz w:val="24"/>
                <w:szCs w:val="24"/>
                <w:highlight w:val="none"/>
                <w:shd w:val="pct10" w:color="auto" w:fill="FFFFFF"/>
              </w:rPr>
              <w:t>联系人：奎红美</w:t>
            </w:r>
          </w:p>
          <w:p w14:paraId="2251BA1E">
            <w:pPr>
              <w:spacing w:line="360" w:lineRule="exact"/>
              <w:jc w:val="left"/>
              <w:rPr>
                <w:rFonts w:ascii="宋体" w:hAnsi="宋体"/>
                <w:bCs/>
                <w:color w:val="auto"/>
                <w:sz w:val="24"/>
                <w:szCs w:val="24"/>
                <w:highlight w:val="none"/>
                <w:shd w:val="pct10" w:color="auto" w:fill="FFFFFF"/>
              </w:rPr>
            </w:pPr>
            <w:r>
              <w:rPr>
                <w:rFonts w:hint="eastAsia" w:ascii="宋体" w:hAnsi="宋体" w:eastAsia="宋体" w:cs="宋体"/>
                <w:b w:val="0"/>
                <w:bCs w:val="0"/>
                <w:color w:val="auto"/>
                <w:sz w:val="24"/>
                <w:szCs w:val="24"/>
                <w:highlight w:val="none"/>
                <w:shd w:val="pct10" w:color="auto" w:fill="FFFFFF"/>
              </w:rPr>
              <w:t>联系电话：15087014195</w:t>
            </w:r>
          </w:p>
          <w:p w14:paraId="6507D5F3">
            <w:pPr>
              <w:pStyle w:val="15"/>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Cs/>
                <w:color w:val="auto"/>
                <w:sz w:val="24"/>
                <w:highlight w:val="none"/>
                <w:shd w:val="clear" w:color="auto" w:fill="auto"/>
              </w:rPr>
              <w:t>（</w:t>
            </w:r>
            <w:r>
              <w:rPr>
                <w:rFonts w:hint="eastAsia" w:ascii="宋体" w:hAnsi="宋体" w:eastAsia="宋体" w:cs="宋体"/>
                <w:b w:val="0"/>
                <w:bCs/>
                <w:color w:val="auto"/>
                <w:sz w:val="24"/>
                <w:szCs w:val="24"/>
                <w:highlight w:val="none"/>
              </w:rPr>
              <w:t>备注：请各投标人注意，该账户为我公司缴纳保证金账户，请各投标人务必将保证金汇入该账户，如汇款错误由此带来的不利于投标人的后果由投标人自行承担）。</w:t>
            </w:r>
          </w:p>
          <w:p w14:paraId="5DC9AD90">
            <w:pPr>
              <w:pStyle w:val="15"/>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（二）银行保函：保函申请人必须是投标人，受益人必须是</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，保证人必须是投标人基本账号的开户银行；银行保函必须正确填写受益人和申请人的全称，并与招标文件规定的名称相一致，以免造成投标无效。</w:t>
            </w:r>
          </w:p>
          <w:p w14:paraId="5715194B">
            <w:pPr>
              <w:pStyle w:val="15"/>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（三）保证保险：1.当投标人未能按照招标文件要求履行投标义务而导致</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受到损失时，由保险公司按照保险合同对</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的损失承担代偿责任。2.投标人在支付投标保证金保险费时，必须使用基本账号资金支付购买，未从基本账户转出支付</w:t>
            </w:r>
            <w:r>
              <w:rPr>
                <w:rFonts w:hint="eastAsia" w:ascii="宋体" w:hAnsi="宋体" w:eastAsia="宋体" w:cs="宋体"/>
                <w:b w:val="0"/>
                <w:bCs/>
                <w:color w:val="auto"/>
                <w:sz w:val="24"/>
                <w:szCs w:val="24"/>
                <w:highlight w:val="none"/>
                <w:lang w:eastAsia="zh-CN"/>
              </w:rPr>
              <w:t>保险</w:t>
            </w:r>
            <w:r>
              <w:rPr>
                <w:rFonts w:hint="eastAsia" w:ascii="宋体" w:hAnsi="宋体" w:eastAsia="宋体" w:cs="宋体"/>
                <w:b w:val="0"/>
                <w:bCs/>
                <w:color w:val="auto"/>
                <w:sz w:val="24"/>
                <w:szCs w:val="24"/>
                <w:highlight w:val="none"/>
              </w:rPr>
              <w:t>费造成经济纠纷的应由企业自行承担。3.在投标保证保险中，投标人为投保人，</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为被保险人。</w:t>
            </w:r>
          </w:p>
          <w:p w14:paraId="19E509AC">
            <w:pPr>
              <w:pStyle w:val="15"/>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缴纳时间：保证金必须在递交投标文件的截止时</w:t>
            </w:r>
            <w:r>
              <w:rPr>
                <w:rFonts w:hint="eastAsia" w:ascii="宋体" w:hAnsi="宋体" w:eastAsia="宋体" w:cs="宋体"/>
                <w:b w:val="0"/>
                <w:bCs/>
                <w:color w:val="auto"/>
                <w:sz w:val="24"/>
                <w:szCs w:val="24"/>
                <w:highlight w:val="none"/>
                <w:lang w:eastAsia="zh-CN"/>
              </w:rPr>
              <w:t>间之</w:t>
            </w:r>
            <w:r>
              <w:rPr>
                <w:rFonts w:hint="eastAsia" w:ascii="宋体" w:hAnsi="宋体" w:eastAsia="宋体" w:cs="宋体"/>
                <w:b w:val="0"/>
                <w:bCs/>
                <w:color w:val="auto"/>
                <w:sz w:val="24"/>
                <w:szCs w:val="24"/>
                <w:highlight w:val="none"/>
              </w:rPr>
              <w:t>前提交至云南众高工程咨询有限公司。</w:t>
            </w:r>
          </w:p>
          <w:p w14:paraId="04ED6692">
            <w:pPr>
              <w:pStyle w:val="15"/>
              <w:spacing w:line="360" w:lineRule="exact"/>
              <w:rPr>
                <w:color w:val="auto"/>
                <w:sz w:val="24"/>
                <w:szCs w:val="24"/>
                <w:highlight w:val="none"/>
              </w:rPr>
            </w:pPr>
            <w:r>
              <w:rPr>
                <w:rFonts w:hint="eastAsia" w:ascii="宋体" w:hAnsi="宋体" w:eastAsia="宋体" w:cs="宋体"/>
                <w:b w:val="0"/>
                <w:bCs/>
                <w:color w:val="auto"/>
                <w:sz w:val="24"/>
                <w:szCs w:val="24"/>
                <w:highlight w:val="none"/>
              </w:rPr>
              <w:t>有效期：与投标有效期一致。</w:t>
            </w:r>
          </w:p>
        </w:tc>
      </w:tr>
      <w:tr w14:paraId="262C1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84" w:type="dxa"/>
            <w:gridSpan w:val="2"/>
            <w:vAlign w:val="center"/>
          </w:tcPr>
          <w:p w14:paraId="21E8AC07">
            <w:pPr>
              <w:pStyle w:val="21"/>
              <w:ind w:firstLine="480" w:firstLineChars="200"/>
              <w:rPr>
                <w:rFonts w:hint="eastAsia"/>
                <w:color w:val="auto"/>
                <w:sz w:val="24"/>
                <w:szCs w:val="24"/>
                <w:highlight w:val="none"/>
              </w:rPr>
            </w:pPr>
          </w:p>
        </w:tc>
        <w:tc>
          <w:tcPr>
            <w:tcW w:w="2897" w:type="dxa"/>
            <w:vAlign w:val="center"/>
          </w:tcPr>
          <w:p w14:paraId="72C63C1C">
            <w:pPr>
              <w:pStyle w:val="21"/>
              <w:rPr>
                <w:rFonts w:hint="eastAsia"/>
                <w:color w:val="auto"/>
                <w:sz w:val="24"/>
                <w:szCs w:val="24"/>
                <w:highlight w:val="none"/>
              </w:rPr>
            </w:pPr>
          </w:p>
        </w:tc>
        <w:tc>
          <w:tcPr>
            <w:tcW w:w="5289" w:type="dxa"/>
            <w:vAlign w:val="center"/>
          </w:tcPr>
          <w:p w14:paraId="33C05146">
            <w:pPr>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保证金退还：</w:t>
            </w:r>
          </w:p>
          <w:p w14:paraId="6F62DD19">
            <w:pPr>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除招标文件规定不予退还情形外，未中标的</w:t>
            </w:r>
            <w:r>
              <w:rPr>
                <w:rFonts w:hint="eastAsia" w:ascii="宋体" w:hAnsi="宋体" w:eastAsia="宋体" w:cs="宋体"/>
                <w:bCs/>
                <w:color w:val="auto"/>
                <w:sz w:val="24"/>
                <w:highlight w:val="none"/>
                <w:lang w:eastAsia="zh-CN"/>
              </w:rPr>
              <w:t>投标人</w:t>
            </w:r>
            <w:r>
              <w:rPr>
                <w:rFonts w:hint="eastAsia" w:ascii="宋体" w:hAnsi="宋体" w:eastAsia="宋体" w:cs="宋体"/>
                <w:bCs/>
                <w:color w:val="auto"/>
                <w:sz w:val="24"/>
                <w:highlight w:val="none"/>
              </w:rPr>
              <w:t>可在中标通知书发出后到采购代理机构办理退保证金手续，</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保证金在</w:t>
            </w:r>
            <w:r>
              <w:rPr>
                <w:rFonts w:hint="eastAsia" w:ascii="宋体" w:hAnsi="宋体" w:eastAsia="宋体" w:cs="宋体"/>
                <w:bCs/>
                <w:color w:val="auto"/>
                <w:sz w:val="24"/>
                <w:highlight w:val="none"/>
                <w:woUserID w:val="1"/>
              </w:rPr>
              <w:t>中标通知书发出之日起</w:t>
            </w:r>
            <w:r>
              <w:rPr>
                <w:rFonts w:hint="eastAsia" w:ascii="宋体" w:hAnsi="宋体" w:eastAsia="宋体" w:cs="宋体"/>
                <w:bCs/>
                <w:color w:val="auto"/>
                <w:sz w:val="24"/>
                <w:highlight w:val="none"/>
              </w:rPr>
              <w:t>5个工作日内退还；中标人的</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保证金，在签订合同后5个工作日内由采购代理机构退还。</w:t>
            </w:r>
          </w:p>
          <w:p w14:paraId="00B6BB5C">
            <w:pPr>
              <w:pStyle w:val="15"/>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Cs/>
                <w:color w:val="auto"/>
                <w:sz w:val="24"/>
                <w:highlight w:val="none"/>
              </w:rPr>
              <w:t>银行保函、保证金保险</w:t>
            </w:r>
            <w:r>
              <w:rPr>
                <w:rFonts w:hint="eastAsia" w:ascii="宋体" w:hAnsi="宋体" w:cs="宋体"/>
                <w:bCs/>
                <w:color w:val="auto"/>
                <w:sz w:val="24"/>
                <w:highlight w:val="none"/>
                <w:lang w:eastAsia="zh-CN"/>
              </w:rPr>
              <w:t>无须退还，</w:t>
            </w:r>
            <w:r>
              <w:rPr>
                <w:rFonts w:hint="eastAsia" w:ascii="宋体" w:hAnsi="宋体" w:eastAsia="宋体" w:cs="宋体"/>
                <w:bCs/>
                <w:color w:val="auto"/>
                <w:sz w:val="24"/>
                <w:highlight w:val="none"/>
              </w:rPr>
              <w:t>有效期过后自动失效。</w:t>
            </w:r>
          </w:p>
        </w:tc>
      </w:tr>
      <w:tr w14:paraId="5F16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675" w:type="dxa"/>
            <w:vMerge w:val="restart"/>
            <w:vAlign w:val="center"/>
          </w:tcPr>
          <w:p w14:paraId="3E80829C">
            <w:pPr>
              <w:pStyle w:val="21"/>
              <w:rPr>
                <w:color w:val="auto"/>
                <w:sz w:val="24"/>
                <w:szCs w:val="24"/>
                <w:highlight w:val="none"/>
              </w:rPr>
            </w:pPr>
            <w:r>
              <w:rPr>
                <w:color w:val="auto"/>
                <w:sz w:val="24"/>
                <w:szCs w:val="24"/>
                <w:highlight w:val="none"/>
              </w:rPr>
              <w:t>11</w:t>
            </w:r>
          </w:p>
        </w:tc>
        <w:tc>
          <w:tcPr>
            <w:tcW w:w="709" w:type="dxa"/>
            <w:vAlign w:val="center"/>
          </w:tcPr>
          <w:p w14:paraId="631F7C60">
            <w:pPr>
              <w:pStyle w:val="21"/>
              <w:rPr>
                <w:color w:val="auto"/>
                <w:sz w:val="24"/>
                <w:szCs w:val="24"/>
                <w:highlight w:val="none"/>
              </w:rPr>
            </w:pPr>
            <w:r>
              <w:rPr>
                <w:rFonts w:hint="eastAsia"/>
                <w:color w:val="auto"/>
                <w:sz w:val="24"/>
                <w:szCs w:val="24"/>
                <w:highlight w:val="none"/>
              </w:rPr>
              <w:t>11.1</w:t>
            </w:r>
          </w:p>
        </w:tc>
        <w:tc>
          <w:tcPr>
            <w:tcW w:w="2897" w:type="dxa"/>
            <w:vAlign w:val="center"/>
          </w:tcPr>
          <w:p w14:paraId="49F369AF">
            <w:pPr>
              <w:pStyle w:val="21"/>
              <w:ind w:left="480" w:hanging="480" w:hangingChars="200"/>
              <w:rPr>
                <w:color w:val="auto"/>
                <w:sz w:val="24"/>
                <w:szCs w:val="24"/>
                <w:highlight w:val="none"/>
              </w:rPr>
            </w:pPr>
            <w:r>
              <w:rPr>
                <w:rFonts w:hint="eastAsia"/>
                <w:color w:val="auto"/>
                <w:sz w:val="24"/>
                <w:szCs w:val="24"/>
                <w:highlight w:val="none"/>
              </w:rPr>
              <w:t>递交投标文件的截止时间（同开标时间）</w:t>
            </w:r>
          </w:p>
        </w:tc>
        <w:tc>
          <w:tcPr>
            <w:tcW w:w="5289" w:type="dxa"/>
            <w:vAlign w:val="center"/>
          </w:tcPr>
          <w:p w14:paraId="1A2A2D40">
            <w:pPr>
              <w:rPr>
                <w:rFonts w:ascii="宋体" w:hAnsi="宋体" w:cs="宋体"/>
                <w:color w:val="auto"/>
                <w:sz w:val="24"/>
                <w:highlight w:val="none"/>
              </w:rPr>
            </w:pPr>
            <w:r>
              <w:rPr>
                <w:rFonts w:hint="eastAsia" w:ascii="宋体" w:hAnsi="宋体" w:cs="宋体"/>
                <w:color w:val="auto"/>
                <w:sz w:val="24"/>
                <w:highlight w:val="none"/>
              </w:rPr>
              <w:t>截止时间：</w:t>
            </w:r>
            <w:r>
              <w:rPr>
                <w:rFonts w:hint="eastAsia" w:ascii="宋体" w:hAnsi="宋体" w:cs="宋体"/>
                <w:color w:val="auto"/>
                <w:sz w:val="24"/>
                <w:highlight w:val="none"/>
                <w:u w:val="none"/>
              </w:rPr>
              <w:t>202</w:t>
            </w:r>
            <w:r>
              <w:rPr>
                <w:rFonts w:hint="eastAsia" w:ascii="宋体" w:hAnsi="宋体" w:cs="宋体"/>
                <w:color w:val="auto"/>
                <w:sz w:val="24"/>
                <w:highlight w:val="none"/>
                <w:u w:val="none"/>
                <w:lang w:val="en-US" w:eastAsia="zh-CN"/>
              </w:rPr>
              <w:t>6</w:t>
            </w:r>
            <w:r>
              <w:rPr>
                <w:rFonts w:hint="eastAsia" w:ascii="宋体" w:hAnsi="宋体" w:cs="宋体"/>
                <w:color w:val="auto"/>
                <w:sz w:val="24"/>
                <w:highlight w:val="none"/>
                <w:u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14</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30</w:t>
            </w:r>
            <w:r>
              <w:rPr>
                <w:rFonts w:ascii="宋体" w:hAnsi="宋体" w:cs="宋体"/>
                <w:color w:val="auto"/>
                <w:sz w:val="24"/>
                <w:highlight w:val="none"/>
                <w:u w:val="single"/>
              </w:rPr>
              <w:t xml:space="preserve"> </w:t>
            </w:r>
            <w:r>
              <w:rPr>
                <w:rFonts w:hint="eastAsia" w:ascii="宋体" w:hAnsi="宋体" w:cs="宋体"/>
                <w:color w:val="auto"/>
                <w:sz w:val="24"/>
                <w:highlight w:val="none"/>
              </w:rPr>
              <w:t>分。</w:t>
            </w:r>
          </w:p>
        </w:tc>
      </w:tr>
      <w:tr w14:paraId="2BC6D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75" w:type="dxa"/>
            <w:vMerge w:val="continue"/>
            <w:vAlign w:val="center"/>
          </w:tcPr>
          <w:p w14:paraId="06BB7865">
            <w:pPr>
              <w:pStyle w:val="21"/>
              <w:ind w:firstLine="522"/>
              <w:rPr>
                <w:color w:val="auto"/>
                <w:sz w:val="24"/>
                <w:szCs w:val="24"/>
                <w:highlight w:val="none"/>
              </w:rPr>
            </w:pPr>
          </w:p>
        </w:tc>
        <w:tc>
          <w:tcPr>
            <w:tcW w:w="709" w:type="dxa"/>
            <w:vAlign w:val="center"/>
          </w:tcPr>
          <w:p w14:paraId="61067775">
            <w:pPr>
              <w:pStyle w:val="21"/>
              <w:rPr>
                <w:color w:val="auto"/>
                <w:sz w:val="24"/>
                <w:szCs w:val="24"/>
                <w:highlight w:val="none"/>
              </w:rPr>
            </w:pPr>
            <w:r>
              <w:rPr>
                <w:rFonts w:hint="eastAsia"/>
                <w:color w:val="auto"/>
                <w:sz w:val="24"/>
                <w:szCs w:val="24"/>
                <w:highlight w:val="none"/>
              </w:rPr>
              <w:t>11.2</w:t>
            </w:r>
          </w:p>
        </w:tc>
        <w:tc>
          <w:tcPr>
            <w:tcW w:w="2897" w:type="dxa"/>
            <w:vAlign w:val="center"/>
          </w:tcPr>
          <w:p w14:paraId="5021A942">
            <w:pPr>
              <w:pStyle w:val="21"/>
              <w:rPr>
                <w:color w:val="auto"/>
                <w:sz w:val="24"/>
                <w:szCs w:val="24"/>
                <w:highlight w:val="none"/>
              </w:rPr>
            </w:pPr>
            <w:r>
              <w:rPr>
                <w:rFonts w:hint="eastAsia"/>
                <w:color w:val="auto"/>
                <w:sz w:val="24"/>
                <w:szCs w:val="24"/>
                <w:highlight w:val="none"/>
              </w:rPr>
              <w:t>递交投标文件地点</w:t>
            </w:r>
          </w:p>
        </w:tc>
        <w:tc>
          <w:tcPr>
            <w:tcW w:w="5289" w:type="dxa"/>
            <w:vAlign w:val="center"/>
          </w:tcPr>
          <w:p w14:paraId="36671614">
            <w:pPr>
              <w:pStyle w:val="21"/>
              <w:jc w:val="left"/>
              <w:rPr>
                <w:rFonts w:hAnsi="宋体" w:cs="宋体"/>
                <w:color w:val="auto"/>
                <w:kern w:val="0"/>
                <w:sz w:val="24"/>
                <w:highlight w:val="none"/>
              </w:rPr>
            </w:pPr>
            <w:r>
              <w:rPr>
                <w:rFonts w:hint="eastAsia" w:hAnsi="宋体"/>
                <w:bCs/>
                <w:color w:val="auto"/>
                <w:spacing w:val="10"/>
                <w:sz w:val="24"/>
                <w:szCs w:val="22"/>
                <w:highlight w:val="none"/>
              </w:rPr>
              <w:t>通过政采云平台（https://www.zcygov.cn/）在线提交。</w:t>
            </w:r>
          </w:p>
        </w:tc>
      </w:tr>
      <w:tr w14:paraId="2EFC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vMerge w:val="continue"/>
            <w:vAlign w:val="center"/>
          </w:tcPr>
          <w:p w14:paraId="05AFDE90">
            <w:pPr>
              <w:pStyle w:val="21"/>
              <w:ind w:firstLine="522"/>
              <w:rPr>
                <w:color w:val="auto"/>
                <w:sz w:val="24"/>
                <w:szCs w:val="24"/>
                <w:highlight w:val="none"/>
              </w:rPr>
            </w:pPr>
          </w:p>
        </w:tc>
        <w:tc>
          <w:tcPr>
            <w:tcW w:w="709" w:type="dxa"/>
            <w:vAlign w:val="center"/>
          </w:tcPr>
          <w:p w14:paraId="46F9EF36">
            <w:pPr>
              <w:pStyle w:val="21"/>
              <w:rPr>
                <w:color w:val="auto"/>
                <w:sz w:val="24"/>
                <w:szCs w:val="24"/>
                <w:highlight w:val="none"/>
              </w:rPr>
            </w:pPr>
            <w:r>
              <w:rPr>
                <w:rFonts w:hint="eastAsia"/>
                <w:color w:val="auto"/>
                <w:sz w:val="24"/>
                <w:szCs w:val="24"/>
                <w:highlight w:val="none"/>
              </w:rPr>
              <w:t>11.3</w:t>
            </w:r>
          </w:p>
        </w:tc>
        <w:tc>
          <w:tcPr>
            <w:tcW w:w="2897" w:type="dxa"/>
            <w:vAlign w:val="center"/>
          </w:tcPr>
          <w:p w14:paraId="7D5ACD98">
            <w:pPr>
              <w:pStyle w:val="21"/>
              <w:rPr>
                <w:color w:val="auto"/>
                <w:sz w:val="24"/>
                <w:szCs w:val="24"/>
                <w:highlight w:val="none"/>
              </w:rPr>
            </w:pPr>
            <w:r>
              <w:rPr>
                <w:rFonts w:hint="eastAsia"/>
                <w:color w:val="auto"/>
                <w:sz w:val="24"/>
                <w:szCs w:val="24"/>
                <w:highlight w:val="none"/>
              </w:rPr>
              <w:t>是否退还投标文件</w:t>
            </w:r>
          </w:p>
        </w:tc>
        <w:tc>
          <w:tcPr>
            <w:tcW w:w="5289" w:type="dxa"/>
            <w:vAlign w:val="center"/>
          </w:tcPr>
          <w:p w14:paraId="1F8E3E66">
            <w:pPr>
              <w:pStyle w:val="21"/>
              <w:rPr>
                <w:color w:val="auto"/>
                <w:sz w:val="24"/>
                <w:szCs w:val="24"/>
                <w:highlight w:val="none"/>
              </w:rPr>
            </w:pPr>
            <w:r>
              <w:rPr>
                <w:rFonts w:hAnsi="宋体" w:cs="Arial Unicode MS"/>
                <w:b/>
                <w:bCs/>
                <w:color w:val="auto"/>
                <w:sz w:val="24"/>
                <w:highlight w:val="none"/>
              </w:rPr>
              <w:fldChar w:fldCharType="begin"/>
            </w:r>
            <w:r>
              <w:rPr>
                <w:rFonts w:hint="eastAsia" w:hAnsi="宋体" w:cs="Arial Unicode MS"/>
                <w:b/>
                <w:bCs/>
                <w:color w:val="auto"/>
                <w:sz w:val="24"/>
                <w:highlight w:val="none"/>
              </w:rPr>
              <w:instrText xml:space="preserve"> EQ \o(□,√)</w:instrText>
            </w:r>
            <w:r>
              <w:rPr>
                <w:rFonts w:hAnsi="宋体" w:cs="Arial Unicode MS"/>
                <w:b/>
                <w:bCs/>
                <w:color w:val="auto"/>
                <w:sz w:val="24"/>
                <w:highlight w:val="none"/>
              </w:rPr>
              <w:fldChar w:fldCharType="end"/>
            </w:r>
            <w:r>
              <w:rPr>
                <w:rFonts w:hint="eastAsia"/>
                <w:color w:val="auto"/>
                <w:sz w:val="24"/>
                <w:szCs w:val="24"/>
                <w:highlight w:val="none"/>
              </w:rPr>
              <w:t>否  □是。</w:t>
            </w:r>
          </w:p>
        </w:tc>
      </w:tr>
      <w:tr w14:paraId="61FAC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jc w:val="center"/>
        </w:trPr>
        <w:tc>
          <w:tcPr>
            <w:tcW w:w="1384" w:type="dxa"/>
            <w:gridSpan w:val="2"/>
            <w:vAlign w:val="center"/>
          </w:tcPr>
          <w:p w14:paraId="2D3BB2A0">
            <w:pPr>
              <w:pStyle w:val="21"/>
              <w:ind w:firstLine="480" w:firstLineChars="200"/>
              <w:rPr>
                <w:color w:val="auto"/>
                <w:sz w:val="24"/>
                <w:szCs w:val="24"/>
                <w:highlight w:val="none"/>
              </w:rPr>
            </w:pPr>
            <w:r>
              <w:rPr>
                <w:rFonts w:hint="eastAsia"/>
                <w:color w:val="auto"/>
                <w:sz w:val="24"/>
                <w:szCs w:val="24"/>
                <w:highlight w:val="none"/>
              </w:rPr>
              <w:t>12</w:t>
            </w:r>
          </w:p>
        </w:tc>
        <w:tc>
          <w:tcPr>
            <w:tcW w:w="2897" w:type="dxa"/>
            <w:vAlign w:val="center"/>
          </w:tcPr>
          <w:p w14:paraId="6640683C">
            <w:pPr>
              <w:pStyle w:val="21"/>
              <w:rPr>
                <w:color w:val="auto"/>
                <w:sz w:val="24"/>
                <w:szCs w:val="24"/>
                <w:highlight w:val="none"/>
              </w:rPr>
            </w:pPr>
            <w:r>
              <w:rPr>
                <w:rFonts w:hint="eastAsia"/>
                <w:color w:val="auto"/>
                <w:sz w:val="24"/>
                <w:szCs w:val="24"/>
                <w:highlight w:val="none"/>
              </w:rPr>
              <w:t>开标时间和地点</w:t>
            </w:r>
          </w:p>
        </w:tc>
        <w:tc>
          <w:tcPr>
            <w:tcW w:w="5289" w:type="dxa"/>
            <w:vAlign w:val="center"/>
          </w:tcPr>
          <w:p w14:paraId="4FEBA3E8">
            <w:pPr>
              <w:pStyle w:val="21"/>
              <w:rPr>
                <w:color w:val="auto"/>
                <w:sz w:val="24"/>
                <w:szCs w:val="24"/>
                <w:highlight w:val="none"/>
              </w:rPr>
            </w:pPr>
            <w:r>
              <w:rPr>
                <w:rFonts w:hint="eastAsia"/>
                <w:color w:val="auto"/>
                <w:sz w:val="24"/>
                <w:szCs w:val="24"/>
                <w:highlight w:val="none"/>
              </w:rPr>
              <w:t>开标时间：</w:t>
            </w:r>
            <w:r>
              <w:rPr>
                <w:rFonts w:hint="eastAsia" w:hAnsi="宋体" w:cs="宋体"/>
                <w:color w:val="auto"/>
                <w:sz w:val="24"/>
                <w:highlight w:val="none"/>
                <w:u w:val="none"/>
              </w:rPr>
              <w:t>202</w:t>
            </w:r>
            <w:r>
              <w:rPr>
                <w:rFonts w:hint="eastAsia" w:hAnsi="宋体" w:cs="宋体"/>
                <w:color w:val="auto"/>
                <w:sz w:val="24"/>
                <w:highlight w:val="none"/>
                <w:u w:val="none"/>
                <w:lang w:val="en-US" w:eastAsia="zh-CN"/>
              </w:rPr>
              <w:t>6</w:t>
            </w:r>
            <w:r>
              <w:rPr>
                <w:rFonts w:hint="eastAsia" w:hAnsi="宋体" w:cs="宋体"/>
                <w:color w:val="auto"/>
                <w:sz w:val="24"/>
                <w:highlight w:val="none"/>
                <w:u w:val="none"/>
              </w:rPr>
              <w:t>年</w:t>
            </w:r>
            <w:r>
              <w:rPr>
                <w:rFonts w:hint="eastAsia" w:hAnsi="宋体" w:cs="宋体"/>
                <w:color w:val="auto"/>
                <w:sz w:val="24"/>
                <w:highlight w:val="none"/>
                <w:u w:val="single"/>
              </w:rPr>
              <w:t xml:space="preserve"> </w:t>
            </w:r>
            <w:r>
              <w:rPr>
                <w:rFonts w:hint="eastAsia" w:hAnsi="宋体" w:cs="宋体"/>
                <w:color w:val="auto"/>
                <w:sz w:val="24"/>
                <w:highlight w:val="none"/>
                <w:u w:val="single"/>
                <w:lang w:val="en-US" w:eastAsia="zh-CN"/>
              </w:rPr>
              <w:t>5</w:t>
            </w:r>
            <w:r>
              <w:rPr>
                <w:rFonts w:hint="eastAsia" w:hAnsi="宋体" w:cs="宋体"/>
                <w:color w:val="auto"/>
                <w:sz w:val="24"/>
                <w:highlight w:val="none"/>
                <w:u w:val="single"/>
              </w:rPr>
              <w:t xml:space="preserve"> </w:t>
            </w:r>
            <w:r>
              <w:rPr>
                <w:rFonts w:hint="eastAsia" w:hAnsi="宋体" w:cs="宋体"/>
                <w:color w:val="auto"/>
                <w:sz w:val="24"/>
                <w:highlight w:val="none"/>
              </w:rPr>
              <w:t>月</w:t>
            </w:r>
            <w:r>
              <w:rPr>
                <w:rFonts w:hint="eastAsia" w:hAnsi="宋体" w:cs="宋体"/>
                <w:color w:val="auto"/>
                <w:sz w:val="24"/>
                <w:highlight w:val="none"/>
                <w:u w:val="single"/>
              </w:rPr>
              <w:t xml:space="preserve"> </w:t>
            </w:r>
            <w:r>
              <w:rPr>
                <w:rFonts w:hint="eastAsia" w:hAnsi="宋体" w:cs="宋体"/>
                <w:color w:val="auto"/>
                <w:sz w:val="24"/>
                <w:highlight w:val="none"/>
                <w:u w:val="single"/>
                <w:lang w:val="en-US" w:eastAsia="zh-CN"/>
              </w:rPr>
              <w:t xml:space="preserve">11 </w:t>
            </w:r>
            <w:r>
              <w:rPr>
                <w:rFonts w:hint="eastAsia" w:hAnsi="宋体" w:cs="宋体"/>
                <w:color w:val="auto"/>
                <w:sz w:val="24"/>
                <w:highlight w:val="none"/>
              </w:rPr>
              <w:t>日</w:t>
            </w:r>
            <w:r>
              <w:rPr>
                <w:rFonts w:hint="eastAsia" w:hAnsi="宋体" w:cs="宋体"/>
                <w:color w:val="auto"/>
                <w:sz w:val="24"/>
                <w:highlight w:val="none"/>
                <w:u w:val="single"/>
              </w:rPr>
              <w:t xml:space="preserve"> </w:t>
            </w:r>
            <w:r>
              <w:rPr>
                <w:rFonts w:hint="eastAsia" w:hAnsi="宋体" w:cs="宋体"/>
                <w:color w:val="auto"/>
                <w:sz w:val="24"/>
                <w:highlight w:val="none"/>
                <w:u w:val="single"/>
                <w:lang w:val="en-US" w:eastAsia="zh-CN"/>
              </w:rPr>
              <w:t>14</w:t>
            </w:r>
            <w:r>
              <w:rPr>
                <w:rFonts w:hint="eastAsia" w:hAnsi="宋体" w:cs="宋体"/>
                <w:color w:val="auto"/>
                <w:sz w:val="24"/>
                <w:highlight w:val="none"/>
                <w:u w:val="single"/>
              </w:rPr>
              <w:t xml:space="preserve"> </w:t>
            </w:r>
            <w:r>
              <w:rPr>
                <w:rFonts w:hint="eastAsia" w:hAnsi="宋体" w:cs="宋体"/>
                <w:color w:val="auto"/>
                <w:sz w:val="24"/>
                <w:highlight w:val="none"/>
              </w:rPr>
              <w:t>时</w:t>
            </w:r>
            <w:r>
              <w:rPr>
                <w:rFonts w:hint="eastAsia" w:hAnsi="宋体" w:cs="宋体"/>
                <w:color w:val="auto"/>
                <w:sz w:val="24"/>
                <w:highlight w:val="none"/>
                <w:u w:val="single"/>
              </w:rPr>
              <w:t xml:space="preserve"> </w:t>
            </w:r>
            <w:r>
              <w:rPr>
                <w:rFonts w:hint="eastAsia" w:hAnsi="宋体" w:cs="宋体"/>
                <w:color w:val="auto"/>
                <w:sz w:val="24"/>
                <w:highlight w:val="none"/>
                <w:u w:val="single"/>
                <w:lang w:val="en-US" w:eastAsia="zh-CN"/>
              </w:rPr>
              <w:t>30</w:t>
            </w:r>
            <w:r>
              <w:rPr>
                <w:rFonts w:hint="eastAsia" w:hAnsi="宋体" w:cs="宋体"/>
                <w:color w:val="auto"/>
                <w:sz w:val="24"/>
                <w:highlight w:val="none"/>
                <w:u w:val="single"/>
              </w:rPr>
              <w:t xml:space="preserve"> </w:t>
            </w:r>
            <w:r>
              <w:rPr>
                <w:rFonts w:hint="eastAsia" w:hAnsi="宋体" w:cs="宋体"/>
                <w:color w:val="auto"/>
                <w:sz w:val="24"/>
                <w:highlight w:val="none"/>
              </w:rPr>
              <w:t>分。</w:t>
            </w:r>
          </w:p>
          <w:p w14:paraId="1DFBDA84">
            <w:pPr>
              <w:pStyle w:val="21"/>
              <w:rPr>
                <w:color w:val="auto"/>
                <w:sz w:val="24"/>
                <w:szCs w:val="24"/>
                <w:highlight w:val="none"/>
              </w:rPr>
            </w:pPr>
            <w:r>
              <w:rPr>
                <w:rFonts w:hint="eastAsia"/>
                <w:color w:val="auto"/>
                <w:sz w:val="24"/>
                <w:szCs w:val="24"/>
                <w:highlight w:val="none"/>
              </w:rPr>
              <w:t>开标地点：</w:t>
            </w:r>
            <w:r>
              <w:rPr>
                <w:rFonts w:hint="eastAsia" w:hAnsi="宋体"/>
                <w:bCs/>
                <w:color w:val="auto"/>
                <w:spacing w:val="10"/>
                <w:sz w:val="24"/>
                <w:highlight w:val="none"/>
                <w:u w:val="single"/>
              </w:rPr>
              <w:t>云南众高工程咨询有限公司（昆明市盘龙区北辰大道1号美立方商业广场B座16楼）开标厅</w:t>
            </w:r>
            <w:r>
              <w:rPr>
                <w:rFonts w:hint="eastAsia" w:hAnsi="宋体"/>
                <w:bCs/>
                <w:color w:val="auto"/>
                <w:spacing w:val="10"/>
                <w:sz w:val="24"/>
                <w:highlight w:val="none"/>
              </w:rPr>
              <w:t>。</w:t>
            </w:r>
          </w:p>
        </w:tc>
      </w:tr>
      <w:tr w14:paraId="26D7D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84" w:type="dxa"/>
            <w:gridSpan w:val="2"/>
            <w:vAlign w:val="center"/>
          </w:tcPr>
          <w:p w14:paraId="6DD58D57">
            <w:pPr>
              <w:pStyle w:val="21"/>
              <w:ind w:firstLine="480" w:firstLineChars="200"/>
              <w:rPr>
                <w:color w:val="auto"/>
                <w:sz w:val="24"/>
                <w:szCs w:val="24"/>
                <w:highlight w:val="none"/>
              </w:rPr>
            </w:pPr>
            <w:r>
              <w:rPr>
                <w:rFonts w:hint="eastAsia"/>
                <w:color w:val="auto"/>
                <w:sz w:val="24"/>
                <w:szCs w:val="24"/>
                <w:highlight w:val="none"/>
              </w:rPr>
              <w:t>13</w:t>
            </w:r>
          </w:p>
        </w:tc>
        <w:tc>
          <w:tcPr>
            <w:tcW w:w="2897" w:type="dxa"/>
            <w:vAlign w:val="center"/>
          </w:tcPr>
          <w:p w14:paraId="349C2BCE">
            <w:pPr>
              <w:pStyle w:val="21"/>
              <w:rPr>
                <w:color w:val="auto"/>
                <w:sz w:val="24"/>
                <w:szCs w:val="24"/>
                <w:highlight w:val="none"/>
              </w:rPr>
            </w:pPr>
            <w:r>
              <w:rPr>
                <w:color w:val="auto"/>
                <w:sz w:val="24"/>
                <w:szCs w:val="24"/>
                <w:highlight w:val="none"/>
              </w:rPr>
              <w:t>评标委员会组成</w:t>
            </w:r>
          </w:p>
        </w:tc>
        <w:tc>
          <w:tcPr>
            <w:tcW w:w="5289" w:type="dxa"/>
            <w:vAlign w:val="center"/>
          </w:tcPr>
          <w:p w14:paraId="66495892">
            <w:pPr>
              <w:pStyle w:val="21"/>
              <w:rPr>
                <w:color w:val="auto"/>
                <w:sz w:val="24"/>
                <w:szCs w:val="24"/>
                <w:highlight w:val="none"/>
              </w:rPr>
            </w:pPr>
            <w:r>
              <w:rPr>
                <w:rFonts w:hint="eastAsia" w:asciiTheme="minorEastAsia" w:hAnsiTheme="minorEastAsia"/>
                <w:bCs/>
                <w:color w:val="auto"/>
                <w:sz w:val="24"/>
                <w:highlight w:val="none"/>
              </w:rPr>
              <w:t>评标委员会的组成：评标委员会由</w:t>
            </w:r>
            <w:r>
              <w:rPr>
                <w:rFonts w:hint="eastAsia" w:asciiTheme="minorEastAsia" w:hAnsiTheme="minorEastAsia"/>
                <w:bCs/>
                <w:color w:val="auto"/>
                <w:sz w:val="24"/>
                <w:highlight w:val="none"/>
                <w:lang w:eastAsia="zh-CN"/>
              </w:rPr>
              <w:t>采购人</w:t>
            </w:r>
            <w:r>
              <w:rPr>
                <w:rFonts w:hint="eastAsia" w:asciiTheme="minorEastAsia" w:hAnsiTheme="minorEastAsia"/>
                <w:bCs/>
                <w:color w:val="auto"/>
                <w:sz w:val="24"/>
                <w:highlight w:val="none"/>
              </w:rPr>
              <w:t>代表和评审专家组成，成员人数为5人或以上单数，其中，评审专家不得少于成员总数的三分之二。</w:t>
            </w:r>
          </w:p>
        </w:tc>
      </w:tr>
      <w:tr w14:paraId="6E13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384" w:type="dxa"/>
            <w:gridSpan w:val="2"/>
            <w:vAlign w:val="center"/>
          </w:tcPr>
          <w:p w14:paraId="41851365">
            <w:pPr>
              <w:pStyle w:val="21"/>
              <w:ind w:firstLine="480" w:firstLineChars="200"/>
              <w:rPr>
                <w:color w:val="auto"/>
                <w:sz w:val="24"/>
                <w:szCs w:val="24"/>
                <w:highlight w:val="none"/>
              </w:rPr>
            </w:pPr>
            <w:r>
              <w:rPr>
                <w:rFonts w:hint="eastAsia"/>
                <w:color w:val="auto"/>
                <w:sz w:val="24"/>
                <w:szCs w:val="24"/>
                <w:highlight w:val="none"/>
              </w:rPr>
              <w:t>14</w:t>
            </w:r>
          </w:p>
        </w:tc>
        <w:tc>
          <w:tcPr>
            <w:tcW w:w="2897" w:type="dxa"/>
            <w:vAlign w:val="center"/>
          </w:tcPr>
          <w:p w14:paraId="2945DC6A">
            <w:pPr>
              <w:pStyle w:val="21"/>
              <w:rPr>
                <w:color w:val="auto"/>
                <w:sz w:val="24"/>
                <w:szCs w:val="24"/>
                <w:highlight w:val="none"/>
              </w:rPr>
            </w:pPr>
            <w:r>
              <w:rPr>
                <w:rFonts w:hint="eastAsia"/>
                <w:color w:val="auto"/>
                <w:sz w:val="24"/>
                <w:szCs w:val="24"/>
                <w:highlight w:val="none"/>
              </w:rPr>
              <w:t>评标办法</w:t>
            </w:r>
          </w:p>
        </w:tc>
        <w:tc>
          <w:tcPr>
            <w:tcW w:w="5289" w:type="dxa"/>
            <w:vAlign w:val="center"/>
          </w:tcPr>
          <w:p w14:paraId="7825965C">
            <w:pPr>
              <w:pStyle w:val="21"/>
              <w:rPr>
                <w:color w:val="auto"/>
                <w:sz w:val="24"/>
                <w:szCs w:val="24"/>
                <w:highlight w:val="none"/>
              </w:rPr>
            </w:pPr>
            <w:r>
              <w:rPr>
                <w:rFonts w:hint="eastAsia"/>
                <w:color w:val="auto"/>
                <w:sz w:val="24"/>
                <w:szCs w:val="24"/>
                <w:highlight w:val="none"/>
              </w:rPr>
              <w:t>□最低评标价法。</w:t>
            </w:r>
          </w:p>
          <w:p w14:paraId="55064F0B">
            <w:pPr>
              <w:pStyle w:val="21"/>
              <w:jc w:val="left"/>
              <w:rPr>
                <w:color w:val="auto"/>
                <w:sz w:val="24"/>
                <w:szCs w:val="24"/>
                <w:highlight w:val="none"/>
              </w:rPr>
            </w:pPr>
            <w:r>
              <w:rPr>
                <w:rFonts w:hAnsi="宋体" w:cs="Arial Unicode MS"/>
                <w:b/>
                <w:bCs/>
                <w:color w:val="auto"/>
                <w:sz w:val="24"/>
                <w:highlight w:val="none"/>
              </w:rPr>
              <w:fldChar w:fldCharType="begin"/>
            </w:r>
            <w:r>
              <w:rPr>
                <w:rFonts w:hint="eastAsia" w:hAnsi="宋体" w:cs="Arial Unicode MS"/>
                <w:b/>
                <w:bCs/>
                <w:color w:val="auto"/>
                <w:sz w:val="24"/>
                <w:highlight w:val="none"/>
              </w:rPr>
              <w:instrText xml:space="preserve"> EQ \o(□,√)</w:instrText>
            </w:r>
            <w:r>
              <w:rPr>
                <w:rFonts w:hAnsi="宋体" w:cs="Arial Unicode MS"/>
                <w:b/>
                <w:bCs/>
                <w:color w:val="auto"/>
                <w:sz w:val="24"/>
                <w:highlight w:val="none"/>
              </w:rPr>
              <w:fldChar w:fldCharType="end"/>
            </w:r>
            <w:r>
              <w:rPr>
                <w:rFonts w:hint="eastAsia"/>
                <w:color w:val="auto"/>
                <w:sz w:val="24"/>
                <w:szCs w:val="24"/>
                <w:highlight w:val="none"/>
              </w:rPr>
              <w:t>综合评分法。</w:t>
            </w:r>
          </w:p>
        </w:tc>
      </w:tr>
      <w:tr w14:paraId="68E30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384" w:type="dxa"/>
            <w:gridSpan w:val="2"/>
            <w:vAlign w:val="center"/>
          </w:tcPr>
          <w:p w14:paraId="70449C6A">
            <w:pPr>
              <w:pStyle w:val="21"/>
              <w:ind w:firstLine="480" w:firstLineChars="200"/>
              <w:rPr>
                <w:color w:val="auto"/>
                <w:sz w:val="24"/>
                <w:szCs w:val="24"/>
                <w:highlight w:val="none"/>
              </w:rPr>
            </w:pPr>
            <w:r>
              <w:rPr>
                <w:rFonts w:hint="eastAsia"/>
                <w:color w:val="auto"/>
                <w:sz w:val="24"/>
                <w:szCs w:val="24"/>
                <w:highlight w:val="none"/>
              </w:rPr>
              <w:t>15</w:t>
            </w:r>
          </w:p>
        </w:tc>
        <w:tc>
          <w:tcPr>
            <w:tcW w:w="2897" w:type="dxa"/>
            <w:vAlign w:val="center"/>
          </w:tcPr>
          <w:p w14:paraId="133179BC">
            <w:pPr>
              <w:pStyle w:val="21"/>
              <w:rPr>
                <w:color w:val="auto"/>
                <w:sz w:val="24"/>
                <w:szCs w:val="24"/>
                <w:highlight w:val="none"/>
              </w:rPr>
            </w:pPr>
            <w:r>
              <w:rPr>
                <w:rFonts w:hint="eastAsia"/>
                <w:color w:val="auto"/>
                <w:sz w:val="24"/>
                <w:szCs w:val="24"/>
                <w:highlight w:val="none"/>
              </w:rPr>
              <w:t>合同分包</w:t>
            </w:r>
          </w:p>
        </w:tc>
        <w:tc>
          <w:tcPr>
            <w:tcW w:w="5289" w:type="dxa"/>
            <w:vAlign w:val="center"/>
          </w:tcPr>
          <w:p w14:paraId="6C17D213">
            <w:pPr>
              <w:pStyle w:val="21"/>
              <w:rPr>
                <w:color w:val="auto"/>
                <w:sz w:val="24"/>
                <w:szCs w:val="24"/>
                <w:highlight w:val="none"/>
              </w:rPr>
            </w:pPr>
            <w:r>
              <w:rPr>
                <w:rFonts w:hint="eastAsia"/>
                <w:color w:val="auto"/>
                <w:sz w:val="24"/>
                <w:szCs w:val="24"/>
                <w:highlight w:val="none"/>
              </w:rPr>
              <w:t>本项目是否接受分包：是</w:t>
            </w:r>
            <w:r>
              <w:rPr>
                <w:rFonts w:hint="eastAsia" w:hAnsi="宋体" w:cs="Arial Unicode MS"/>
                <w:b/>
                <w:bCs/>
                <w:color w:val="auto"/>
                <w:sz w:val="24"/>
                <w:highlight w:val="none"/>
              </w:rPr>
              <w:t>□</w:t>
            </w:r>
            <w:r>
              <w:rPr>
                <w:rFonts w:hint="eastAsia"/>
                <w:color w:val="auto"/>
                <w:sz w:val="24"/>
                <w:szCs w:val="24"/>
                <w:highlight w:val="none"/>
              </w:rPr>
              <w:t>否</w:t>
            </w:r>
            <w:r>
              <w:rPr>
                <w:rFonts w:hAnsi="宋体" w:cs="Arial Unicode MS"/>
                <w:b/>
                <w:bCs/>
                <w:color w:val="auto"/>
                <w:sz w:val="24"/>
                <w:highlight w:val="none"/>
              </w:rPr>
              <w:fldChar w:fldCharType="begin"/>
            </w:r>
            <w:r>
              <w:rPr>
                <w:rFonts w:hint="eastAsia" w:hAnsi="宋体" w:cs="Arial Unicode MS"/>
                <w:b/>
                <w:bCs/>
                <w:color w:val="auto"/>
                <w:sz w:val="24"/>
                <w:highlight w:val="none"/>
              </w:rPr>
              <w:instrText xml:space="preserve"> EQ \o(□,√)</w:instrText>
            </w:r>
            <w:r>
              <w:rPr>
                <w:rFonts w:hAnsi="宋体" w:cs="Arial Unicode MS"/>
                <w:b/>
                <w:bCs/>
                <w:color w:val="auto"/>
                <w:sz w:val="24"/>
                <w:highlight w:val="none"/>
              </w:rPr>
              <w:fldChar w:fldCharType="end"/>
            </w:r>
            <w:r>
              <w:rPr>
                <w:rFonts w:hAnsi="宋体" w:cs="Arial Unicode MS"/>
                <w:b/>
                <w:bCs/>
                <w:color w:val="auto"/>
                <w:sz w:val="24"/>
                <w:highlight w:val="none"/>
              </w:rPr>
              <w:t>。</w:t>
            </w:r>
          </w:p>
        </w:tc>
      </w:tr>
      <w:tr w14:paraId="764F6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384" w:type="dxa"/>
            <w:gridSpan w:val="2"/>
            <w:vAlign w:val="center"/>
          </w:tcPr>
          <w:p w14:paraId="6873E66B">
            <w:pPr>
              <w:pStyle w:val="21"/>
              <w:ind w:firstLine="480" w:firstLineChars="200"/>
              <w:rPr>
                <w:color w:val="auto"/>
                <w:sz w:val="24"/>
                <w:szCs w:val="24"/>
                <w:highlight w:val="none"/>
              </w:rPr>
            </w:pPr>
            <w:r>
              <w:rPr>
                <w:rFonts w:hint="eastAsia"/>
                <w:color w:val="auto"/>
                <w:sz w:val="24"/>
                <w:szCs w:val="24"/>
                <w:highlight w:val="none"/>
              </w:rPr>
              <w:t>16</w:t>
            </w:r>
          </w:p>
        </w:tc>
        <w:tc>
          <w:tcPr>
            <w:tcW w:w="2897" w:type="dxa"/>
            <w:vAlign w:val="center"/>
          </w:tcPr>
          <w:p w14:paraId="415B8BE9">
            <w:pPr>
              <w:pStyle w:val="21"/>
              <w:rPr>
                <w:color w:val="auto"/>
                <w:sz w:val="24"/>
                <w:szCs w:val="24"/>
                <w:highlight w:val="none"/>
              </w:rPr>
            </w:pPr>
            <w:r>
              <w:rPr>
                <w:rFonts w:hint="eastAsia"/>
                <w:color w:val="auto"/>
                <w:sz w:val="24"/>
                <w:szCs w:val="24"/>
                <w:highlight w:val="none"/>
              </w:rPr>
              <w:t>履约保证金（实质性要求）</w:t>
            </w:r>
          </w:p>
        </w:tc>
        <w:tc>
          <w:tcPr>
            <w:tcW w:w="5289" w:type="dxa"/>
            <w:shd w:val="clear" w:color="auto" w:fill="auto"/>
            <w:vAlign w:val="center"/>
          </w:tcPr>
          <w:p w14:paraId="12F360F2">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是否要求</w:t>
            </w:r>
            <w:r>
              <w:rPr>
                <w:rFonts w:hint="eastAsia" w:ascii="宋体" w:hAnsi="宋体" w:cs="宋体"/>
                <w:color w:val="auto"/>
                <w:sz w:val="24"/>
                <w:highlight w:val="none"/>
                <w:lang w:val="en-US" w:eastAsia="zh-CN"/>
              </w:rPr>
              <w:t>中标单位</w:t>
            </w:r>
            <w:r>
              <w:rPr>
                <w:rFonts w:hint="eastAsia" w:ascii="宋体" w:hAnsi="宋体" w:eastAsia="宋体" w:cs="宋体"/>
                <w:color w:val="auto"/>
                <w:sz w:val="24"/>
                <w:highlight w:val="none"/>
              </w:rPr>
              <w:t>提交履约保证金：</w:t>
            </w:r>
          </w:p>
          <w:p w14:paraId="6A7D1DFF">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2" w:char="0052"/>
            </w:r>
            <w:r>
              <w:rPr>
                <w:rFonts w:hint="eastAsia" w:ascii="宋体" w:hAnsi="宋体" w:eastAsia="宋体" w:cs="宋体"/>
                <w:bCs/>
                <w:color w:val="auto"/>
                <w:sz w:val="24"/>
                <w:highlight w:val="none"/>
              </w:rPr>
              <w:t>要求</w:t>
            </w:r>
            <w:r>
              <w:rPr>
                <w:rFonts w:hint="eastAsia" w:ascii="宋体" w:hAnsi="宋体" w:eastAsia="宋体" w:cs="宋体"/>
                <w:color w:val="auto"/>
                <w:sz w:val="24"/>
                <w:highlight w:val="none"/>
              </w:rPr>
              <w:t>，履约保证金的形式：支票、汇票、本票或者金融机构、担保机构出具的保函等非现金形式提交。</w:t>
            </w:r>
          </w:p>
          <w:p w14:paraId="684303B3">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履约保证金缴纳时间：合同签订后5个工作日内。</w:t>
            </w:r>
          </w:p>
          <w:p w14:paraId="3B09F997">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履约保证金的金额：合同总金额的</w:t>
            </w:r>
            <w:r>
              <w:rPr>
                <w:rFonts w:hint="eastAsia" w:ascii="宋体" w:hAnsi="宋体" w:eastAsia="宋体" w:cs="宋体"/>
                <w:color w:val="auto"/>
                <w:sz w:val="24"/>
                <w:highlight w:val="none"/>
                <w:u w:val="single"/>
                <w:lang w:val="en-US" w:eastAsia="zh-CN"/>
              </w:rPr>
              <w:t>10</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06ED03B3">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履约保证金的退还：</w:t>
            </w:r>
            <w:r>
              <w:rPr>
                <w:rFonts w:hint="eastAsia" w:ascii="宋体" w:hAnsi="宋体" w:eastAsia="宋体" w:cs="宋体"/>
                <w:color w:val="auto"/>
                <w:sz w:val="24"/>
                <w:highlight w:val="none"/>
                <w:lang w:val="en-US" w:eastAsia="zh-CN"/>
              </w:rPr>
              <w:t>合同约定的服务事项履约完成且验收合格后</w:t>
            </w:r>
            <w:r>
              <w:rPr>
                <w:rFonts w:hint="eastAsia" w:ascii="宋体" w:hAnsi="宋体" w:cs="宋体"/>
                <w:color w:val="auto"/>
                <w:sz w:val="24"/>
                <w:highlight w:val="none"/>
                <w:lang w:val="en-US" w:eastAsia="zh-CN"/>
              </w:rPr>
              <w:t>30天内</w:t>
            </w:r>
            <w:r>
              <w:rPr>
                <w:rFonts w:hint="eastAsia" w:ascii="宋体" w:hAnsi="宋体" w:eastAsia="宋体" w:cs="宋体"/>
                <w:color w:val="auto"/>
                <w:sz w:val="24"/>
                <w:highlight w:val="none"/>
              </w:rPr>
              <w:t>一次性退还，投标人履行合同过程中因违约行为导致支付违约金的，</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有权从履约保证金中直接扣除相应违约金，投标人应在违约金扣除后三日内补足履约保证金</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履约保证金金额不足以支付违约金的，由投标人另行向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进行支付。</w:t>
            </w:r>
          </w:p>
          <w:p w14:paraId="615B701B">
            <w:pPr>
              <w:pStyle w:val="17"/>
              <w:ind w:firstLine="0" w:firstLineChars="0"/>
              <w:rPr>
                <w:rFonts w:ascii="Times New Roman" w:hAnsi="宋体" w:eastAsia="宋体" w:cs="宋体"/>
                <w:b/>
                <w:color w:val="auto"/>
                <w:spacing w:val="10"/>
                <w:kern w:val="2"/>
                <w:sz w:val="24"/>
                <w:szCs w:val="24"/>
                <w:highlight w:val="none"/>
                <w:lang w:val="en-US" w:eastAsia="zh-CN" w:bidi="ar-SA"/>
              </w:rPr>
            </w:pPr>
            <w:r>
              <w:rPr>
                <w:rFonts w:hint="eastAsia" w:ascii="宋体" w:cs="宋体"/>
                <w:color w:val="auto"/>
                <w:sz w:val="24"/>
                <w:highlight w:val="none"/>
                <w:lang w:eastAsia="zh-CN"/>
              </w:rPr>
              <w:t>□</w:t>
            </w:r>
            <w:r>
              <w:rPr>
                <w:rFonts w:hint="eastAsia" w:ascii="宋体" w:hAnsi="宋体" w:eastAsia="宋体" w:cs="宋体"/>
                <w:color w:val="auto"/>
                <w:sz w:val="24"/>
                <w:highlight w:val="none"/>
              </w:rPr>
              <w:t>不要求。后续关于履约保证金的规定和要求相应失效。</w:t>
            </w:r>
          </w:p>
        </w:tc>
      </w:tr>
      <w:tr w14:paraId="236A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384" w:type="dxa"/>
            <w:gridSpan w:val="2"/>
            <w:vAlign w:val="center"/>
          </w:tcPr>
          <w:p w14:paraId="5E72C96C">
            <w:pPr>
              <w:pStyle w:val="21"/>
              <w:ind w:firstLine="480" w:firstLineChars="200"/>
              <w:rPr>
                <w:color w:val="auto"/>
                <w:sz w:val="24"/>
                <w:szCs w:val="24"/>
                <w:highlight w:val="none"/>
              </w:rPr>
            </w:pPr>
            <w:r>
              <w:rPr>
                <w:rFonts w:hint="eastAsia"/>
                <w:color w:val="auto"/>
                <w:sz w:val="24"/>
                <w:szCs w:val="24"/>
                <w:highlight w:val="none"/>
              </w:rPr>
              <w:t>17</w:t>
            </w:r>
          </w:p>
        </w:tc>
        <w:tc>
          <w:tcPr>
            <w:tcW w:w="8186" w:type="dxa"/>
            <w:gridSpan w:val="2"/>
            <w:vAlign w:val="center"/>
          </w:tcPr>
          <w:p w14:paraId="74A61B1C">
            <w:pPr>
              <w:pStyle w:val="21"/>
              <w:rPr>
                <w:color w:val="auto"/>
                <w:sz w:val="24"/>
                <w:szCs w:val="24"/>
                <w:highlight w:val="none"/>
              </w:rPr>
            </w:pPr>
            <w:r>
              <w:rPr>
                <w:rFonts w:hint="eastAsia"/>
                <w:color w:val="auto"/>
                <w:sz w:val="24"/>
                <w:szCs w:val="24"/>
                <w:highlight w:val="none"/>
              </w:rPr>
              <w:t>需要补充的其他内容</w:t>
            </w:r>
          </w:p>
        </w:tc>
      </w:tr>
      <w:tr w14:paraId="66D86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gridSpan w:val="2"/>
            <w:vAlign w:val="center"/>
          </w:tcPr>
          <w:p w14:paraId="57A299C4">
            <w:pPr>
              <w:pStyle w:val="21"/>
              <w:ind w:firstLine="240" w:firstLineChars="100"/>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1</w:t>
            </w:r>
            <w:r>
              <w:rPr>
                <w:rFonts w:hint="eastAsia"/>
                <w:color w:val="auto"/>
                <w:sz w:val="24"/>
                <w:szCs w:val="24"/>
                <w:highlight w:val="none"/>
                <w:lang w:eastAsia="zh-CN"/>
              </w:rPr>
              <w:t>)</w:t>
            </w:r>
          </w:p>
        </w:tc>
        <w:tc>
          <w:tcPr>
            <w:tcW w:w="8186" w:type="dxa"/>
            <w:gridSpan w:val="2"/>
            <w:vAlign w:val="center"/>
          </w:tcPr>
          <w:p w14:paraId="13F1DD41">
            <w:pPr>
              <w:spacing w:line="276" w:lineRule="auto"/>
              <w:rPr>
                <w:rFonts w:ascii="宋体" w:hAnsi="宋体" w:cs="宋体"/>
                <w:b/>
                <w:color w:val="auto"/>
                <w:kern w:val="0"/>
                <w:sz w:val="24"/>
                <w:szCs w:val="20"/>
                <w:highlight w:val="none"/>
              </w:rPr>
            </w:pPr>
            <w:r>
              <w:rPr>
                <w:rFonts w:hint="eastAsia"/>
                <w:b/>
                <w:color w:val="auto"/>
                <w:sz w:val="24"/>
                <w:highlight w:val="none"/>
              </w:rPr>
              <w:t>预算金额/最高限价（实质性要求）</w:t>
            </w:r>
            <w:r>
              <w:rPr>
                <w:rFonts w:hint="eastAsia" w:ascii="宋体" w:hAnsi="宋体" w:cs="宋体"/>
                <w:b/>
                <w:color w:val="auto"/>
                <w:kern w:val="0"/>
                <w:sz w:val="24"/>
                <w:szCs w:val="20"/>
                <w:highlight w:val="none"/>
              </w:rPr>
              <w:t>：</w:t>
            </w:r>
            <w:r>
              <w:rPr>
                <w:rFonts w:hint="eastAsia" w:ascii="宋体" w:hAnsi="宋体" w:cs="宋体"/>
                <w:b/>
                <w:color w:val="auto"/>
                <w:kern w:val="0"/>
                <w:sz w:val="24"/>
                <w:szCs w:val="20"/>
                <w:highlight w:val="none"/>
                <w:lang w:val="en-US" w:eastAsia="zh-CN"/>
              </w:rPr>
              <w:t>185万元（人民币：壹佰捌拾伍万元整）</w:t>
            </w:r>
            <w:r>
              <w:rPr>
                <w:rFonts w:hint="eastAsia" w:ascii="宋体" w:hAnsi="宋体" w:cs="宋体"/>
                <w:b/>
                <w:bCs/>
                <w:color w:val="auto"/>
                <w:sz w:val="24"/>
                <w:highlight w:val="none"/>
              </w:rPr>
              <w:t>。</w:t>
            </w:r>
          </w:p>
          <w:p w14:paraId="40C1D36A">
            <w:pPr>
              <w:spacing w:line="276" w:lineRule="auto"/>
              <w:rPr>
                <w:rFonts w:ascii="宋体" w:hAnsi="宋体" w:cs="宋体"/>
                <w:b/>
                <w:color w:val="auto"/>
                <w:spacing w:val="10"/>
                <w:sz w:val="24"/>
                <w:highlight w:val="none"/>
              </w:rPr>
            </w:pPr>
            <w:r>
              <w:rPr>
                <w:rFonts w:hint="eastAsia" w:hAnsi="宋体" w:cs="宋体"/>
                <w:b/>
                <w:color w:val="auto"/>
                <w:kern w:val="0"/>
                <w:sz w:val="24"/>
                <w:highlight w:val="none"/>
              </w:rPr>
              <w:t>备注：在采购过程中符合竞争要求的投标人或者报价未超过本项目</w:t>
            </w:r>
            <w:r>
              <w:rPr>
                <w:rFonts w:hint="eastAsia"/>
                <w:b/>
                <w:color w:val="auto"/>
                <w:sz w:val="24"/>
                <w:highlight w:val="none"/>
              </w:rPr>
              <w:t>最高限价</w:t>
            </w:r>
            <w:r>
              <w:rPr>
                <w:rFonts w:hint="eastAsia" w:hAnsi="宋体" w:cs="宋体"/>
                <w:b/>
                <w:color w:val="auto"/>
                <w:kern w:val="0"/>
                <w:sz w:val="24"/>
                <w:highlight w:val="none"/>
              </w:rPr>
              <w:t>的投标人不足</w:t>
            </w:r>
            <w:r>
              <w:rPr>
                <w:rFonts w:hAnsi="宋体" w:cs="宋体"/>
                <w:b/>
                <w:color w:val="auto"/>
                <w:kern w:val="0"/>
                <w:sz w:val="24"/>
                <w:highlight w:val="none"/>
              </w:rPr>
              <w:t>3</w:t>
            </w:r>
            <w:r>
              <w:rPr>
                <w:rFonts w:hint="eastAsia" w:hAnsi="宋体" w:cs="宋体"/>
                <w:b/>
                <w:color w:val="auto"/>
                <w:kern w:val="0"/>
                <w:sz w:val="24"/>
                <w:highlight w:val="none"/>
              </w:rPr>
              <w:t>家的，采购人将终止采购活动，发布项目终止公告并说明原因后，重新开展采购活动。</w:t>
            </w:r>
          </w:p>
        </w:tc>
      </w:tr>
      <w:tr w14:paraId="2718D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gridSpan w:val="2"/>
            <w:vAlign w:val="center"/>
          </w:tcPr>
          <w:p w14:paraId="177372FB">
            <w:pPr>
              <w:pStyle w:val="21"/>
              <w:ind w:firstLine="240" w:firstLineChars="100"/>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2</w:t>
            </w:r>
            <w:r>
              <w:rPr>
                <w:rFonts w:hint="eastAsia"/>
                <w:color w:val="auto"/>
                <w:sz w:val="24"/>
                <w:szCs w:val="24"/>
                <w:highlight w:val="none"/>
                <w:lang w:eastAsia="zh-CN"/>
              </w:rPr>
              <w:t>)</w:t>
            </w:r>
          </w:p>
        </w:tc>
        <w:tc>
          <w:tcPr>
            <w:tcW w:w="8186" w:type="dxa"/>
            <w:gridSpan w:val="2"/>
            <w:vAlign w:val="center"/>
          </w:tcPr>
          <w:p w14:paraId="430EBA96">
            <w:pPr>
              <w:pStyle w:val="21"/>
              <w:tabs>
                <w:tab w:val="left" w:pos="312"/>
              </w:tabs>
              <w:spacing w:line="400" w:lineRule="exact"/>
              <w:jc w:val="left"/>
              <w:rPr>
                <w:color w:val="auto"/>
                <w:sz w:val="24"/>
                <w:szCs w:val="24"/>
                <w:highlight w:val="none"/>
              </w:rPr>
            </w:pPr>
            <w:r>
              <w:rPr>
                <w:rFonts w:hint="eastAsia" w:hAnsi="宋体" w:cs="宋体"/>
                <w:color w:val="auto"/>
                <w:kern w:val="0"/>
                <w:sz w:val="24"/>
                <w:highlight w:val="none"/>
              </w:rPr>
              <w:t>付款方式：</w:t>
            </w:r>
            <w:r>
              <w:rPr>
                <w:rFonts w:hint="eastAsia" w:hAnsi="宋体" w:cs="宋体"/>
                <w:color w:val="auto"/>
                <w:kern w:val="0"/>
                <w:sz w:val="24"/>
                <w:highlight w:val="none"/>
                <w:lang w:val="en-US" w:eastAsia="zh-CN"/>
              </w:rPr>
              <w:t>合同签订时约定</w:t>
            </w:r>
            <w:r>
              <w:rPr>
                <w:rFonts w:hint="eastAsia" w:hAnsi="宋体" w:cs="宋体"/>
                <w:color w:val="auto"/>
                <w:kern w:val="0"/>
                <w:sz w:val="24"/>
                <w:highlight w:val="none"/>
              </w:rPr>
              <w:t>。</w:t>
            </w:r>
          </w:p>
        </w:tc>
      </w:tr>
      <w:tr w14:paraId="4773D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gridSpan w:val="2"/>
            <w:vAlign w:val="center"/>
          </w:tcPr>
          <w:p w14:paraId="7F0476AC">
            <w:pPr>
              <w:pStyle w:val="21"/>
              <w:ind w:firstLine="240" w:firstLineChars="100"/>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3</w:t>
            </w:r>
            <w:r>
              <w:rPr>
                <w:rFonts w:hint="eastAsia"/>
                <w:color w:val="auto"/>
                <w:sz w:val="24"/>
                <w:szCs w:val="24"/>
                <w:highlight w:val="none"/>
                <w:lang w:eastAsia="zh-CN"/>
              </w:rPr>
              <w:t>)</w:t>
            </w:r>
          </w:p>
        </w:tc>
        <w:tc>
          <w:tcPr>
            <w:tcW w:w="8186" w:type="dxa"/>
            <w:gridSpan w:val="2"/>
            <w:vAlign w:val="center"/>
          </w:tcPr>
          <w:p w14:paraId="694998B2">
            <w:pPr>
              <w:pStyle w:val="21"/>
              <w:tabs>
                <w:tab w:val="left" w:pos="312"/>
              </w:tabs>
              <w:spacing w:line="400" w:lineRule="exact"/>
              <w:jc w:val="left"/>
              <w:rPr>
                <w:rFonts w:hAnsi="宋体" w:cs="宋体"/>
                <w:color w:val="auto"/>
                <w:kern w:val="0"/>
                <w:sz w:val="24"/>
                <w:highlight w:val="none"/>
              </w:rPr>
            </w:pPr>
            <w:r>
              <w:rPr>
                <w:rFonts w:hint="eastAsia" w:hAnsi="宋体" w:cs="宋体"/>
                <w:color w:val="auto"/>
                <w:kern w:val="0"/>
                <w:sz w:val="24"/>
                <w:highlight w:val="none"/>
              </w:rPr>
              <w:t>本项目所属行业为：</w:t>
            </w:r>
            <w:r>
              <w:rPr>
                <w:rFonts w:hint="eastAsia" w:hAnsi="宋体" w:cs="宋体"/>
                <w:b/>
                <w:color w:val="auto"/>
                <w:kern w:val="0"/>
                <w:sz w:val="24"/>
                <w:highlight w:val="none"/>
                <w:u w:val="single"/>
                <w:lang w:val="en-US" w:eastAsia="zh-CN"/>
              </w:rPr>
              <w:t>工</w:t>
            </w:r>
            <w:r>
              <w:rPr>
                <w:rFonts w:hint="eastAsia" w:hAnsi="宋体" w:cs="宋体"/>
                <w:b/>
                <w:color w:val="auto"/>
                <w:kern w:val="0"/>
                <w:sz w:val="24"/>
                <w:highlight w:val="none"/>
                <w:u w:val="single"/>
              </w:rPr>
              <w:t>业</w:t>
            </w:r>
            <w:r>
              <w:rPr>
                <w:rFonts w:hint="eastAsia" w:hAnsi="宋体" w:cs="宋体"/>
                <w:color w:val="auto"/>
                <w:kern w:val="0"/>
                <w:sz w:val="24"/>
                <w:highlight w:val="none"/>
              </w:rPr>
              <w:t>。</w:t>
            </w:r>
          </w:p>
        </w:tc>
      </w:tr>
      <w:tr w14:paraId="5015A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gridSpan w:val="2"/>
            <w:vAlign w:val="center"/>
          </w:tcPr>
          <w:p w14:paraId="51D1B248">
            <w:pPr>
              <w:pStyle w:val="21"/>
              <w:ind w:firstLine="240" w:firstLineChars="100"/>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4)</w:t>
            </w:r>
          </w:p>
        </w:tc>
        <w:tc>
          <w:tcPr>
            <w:tcW w:w="8186" w:type="dxa"/>
            <w:gridSpan w:val="2"/>
            <w:vAlign w:val="center"/>
          </w:tcPr>
          <w:p w14:paraId="74B147A0">
            <w:pPr>
              <w:adjustRightInd w:val="0"/>
              <w:spacing w:line="276" w:lineRule="auto"/>
              <w:rPr>
                <w:rFonts w:ascii="宋体" w:hAnsi="宋体"/>
                <w:bCs/>
                <w:color w:val="auto"/>
                <w:sz w:val="24"/>
                <w:szCs w:val="20"/>
                <w:highlight w:val="none"/>
              </w:rPr>
            </w:pPr>
            <w:r>
              <w:rPr>
                <w:rFonts w:hint="eastAsia" w:ascii="宋体" w:hAnsi="宋体"/>
                <w:bCs/>
                <w:color w:val="auto"/>
                <w:sz w:val="24"/>
                <w:szCs w:val="20"/>
                <w:highlight w:val="none"/>
              </w:rPr>
              <w:t>本项目不允许转包。一经查实，采购人有权终止合同，所造成的一切损失由中标人自行承担。</w:t>
            </w:r>
          </w:p>
        </w:tc>
      </w:tr>
      <w:tr w14:paraId="1DB57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gridSpan w:val="2"/>
            <w:vAlign w:val="center"/>
          </w:tcPr>
          <w:p w14:paraId="6A7FE474">
            <w:pPr>
              <w:pStyle w:val="21"/>
              <w:ind w:firstLine="240" w:firstLineChars="100"/>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5)</w:t>
            </w:r>
          </w:p>
        </w:tc>
        <w:tc>
          <w:tcPr>
            <w:tcW w:w="8186" w:type="dxa"/>
            <w:gridSpan w:val="2"/>
            <w:vAlign w:val="center"/>
          </w:tcPr>
          <w:p w14:paraId="476C3837">
            <w:pPr>
              <w:adjustRightInd w:val="0"/>
              <w:spacing w:line="276" w:lineRule="auto"/>
              <w:rPr>
                <w:rFonts w:ascii="宋体" w:hAnsi="宋体"/>
                <w:b/>
                <w:bCs/>
                <w:color w:val="auto"/>
                <w:sz w:val="24"/>
                <w:szCs w:val="20"/>
                <w:highlight w:val="none"/>
              </w:rPr>
            </w:pPr>
            <w:r>
              <w:rPr>
                <w:rFonts w:hint="eastAsia" w:ascii="宋体" w:hAnsi="宋体"/>
                <w:b/>
                <w:bCs/>
                <w:color w:val="auto"/>
                <w:sz w:val="24"/>
                <w:szCs w:val="20"/>
                <w:highlight w:val="none"/>
              </w:rPr>
              <w:t>本项目中标人在履行合同期间若出现未按时提交、服务态度差等情况，采购人将书面通知（一次）中标人改正。若中标人拒绝整改或者整改效果不佳或者服务仍不能让采购人满意的，采购人有权单方面终止合同且不承担任何责任。在此期间若给采购人造成损失的，中标人将承担一切责任并赔偿相关损失。</w:t>
            </w:r>
          </w:p>
        </w:tc>
      </w:tr>
      <w:tr w14:paraId="563F1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gridSpan w:val="2"/>
            <w:vAlign w:val="center"/>
          </w:tcPr>
          <w:p w14:paraId="5672873C">
            <w:pPr>
              <w:pStyle w:val="21"/>
              <w:ind w:firstLine="240" w:firstLineChars="100"/>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6)</w:t>
            </w:r>
          </w:p>
        </w:tc>
        <w:tc>
          <w:tcPr>
            <w:tcW w:w="8186" w:type="dxa"/>
            <w:gridSpan w:val="2"/>
            <w:vAlign w:val="center"/>
          </w:tcPr>
          <w:p w14:paraId="2A11DA05">
            <w:pPr>
              <w:adjustRightInd w:val="0"/>
              <w:spacing w:line="276" w:lineRule="auto"/>
              <w:rPr>
                <w:rFonts w:hint="eastAsia" w:ascii="宋体" w:hAnsi="宋体" w:eastAsia="宋体" w:cs="Times New Roman"/>
                <w:b/>
                <w:bCs/>
                <w:color w:val="auto"/>
                <w:sz w:val="24"/>
                <w:highlight w:val="none"/>
              </w:rPr>
            </w:pPr>
            <w:r>
              <w:rPr>
                <w:rFonts w:hint="default" w:ascii="宋体" w:hAnsi="宋体" w:eastAsia="宋体" w:cs="Times New Roman"/>
                <w:b/>
                <w:bCs/>
                <w:color w:val="auto"/>
                <w:sz w:val="24"/>
                <w:highlight w:val="none"/>
              </w:rPr>
              <w:t>①</w:t>
            </w:r>
            <w:r>
              <w:rPr>
                <w:rFonts w:hint="eastAsia" w:ascii="宋体" w:hAnsi="宋体" w:eastAsia="宋体" w:cs="Times New Roman"/>
                <w:b/>
                <w:bCs/>
                <w:color w:val="auto"/>
                <w:sz w:val="24"/>
                <w:highlight w:val="none"/>
              </w:rPr>
              <w:t>本项目采用电子招标，</w:t>
            </w:r>
            <w:r>
              <w:rPr>
                <w:rFonts w:hint="eastAsia" w:ascii="宋体" w:hAnsi="宋体" w:eastAsia="宋体" w:cs="Times New Roman"/>
                <w:b/>
                <w:bCs/>
                <w:color w:val="auto"/>
                <w:sz w:val="24"/>
                <w:highlight w:val="none"/>
                <w:lang w:val="en-US" w:eastAsia="zh-CN"/>
              </w:rPr>
              <w:t>招标</w:t>
            </w:r>
            <w:r>
              <w:rPr>
                <w:rFonts w:hint="eastAsia" w:ascii="宋体" w:hAnsi="宋体" w:eastAsia="宋体" w:cs="Times New Roman"/>
                <w:b/>
                <w:bCs/>
                <w:color w:val="auto"/>
                <w:sz w:val="24"/>
                <w:highlight w:val="none"/>
              </w:rPr>
              <w:t>文件要求盖章（含要求电子签章）处，可盖鲜章原件扫描或者加盖电子签章；要求签字（含要求电子签名）处，可手签扫描或者加盖电子签章、电子签名。</w:t>
            </w:r>
          </w:p>
          <w:p w14:paraId="0F7EE22B">
            <w:pPr>
              <w:adjustRightInd w:val="0"/>
              <w:spacing w:line="276" w:lineRule="auto"/>
              <w:rPr>
                <w:rFonts w:ascii="宋体" w:hAnsi="宋体"/>
                <w:b/>
                <w:bCs/>
                <w:color w:val="auto"/>
                <w:sz w:val="24"/>
                <w:szCs w:val="20"/>
                <w:highlight w:val="none"/>
              </w:rPr>
            </w:pPr>
            <w:r>
              <w:rPr>
                <w:rFonts w:hint="default" w:ascii="宋体" w:hAnsi="宋体" w:eastAsia="宋体" w:cs="Times New Roman"/>
                <w:b/>
                <w:bCs/>
                <w:color w:val="auto"/>
                <w:sz w:val="24"/>
                <w:highlight w:val="none"/>
              </w:rPr>
              <w:t>②</w:t>
            </w:r>
            <w:r>
              <w:rPr>
                <w:rFonts w:hint="eastAsia" w:ascii="宋体" w:hAnsi="宋体" w:eastAsia="宋体" w:cs="Times New Roman"/>
                <w:b/>
                <w:bCs/>
                <w:color w:val="auto"/>
                <w:sz w:val="24"/>
                <w:highlight w:val="none"/>
                <w:lang w:val="en-US" w:eastAsia="zh-CN"/>
              </w:rPr>
              <w:t>投标人</w:t>
            </w:r>
            <w:r>
              <w:rPr>
                <w:rFonts w:hint="eastAsia" w:ascii="宋体" w:hAnsi="宋体" w:eastAsia="宋体" w:cs="Times New Roman"/>
                <w:b/>
                <w:bCs/>
                <w:color w:val="auto"/>
                <w:sz w:val="24"/>
                <w:highlight w:val="none"/>
              </w:rPr>
              <w:t>在对</w:t>
            </w:r>
            <w:r>
              <w:rPr>
                <w:rFonts w:hint="eastAsia" w:ascii="宋体" w:hAnsi="宋体" w:eastAsia="宋体" w:cs="Times New Roman"/>
                <w:b/>
                <w:bCs/>
                <w:color w:val="auto"/>
                <w:sz w:val="24"/>
                <w:highlight w:val="none"/>
                <w:lang w:val="en-US" w:eastAsia="zh-CN"/>
              </w:rPr>
              <w:t>投标</w:t>
            </w:r>
            <w:r>
              <w:rPr>
                <w:rFonts w:hint="eastAsia" w:ascii="宋体" w:hAnsi="宋体" w:eastAsia="宋体" w:cs="Times New Roman"/>
                <w:b/>
                <w:bCs/>
                <w:color w:val="auto"/>
                <w:sz w:val="24"/>
                <w:highlight w:val="none"/>
              </w:rPr>
              <w:t>文件进行盖章、签名时，不能遮盖</w:t>
            </w:r>
            <w:r>
              <w:rPr>
                <w:rFonts w:hint="eastAsia" w:ascii="宋体" w:hAnsi="宋体" w:eastAsia="宋体" w:cs="Times New Roman"/>
                <w:b/>
                <w:bCs/>
                <w:color w:val="auto"/>
                <w:sz w:val="24"/>
                <w:highlight w:val="none"/>
                <w:lang w:val="en-US" w:eastAsia="zh-CN"/>
              </w:rPr>
              <w:t>投标</w:t>
            </w:r>
            <w:r>
              <w:rPr>
                <w:rFonts w:hint="eastAsia" w:ascii="宋体" w:hAnsi="宋体" w:eastAsia="宋体" w:cs="Times New Roman"/>
                <w:b/>
                <w:bCs/>
                <w:color w:val="auto"/>
                <w:sz w:val="24"/>
                <w:highlight w:val="none"/>
              </w:rPr>
              <w:t>文件的评审关键内容，因签章、签字遮盖</w:t>
            </w:r>
            <w:r>
              <w:rPr>
                <w:rFonts w:hint="eastAsia" w:ascii="宋体" w:hAnsi="宋体" w:eastAsia="宋体" w:cs="Times New Roman"/>
                <w:b/>
                <w:bCs/>
                <w:color w:val="auto"/>
                <w:sz w:val="24"/>
                <w:highlight w:val="none"/>
                <w:lang w:val="en-US" w:eastAsia="zh-CN"/>
              </w:rPr>
              <w:t>投标</w:t>
            </w:r>
            <w:r>
              <w:rPr>
                <w:rFonts w:hint="eastAsia" w:ascii="宋体" w:hAnsi="宋体" w:eastAsia="宋体" w:cs="Times New Roman"/>
                <w:b/>
                <w:bCs/>
                <w:color w:val="auto"/>
                <w:sz w:val="24"/>
                <w:highlight w:val="none"/>
              </w:rPr>
              <w:t>文件关键内容而影响投标或者评标的，责任由</w:t>
            </w:r>
            <w:r>
              <w:rPr>
                <w:rFonts w:hint="eastAsia" w:ascii="宋体" w:hAnsi="宋体" w:eastAsia="宋体" w:cs="Times New Roman"/>
                <w:b/>
                <w:bCs/>
                <w:color w:val="auto"/>
                <w:sz w:val="24"/>
                <w:highlight w:val="none"/>
                <w:lang w:val="en-US" w:eastAsia="zh-CN"/>
              </w:rPr>
              <w:t>投标人</w:t>
            </w:r>
            <w:r>
              <w:rPr>
                <w:rFonts w:hint="eastAsia" w:ascii="宋体" w:hAnsi="宋体" w:eastAsia="宋体" w:cs="Times New Roman"/>
                <w:b/>
                <w:bCs/>
                <w:color w:val="auto"/>
                <w:sz w:val="24"/>
                <w:highlight w:val="none"/>
              </w:rPr>
              <w:t>承担。</w:t>
            </w:r>
          </w:p>
        </w:tc>
      </w:tr>
      <w:tr w14:paraId="36902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gridSpan w:val="2"/>
            <w:vAlign w:val="center"/>
          </w:tcPr>
          <w:p w14:paraId="4E3F6D23">
            <w:pPr>
              <w:pStyle w:val="21"/>
              <w:ind w:firstLine="240" w:firstLineChars="100"/>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7)</w:t>
            </w:r>
          </w:p>
        </w:tc>
        <w:tc>
          <w:tcPr>
            <w:tcW w:w="8186" w:type="dxa"/>
            <w:gridSpan w:val="2"/>
            <w:vAlign w:val="center"/>
          </w:tcPr>
          <w:p w14:paraId="724AB1B3">
            <w:pPr>
              <w:adjustRightInd w:val="0"/>
              <w:spacing w:line="276" w:lineRule="auto"/>
              <w:rPr>
                <w:rFonts w:ascii="宋体" w:hAnsi="宋体"/>
                <w:bCs/>
                <w:color w:val="auto"/>
                <w:sz w:val="24"/>
                <w:szCs w:val="20"/>
                <w:highlight w:val="none"/>
              </w:rPr>
            </w:pPr>
            <w:r>
              <w:rPr>
                <w:rFonts w:hint="eastAsia"/>
                <w:color w:val="auto"/>
                <w:sz w:val="24"/>
                <w:highlight w:val="none"/>
              </w:rPr>
              <w:t>同义词：在本招标文件中，“</w:t>
            </w:r>
            <w:r>
              <w:rPr>
                <w:rFonts w:hint="eastAsia"/>
                <w:b/>
                <w:color w:val="auto"/>
                <w:sz w:val="24"/>
                <w:highlight w:val="none"/>
              </w:rPr>
              <w:t>采购人</w:t>
            </w:r>
            <w:r>
              <w:rPr>
                <w:rFonts w:hint="eastAsia"/>
                <w:color w:val="auto"/>
                <w:sz w:val="24"/>
                <w:highlight w:val="none"/>
              </w:rPr>
              <w:t>”和“</w:t>
            </w:r>
            <w:r>
              <w:rPr>
                <w:rFonts w:hint="eastAsia"/>
                <w:b/>
                <w:color w:val="auto"/>
                <w:sz w:val="24"/>
                <w:highlight w:val="none"/>
              </w:rPr>
              <w:t>招标人</w:t>
            </w:r>
            <w:r>
              <w:rPr>
                <w:rFonts w:hint="eastAsia"/>
                <w:b/>
                <w:color w:val="auto"/>
                <w:sz w:val="24"/>
                <w:highlight w:val="none"/>
                <w:lang w:eastAsia="zh-CN"/>
              </w:rPr>
              <w:t>”“</w:t>
            </w:r>
            <w:r>
              <w:rPr>
                <w:rFonts w:hint="eastAsia"/>
                <w:b/>
                <w:color w:val="auto"/>
                <w:sz w:val="24"/>
                <w:highlight w:val="none"/>
              </w:rPr>
              <w:t>供应商</w:t>
            </w:r>
            <w:r>
              <w:rPr>
                <w:rFonts w:hint="eastAsia"/>
                <w:color w:val="auto"/>
                <w:sz w:val="24"/>
                <w:highlight w:val="none"/>
              </w:rPr>
              <w:t>”和“</w:t>
            </w:r>
            <w:r>
              <w:rPr>
                <w:rFonts w:hint="eastAsia"/>
                <w:b/>
                <w:color w:val="auto"/>
                <w:sz w:val="24"/>
                <w:highlight w:val="none"/>
              </w:rPr>
              <w:t>投标人</w:t>
            </w:r>
            <w:r>
              <w:rPr>
                <w:rFonts w:hint="eastAsia"/>
                <w:b/>
                <w:color w:val="auto"/>
                <w:sz w:val="24"/>
                <w:highlight w:val="none"/>
                <w:lang w:eastAsia="zh-CN"/>
              </w:rPr>
              <w:t>”“</w:t>
            </w:r>
            <w:r>
              <w:rPr>
                <w:rFonts w:hint="eastAsia"/>
                <w:b/>
                <w:color w:val="auto"/>
                <w:sz w:val="24"/>
                <w:highlight w:val="none"/>
              </w:rPr>
              <w:t>采购文件</w:t>
            </w:r>
            <w:r>
              <w:rPr>
                <w:rFonts w:hint="eastAsia"/>
                <w:color w:val="auto"/>
                <w:sz w:val="24"/>
                <w:highlight w:val="none"/>
              </w:rPr>
              <w:t>”和“</w:t>
            </w:r>
            <w:r>
              <w:rPr>
                <w:rFonts w:hint="eastAsia"/>
                <w:b/>
                <w:color w:val="auto"/>
                <w:sz w:val="24"/>
                <w:highlight w:val="none"/>
              </w:rPr>
              <w:t>招标文件</w:t>
            </w:r>
            <w:r>
              <w:rPr>
                <w:rFonts w:hint="eastAsia"/>
                <w:b/>
                <w:color w:val="auto"/>
                <w:sz w:val="24"/>
                <w:highlight w:val="none"/>
                <w:lang w:eastAsia="zh-CN"/>
              </w:rPr>
              <w:t>”“</w:t>
            </w:r>
            <w:r>
              <w:rPr>
                <w:rFonts w:hint="eastAsia"/>
                <w:b/>
                <w:color w:val="auto"/>
                <w:sz w:val="24"/>
                <w:highlight w:val="none"/>
              </w:rPr>
              <w:t>采购代理</w:t>
            </w:r>
            <w:r>
              <w:rPr>
                <w:rFonts w:hint="eastAsia"/>
                <w:color w:val="auto"/>
                <w:sz w:val="24"/>
                <w:highlight w:val="none"/>
              </w:rPr>
              <w:t>”和“</w:t>
            </w:r>
            <w:r>
              <w:rPr>
                <w:rFonts w:hint="eastAsia"/>
                <w:b/>
                <w:color w:val="auto"/>
                <w:sz w:val="24"/>
                <w:highlight w:val="none"/>
              </w:rPr>
              <w:t>招标代理</w:t>
            </w:r>
            <w:r>
              <w:rPr>
                <w:rFonts w:hint="eastAsia"/>
                <w:color w:val="auto"/>
                <w:sz w:val="24"/>
                <w:highlight w:val="none"/>
              </w:rPr>
              <w:t>”等内容作同义词理解，如有疑问请及时与</w:t>
            </w:r>
            <w:r>
              <w:rPr>
                <w:rFonts w:hint="eastAsia"/>
                <w:color w:val="auto"/>
                <w:sz w:val="24"/>
                <w:highlight w:val="none"/>
                <w:lang w:eastAsia="zh-CN"/>
              </w:rPr>
              <w:t>采购代理</w:t>
            </w:r>
            <w:r>
              <w:rPr>
                <w:rFonts w:hint="eastAsia"/>
                <w:color w:val="auto"/>
                <w:sz w:val="24"/>
                <w:highlight w:val="none"/>
              </w:rPr>
              <w:t>公司联系。</w:t>
            </w:r>
          </w:p>
        </w:tc>
      </w:tr>
    </w:tbl>
    <w:p w14:paraId="530E9F26">
      <w:pPr>
        <w:pStyle w:val="3"/>
        <w:rPr>
          <w:color w:val="auto"/>
          <w:highlight w:val="none"/>
        </w:rPr>
      </w:pPr>
      <w:r>
        <w:rPr>
          <w:rFonts w:hint="eastAsia"/>
          <w:color w:val="auto"/>
          <w:sz w:val="24"/>
          <w:szCs w:val="24"/>
          <w:highlight w:val="none"/>
        </w:rPr>
        <w:br w:type="page"/>
      </w:r>
      <w:bookmarkStart w:id="36" w:name="_Toc32720"/>
      <w:r>
        <w:rPr>
          <w:rFonts w:hint="eastAsia"/>
          <w:color w:val="auto"/>
          <w:highlight w:val="none"/>
        </w:rPr>
        <w:t>一、总  则</w:t>
      </w:r>
      <w:bookmarkEnd w:id="36"/>
    </w:p>
    <w:p w14:paraId="72FC43C7">
      <w:pPr>
        <w:pStyle w:val="4"/>
        <w:rPr>
          <w:color w:val="auto"/>
          <w:highlight w:val="none"/>
        </w:rPr>
      </w:pPr>
      <w:bookmarkStart w:id="37" w:name="_Toc8429"/>
      <w:r>
        <w:rPr>
          <w:rFonts w:hint="eastAsia"/>
          <w:color w:val="auto"/>
          <w:highlight w:val="none"/>
        </w:rPr>
        <w:t>1.说明与定义</w:t>
      </w:r>
      <w:bookmarkEnd w:id="37"/>
    </w:p>
    <w:p w14:paraId="52C1145D">
      <w:pPr>
        <w:spacing w:line="400" w:lineRule="exact"/>
        <w:ind w:firstLine="420" w:firstLineChars="200"/>
        <w:jc w:val="left"/>
        <w:rPr>
          <w:rFonts w:ascii="宋体"/>
          <w:color w:val="auto"/>
          <w:szCs w:val="21"/>
          <w:highlight w:val="none"/>
        </w:rPr>
      </w:pPr>
      <w:r>
        <w:rPr>
          <w:rFonts w:hint="eastAsia" w:ascii="宋体"/>
          <w:color w:val="auto"/>
          <w:szCs w:val="21"/>
          <w:highlight w:val="none"/>
        </w:rPr>
        <w:t>1.1 根据《中华人民共和国政府采购法</w:t>
      </w:r>
      <w:r>
        <w:rPr>
          <w:rFonts w:hint="eastAsia" w:ascii="宋体"/>
          <w:color w:val="auto"/>
          <w:szCs w:val="21"/>
          <w:highlight w:val="none"/>
          <w:lang w:eastAsia="zh-CN"/>
        </w:rPr>
        <w:t>》《</w:t>
      </w:r>
      <w:r>
        <w:rPr>
          <w:rFonts w:hint="eastAsia" w:ascii="宋体"/>
          <w:color w:val="auto"/>
          <w:szCs w:val="21"/>
          <w:highlight w:val="none"/>
        </w:rPr>
        <w:t>中华人民共和国政府采购法实施条例》及《政府采购货物和服务招标投标管理办法》（财政部令第87号）等有关</w:t>
      </w:r>
      <w:r>
        <w:rPr>
          <w:rFonts w:hint="eastAsia" w:ascii="宋体"/>
          <w:color w:val="auto"/>
          <w:szCs w:val="21"/>
          <w:highlight w:val="none"/>
          <w:lang w:eastAsia="zh-CN"/>
        </w:rPr>
        <w:t>法律法规</w:t>
      </w:r>
      <w:r>
        <w:rPr>
          <w:rFonts w:hint="eastAsia" w:ascii="宋体"/>
          <w:color w:val="auto"/>
          <w:szCs w:val="21"/>
          <w:highlight w:val="none"/>
        </w:rPr>
        <w:t>和规章的规定，本招标项目已具备招标条件，现对本次采购进行公开招标。</w:t>
      </w:r>
    </w:p>
    <w:p w14:paraId="5437235A">
      <w:pPr>
        <w:spacing w:line="400" w:lineRule="exact"/>
        <w:ind w:firstLine="420" w:firstLineChars="200"/>
        <w:jc w:val="left"/>
        <w:rPr>
          <w:rFonts w:ascii="宋体"/>
          <w:color w:val="auto"/>
          <w:szCs w:val="21"/>
          <w:highlight w:val="none"/>
        </w:rPr>
      </w:pPr>
      <w:r>
        <w:rPr>
          <w:rFonts w:hint="eastAsia" w:ascii="宋体"/>
          <w:color w:val="auto"/>
          <w:szCs w:val="21"/>
          <w:highlight w:val="none"/>
        </w:rPr>
        <w:t>1.2 本项目</w:t>
      </w:r>
      <w:r>
        <w:rPr>
          <w:rFonts w:hint="eastAsia" w:ascii="宋体"/>
          <w:color w:val="auto"/>
          <w:szCs w:val="21"/>
          <w:highlight w:val="none"/>
          <w:lang w:eastAsia="zh-CN"/>
        </w:rPr>
        <w:t>采购人</w:t>
      </w:r>
      <w:r>
        <w:rPr>
          <w:rFonts w:hint="eastAsia" w:ascii="宋体"/>
          <w:color w:val="auto"/>
          <w:szCs w:val="21"/>
          <w:highlight w:val="none"/>
        </w:rPr>
        <w:t>、</w:t>
      </w:r>
      <w:r>
        <w:rPr>
          <w:rFonts w:hint="eastAsia" w:ascii="宋体"/>
          <w:color w:val="auto"/>
          <w:szCs w:val="21"/>
          <w:highlight w:val="none"/>
          <w:lang w:eastAsia="zh-CN"/>
        </w:rPr>
        <w:t>采购代理</w:t>
      </w:r>
      <w:r>
        <w:rPr>
          <w:rFonts w:hint="eastAsia" w:ascii="宋体"/>
          <w:color w:val="auto"/>
          <w:szCs w:val="21"/>
          <w:highlight w:val="none"/>
        </w:rPr>
        <w:t>机构、项目名称及招标编号：见“</w:t>
      </w:r>
      <w:r>
        <w:rPr>
          <w:rFonts w:hint="eastAsia" w:ascii="宋体"/>
          <w:b/>
          <w:bCs/>
          <w:color w:val="auto"/>
          <w:szCs w:val="21"/>
          <w:highlight w:val="none"/>
        </w:rPr>
        <w:t>投标人须知前附表</w:t>
      </w:r>
      <w:r>
        <w:rPr>
          <w:rFonts w:hint="eastAsia" w:ascii="宋体"/>
          <w:color w:val="auto"/>
          <w:szCs w:val="21"/>
          <w:highlight w:val="none"/>
        </w:rPr>
        <w:t>”。</w:t>
      </w:r>
    </w:p>
    <w:p w14:paraId="62541F4A">
      <w:pPr>
        <w:tabs>
          <w:tab w:val="left" w:pos="7665"/>
        </w:tabs>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”系指依法进行采购的国家机关、事业单位、团体组织。本项目的</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是</w:t>
      </w:r>
      <w:r>
        <w:rPr>
          <w:rFonts w:hint="eastAsia" w:ascii="宋体" w:hAnsi="宋体" w:cs="宋体"/>
          <w:b/>
          <w:bCs/>
          <w:color w:val="auto"/>
          <w:szCs w:val="21"/>
          <w:highlight w:val="none"/>
          <w:u w:val="single"/>
          <w:lang w:eastAsia="zh-CN"/>
        </w:rPr>
        <w:t>云南省农业科学院农业环境资源研究所</w:t>
      </w:r>
      <w:r>
        <w:rPr>
          <w:rFonts w:hint="eastAsia" w:ascii="宋体" w:hAnsi="宋体" w:cs="宋体"/>
          <w:b/>
          <w:bCs/>
          <w:color w:val="auto"/>
          <w:szCs w:val="21"/>
          <w:highlight w:val="none"/>
        </w:rPr>
        <w:t>。</w:t>
      </w:r>
    </w:p>
    <w:p w14:paraId="504153CA">
      <w:pPr>
        <w:tabs>
          <w:tab w:val="left" w:pos="7665"/>
        </w:tabs>
        <w:spacing w:line="400" w:lineRule="exact"/>
        <w:ind w:firstLine="420" w:firstLineChars="200"/>
        <w:rPr>
          <w:color w:val="auto"/>
          <w:highlight w:val="none"/>
        </w:rPr>
      </w:pPr>
      <w:r>
        <w:rPr>
          <w:rFonts w:hint="eastAsia" w:ascii="宋体" w:hAnsi="宋体" w:cs="宋体"/>
          <w:color w:val="auto"/>
          <w:szCs w:val="21"/>
          <w:highlight w:val="none"/>
        </w:rPr>
        <w:t>1.4“</w:t>
      </w:r>
      <w:r>
        <w:rPr>
          <w:rFonts w:hint="eastAsia" w:ascii="宋体" w:hAnsi="宋体" w:cs="宋体"/>
          <w:color w:val="auto"/>
          <w:szCs w:val="21"/>
          <w:highlight w:val="none"/>
          <w:lang w:eastAsia="zh-CN"/>
        </w:rPr>
        <w:t>采购代理</w:t>
      </w:r>
      <w:r>
        <w:rPr>
          <w:rFonts w:hint="eastAsia" w:ascii="宋体" w:hAnsi="宋体" w:cs="宋体"/>
          <w:color w:val="auto"/>
          <w:szCs w:val="21"/>
          <w:highlight w:val="none"/>
        </w:rPr>
        <w:t>机构”系指根据</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的委托依法办理招标事宜的采购机构。本项目的</w:t>
      </w:r>
      <w:r>
        <w:rPr>
          <w:rFonts w:hint="eastAsia" w:ascii="宋体" w:hAnsi="宋体" w:cs="宋体"/>
          <w:color w:val="auto"/>
          <w:szCs w:val="21"/>
          <w:highlight w:val="none"/>
          <w:lang w:eastAsia="zh-CN"/>
        </w:rPr>
        <w:t>采购代理</w:t>
      </w:r>
      <w:r>
        <w:rPr>
          <w:rFonts w:hint="eastAsia" w:ascii="宋体" w:hAnsi="宋体" w:cs="宋体"/>
          <w:color w:val="auto"/>
          <w:szCs w:val="21"/>
          <w:highlight w:val="none"/>
        </w:rPr>
        <w:t>机构是</w:t>
      </w:r>
      <w:r>
        <w:rPr>
          <w:rFonts w:hint="eastAsia" w:ascii="宋体" w:hAnsi="宋体" w:cs="宋体"/>
          <w:b/>
          <w:bCs/>
          <w:color w:val="auto"/>
          <w:szCs w:val="21"/>
          <w:highlight w:val="none"/>
          <w:u w:val="single"/>
        </w:rPr>
        <w:t>云南众高工程咨询有限公司</w:t>
      </w:r>
      <w:r>
        <w:rPr>
          <w:rFonts w:hint="eastAsia" w:ascii="宋体" w:hAnsi="宋体" w:cs="宋体"/>
          <w:color w:val="auto"/>
          <w:szCs w:val="21"/>
          <w:highlight w:val="none"/>
        </w:rPr>
        <w:t>。</w:t>
      </w:r>
    </w:p>
    <w:p w14:paraId="75385A86">
      <w:pPr>
        <w:pStyle w:val="4"/>
        <w:rPr>
          <w:color w:val="auto"/>
          <w:highlight w:val="none"/>
        </w:rPr>
      </w:pPr>
      <w:bookmarkStart w:id="38" w:name="_Toc24506"/>
      <w:r>
        <w:rPr>
          <w:rFonts w:hint="eastAsia"/>
          <w:color w:val="auto"/>
          <w:highlight w:val="none"/>
        </w:rPr>
        <w:t>2.资金来源</w:t>
      </w:r>
      <w:bookmarkEnd w:id="38"/>
    </w:p>
    <w:p w14:paraId="0DF5C756">
      <w:pPr>
        <w:spacing w:line="400" w:lineRule="exact"/>
        <w:ind w:firstLine="420" w:firstLineChars="200"/>
        <w:jc w:val="left"/>
        <w:rPr>
          <w:rFonts w:ascii="宋体"/>
          <w:color w:val="auto"/>
          <w:szCs w:val="21"/>
          <w:highlight w:val="none"/>
        </w:rPr>
      </w:pPr>
      <w:r>
        <w:rPr>
          <w:rFonts w:hint="eastAsia" w:ascii="宋体"/>
          <w:color w:val="auto"/>
          <w:szCs w:val="21"/>
          <w:highlight w:val="none"/>
        </w:rPr>
        <w:t>本项目资金已落实，资金性质为财政资金，用于采购“</w:t>
      </w:r>
      <w:r>
        <w:rPr>
          <w:rFonts w:hint="eastAsia" w:ascii="宋体"/>
          <w:b/>
          <w:bCs/>
          <w:color w:val="auto"/>
          <w:szCs w:val="21"/>
          <w:highlight w:val="none"/>
        </w:rPr>
        <w:t>招标内容及要求</w:t>
      </w:r>
      <w:r>
        <w:rPr>
          <w:rFonts w:hint="eastAsia" w:ascii="宋体"/>
          <w:color w:val="auto"/>
          <w:szCs w:val="21"/>
          <w:highlight w:val="none"/>
        </w:rPr>
        <w:t>”所列的采购内容</w:t>
      </w:r>
    </w:p>
    <w:p w14:paraId="28ECDD13">
      <w:pPr>
        <w:pStyle w:val="4"/>
        <w:rPr>
          <w:color w:val="auto"/>
          <w:highlight w:val="none"/>
        </w:rPr>
      </w:pPr>
      <w:bookmarkStart w:id="39" w:name="_Toc21716"/>
      <w:r>
        <w:rPr>
          <w:rFonts w:hint="eastAsia"/>
          <w:color w:val="auto"/>
          <w:highlight w:val="none"/>
        </w:rPr>
        <w:t>3.招标内容、合同履行期限（实质性要求）</w:t>
      </w:r>
      <w:bookmarkEnd w:id="39"/>
    </w:p>
    <w:p w14:paraId="21E9E989">
      <w:pPr>
        <w:spacing w:line="400" w:lineRule="exact"/>
        <w:ind w:firstLine="420" w:firstLineChars="200"/>
        <w:jc w:val="left"/>
        <w:rPr>
          <w:rFonts w:ascii="宋体"/>
          <w:color w:val="auto"/>
          <w:szCs w:val="21"/>
          <w:highlight w:val="none"/>
        </w:rPr>
      </w:pPr>
      <w:r>
        <w:rPr>
          <w:rFonts w:hint="eastAsia" w:ascii="宋体"/>
          <w:color w:val="auto"/>
          <w:szCs w:val="21"/>
          <w:highlight w:val="none"/>
        </w:rPr>
        <w:t>3.1 本项目招标内容：见“</w:t>
      </w:r>
      <w:r>
        <w:rPr>
          <w:rFonts w:hint="eastAsia" w:ascii="宋体"/>
          <w:b/>
          <w:bCs/>
          <w:color w:val="auto"/>
          <w:szCs w:val="21"/>
          <w:highlight w:val="none"/>
        </w:rPr>
        <w:t>投标人须知前附表</w:t>
      </w:r>
      <w:r>
        <w:rPr>
          <w:rFonts w:hint="eastAsia" w:ascii="宋体"/>
          <w:color w:val="auto"/>
          <w:szCs w:val="21"/>
          <w:highlight w:val="none"/>
        </w:rPr>
        <w:t>”。</w:t>
      </w:r>
    </w:p>
    <w:p w14:paraId="25B0F920">
      <w:pPr>
        <w:spacing w:line="400" w:lineRule="exact"/>
        <w:ind w:firstLine="420" w:firstLineChars="200"/>
        <w:jc w:val="left"/>
        <w:rPr>
          <w:rFonts w:ascii="宋体"/>
          <w:color w:val="auto"/>
          <w:szCs w:val="21"/>
          <w:highlight w:val="none"/>
        </w:rPr>
      </w:pPr>
      <w:r>
        <w:rPr>
          <w:rFonts w:hint="eastAsia" w:ascii="宋体"/>
          <w:color w:val="auto"/>
          <w:szCs w:val="21"/>
          <w:highlight w:val="none"/>
        </w:rPr>
        <w:t>3.2 本项目</w:t>
      </w:r>
      <w:r>
        <w:rPr>
          <w:rFonts w:hint="eastAsia" w:ascii="宋体"/>
          <w:bCs/>
          <w:color w:val="auto"/>
          <w:szCs w:val="21"/>
          <w:highlight w:val="none"/>
        </w:rPr>
        <w:t>合同履行期限</w:t>
      </w:r>
      <w:r>
        <w:rPr>
          <w:rFonts w:hint="eastAsia" w:ascii="宋体"/>
          <w:color w:val="auto"/>
          <w:szCs w:val="21"/>
          <w:highlight w:val="none"/>
        </w:rPr>
        <w:t>：见“</w:t>
      </w:r>
      <w:r>
        <w:rPr>
          <w:rFonts w:hint="eastAsia" w:ascii="宋体"/>
          <w:b/>
          <w:bCs/>
          <w:color w:val="auto"/>
          <w:szCs w:val="21"/>
          <w:highlight w:val="none"/>
        </w:rPr>
        <w:t>投标人须知前附表</w:t>
      </w:r>
      <w:r>
        <w:rPr>
          <w:rFonts w:hint="eastAsia" w:ascii="宋体"/>
          <w:color w:val="auto"/>
          <w:szCs w:val="21"/>
          <w:highlight w:val="none"/>
        </w:rPr>
        <w:t>”。</w:t>
      </w:r>
    </w:p>
    <w:p w14:paraId="1151F7A0">
      <w:pPr>
        <w:pStyle w:val="4"/>
        <w:rPr>
          <w:color w:val="auto"/>
          <w:highlight w:val="none"/>
        </w:rPr>
      </w:pPr>
      <w:bookmarkStart w:id="40" w:name="_Toc22838"/>
      <w:r>
        <w:rPr>
          <w:rFonts w:hint="eastAsia"/>
          <w:color w:val="auto"/>
          <w:highlight w:val="none"/>
        </w:rPr>
        <w:t>4.</w:t>
      </w:r>
      <w:r>
        <w:rPr>
          <w:rFonts w:hint="eastAsia" w:ascii="宋体" w:hAnsi="宋体" w:eastAsia="宋体" w:cs="宋体"/>
          <w:color w:val="auto"/>
          <w:sz w:val="24"/>
          <w:szCs w:val="24"/>
        </w:rPr>
        <w:t>合格投标人和产品的条件</w:t>
      </w:r>
      <w:r>
        <w:rPr>
          <w:rFonts w:hint="eastAsia" w:ascii="宋体" w:hAnsi="宋体" w:eastAsia="宋体" w:cs="宋体"/>
          <w:color w:val="auto"/>
          <w:sz w:val="24"/>
          <w:szCs w:val="24"/>
          <w:highlight w:val="none"/>
        </w:rPr>
        <w:t>（实质性要求）</w:t>
      </w:r>
      <w:bookmarkEnd w:id="40"/>
    </w:p>
    <w:p w14:paraId="4E641A40">
      <w:pPr>
        <w:spacing w:line="400" w:lineRule="exact"/>
        <w:ind w:firstLine="420" w:firstLineChars="200"/>
        <w:jc w:val="left"/>
        <w:rPr>
          <w:rFonts w:hint="eastAsia" w:ascii="宋体"/>
          <w:color w:val="auto"/>
          <w:szCs w:val="21"/>
          <w:highlight w:val="none"/>
        </w:rPr>
      </w:pPr>
      <w:r>
        <w:rPr>
          <w:rFonts w:hint="eastAsia" w:ascii="宋体"/>
          <w:color w:val="auto"/>
          <w:szCs w:val="21"/>
          <w:highlight w:val="none"/>
        </w:rPr>
        <w:t>4.1合格投标人：指满足招标公告资格要求的投标人。</w:t>
      </w:r>
    </w:p>
    <w:p w14:paraId="1F745F56">
      <w:pPr>
        <w:spacing w:line="400" w:lineRule="exact"/>
        <w:ind w:firstLine="420" w:firstLineChars="200"/>
        <w:jc w:val="left"/>
        <w:rPr>
          <w:rFonts w:ascii="宋体"/>
          <w:color w:val="auto"/>
          <w:szCs w:val="21"/>
          <w:highlight w:val="none"/>
        </w:rPr>
      </w:pPr>
      <w:r>
        <w:rPr>
          <w:rFonts w:hint="eastAsia" w:ascii="宋体"/>
          <w:color w:val="auto"/>
          <w:szCs w:val="21"/>
          <w:highlight w:val="none"/>
        </w:rPr>
        <w:t>4.2合格产品的条件：不危害环境及人体健康的产品、原装全新产品、非进口产品（招标公告注明接受进口产品的除外）、强制节能产品（非强制节能产品除外）。</w:t>
      </w:r>
    </w:p>
    <w:p w14:paraId="37EC09A4">
      <w:pPr>
        <w:pStyle w:val="4"/>
        <w:rPr>
          <w:color w:val="auto"/>
          <w:highlight w:val="none"/>
        </w:rPr>
      </w:pPr>
      <w:bookmarkStart w:id="41" w:name="_Toc30833"/>
      <w:r>
        <w:rPr>
          <w:rFonts w:hint="eastAsia"/>
          <w:color w:val="auto"/>
          <w:highlight w:val="none"/>
        </w:rPr>
        <w:t>5.投标费用</w:t>
      </w:r>
      <w:bookmarkEnd w:id="41"/>
    </w:p>
    <w:p w14:paraId="753A9844">
      <w:pPr>
        <w:spacing w:line="400" w:lineRule="exact"/>
        <w:ind w:firstLine="420" w:firstLineChars="200"/>
        <w:jc w:val="left"/>
        <w:rPr>
          <w:rFonts w:ascii="宋体"/>
          <w:color w:val="auto"/>
          <w:szCs w:val="21"/>
          <w:highlight w:val="none"/>
        </w:rPr>
      </w:pPr>
      <w:r>
        <w:rPr>
          <w:rFonts w:hint="eastAsia" w:ascii="宋体"/>
          <w:color w:val="auto"/>
          <w:szCs w:val="21"/>
          <w:highlight w:val="none"/>
        </w:rPr>
        <w:t>5.1 不论投标结果如何，投标人均应自行承担所有与准备和参加投标活动有关的全部费用。例外情况，供应商提交投标文件后采购人终止项目且不再采购的，由代理机构弥补200元/家的文件编制费。</w:t>
      </w:r>
    </w:p>
    <w:p w14:paraId="63F051AD">
      <w:pPr>
        <w:spacing w:line="400" w:lineRule="exact"/>
        <w:ind w:firstLine="420" w:firstLineChars="200"/>
        <w:jc w:val="left"/>
        <w:rPr>
          <w:rFonts w:ascii="宋体"/>
          <w:color w:val="auto"/>
          <w:szCs w:val="21"/>
          <w:highlight w:val="none"/>
        </w:rPr>
      </w:pPr>
      <w:r>
        <w:rPr>
          <w:rFonts w:hint="eastAsia" w:ascii="宋体"/>
          <w:color w:val="auto"/>
          <w:szCs w:val="21"/>
          <w:highlight w:val="none"/>
        </w:rPr>
        <w:t>5.2 中标人应按“投标人须知前附表”中的规定</w:t>
      </w:r>
      <w:r>
        <w:rPr>
          <w:rFonts w:hint="eastAsia" w:ascii="宋体"/>
          <w:color w:val="auto"/>
          <w:szCs w:val="21"/>
          <w:highlight w:val="none"/>
          <w:lang w:eastAsia="zh-CN"/>
        </w:rPr>
        <w:t>缴纳</w:t>
      </w:r>
      <w:r>
        <w:rPr>
          <w:rFonts w:hint="eastAsia" w:ascii="宋体"/>
          <w:color w:val="auto"/>
          <w:szCs w:val="21"/>
          <w:highlight w:val="none"/>
        </w:rPr>
        <w:t>中标服务费。</w:t>
      </w:r>
    </w:p>
    <w:p w14:paraId="157A461F">
      <w:pPr>
        <w:pStyle w:val="4"/>
        <w:rPr>
          <w:color w:val="auto"/>
          <w:highlight w:val="none"/>
        </w:rPr>
      </w:pPr>
      <w:bookmarkStart w:id="42" w:name="_Toc20296"/>
      <w:r>
        <w:rPr>
          <w:rFonts w:hint="eastAsia"/>
          <w:color w:val="auto"/>
          <w:highlight w:val="none"/>
        </w:rPr>
        <w:t>6.质疑</w:t>
      </w:r>
      <w:bookmarkEnd w:id="42"/>
    </w:p>
    <w:p w14:paraId="0EE0D8CC">
      <w:pPr>
        <w:spacing w:line="400" w:lineRule="exact"/>
        <w:ind w:firstLine="420" w:firstLineChars="200"/>
        <w:jc w:val="left"/>
        <w:rPr>
          <w:rFonts w:ascii="宋体"/>
          <w:color w:val="auto"/>
          <w:szCs w:val="21"/>
          <w:highlight w:val="none"/>
        </w:rPr>
      </w:pPr>
      <w:r>
        <w:rPr>
          <w:rFonts w:hint="eastAsia" w:ascii="宋体"/>
          <w:color w:val="auto"/>
          <w:szCs w:val="21"/>
          <w:highlight w:val="none"/>
        </w:rPr>
        <w:t>6.1 投标人认为招标文件、招标过程和中标结果使自己的合法权益受到损害的，应当在知道或者应知其权益受到损害之日起七个工作日内，以书面形式向下列部门或</w:t>
      </w:r>
      <w:r>
        <w:rPr>
          <w:rFonts w:hint="eastAsia" w:ascii="宋体"/>
          <w:color w:val="auto"/>
          <w:szCs w:val="21"/>
          <w:highlight w:val="none"/>
          <w:lang w:eastAsia="zh-CN"/>
        </w:rPr>
        <w:t>采购人</w:t>
      </w:r>
      <w:r>
        <w:rPr>
          <w:rFonts w:hint="eastAsia" w:ascii="宋体"/>
          <w:color w:val="auto"/>
          <w:szCs w:val="21"/>
          <w:highlight w:val="none"/>
        </w:rPr>
        <w:t>提出质疑。</w:t>
      </w:r>
    </w:p>
    <w:p w14:paraId="62E9D32A">
      <w:pPr>
        <w:spacing w:line="400" w:lineRule="exact"/>
        <w:ind w:firstLine="420" w:firstLineChars="200"/>
        <w:jc w:val="left"/>
        <w:rPr>
          <w:color w:val="auto"/>
          <w:highlight w:val="none"/>
        </w:rPr>
      </w:pPr>
      <w:r>
        <w:rPr>
          <w:rFonts w:hint="eastAsia" w:ascii="宋体"/>
          <w:color w:val="auto"/>
          <w:szCs w:val="21"/>
          <w:highlight w:val="none"/>
        </w:rPr>
        <w:t>受理质疑部门：</w:t>
      </w:r>
      <w:r>
        <w:rPr>
          <w:rFonts w:hint="eastAsia"/>
          <w:bCs/>
          <w:color w:val="auto"/>
          <w:highlight w:val="none"/>
        </w:rPr>
        <w:t>云南众高工程咨询有限公司业务部</w:t>
      </w:r>
      <w:r>
        <w:rPr>
          <w:color w:val="auto"/>
          <w:highlight w:val="none"/>
        </w:rPr>
        <w:t>；电话：</w:t>
      </w:r>
      <w:r>
        <w:rPr>
          <w:rFonts w:hint="eastAsia"/>
          <w:color w:val="auto"/>
          <w:highlight w:val="none"/>
        </w:rPr>
        <w:t>0871-67357686、18788534208。</w:t>
      </w:r>
    </w:p>
    <w:p w14:paraId="3F56CFEB">
      <w:pPr>
        <w:spacing w:line="400" w:lineRule="exact"/>
        <w:ind w:firstLine="420" w:firstLineChars="200"/>
        <w:jc w:val="left"/>
        <w:rPr>
          <w:rFonts w:ascii="宋体"/>
          <w:color w:val="auto"/>
          <w:szCs w:val="21"/>
          <w:highlight w:val="none"/>
        </w:rPr>
      </w:pPr>
      <w:r>
        <w:rPr>
          <w:rFonts w:hint="eastAsia" w:ascii="宋体"/>
          <w:color w:val="auto"/>
          <w:szCs w:val="21"/>
          <w:highlight w:val="none"/>
        </w:rPr>
        <w:t>6.2 投标人提出质疑应当提交质疑函和必要的证明材料（如材料中有外文资料应同时附上中文译本）。质疑函应当包括下列内容：</w:t>
      </w:r>
    </w:p>
    <w:p w14:paraId="0073462A">
      <w:pPr>
        <w:spacing w:line="400" w:lineRule="exact"/>
        <w:ind w:firstLine="420" w:firstLineChars="200"/>
        <w:jc w:val="left"/>
        <w:rPr>
          <w:rFonts w:ascii="宋体"/>
          <w:color w:val="auto"/>
          <w:szCs w:val="21"/>
          <w:highlight w:val="none"/>
        </w:rPr>
      </w:pPr>
      <w:r>
        <w:rPr>
          <w:rFonts w:hint="eastAsia" w:ascii="宋体"/>
          <w:color w:val="auto"/>
          <w:szCs w:val="21"/>
          <w:highlight w:val="none"/>
        </w:rPr>
        <w:t>（1）投标人的姓名或者名称、地址、邮编、联系人及联系电话；</w:t>
      </w:r>
    </w:p>
    <w:p w14:paraId="615759ED">
      <w:pPr>
        <w:spacing w:line="400" w:lineRule="exact"/>
        <w:ind w:firstLine="420" w:firstLineChars="200"/>
        <w:jc w:val="left"/>
        <w:rPr>
          <w:rFonts w:ascii="宋体"/>
          <w:color w:val="auto"/>
          <w:szCs w:val="21"/>
          <w:highlight w:val="none"/>
        </w:rPr>
      </w:pPr>
      <w:r>
        <w:rPr>
          <w:rFonts w:hint="eastAsia" w:ascii="宋体"/>
          <w:color w:val="auto"/>
          <w:szCs w:val="21"/>
          <w:highlight w:val="none"/>
        </w:rPr>
        <w:t>（2）质疑项目的名称、编号；</w:t>
      </w:r>
    </w:p>
    <w:p w14:paraId="6F21BA6E">
      <w:pPr>
        <w:spacing w:line="400" w:lineRule="exact"/>
        <w:ind w:firstLine="420" w:firstLineChars="200"/>
        <w:jc w:val="left"/>
        <w:rPr>
          <w:rFonts w:ascii="宋体"/>
          <w:color w:val="auto"/>
          <w:szCs w:val="21"/>
          <w:highlight w:val="none"/>
        </w:rPr>
      </w:pPr>
      <w:r>
        <w:rPr>
          <w:rFonts w:hint="eastAsia" w:ascii="宋体"/>
          <w:color w:val="auto"/>
          <w:szCs w:val="21"/>
          <w:highlight w:val="none"/>
        </w:rPr>
        <w:t>（3）具体、明确的质疑事项和与质疑事项相关的请求；</w:t>
      </w:r>
    </w:p>
    <w:p w14:paraId="7BF9F163">
      <w:pPr>
        <w:spacing w:line="400" w:lineRule="exact"/>
        <w:ind w:firstLine="420" w:firstLineChars="200"/>
        <w:jc w:val="left"/>
        <w:rPr>
          <w:rFonts w:ascii="宋体"/>
          <w:color w:val="auto"/>
          <w:szCs w:val="21"/>
          <w:highlight w:val="none"/>
        </w:rPr>
      </w:pPr>
      <w:r>
        <w:rPr>
          <w:rFonts w:hint="eastAsia" w:ascii="宋体"/>
          <w:color w:val="auto"/>
          <w:szCs w:val="21"/>
          <w:highlight w:val="none"/>
        </w:rPr>
        <w:t>（4）事实依据；</w:t>
      </w:r>
    </w:p>
    <w:p w14:paraId="3EAE64AB">
      <w:pPr>
        <w:spacing w:line="400" w:lineRule="exact"/>
        <w:ind w:firstLine="420" w:firstLineChars="200"/>
        <w:jc w:val="left"/>
        <w:rPr>
          <w:rFonts w:ascii="宋体"/>
          <w:color w:val="auto"/>
          <w:szCs w:val="21"/>
          <w:highlight w:val="none"/>
        </w:rPr>
      </w:pPr>
      <w:r>
        <w:rPr>
          <w:rFonts w:hint="eastAsia" w:ascii="宋体"/>
          <w:color w:val="auto"/>
          <w:szCs w:val="21"/>
          <w:highlight w:val="none"/>
        </w:rPr>
        <w:t>（5）必要的法律依据；</w:t>
      </w:r>
    </w:p>
    <w:p w14:paraId="4358B7C8">
      <w:pPr>
        <w:spacing w:line="400" w:lineRule="exact"/>
        <w:ind w:firstLine="420" w:firstLineChars="200"/>
        <w:jc w:val="left"/>
        <w:rPr>
          <w:rFonts w:ascii="宋体"/>
          <w:color w:val="auto"/>
          <w:szCs w:val="21"/>
          <w:highlight w:val="none"/>
        </w:rPr>
      </w:pPr>
      <w:r>
        <w:rPr>
          <w:rFonts w:hint="eastAsia" w:ascii="宋体"/>
          <w:color w:val="auto"/>
          <w:szCs w:val="21"/>
          <w:highlight w:val="none"/>
        </w:rPr>
        <w:t>（6）提出质疑的日期。</w:t>
      </w:r>
    </w:p>
    <w:p w14:paraId="3D8F4E52">
      <w:pPr>
        <w:spacing w:line="400" w:lineRule="exact"/>
        <w:ind w:firstLine="420" w:firstLineChars="200"/>
        <w:jc w:val="left"/>
        <w:rPr>
          <w:rFonts w:ascii="宋体"/>
          <w:b/>
          <w:color w:val="auto"/>
          <w:szCs w:val="21"/>
          <w:highlight w:val="none"/>
        </w:rPr>
      </w:pPr>
      <w:r>
        <w:rPr>
          <w:rFonts w:hint="eastAsia" w:ascii="宋体"/>
          <w:b/>
          <w:color w:val="auto"/>
          <w:szCs w:val="21"/>
          <w:highlight w:val="none"/>
        </w:rPr>
        <w:t>质疑书实行实名制，并应由法定代表人或其授权代理人签字并加盖公章，否则不予受理。</w:t>
      </w:r>
    </w:p>
    <w:p w14:paraId="3DBC7163">
      <w:pPr>
        <w:spacing w:line="400" w:lineRule="exact"/>
        <w:ind w:firstLine="420" w:firstLineChars="200"/>
        <w:jc w:val="left"/>
        <w:rPr>
          <w:rFonts w:ascii="宋体"/>
          <w:b/>
          <w:color w:val="auto"/>
          <w:szCs w:val="21"/>
          <w:highlight w:val="none"/>
        </w:rPr>
      </w:pPr>
      <w:r>
        <w:rPr>
          <w:rFonts w:hint="eastAsia" w:ascii="宋体"/>
          <w:b/>
          <w:color w:val="auto"/>
          <w:szCs w:val="21"/>
          <w:highlight w:val="none"/>
        </w:rPr>
        <w:t>6.3</w:t>
      </w:r>
      <w:r>
        <w:rPr>
          <w:rFonts w:hint="eastAsia" w:ascii="宋体"/>
          <w:b/>
          <w:color w:val="auto"/>
          <w:szCs w:val="21"/>
          <w:highlight w:val="none"/>
          <w:u w:val="single"/>
        </w:rPr>
        <w:t>投标人在法定质疑期内应一次性提出针对同一采购程序环节的质疑，否则不予受理</w:t>
      </w:r>
      <w:r>
        <w:rPr>
          <w:rFonts w:hint="eastAsia" w:ascii="宋体"/>
          <w:b/>
          <w:color w:val="auto"/>
          <w:szCs w:val="21"/>
          <w:highlight w:val="none"/>
        </w:rPr>
        <w:t>。</w:t>
      </w:r>
    </w:p>
    <w:p w14:paraId="0156B564">
      <w:pPr>
        <w:spacing w:line="400" w:lineRule="exact"/>
        <w:ind w:firstLine="420" w:firstLineChars="200"/>
        <w:jc w:val="left"/>
        <w:rPr>
          <w:rFonts w:ascii="宋体"/>
          <w:bCs/>
          <w:color w:val="auto"/>
          <w:szCs w:val="21"/>
          <w:highlight w:val="none"/>
        </w:rPr>
      </w:pPr>
      <w:r>
        <w:rPr>
          <w:rFonts w:hint="eastAsia" w:ascii="宋体"/>
          <w:color w:val="auto"/>
          <w:szCs w:val="21"/>
          <w:highlight w:val="none"/>
        </w:rPr>
        <w:t>6.</w:t>
      </w:r>
      <w:r>
        <w:rPr>
          <w:rFonts w:ascii="宋体"/>
          <w:color w:val="auto"/>
          <w:szCs w:val="21"/>
          <w:highlight w:val="none"/>
        </w:rPr>
        <w:t>4</w:t>
      </w:r>
      <w:r>
        <w:rPr>
          <w:rFonts w:hint="eastAsia" w:ascii="宋体"/>
          <w:color w:val="auto"/>
          <w:szCs w:val="21"/>
          <w:highlight w:val="none"/>
        </w:rPr>
        <w:t xml:space="preserve"> </w:t>
      </w:r>
      <w:r>
        <w:rPr>
          <w:rFonts w:hint="eastAsia" w:ascii="宋体"/>
          <w:color w:val="auto"/>
          <w:szCs w:val="21"/>
          <w:highlight w:val="none"/>
          <w:lang w:eastAsia="zh-CN"/>
        </w:rPr>
        <w:t>采购人</w:t>
      </w:r>
      <w:r>
        <w:rPr>
          <w:rFonts w:hint="eastAsia" w:ascii="宋体"/>
          <w:color w:val="auto"/>
          <w:szCs w:val="21"/>
          <w:highlight w:val="none"/>
        </w:rPr>
        <w:t>、</w:t>
      </w:r>
      <w:r>
        <w:rPr>
          <w:rFonts w:hint="eastAsia" w:ascii="宋体"/>
          <w:color w:val="auto"/>
          <w:szCs w:val="21"/>
          <w:highlight w:val="none"/>
          <w:lang w:eastAsia="zh-CN"/>
        </w:rPr>
        <w:t>采购代理</w:t>
      </w:r>
      <w:r>
        <w:rPr>
          <w:rFonts w:hint="eastAsia" w:ascii="宋体"/>
          <w:color w:val="auto"/>
          <w:szCs w:val="21"/>
          <w:highlight w:val="none"/>
        </w:rPr>
        <w:t>机构将在收到投标人的书面质疑后七个工作日内作出答复，但答复的内容不</w:t>
      </w:r>
      <w:r>
        <w:rPr>
          <w:rFonts w:hint="eastAsia" w:ascii="宋体"/>
          <w:bCs/>
          <w:color w:val="auto"/>
          <w:szCs w:val="21"/>
          <w:highlight w:val="none"/>
        </w:rPr>
        <w:t>涉及商业秘密。</w:t>
      </w:r>
    </w:p>
    <w:p w14:paraId="7679694F">
      <w:pPr>
        <w:pStyle w:val="4"/>
        <w:rPr>
          <w:color w:val="auto"/>
          <w:highlight w:val="none"/>
        </w:rPr>
      </w:pPr>
      <w:bookmarkStart w:id="43" w:name="_Toc16412"/>
      <w:r>
        <w:rPr>
          <w:rFonts w:hint="eastAsia"/>
          <w:color w:val="auto"/>
          <w:highlight w:val="none"/>
        </w:rPr>
        <w:t>7.投诉</w:t>
      </w:r>
      <w:bookmarkEnd w:id="43"/>
    </w:p>
    <w:p w14:paraId="2AC9ED71">
      <w:pPr>
        <w:spacing w:line="400" w:lineRule="exact"/>
        <w:ind w:firstLine="420" w:firstLineChars="200"/>
        <w:jc w:val="left"/>
        <w:rPr>
          <w:rFonts w:ascii="宋体"/>
          <w:color w:val="auto"/>
          <w:szCs w:val="21"/>
          <w:highlight w:val="none"/>
        </w:rPr>
      </w:pPr>
      <w:r>
        <w:rPr>
          <w:rFonts w:hint="eastAsia" w:ascii="宋体"/>
          <w:color w:val="auto"/>
          <w:szCs w:val="21"/>
          <w:highlight w:val="none"/>
        </w:rPr>
        <w:t>投诉必须首先经过质疑程序。质疑投标人对</w:t>
      </w:r>
      <w:r>
        <w:rPr>
          <w:rFonts w:hint="eastAsia" w:ascii="宋体"/>
          <w:color w:val="auto"/>
          <w:szCs w:val="21"/>
          <w:highlight w:val="none"/>
          <w:lang w:eastAsia="zh-CN"/>
        </w:rPr>
        <w:t>采购人</w:t>
      </w:r>
      <w:r>
        <w:rPr>
          <w:rFonts w:hint="eastAsia" w:ascii="宋体"/>
          <w:color w:val="auto"/>
          <w:szCs w:val="21"/>
          <w:highlight w:val="none"/>
        </w:rPr>
        <w:t>、</w:t>
      </w:r>
      <w:r>
        <w:rPr>
          <w:rFonts w:hint="eastAsia" w:ascii="宋体"/>
          <w:color w:val="auto"/>
          <w:szCs w:val="21"/>
          <w:highlight w:val="none"/>
          <w:lang w:eastAsia="zh-CN"/>
        </w:rPr>
        <w:t>采购代理</w:t>
      </w:r>
      <w:r>
        <w:rPr>
          <w:rFonts w:hint="eastAsia" w:ascii="宋体"/>
          <w:color w:val="auto"/>
          <w:szCs w:val="21"/>
          <w:highlight w:val="none"/>
        </w:rPr>
        <w:t>机构的答复不满意，或者</w:t>
      </w:r>
      <w:r>
        <w:rPr>
          <w:rFonts w:hint="eastAsia" w:ascii="宋体"/>
          <w:color w:val="auto"/>
          <w:szCs w:val="21"/>
          <w:highlight w:val="none"/>
          <w:lang w:eastAsia="zh-CN"/>
        </w:rPr>
        <w:t>采购人</w:t>
      </w:r>
      <w:r>
        <w:rPr>
          <w:rFonts w:hint="eastAsia" w:ascii="宋体"/>
          <w:color w:val="auto"/>
          <w:szCs w:val="21"/>
          <w:highlight w:val="none"/>
        </w:rPr>
        <w:t>、</w:t>
      </w:r>
      <w:r>
        <w:rPr>
          <w:rFonts w:hint="eastAsia" w:ascii="宋体"/>
          <w:color w:val="auto"/>
          <w:szCs w:val="21"/>
          <w:highlight w:val="none"/>
          <w:lang w:eastAsia="zh-CN"/>
        </w:rPr>
        <w:t>采购代理</w:t>
      </w:r>
      <w:r>
        <w:rPr>
          <w:rFonts w:hint="eastAsia" w:ascii="宋体"/>
          <w:color w:val="auto"/>
          <w:szCs w:val="21"/>
          <w:highlight w:val="none"/>
        </w:rPr>
        <w:t>机构未在规定的时间内作出答复的，可以在答复期满后十五个工作日内书面向云南省省级政府采购监督管理部门投诉。</w:t>
      </w:r>
    </w:p>
    <w:p w14:paraId="1FA6E317">
      <w:pPr>
        <w:pStyle w:val="3"/>
        <w:rPr>
          <w:color w:val="auto"/>
          <w:highlight w:val="none"/>
        </w:rPr>
      </w:pPr>
      <w:bookmarkStart w:id="44" w:name="_Toc5319"/>
      <w:r>
        <w:rPr>
          <w:rFonts w:hint="eastAsia"/>
          <w:color w:val="auto"/>
          <w:highlight w:val="none"/>
        </w:rPr>
        <w:t>二、招标文件</w:t>
      </w:r>
      <w:bookmarkEnd w:id="44"/>
    </w:p>
    <w:p w14:paraId="6062B76E">
      <w:pPr>
        <w:pStyle w:val="4"/>
        <w:rPr>
          <w:color w:val="auto"/>
          <w:highlight w:val="none"/>
        </w:rPr>
      </w:pPr>
      <w:bookmarkStart w:id="45" w:name="_Toc19392"/>
      <w:r>
        <w:rPr>
          <w:rFonts w:hint="eastAsia"/>
          <w:color w:val="auto"/>
          <w:highlight w:val="none"/>
        </w:rPr>
        <w:t>8.招标文件构成</w:t>
      </w:r>
      <w:bookmarkEnd w:id="45"/>
    </w:p>
    <w:p w14:paraId="4623DB24">
      <w:pPr>
        <w:spacing w:line="400" w:lineRule="exact"/>
        <w:ind w:firstLine="359" w:firstLineChars="171"/>
        <w:jc w:val="left"/>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rPr>
        <w:t>招标文件共六章，各章的内容如下：</w:t>
      </w:r>
    </w:p>
    <w:p w14:paraId="689AC84C">
      <w:pPr>
        <w:spacing w:line="400" w:lineRule="exact"/>
        <w:ind w:firstLine="359" w:firstLineChars="171"/>
        <w:jc w:val="left"/>
        <w:rPr>
          <w:rFonts w:ascii="宋体"/>
          <w:color w:val="auto"/>
          <w:szCs w:val="21"/>
          <w:highlight w:val="none"/>
        </w:rPr>
      </w:pPr>
      <w:r>
        <w:rPr>
          <w:rFonts w:hint="eastAsia" w:ascii="宋体"/>
          <w:color w:val="auto"/>
          <w:szCs w:val="21"/>
          <w:highlight w:val="none"/>
        </w:rPr>
        <w:t>第一章  招标公告</w:t>
      </w:r>
    </w:p>
    <w:p w14:paraId="1502EBBF">
      <w:pPr>
        <w:spacing w:line="400" w:lineRule="exact"/>
        <w:ind w:firstLine="359" w:firstLineChars="171"/>
        <w:jc w:val="left"/>
        <w:rPr>
          <w:rFonts w:ascii="宋体"/>
          <w:color w:val="auto"/>
          <w:szCs w:val="21"/>
          <w:highlight w:val="none"/>
        </w:rPr>
      </w:pPr>
      <w:r>
        <w:rPr>
          <w:rFonts w:hint="eastAsia" w:ascii="宋体"/>
          <w:color w:val="auto"/>
          <w:szCs w:val="21"/>
          <w:highlight w:val="none"/>
        </w:rPr>
        <w:t>第二章  投标人须知</w:t>
      </w:r>
    </w:p>
    <w:p w14:paraId="2C1AB396">
      <w:pPr>
        <w:spacing w:line="400" w:lineRule="exact"/>
        <w:ind w:firstLine="359" w:firstLineChars="171"/>
        <w:jc w:val="left"/>
        <w:rPr>
          <w:rFonts w:ascii="宋体"/>
          <w:color w:val="auto"/>
          <w:szCs w:val="21"/>
          <w:highlight w:val="none"/>
        </w:rPr>
      </w:pPr>
      <w:r>
        <w:rPr>
          <w:rFonts w:hint="eastAsia" w:ascii="宋体"/>
          <w:color w:val="auto"/>
          <w:szCs w:val="21"/>
          <w:highlight w:val="none"/>
        </w:rPr>
        <w:t>第三章  合同书样式及主要条款</w:t>
      </w:r>
    </w:p>
    <w:p w14:paraId="176859FC">
      <w:pPr>
        <w:spacing w:line="400" w:lineRule="exact"/>
        <w:ind w:firstLine="359" w:firstLineChars="171"/>
        <w:jc w:val="left"/>
        <w:rPr>
          <w:rFonts w:ascii="宋体"/>
          <w:color w:val="auto"/>
          <w:szCs w:val="21"/>
          <w:highlight w:val="none"/>
        </w:rPr>
      </w:pPr>
      <w:r>
        <w:rPr>
          <w:rFonts w:hint="eastAsia" w:ascii="宋体"/>
          <w:color w:val="auto"/>
          <w:szCs w:val="21"/>
          <w:highlight w:val="none"/>
        </w:rPr>
        <w:t>第四章  投标文件格式</w:t>
      </w:r>
    </w:p>
    <w:p w14:paraId="1950DFE2">
      <w:pPr>
        <w:spacing w:line="400" w:lineRule="exact"/>
        <w:ind w:firstLine="359" w:firstLineChars="171"/>
        <w:jc w:val="left"/>
        <w:rPr>
          <w:rFonts w:ascii="宋体"/>
          <w:color w:val="auto"/>
          <w:szCs w:val="21"/>
          <w:highlight w:val="none"/>
        </w:rPr>
      </w:pPr>
      <w:r>
        <w:rPr>
          <w:rFonts w:hint="eastAsia" w:ascii="宋体"/>
          <w:color w:val="auto"/>
          <w:szCs w:val="21"/>
          <w:highlight w:val="none"/>
        </w:rPr>
        <w:t>第五章  招标内容及要求</w:t>
      </w:r>
    </w:p>
    <w:p w14:paraId="4EA99194">
      <w:pPr>
        <w:spacing w:line="400" w:lineRule="exact"/>
        <w:ind w:firstLine="359" w:firstLineChars="171"/>
        <w:jc w:val="left"/>
        <w:rPr>
          <w:rFonts w:ascii="宋体"/>
          <w:color w:val="auto"/>
          <w:szCs w:val="21"/>
          <w:highlight w:val="none"/>
        </w:rPr>
      </w:pPr>
      <w:r>
        <w:rPr>
          <w:rFonts w:hint="eastAsia" w:ascii="宋体"/>
          <w:color w:val="auto"/>
          <w:szCs w:val="21"/>
          <w:highlight w:val="none"/>
        </w:rPr>
        <w:t>第六章  评标办法</w:t>
      </w:r>
    </w:p>
    <w:p w14:paraId="5A42C89C">
      <w:pPr>
        <w:pStyle w:val="4"/>
        <w:rPr>
          <w:color w:val="auto"/>
          <w:highlight w:val="none"/>
        </w:rPr>
      </w:pPr>
      <w:bookmarkStart w:id="46" w:name="_Toc18585"/>
      <w:r>
        <w:rPr>
          <w:rFonts w:hint="eastAsia"/>
          <w:color w:val="auto"/>
          <w:highlight w:val="none"/>
        </w:rPr>
        <w:t>9.招标文件的澄清</w:t>
      </w:r>
      <w:bookmarkEnd w:id="46"/>
    </w:p>
    <w:p w14:paraId="4F16ED73">
      <w:pPr>
        <w:wordWrap w:val="0"/>
        <w:spacing w:line="400" w:lineRule="exact"/>
        <w:ind w:firstLine="420" w:firstLineChars="200"/>
        <w:jc w:val="left"/>
        <w:rPr>
          <w:rFonts w:ascii="宋体"/>
          <w:color w:val="auto"/>
          <w:szCs w:val="21"/>
          <w:highlight w:val="none"/>
        </w:rPr>
      </w:pPr>
      <w:r>
        <w:rPr>
          <w:rFonts w:hint="eastAsia" w:ascii="宋体"/>
          <w:color w:val="auto"/>
          <w:szCs w:val="21"/>
          <w:highlight w:val="none"/>
        </w:rPr>
        <w:t>9.1 投标人应认真审核第五章“</w:t>
      </w:r>
      <w:r>
        <w:rPr>
          <w:rFonts w:hint="eastAsia" w:ascii="宋体"/>
          <w:b/>
          <w:bCs/>
          <w:color w:val="auto"/>
          <w:szCs w:val="21"/>
          <w:highlight w:val="none"/>
        </w:rPr>
        <w:t>招标内容及要求</w:t>
      </w:r>
      <w:r>
        <w:rPr>
          <w:rFonts w:hint="eastAsia" w:ascii="宋体"/>
          <w:color w:val="auto"/>
          <w:szCs w:val="21"/>
          <w:highlight w:val="none"/>
        </w:rPr>
        <w:t>”中的要求，如发现要求不合理的，投标人必须在“</w:t>
      </w:r>
      <w:r>
        <w:rPr>
          <w:rFonts w:hint="eastAsia" w:ascii="宋体"/>
          <w:b/>
          <w:color w:val="auto"/>
          <w:szCs w:val="21"/>
          <w:highlight w:val="none"/>
        </w:rPr>
        <w:t>投标人须知前附表</w:t>
      </w:r>
      <w:r>
        <w:rPr>
          <w:rFonts w:hint="eastAsia" w:ascii="宋体"/>
          <w:color w:val="auto"/>
          <w:szCs w:val="21"/>
          <w:highlight w:val="none"/>
        </w:rPr>
        <w:t>”规定截止时间前要求</w:t>
      </w:r>
      <w:r>
        <w:rPr>
          <w:rFonts w:hint="eastAsia" w:ascii="宋体"/>
          <w:color w:val="auto"/>
          <w:szCs w:val="21"/>
          <w:highlight w:val="none"/>
          <w:lang w:eastAsia="zh-CN"/>
        </w:rPr>
        <w:t>采购代理</w:t>
      </w:r>
      <w:r>
        <w:rPr>
          <w:rFonts w:hint="eastAsia" w:ascii="宋体"/>
          <w:color w:val="auto"/>
          <w:szCs w:val="21"/>
          <w:highlight w:val="none"/>
        </w:rPr>
        <w:t>机构澄清，</w:t>
      </w:r>
      <w:r>
        <w:rPr>
          <w:rFonts w:hint="eastAsia" w:ascii="宋体" w:hAnsi="宋体"/>
          <w:color w:val="auto"/>
          <w:szCs w:val="21"/>
          <w:highlight w:val="none"/>
        </w:rPr>
        <w:t>通过“政采云平台”（https://www.zcygov.cn/）在线方式进行不署名提问。</w:t>
      </w:r>
      <w:r>
        <w:rPr>
          <w:rFonts w:hint="eastAsia" w:ascii="宋体"/>
          <w:color w:val="auto"/>
          <w:szCs w:val="21"/>
          <w:highlight w:val="none"/>
        </w:rPr>
        <w:t>截止时间后送达的澄清要求概不接受，由此产生的后果由投标人负责。</w:t>
      </w:r>
    </w:p>
    <w:p w14:paraId="3DA03A61">
      <w:pPr>
        <w:spacing w:line="400" w:lineRule="exact"/>
        <w:ind w:firstLine="420" w:firstLineChars="200"/>
        <w:jc w:val="left"/>
        <w:rPr>
          <w:rFonts w:ascii="宋体"/>
          <w:color w:val="auto"/>
          <w:szCs w:val="21"/>
          <w:highlight w:val="none"/>
        </w:rPr>
      </w:pPr>
      <w:r>
        <w:rPr>
          <w:rFonts w:hint="eastAsia" w:ascii="宋体"/>
          <w:color w:val="auto"/>
          <w:szCs w:val="21"/>
          <w:highlight w:val="none"/>
        </w:rPr>
        <w:t xml:space="preserve">9.2 </w:t>
      </w:r>
      <w:r>
        <w:rPr>
          <w:rFonts w:hint="eastAsia" w:ascii="宋体"/>
          <w:color w:val="auto"/>
          <w:szCs w:val="21"/>
          <w:highlight w:val="none"/>
          <w:lang w:eastAsia="zh-CN"/>
        </w:rPr>
        <w:t>采购代理</w:t>
      </w:r>
      <w:r>
        <w:rPr>
          <w:rFonts w:hint="eastAsia" w:ascii="宋体"/>
          <w:color w:val="auto"/>
          <w:szCs w:val="21"/>
          <w:highlight w:val="none"/>
        </w:rPr>
        <w:t>机构将</w:t>
      </w:r>
      <w:r>
        <w:rPr>
          <w:rFonts w:hint="eastAsia" w:ascii="宋体" w:hAnsi="宋体"/>
          <w:color w:val="auto"/>
          <w:szCs w:val="21"/>
          <w:highlight w:val="none"/>
        </w:rPr>
        <w:t>通过“政采云平台”（https://www.zcygov.cn/）</w:t>
      </w:r>
      <w:r>
        <w:rPr>
          <w:rFonts w:hint="eastAsia" w:ascii="宋体"/>
          <w:color w:val="auto"/>
          <w:szCs w:val="21"/>
          <w:highlight w:val="none"/>
        </w:rPr>
        <w:t>答复所有购买招标文件的投标人（答复中不包含问题的来源）要求澄清的问题，其他澄清方式无效。</w:t>
      </w:r>
    </w:p>
    <w:p w14:paraId="46EC80C4">
      <w:pPr>
        <w:spacing w:line="400" w:lineRule="exact"/>
        <w:ind w:firstLine="420" w:firstLineChars="200"/>
        <w:jc w:val="left"/>
        <w:rPr>
          <w:rFonts w:ascii="宋体"/>
          <w:b/>
          <w:color w:val="auto"/>
          <w:szCs w:val="21"/>
          <w:highlight w:val="none"/>
        </w:rPr>
      </w:pPr>
      <w:r>
        <w:rPr>
          <w:rFonts w:hint="eastAsia" w:ascii="宋体"/>
          <w:color w:val="auto"/>
          <w:szCs w:val="21"/>
          <w:highlight w:val="none"/>
        </w:rPr>
        <w:t>9.3 招标文件澄清联系方式见“</w:t>
      </w:r>
      <w:r>
        <w:rPr>
          <w:rFonts w:hint="eastAsia" w:ascii="宋体"/>
          <w:b/>
          <w:color w:val="auto"/>
          <w:szCs w:val="21"/>
          <w:highlight w:val="none"/>
        </w:rPr>
        <w:t>投标人须知前附表”。</w:t>
      </w:r>
    </w:p>
    <w:p w14:paraId="7A14BDC2">
      <w:pPr>
        <w:pStyle w:val="4"/>
        <w:rPr>
          <w:color w:val="auto"/>
          <w:highlight w:val="none"/>
        </w:rPr>
      </w:pPr>
      <w:bookmarkStart w:id="47" w:name="_Toc27306"/>
      <w:r>
        <w:rPr>
          <w:rFonts w:hint="eastAsia"/>
          <w:color w:val="auto"/>
          <w:highlight w:val="none"/>
        </w:rPr>
        <w:t>10.招标文件的修改</w:t>
      </w:r>
      <w:bookmarkEnd w:id="47"/>
    </w:p>
    <w:p w14:paraId="08C0C486">
      <w:pPr>
        <w:spacing w:line="400" w:lineRule="exact"/>
        <w:ind w:firstLine="420" w:firstLineChars="200"/>
        <w:jc w:val="left"/>
        <w:rPr>
          <w:rFonts w:ascii="宋体"/>
          <w:color w:val="auto"/>
          <w:szCs w:val="21"/>
          <w:highlight w:val="none"/>
        </w:rPr>
      </w:pPr>
      <w:r>
        <w:rPr>
          <w:rFonts w:hint="eastAsia" w:ascii="宋体"/>
          <w:color w:val="auto"/>
          <w:szCs w:val="21"/>
          <w:highlight w:val="none"/>
        </w:rPr>
        <w:t>10.1</w:t>
      </w:r>
      <w:r>
        <w:rPr>
          <w:rFonts w:hint="eastAsia" w:ascii="宋体"/>
          <w:color w:val="auto"/>
          <w:szCs w:val="21"/>
          <w:highlight w:val="none"/>
          <w:lang w:eastAsia="zh-CN"/>
        </w:rPr>
        <w:t>采购人</w:t>
      </w:r>
      <w:r>
        <w:rPr>
          <w:rFonts w:hint="eastAsia" w:ascii="宋体"/>
          <w:color w:val="auto"/>
          <w:szCs w:val="21"/>
          <w:highlight w:val="none"/>
        </w:rPr>
        <w:t>对招标文件中的涉及评标办法、评审项目等重要评审内容做出变更，将同时发布补遗文件进行说明以保证各投标人都能重新下载并用于编制电子投标文件。</w:t>
      </w:r>
    </w:p>
    <w:p w14:paraId="664004B2">
      <w:pPr>
        <w:spacing w:line="400" w:lineRule="exact"/>
        <w:ind w:firstLine="420" w:firstLineChars="200"/>
        <w:rPr>
          <w:rFonts w:ascii="宋体"/>
          <w:color w:val="auto"/>
          <w:szCs w:val="21"/>
          <w:highlight w:val="none"/>
        </w:rPr>
      </w:pPr>
      <w:r>
        <w:rPr>
          <w:rFonts w:hint="eastAsia" w:ascii="宋体"/>
          <w:color w:val="auto"/>
          <w:szCs w:val="21"/>
          <w:highlight w:val="none"/>
          <w:lang w:val="en-US" w:eastAsia="zh-CN"/>
        </w:rPr>
        <w:t>10.2</w:t>
      </w:r>
      <w:r>
        <w:rPr>
          <w:rFonts w:hint="eastAsia" w:ascii="宋体"/>
          <w:color w:val="auto"/>
          <w:szCs w:val="21"/>
          <w:highlight w:val="none"/>
        </w:rPr>
        <w:t>投标人应在投标截止时间前及时登录</w:t>
      </w:r>
      <w:r>
        <w:rPr>
          <w:rFonts w:hint="eastAsia" w:ascii="宋体" w:hAnsi="宋体"/>
          <w:color w:val="auto"/>
          <w:szCs w:val="21"/>
          <w:highlight w:val="none"/>
        </w:rPr>
        <w:t>“政采云平台”（https://www.zcygov.cn/）</w:t>
      </w:r>
      <w:r>
        <w:rPr>
          <w:rFonts w:hint="eastAsia" w:ascii="宋体"/>
          <w:color w:val="auto"/>
          <w:szCs w:val="21"/>
          <w:highlight w:val="none"/>
        </w:rPr>
        <w:t>查看有关该项目招标文件的答疑、补遗内容。否则，后果自负。</w:t>
      </w:r>
    </w:p>
    <w:p w14:paraId="41010D76">
      <w:pPr>
        <w:spacing w:line="400" w:lineRule="exact"/>
        <w:ind w:firstLine="420" w:firstLineChars="200"/>
        <w:jc w:val="left"/>
        <w:rPr>
          <w:rFonts w:ascii="宋体"/>
          <w:color w:val="auto"/>
          <w:szCs w:val="21"/>
          <w:highlight w:val="none"/>
        </w:rPr>
      </w:pPr>
      <w:r>
        <w:rPr>
          <w:rFonts w:hint="eastAsia" w:ascii="宋体"/>
          <w:color w:val="auto"/>
          <w:szCs w:val="21"/>
          <w:highlight w:val="none"/>
          <w:lang w:val="en-US" w:eastAsia="zh-CN"/>
        </w:rPr>
        <w:t>10.3</w:t>
      </w:r>
      <w:r>
        <w:rPr>
          <w:rFonts w:hint="eastAsia" w:ascii="宋体"/>
          <w:color w:val="auto"/>
          <w:szCs w:val="21"/>
          <w:highlight w:val="none"/>
        </w:rPr>
        <w:t>招标文件澄清、招标文件修改文件内容均以网上电子文件为准，当招标文件、招标文件澄清、招标文件修改文件内容</w:t>
      </w:r>
      <w:r>
        <w:rPr>
          <w:rFonts w:hint="eastAsia" w:ascii="宋体"/>
          <w:color w:val="auto"/>
          <w:szCs w:val="21"/>
          <w:highlight w:val="none"/>
          <w:lang w:eastAsia="zh-CN"/>
        </w:rPr>
        <w:t>后</w:t>
      </w:r>
      <w:r>
        <w:rPr>
          <w:rFonts w:hint="eastAsia" w:ascii="宋体"/>
          <w:color w:val="auto"/>
          <w:szCs w:val="21"/>
          <w:highlight w:val="none"/>
        </w:rPr>
        <w:t>相互矛盾时，以最后发出的为准。该澄清或者修改的内容为招标文件的组成部分。</w:t>
      </w:r>
    </w:p>
    <w:p w14:paraId="606E37D0">
      <w:pPr>
        <w:spacing w:line="400" w:lineRule="exact"/>
        <w:ind w:firstLine="420" w:firstLineChars="200"/>
        <w:jc w:val="left"/>
        <w:rPr>
          <w:rFonts w:ascii="宋体"/>
          <w:color w:val="auto"/>
          <w:szCs w:val="21"/>
          <w:highlight w:val="none"/>
        </w:rPr>
      </w:pPr>
      <w:r>
        <w:rPr>
          <w:rFonts w:hint="eastAsia" w:ascii="宋体"/>
          <w:color w:val="auto"/>
          <w:szCs w:val="21"/>
          <w:highlight w:val="none"/>
        </w:rPr>
        <w:t>10.</w:t>
      </w:r>
      <w:r>
        <w:rPr>
          <w:rFonts w:hint="eastAsia" w:ascii="宋体"/>
          <w:color w:val="auto"/>
          <w:szCs w:val="21"/>
          <w:highlight w:val="none"/>
          <w:lang w:val="en-US" w:eastAsia="zh-CN"/>
        </w:rPr>
        <w:t>4</w:t>
      </w:r>
      <w:r>
        <w:rPr>
          <w:rFonts w:hint="eastAsia" w:ascii="宋体"/>
          <w:color w:val="auto"/>
          <w:szCs w:val="21"/>
          <w:highlight w:val="none"/>
          <w:lang w:eastAsia="zh-CN"/>
        </w:rPr>
        <w:t>采购代理</w:t>
      </w:r>
      <w:r>
        <w:rPr>
          <w:rFonts w:hint="eastAsia" w:ascii="宋体"/>
          <w:color w:val="auto"/>
          <w:szCs w:val="21"/>
          <w:highlight w:val="none"/>
        </w:rPr>
        <w:t>机构和招标单位可以视采购具体情况，延长投标截止时间和开标时间，但至少在招标文件要求提交投标文件的截止时间三日前，将变更时间书面通知所有招标文件收受人，并在财政部门指定的政府采购信息发布媒体发布变更公告。</w:t>
      </w:r>
    </w:p>
    <w:p w14:paraId="7F601F7E">
      <w:pPr>
        <w:pStyle w:val="3"/>
        <w:rPr>
          <w:color w:val="auto"/>
          <w:highlight w:val="none"/>
        </w:rPr>
      </w:pPr>
      <w:bookmarkStart w:id="48" w:name="_Toc212"/>
      <w:r>
        <w:rPr>
          <w:rFonts w:hint="eastAsia"/>
          <w:color w:val="auto"/>
          <w:highlight w:val="none"/>
        </w:rPr>
        <w:t>三、投标文件的编制</w:t>
      </w:r>
      <w:bookmarkEnd w:id="48"/>
    </w:p>
    <w:p w14:paraId="25A52B6C">
      <w:pPr>
        <w:pStyle w:val="4"/>
        <w:rPr>
          <w:color w:val="auto"/>
          <w:highlight w:val="none"/>
        </w:rPr>
      </w:pPr>
      <w:bookmarkStart w:id="49" w:name="_Toc14000"/>
      <w:r>
        <w:rPr>
          <w:rFonts w:hint="eastAsia"/>
          <w:color w:val="auto"/>
          <w:highlight w:val="none"/>
        </w:rPr>
        <w:t>11.投标文件编写注意事项（实质性要求）</w:t>
      </w:r>
      <w:bookmarkEnd w:id="49"/>
    </w:p>
    <w:p w14:paraId="4C7F9172">
      <w:pPr>
        <w:spacing w:line="360" w:lineRule="auto"/>
        <w:ind w:firstLine="420" w:firstLineChars="200"/>
        <w:jc w:val="left"/>
        <w:rPr>
          <w:rFonts w:ascii="宋体"/>
          <w:color w:val="auto"/>
          <w:szCs w:val="21"/>
          <w:highlight w:val="none"/>
        </w:rPr>
      </w:pPr>
      <w:r>
        <w:rPr>
          <w:rFonts w:hint="eastAsia" w:ascii="宋体"/>
          <w:color w:val="auto"/>
          <w:szCs w:val="21"/>
          <w:highlight w:val="none"/>
        </w:rPr>
        <w:t>11.1 投标人应仔细阅读招标文件，在完全了解采购的内容、技术要求（见第五章“</w:t>
      </w:r>
      <w:r>
        <w:rPr>
          <w:rFonts w:hint="eastAsia" w:ascii="宋体"/>
          <w:b/>
          <w:bCs/>
          <w:color w:val="auto"/>
          <w:szCs w:val="21"/>
          <w:highlight w:val="none"/>
        </w:rPr>
        <w:t>招标内容及要求</w:t>
      </w:r>
      <w:r>
        <w:rPr>
          <w:rFonts w:hint="eastAsia" w:ascii="宋体"/>
          <w:color w:val="auto"/>
          <w:szCs w:val="21"/>
          <w:highlight w:val="none"/>
        </w:rPr>
        <w:t>”）和商务条件后，编写投标文件。如果没有按照招标文件要求提交全部投标文件或者资料，没有对招标文件的实质性要求和条件作出响应是投标人的风险，并可能导致该投标被拒绝。</w:t>
      </w:r>
    </w:p>
    <w:p w14:paraId="54FB99A1">
      <w:pPr>
        <w:spacing w:line="360" w:lineRule="auto"/>
        <w:ind w:firstLine="420" w:firstLineChars="200"/>
        <w:jc w:val="left"/>
        <w:rPr>
          <w:rFonts w:ascii="宋体"/>
          <w:color w:val="auto"/>
          <w:szCs w:val="21"/>
          <w:highlight w:val="none"/>
        </w:rPr>
      </w:pPr>
      <w:r>
        <w:rPr>
          <w:rFonts w:hint="eastAsia" w:ascii="宋体"/>
          <w:color w:val="auto"/>
          <w:szCs w:val="21"/>
          <w:highlight w:val="none"/>
        </w:rPr>
        <w:t>11.2对招标文件提出的实质性要求和条件作出响应是指投标人必须对招标文件中标明的实质性要求和条件、合同主要条款及其它要求等内容作出满足或者优于原要求和条件的承诺。</w:t>
      </w:r>
    </w:p>
    <w:p w14:paraId="53419FD0">
      <w:pPr>
        <w:spacing w:line="360" w:lineRule="auto"/>
        <w:ind w:firstLine="420" w:firstLineChars="200"/>
        <w:jc w:val="left"/>
        <w:rPr>
          <w:rFonts w:ascii="宋体"/>
          <w:color w:val="auto"/>
          <w:szCs w:val="21"/>
          <w:highlight w:val="none"/>
        </w:rPr>
      </w:pPr>
      <w:r>
        <w:rPr>
          <w:rFonts w:hint="eastAsia" w:ascii="宋体"/>
          <w:color w:val="auto"/>
          <w:szCs w:val="21"/>
          <w:highlight w:val="none"/>
        </w:rPr>
        <w:t>11.3按“政采云平台”的要求编制、加密、上传，并按招标文件要求由投标单位的法定代表人或其委托代理人签字</w:t>
      </w:r>
      <w:r>
        <w:rPr>
          <w:rFonts w:hint="eastAsia" w:ascii="宋体"/>
          <w:color w:val="auto"/>
          <w:szCs w:val="21"/>
          <w:highlight w:val="none"/>
          <w:lang w:eastAsia="zh-CN"/>
        </w:rPr>
        <w:t>或加</w:t>
      </w:r>
      <w:r>
        <w:rPr>
          <w:rFonts w:hint="eastAsia" w:ascii="宋体"/>
          <w:color w:val="auto"/>
          <w:szCs w:val="21"/>
          <w:highlight w:val="none"/>
        </w:rPr>
        <w:t>盖单</w:t>
      </w:r>
      <w:r>
        <w:rPr>
          <w:rFonts w:hint="eastAsia" w:ascii="宋体"/>
          <w:color w:val="auto"/>
          <w:szCs w:val="21"/>
          <w:highlight w:val="none"/>
          <w:lang w:eastAsia="zh-CN"/>
        </w:rPr>
        <w:t>位公</w:t>
      </w:r>
      <w:r>
        <w:rPr>
          <w:rFonts w:hint="eastAsia" w:ascii="宋体"/>
          <w:color w:val="auto"/>
          <w:szCs w:val="21"/>
          <w:highlight w:val="none"/>
        </w:rPr>
        <w:t>章。委托代理人签字的，投标文件应附法定代表人签署的授权委托书。</w:t>
      </w:r>
    </w:p>
    <w:p w14:paraId="179CBEBD">
      <w:pPr>
        <w:spacing w:line="360" w:lineRule="auto"/>
        <w:ind w:firstLine="420" w:firstLineChars="200"/>
        <w:jc w:val="left"/>
        <w:rPr>
          <w:rFonts w:ascii="宋体"/>
          <w:color w:val="auto"/>
          <w:szCs w:val="21"/>
          <w:highlight w:val="none"/>
        </w:rPr>
      </w:pPr>
      <w:r>
        <w:rPr>
          <w:rFonts w:hint="eastAsia" w:ascii="宋体"/>
          <w:color w:val="auto"/>
          <w:szCs w:val="21"/>
          <w:highlight w:val="none"/>
        </w:rPr>
        <w:t>11.4投标文件应尽量避免涂改、行间插字或删除。如果出现上述情况，改动之处应加盖单</w:t>
      </w:r>
      <w:r>
        <w:rPr>
          <w:rFonts w:hint="eastAsia" w:ascii="宋体"/>
          <w:color w:val="auto"/>
          <w:szCs w:val="21"/>
          <w:highlight w:val="none"/>
          <w:lang w:eastAsia="zh-CN"/>
        </w:rPr>
        <w:t>位公</w:t>
      </w:r>
      <w:r>
        <w:rPr>
          <w:rFonts w:hint="eastAsia" w:ascii="宋体"/>
          <w:color w:val="auto"/>
          <w:szCs w:val="21"/>
          <w:highlight w:val="none"/>
        </w:rPr>
        <w:t>章或投标人法定代表人或其授权的代理人签字确认。</w:t>
      </w:r>
    </w:p>
    <w:p w14:paraId="734E19C5">
      <w:pPr>
        <w:spacing w:line="360" w:lineRule="auto"/>
        <w:ind w:firstLine="420" w:firstLineChars="200"/>
        <w:jc w:val="left"/>
        <w:rPr>
          <w:rFonts w:ascii="宋体"/>
          <w:color w:val="auto"/>
          <w:szCs w:val="21"/>
          <w:highlight w:val="none"/>
        </w:rPr>
      </w:pPr>
      <w:r>
        <w:rPr>
          <w:rFonts w:hint="eastAsia" w:ascii="宋体"/>
          <w:color w:val="auto"/>
          <w:szCs w:val="21"/>
          <w:highlight w:val="none"/>
        </w:rPr>
        <w:t>11.5 字迹潦草、表达不清、未按要求填写而导致非唯一理解，造成未实质性响应招标文件的投标文件将会被认定为无效的投标申请。</w:t>
      </w:r>
    </w:p>
    <w:p w14:paraId="163F94DA">
      <w:pPr>
        <w:spacing w:line="360" w:lineRule="auto"/>
        <w:ind w:firstLine="420" w:firstLineChars="200"/>
        <w:jc w:val="left"/>
        <w:rPr>
          <w:rFonts w:ascii="宋体" w:hAnsi="宋体"/>
          <w:color w:val="auto"/>
          <w:sz w:val="24"/>
          <w:highlight w:val="none"/>
        </w:rPr>
      </w:pPr>
      <w:r>
        <w:rPr>
          <w:rFonts w:hint="eastAsia" w:ascii="宋体"/>
          <w:color w:val="auto"/>
          <w:szCs w:val="21"/>
          <w:highlight w:val="none"/>
        </w:rPr>
        <w:t>11.</w:t>
      </w:r>
      <w:r>
        <w:rPr>
          <w:rFonts w:ascii="宋体"/>
          <w:color w:val="auto"/>
          <w:szCs w:val="21"/>
          <w:highlight w:val="none"/>
        </w:rPr>
        <w:t>6</w:t>
      </w:r>
      <w:r>
        <w:rPr>
          <w:rFonts w:hint="eastAsia" w:ascii="宋体"/>
          <w:color w:val="auto"/>
          <w:szCs w:val="21"/>
          <w:highlight w:val="none"/>
        </w:rPr>
        <w:t xml:space="preserve"> 投标文件应结合招标文件要求编制相对详细的目录，以便于评委评审时查询相应的内容进行评判。因未编制目录导致的不利于投标人的后果，由投标人自负。</w:t>
      </w:r>
    </w:p>
    <w:p w14:paraId="203E3375">
      <w:pPr>
        <w:pStyle w:val="4"/>
        <w:rPr>
          <w:color w:val="auto"/>
          <w:highlight w:val="none"/>
        </w:rPr>
      </w:pPr>
      <w:bookmarkStart w:id="50" w:name="_Toc9150"/>
      <w:r>
        <w:rPr>
          <w:rFonts w:hint="eastAsia"/>
          <w:color w:val="auto"/>
          <w:highlight w:val="none"/>
        </w:rPr>
        <w:t>12.投标文件构成（实质性要求）</w:t>
      </w:r>
      <w:bookmarkEnd w:id="50"/>
    </w:p>
    <w:p w14:paraId="5FBB6DC7">
      <w:pPr>
        <w:pStyle w:val="4"/>
        <w:ind w:left="0" w:leftChars="0" w:firstLine="420" w:firstLineChars="200"/>
        <w:rPr>
          <w:rFonts w:hint="eastAsia" w:ascii="宋体" w:hAnsi="Times New Roman" w:eastAsia="宋体" w:cs="Times New Roman"/>
          <w:b w:val="0"/>
          <w:color w:val="auto"/>
          <w:kern w:val="2"/>
          <w:sz w:val="21"/>
          <w:szCs w:val="21"/>
          <w:highlight w:val="none"/>
          <w:lang w:val="en-US" w:eastAsia="zh-CN" w:bidi="ar-SA"/>
        </w:rPr>
      </w:pPr>
      <w:bookmarkStart w:id="51" w:name="_Toc32126"/>
      <w:bookmarkStart w:id="52" w:name="_Toc2464"/>
      <w:r>
        <w:rPr>
          <w:rFonts w:hint="eastAsia" w:ascii="宋体" w:hAnsi="Times New Roman" w:eastAsia="宋体" w:cs="Times New Roman"/>
          <w:b w:val="0"/>
          <w:color w:val="auto"/>
          <w:kern w:val="2"/>
          <w:sz w:val="21"/>
          <w:szCs w:val="21"/>
          <w:highlight w:val="none"/>
          <w:lang w:val="en-US" w:eastAsia="zh-CN" w:bidi="ar-SA"/>
        </w:rPr>
        <w:t>12.1投标人编写的投标文件应按“第四章投标文件格式”要求填写。有关文件的提交如未特别注明需提供原件的，提供复印件。</w:t>
      </w:r>
      <w:bookmarkEnd w:id="51"/>
      <w:bookmarkEnd w:id="52"/>
    </w:p>
    <w:p w14:paraId="6C51367F">
      <w:pPr>
        <w:pStyle w:val="4"/>
        <w:rPr>
          <w:rFonts w:hint="eastAsia" w:ascii="宋体" w:hAnsi="Times New Roman" w:eastAsia="宋体" w:cs="Times New Roman"/>
          <w:b w:val="0"/>
          <w:color w:val="auto"/>
          <w:kern w:val="2"/>
          <w:sz w:val="21"/>
          <w:szCs w:val="21"/>
          <w:highlight w:val="none"/>
          <w:lang w:val="en-US" w:eastAsia="zh-CN" w:bidi="ar-SA"/>
        </w:rPr>
      </w:pPr>
      <w:bookmarkStart w:id="53" w:name="_Toc29138"/>
      <w:bookmarkStart w:id="54" w:name="_Toc1543"/>
      <w:r>
        <w:rPr>
          <w:rFonts w:hint="eastAsia" w:ascii="宋体" w:hAnsi="Times New Roman" w:eastAsia="宋体" w:cs="Times New Roman"/>
          <w:b w:val="0"/>
          <w:color w:val="auto"/>
          <w:kern w:val="2"/>
          <w:sz w:val="21"/>
          <w:szCs w:val="21"/>
          <w:highlight w:val="none"/>
          <w:lang w:val="en-US" w:eastAsia="zh-CN" w:bidi="ar-SA"/>
        </w:rPr>
        <w:t>12.2投标人同时投多个标段（若分标段时）的，投标文件应按标段分别编制，单独成册。</w:t>
      </w:r>
      <w:bookmarkEnd w:id="53"/>
      <w:bookmarkEnd w:id="54"/>
    </w:p>
    <w:p w14:paraId="38857F90">
      <w:pPr>
        <w:pStyle w:val="4"/>
        <w:rPr>
          <w:rFonts w:hint="eastAsia" w:ascii="宋体" w:hAnsi="Times New Roman" w:eastAsia="宋体" w:cs="Times New Roman"/>
          <w:b w:val="0"/>
          <w:color w:val="auto"/>
          <w:kern w:val="2"/>
          <w:sz w:val="21"/>
          <w:szCs w:val="21"/>
          <w:highlight w:val="none"/>
          <w:lang w:val="en-US" w:eastAsia="zh-CN" w:bidi="ar-SA"/>
        </w:rPr>
      </w:pPr>
      <w:bookmarkStart w:id="55" w:name="_Toc10010"/>
      <w:bookmarkStart w:id="56" w:name="_Toc12937"/>
      <w:r>
        <w:rPr>
          <w:rFonts w:hint="eastAsia" w:ascii="宋体" w:hAnsi="Times New Roman" w:eastAsia="宋体" w:cs="Times New Roman"/>
          <w:b w:val="0"/>
          <w:color w:val="auto"/>
          <w:kern w:val="2"/>
          <w:sz w:val="21"/>
          <w:szCs w:val="21"/>
          <w:highlight w:val="none"/>
          <w:lang w:val="en-US" w:eastAsia="zh-CN" w:bidi="ar-SA"/>
        </w:rPr>
        <w:t>12.3构成投标文件的其他资料：详见“投标人须知前附表”要求。</w:t>
      </w:r>
      <w:bookmarkEnd w:id="55"/>
      <w:bookmarkEnd w:id="56"/>
    </w:p>
    <w:p w14:paraId="6E5F471B">
      <w:pPr>
        <w:pStyle w:val="4"/>
        <w:rPr>
          <w:color w:val="auto"/>
          <w:highlight w:val="none"/>
        </w:rPr>
      </w:pPr>
      <w:bookmarkStart w:id="57" w:name="_Toc24507"/>
      <w:r>
        <w:rPr>
          <w:rFonts w:hint="eastAsia"/>
          <w:color w:val="auto"/>
          <w:highlight w:val="none"/>
        </w:rPr>
        <w:t>13.投标文件的格式要求</w:t>
      </w:r>
      <w:bookmarkEnd w:id="57"/>
    </w:p>
    <w:p w14:paraId="5837BCDC">
      <w:pPr>
        <w:spacing w:line="360" w:lineRule="auto"/>
        <w:ind w:firstLine="420" w:firstLineChars="200"/>
        <w:jc w:val="left"/>
        <w:rPr>
          <w:rFonts w:ascii="宋体"/>
          <w:color w:val="auto"/>
          <w:szCs w:val="21"/>
          <w:highlight w:val="none"/>
        </w:rPr>
      </w:pPr>
      <w:r>
        <w:rPr>
          <w:rFonts w:hint="eastAsia" w:ascii="宋体"/>
          <w:color w:val="auto"/>
          <w:szCs w:val="21"/>
          <w:highlight w:val="none"/>
        </w:rPr>
        <w:t>13.1投标文件按“政采云平台”的</w:t>
      </w:r>
      <w:r>
        <w:rPr>
          <w:rFonts w:hint="eastAsia" w:ascii="宋体"/>
          <w:color w:val="auto"/>
          <w:szCs w:val="21"/>
          <w:highlight w:val="none"/>
          <w:lang w:eastAsia="zh-CN"/>
        </w:rPr>
        <w:t>要求</w:t>
      </w:r>
      <w:r>
        <w:rPr>
          <w:rFonts w:hint="eastAsia" w:ascii="宋体"/>
          <w:color w:val="auto"/>
          <w:szCs w:val="21"/>
          <w:highlight w:val="none"/>
        </w:rPr>
        <w:t>格式编制。</w:t>
      </w:r>
    </w:p>
    <w:p w14:paraId="6D552D0B">
      <w:pPr>
        <w:spacing w:line="360" w:lineRule="auto"/>
        <w:ind w:firstLine="420" w:firstLineChars="200"/>
        <w:jc w:val="left"/>
        <w:rPr>
          <w:rFonts w:ascii="宋体"/>
          <w:bCs/>
          <w:color w:val="auto"/>
          <w:szCs w:val="21"/>
          <w:highlight w:val="none"/>
        </w:rPr>
      </w:pPr>
      <w:r>
        <w:rPr>
          <w:rFonts w:hint="eastAsia" w:ascii="宋体"/>
          <w:color w:val="auto"/>
          <w:szCs w:val="21"/>
          <w:highlight w:val="none"/>
        </w:rPr>
        <w:t>13.2投标文件内容应按照</w:t>
      </w:r>
      <w:r>
        <w:rPr>
          <w:rFonts w:hint="eastAsia" w:ascii="宋体"/>
          <w:b/>
          <w:color w:val="auto"/>
          <w:szCs w:val="21"/>
          <w:highlight w:val="none"/>
        </w:rPr>
        <w:t>第四章“投标文件格式”</w:t>
      </w:r>
      <w:r>
        <w:rPr>
          <w:rFonts w:hint="eastAsia" w:ascii="宋体"/>
          <w:color w:val="auto"/>
          <w:szCs w:val="21"/>
          <w:highlight w:val="none"/>
        </w:rPr>
        <w:t>提供的格式完整填写。</w:t>
      </w:r>
    </w:p>
    <w:p w14:paraId="77ADF920">
      <w:pPr>
        <w:pStyle w:val="4"/>
        <w:rPr>
          <w:color w:val="auto"/>
          <w:highlight w:val="none"/>
        </w:rPr>
      </w:pPr>
      <w:bookmarkStart w:id="58" w:name="_Toc1598"/>
      <w:r>
        <w:rPr>
          <w:rFonts w:hint="eastAsia"/>
          <w:color w:val="auto"/>
          <w:highlight w:val="none"/>
        </w:rPr>
        <w:t>14.投标报价（实质性要求）</w:t>
      </w:r>
      <w:bookmarkEnd w:id="58"/>
    </w:p>
    <w:p w14:paraId="683B43D3">
      <w:pPr>
        <w:spacing w:line="360" w:lineRule="auto"/>
        <w:ind w:firstLine="420" w:firstLineChars="200"/>
        <w:jc w:val="left"/>
        <w:rPr>
          <w:rFonts w:ascii="宋体"/>
          <w:color w:val="auto"/>
          <w:szCs w:val="21"/>
          <w:highlight w:val="none"/>
        </w:rPr>
      </w:pPr>
      <w:r>
        <w:rPr>
          <w:rFonts w:hint="eastAsia" w:ascii="宋体"/>
          <w:color w:val="auto"/>
          <w:szCs w:val="21"/>
          <w:highlight w:val="none"/>
        </w:rPr>
        <w:t>14.1报价应包含完成第五章“招标内容及要求”所需的各种费用及必要的保险费用和各项税金等所有费用的总和。</w:t>
      </w:r>
    </w:p>
    <w:p w14:paraId="44A5D197">
      <w:pPr>
        <w:spacing w:line="360" w:lineRule="auto"/>
        <w:ind w:firstLine="420" w:firstLineChars="200"/>
        <w:jc w:val="left"/>
        <w:rPr>
          <w:rFonts w:ascii="宋体"/>
          <w:color w:val="auto"/>
          <w:szCs w:val="21"/>
          <w:highlight w:val="none"/>
        </w:rPr>
      </w:pPr>
      <w:r>
        <w:rPr>
          <w:rFonts w:hint="eastAsia" w:ascii="宋体"/>
          <w:color w:val="auto"/>
          <w:szCs w:val="21"/>
          <w:highlight w:val="none"/>
        </w:rPr>
        <w:t>14.2 投标人须就“招标内容及要求”中的内容按包作完整唯一报价。</w:t>
      </w:r>
    </w:p>
    <w:p w14:paraId="286662D3">
      <w:pPr>
        <w:spacing w:line="360" w:lineRule="auto"/>
        <w:ind w:firstLine="420" w:firstLineChars="200"/>
        <w:jc w:val="left"/>
        <w:rPr>
          <w:rFonts w:ascii="宋体"/>
          <w:color w:val="auto"/>
          <w:szCs w:val="21"/>
          <w:highlight w:val="none"/>
        </w:rPr>
      </w:pPr>
      <w:r>
        <w:rPr>
          <w:rFonts w:hint="eastAsia" w:ascii="宋体"/>
          <w:color w:val="auto"/>
          <w:szCs w:val="21"/>
          <w:highlight w:val="none"/>
        </w:rPr>
        <w:t>14.3投标人的投标报价应依据招标文件的要求及有关资料，执行国家规定的现行技术、经济标准、定额及规范，由投标人自行测算出现行市场的各类价格。</w:t>
      </w:r>
      <w:r>
        <w:rPr>
          <w:rFonts w:ascii="宋体" w:hAnsi="宋体"/>
          <w:color w:val="auto"/>
          <w:szCs w:val="21"/>
          <w:highlight w:val="none"/>
        </w:rPr>
        <w:t>报价包括但不限于</w:t>
      </w:r>
      <w:r>
        <w:rPr>
          <w:rFonts w:hint="eastAsia" w:ascii="宋体" w:hAnsi="宋体"/>
          <w:color w:val="auto"/>
          <w:szCs w:val="21"/>
          <w:highlight w:val="none"/>
        </w:rPr>
        <w:t>：</w:t>
      </w:r>
      <w:r>
        <w:rPr>
          <w:rFonts w:hint="eastAsia" w:ascii="宋体" w:hAnsi="宋体"/>
          <w:b/>
          <w:bCs/>
          <w:color w:val="auto"/>
          <w:szCs w:val="21"/>
          <w:highlight w:val="none"/>
        </w:rPr>
        <w:t>货物价格、装卸运输费、安装费、调试费、差旅费、质保期内备品备件费</w:t>
      </w:r>
      <w:r>
        <w:rPr>
          <w:rFonts w:hint="eastAsia" w:ascii="宋体" w:hAnsi="宋体"/>
          <w:b/>
          <w:bCs/>
          <w:color w:val="auto"/>
          <w:szCs w:val="21"/>
          <w:highlight w:val="none"/>
          <w:lang w:eastAsia="zh-CN"/>
        </w:rPr>
        <w:t>、</w:t>
      </w:r>
      <w:r>
        <w:rPr>
          <w:rFonts w:hint="eastAsia" w:ascii="宋体" w:hAnsi="宋体"/>
          <w:b/>
          <w:bCs/>
          <w:color w:val="auto"/>
          <w:szCs w:val="21"/>
          <w:highlight w:val="none"/>
        </w:rPr>
        <w:t>售后服务费、保险费、税金、</w:t>
      </w:r>
      <w:r>
        <w:rPr>
          <w:rFonts w:hint="eastAsia" w:ascii="宋体" w:hAnsi="宋体"/>
          <w:b/>
          <w:bCs/>
          <w:color w:val="auto"/>
          <w:szCs w:val="21"/>
          <w:highlight w:val="none"/>
          <w:lang w:eastAsia="zh-CN"/>
        </w:rPr>
        <w:t>中标服务费等完成本项目所需的所有费用</w:t>
      </w:r>
      <w:r>
        <w:rPr>
          <w:rFonts w:hint="eastAsia" w:ascii="宋体" w:hAnsi="宋体"/>
          <w:b/>
          <w:bCs/>
          <w:color w:val="auto"/>
          <w:szCs w:val="21"/>
          <w:highlight w:val="none"/>
        </w:rPr>
        <w:t>。</w:t>
      </w:r>
      <w:r>
        <w:rPr>
          <w:rFonts w:hint="eastAsia" w:ascii="宋体"/>
          <w:color w:val="auto"/>
          <w:szCs w:val="21"/>
          <w:highlight w:val="none"/>
        </w:rPr>
        <w:t>该报价应符合国内行情并能保证投标人完成履行合同所需的一切工作。合同一旦签订，此合同价格在合同执行期间将不因工作量的变化而调整。</w:t>
      </w:r>
    </w:p>
    <w:p w14:paraId="7AEA11BD">
      <w:pPr>
        <w:spacing w:line="360" w:lineRule="auto"/>
        <w:ind w:firstLine="420" w:firstLineChars="200"/>
        <w:jc w:val="left"/>
        <w:rPr>
          <w:rFonts w:ascii="宋体"/>
          <w:color w:val="auto"/>
          <w:szCs w:val="21"/>
          <w:highlight w:val="none"/>
        </w:rPr>
      </w:pPr>
      <w:r>
        <w:rPr>
          <w:rFonts w:hint="eastAsia" w:ascii="宋体"/>
          <w:color w:val="auto"/>
          <w:szCs w:val="21"/>
          <w:highlight w:val="none"/>
        </w:rPr>
        <w:t>14.4投标人在参与本次投标的过程中，不得存在弄虚作假、行贿或者其他违法违规行为，不能低于成本价投标，否则造成的后果由投标人承担，且应在投标文件中作出相应承诺，否则将不能通过符合性评审。</w:t>
      </w:r>
    </w:p>
    <w:p w14:paraId="00B77EBE">
      <w:pPr>
        <w:pStyle w:val="4"/>
        <w:rPr>
          <w:color w:val="auto"/>
          <w:highlight w:val="none"/>
        </w:rPr>
      </w:pPr>
      <w:bookmarkStart w:id="59" w:name="_Toc30127"/>
      <w:r>
        <w:rPr>
          <w:rFonts w:hint="eastAsia"/>
          <w:color w:val="auto"/>
          <w:highlight w:val="none"/>
        </w:rPr>
        <w:t>15.投标货币（实质性要求）</w:t>
      </w:r>
      <w:bookmarkEnd w:id="59"/>
    </w:p>
    <w:p w14:paraId="1A85F4E6">
      <w:pPr>
        <w:spacing w:line="360" w:lineRule="auto"/>
        <w:ind w:firstLine="420" w:firstLineChars="200"/>
        <w:jc w:val="left"/>
        <w:rPr>
          <w:rFonts w:ascii="宋体"/>
          <w:bCs/>
          <w:color w:val="auto"/>
          <w:szCs w:val="21"/>
          <w:highlight w:val="none"/>
        </w:rPr>
      </w:pPr>
      <w:r>
        <w:rPr>
          <w:rFonts w:hint="eastAsia" w:ascii="宋体"/>
          <w:color w:val="auto"/>
          <w:szCs w:val="21"/>
          <w:highlight w:val="none"/>
        </w:rPr>
        <w:t>投标应以人民币报价。</w:t>
      </w:r>
    </w:p>
    <w:p w14:paraId="2010E609">
      <w:pPr>
        <w:pStyle w:val="4"/>
        <w:rPr>
          <w:color w:val="auto"/>
          <w:highlight w:val="none"/>
        </w:rPr>
      </w:pPr>
      <w:bookmarkStart w:id="60" w:name="_Toc16861"/>
      <w:r>
        <w:rPr>
          <w:rFonts w:hint="eastAsia"/>
          <w:color w:val="auto"/>
          <w:highlight w:val="none"/>
        </w:rPr>
        <w:t>16.投标有效期（实质性要求）</w:t>
      </w:r>
      <w:bookmarkEnd w:id="60"/>
    </w:p>
    <w:p w14:paraId="4355BB60">
      <w:pPr>
        <w:spacing w:line="360" w:lineRule="auto"/>
        <w:ind w:firstLine="420" w:firstLineChars="200"/>
        <w:jc w:val="left"/>
        <w:rPr>
          <w:rFonts w:ascii="宋体"/>
          <w:color w:val="auto"/>
          <w:szCs w:val="21"/>
          <w:highlight w:val="none"/>
        </w:rPr>
      </w:pPr>
      <w:r>
        <w:rPr>
          <w:rFonts w:hint="eastAsia" w:ascii="宋体"/>
          <w:color w:val="auto"/>
          <w:szCs w:val="21"/>
          <w:highlight w:val="none"/>
        </w:rPr>
        <w:t>16.1 在“</w:t>
      </w:r>
      <w:r>
        <w:rPr>
          <w:rFonts w:hint="eastAsia" w:ascii="宋体"/>
          <w:b/>
          <w:bCs/>
          <w:color w:val="auto"/>
          <w:szCs w:val="21"/>
          <w:highlight w:val="none"/>
        </w:rPr>
        <w:t>投标人须知前附表</w:t>
      </w:r>
      <w:r>
        <w:rPr>
          <w:rFonts w:hint="eastAsia" w:ascii="宋体"/>
          <w:color w:val="auto"/>
          <w:szCs w:val="21"/>
          <w:highlight w:val="none"/>
        </w:rPr>
        <w:t>”规定的投标有效期内，投标人不得要求撤销或修改其投标文件。</w:t>
      </w:r>
    </w:p>
    <w:p w14:paraId="4B023ABD">
      <w:pPr>
        <w:spacing w:line="360" w:lineRule="auto"/>
        <w:ind w:firstLine="420" w:firstLineChars="200"/>
        <w:jc w:val="left"/>
        <w:rPr>
          <w:rFonts w:ascii="宋体"/>
          <w:color w:val="auto"/>
          <w:szCs w:val="21"/>
          <w:highlight w:val="none"/>
        </w:rPr>
      </w:pPr>
      <w:r>
        <w:rPr>
          <w:rFonts w:hint="eastAsia" w:ascii="宋体"/>
          <w:color w:val="auto"/>
          <w:szCs w:val="21"/>
          <w:highlight w:val="none"/>
        </w:rPr>
        <w:t>16.2特殊情况需要延长投标有效期的，</w:t>
      </w:r>
      <w:r>
        <w:rPr>
          <w:rFonts w:hint="eastAsia" w:ascii="宋体"/>
          <w:color w:val="auto"/>
          <w:szCs w:val="21"/>
          <w:highlight w:val="none"/>
          <w:lang w:eastAsia="zh-CN"/>
        </w:rPr>
        <w:t>采购人</w:t>
      </w:r>
      <w:r>
        <w:rPr>
          <w:rFonts w:hint="eastAsia" w:ascii="宋体"/>
          <w:color w:val="auto"/>
          <w:szCs w:val="21"/>
          <w:highlight w:val="none"/>
        </w:rPr>
        <w:t>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2F943330">
      <w:pPr>
        <w:pStyle w:val="4"/>
        <w:rPr>
          <w:color w:val="auto"/>
          <w:highlight w:val="none"/>
        </w:rPr>
      </w:pPr>
      <w:bookmarkStart w:id="61" w:name="_Toc896"/>
      <w:r>
        <w:rPr>
          <w:rFonts w:hint="eastAsia"/>
          <w:color w:val="auto"/>
          <w:highlight w:val="none"/>
        </w:rPr>
        <w:t>17.投标文件的书写要求（实质性要求）</w:t>
      </w:r>
      <w:bookmarkEnd w:id="61"/>
    </w:p>
    <w:p w14:paraId="637C79B3">
      <w:pPr>
        <w:spacing w:line="360" w:lineRule="auto"/>
        <w:ind w:firstLine="420" w:firstLineChars="200"/>
        <w:jc w:val="left"/>
        <w:rPr>
          <w:rFonts w:ascii="宋体"/>
          <w:bCs/>
          <w:color w:val="auto"/>
          <w:szCs w:val="21"/>
          <w:highlight w:val="none"/>
        </w:rPr>
      </w:pPr>
      <w:r>
        <w:rPr>
          <w:rFonts w:hint="eastAsia" w:ascii="宋体"/>
          <w:color w:val="auto"/>
          <w:szCs w:val="21"/>
          <w:highlight w:val="none"/>
        </w:rPr>
        <w:t>17.1投标文件须按招标文件要求由投标人的法定代表人或其委托代理人签字或电子签章。</w:t>
      </w:r>
      <w:r>
        <w:rPr>
          <w:rFonts w:hint="eastAsia" w:ascii="宋体"/>
          <w:bCs/>
          <w:color w:val="auto"/>
          <w:szCs w:val="21"/>
          <w:highlight w:val="none"/>
        </w:rPr>
        <w:t>委托代理人签字的，投标文件应附法定代表人签署的授权委托书。</w:t>
      </w:r>
    </w:p>
    <w:p w14:paraId="3955A9E2">
      <w:pPr>
        <w:spacing w:line="360" w:lineRule="auto"/>
        <w:ind w:firstLine="420" w:firstLineChars="200"/>
        <w:jc w:val="left"/>
        <w:rPr>
          <w:rFonts w:ascii="宋体"/>
          <w:color w:val="auto"/>
          <w:szCs w:val="21"/>
          <w:highlight w:val="none"/>
        </w:rPr>
      </w:pPr>
      <w:r>
        <w:rPr>
          <w:rFonts w:hint="eastAsia" w:ascii="宋体"/>
          <w:color w:val="auto"/>
          <w:szCs w:val="21"/>
          <w:highlight w:val="none"/>
        </w:rPr>
        <w:t>17.2 投标文件应尽量避免涂改、行间插字或删除。如果出现上述情况，改动之处应加盖单位电子签章或投标人法定代表人或其授权的代理人签字确认。招标文件中要求提供原件、扫描件的均应加盖单位电子签章。招标文件中提到的原件扫描件为彩色扫描件。</w:t>
      </w:r>
    </w:p>
    <w:p w14:paraId="2663257C">
      <w:pPr>
        <w:spacing w:line="360" w:lineRule="auto"/>
        <w:ind w:firstLine="420" w:firstLineChars="200"/>
        <w:jc w:val="left"/>
        <w:rPr>
          <w:rFonts w:ascii="宋体"/>
          <w:color w:val="auto"/>
          <w:szCs w:val="21"/>
          <w:highlight w:val="none"/>
        </w:rPr>
      </w:pPr>
      <w:r>
        <w:rPr>
          <w:rFonts w:hint="eastAsia" w:ascii="宋体"/>
          <w:color w:val="auto"/>
          <w:szCs w:val="21"/>
          <w:highlight w:val="none"/>
        </w:rPr>
        <w:t>17.3字迹潦草、表达不清、未按要求填写而导致非唯一理解，造成未实质性响应招标文件的投标文件将会被认定为无效的投标。</w:t>
      </w:r>
    </w:p>
    <w:p w14:paraId="44A1CC7B">
      <w:pPr>
        <w:spacing w:line="360" w:lineRule="auto"/>
        <w:ind w:firstLine="420" w:firstLineChars="200"/>
        <w:jc w:val="left"/>
        <w:rPr>
          <w:rFonts w:ascii="宋体"/>
          <w:color w:val="auto"/>
          <w:szCs w:val="21"/>
          <w:highlight w:val="none"/>
        </w:rPr>
      </w:pPr>
      <w:r>
        <w:rPr>
          <w:rFonts w:hint="eastAsia" w:ascii="宋体"/>
          <w:color w:val="auto"/>
          <w:szCs w:val="21"/>
          <w:highlight w:val="none"/>
        </w:rPr>
        <w:t>17.4投标人应对所提交的数据、业绩资料、信誉、证书、证件等的真实性负责，</w:t>
      </w:r>
      <w:r>
        <w:rPr>
          <w:rFonts w:hint="eastAsia" w:ascii="宋体"/>
          <w:color w:val="auto"/>
          <w:szCs w:val="21"/>
          <w:highlight w:val="none"/>
          <w:lang w:eastAsia="zh-CN"/>
        </w:rPr>
        <w:t>采购人</w:t>
      </w:r>
      <w:r>
        <w:rPr>
          <w:rFonts w:hint="eastAsia" w:ascii="宋体"/>
          <w:color w:val="auto"/>
          <w:szCs w:val="21"/>
          <w:highlight w:val="none"/>
        </w:rPr>
        <w:t>将对资料的真实性进行核实，一旦发现提供虚假材料的，</w:t>
      </w:r>
      <w:r>
        <w:rPr>
          <w:rFonts w:hint="eastAsia" w:ascii="宋体"/>
          <w:color w:val="auto"/>
          <w:szCs w:val="21"/>
          <w:highlight w:val="none"/>
          <w:lang w:eastAsia="zh-CN"/>
        </w:rPr>
        <w:t>采购人</w:t>
      </w:r>
      <w:r>
        <w:rPr>
          <w:rFonts w:hint="eastAsia" w:ascii="宋体"/>
          <w:color w:val="auto"/>
          <w:szCs w:val="21"/>
          <w:highlight w:val="none"/>
        </w:rPr>
        <w:t>除取消其中标资格，还将向相关部门报告其不良行为，投标人将自行承担相关后果和法律责任。投标人须对此进行承诺，否则投标文件按无效标书处理。</w:t>
      </w:r>
    </w:p>
    <w:p w14:paraId="0E2E5AA3">
      <w:pPr>
        <w:pStyle w:val="4"/>
        <w:rPr>
          <w:color w:val="auto"/>
          <w:highlight w:val="none"/>
        </w:rPr>
      </w:pPr>
      <w:bookmarkStart w:id="62" w:name="_Toc11013"/>
      <w:r>
        <w:rPr>
          <w:rFonts w:hint="eastAsia"/>
          <w:color w:val="auto"/>
          <w:highlight w:val="none"/>
        </w:rPr>
        <w:t>18.投标保证金（实质性要求）</w:t>
      </w:r>
      <w:bookmarkEnd w:id="62"/>
    </w:p>
    <w:p w14:paraId="2357CB6D">
      <w:pPr>
        <w:spacing w:line="480" w:lineRule="exact"/>
        <w:ind w:firstLine="420" w:firstLineChars="200"/>
        <w:rPr>
          <w:rFonts w:ascii="宋体"/>
          <w:color w:val="auto"/>
          <w:szCs w:val="21"/>
          <w:highlight w:val="none"/>
        </w:rPr>
      </w:pPr>
      <w:r>
        <w:rPr>
          <w:rFonts w:hint="eastAsia" w:ascii="宋体"/>
          <w:color w:val="auto"/>
          <w:szCs w:val="21"/>
          <w:highlight w:val="none"/>
        </w:rPr>
        <w:t>18.1投标保证金应按投标人须知前附表的规定递交，递交注意以下事项：</w:t>
      </w:r>
    </w:p>
    <w:p w14:paraId="7A23CE84">
      <w:pPr>
        <w:spacing w:line="480" w:lineRule="exact"/>
        <w:ind w:firstLine="420" w:firstLineChars="200"/>
        <w:rPr>
          <w:rFonts w:ascii="宋体"/>
          <w:color w:val="auto"/>
          <w:szCs w:val="21"/>
          <w:highlight w:val="none"/>
        </w:rPr>
      </w:pPr>
      <w:r>
        <w:rPr>
          <w:rFonts w:hint="eastAsia" w:ascii="宋体"/>
          <w:color w:val="auto"/>
          <w:szCs w:val="21"/>
          <w:highlight w:val="none"/>
        </w:rPr>
        <w:t>（一）投标人应按招标文件规定的时间、地点、方式和标准提交保证金或银行保函。保证金应在规定的截止时间前到达保证金专用账户，</w:t>
      </w:r>
      <w:r>
        <w:rPr>
          <w:rFonts w:hint="eastAsia" w:ascii="宋体"/>
          <w:color w:val="auto"/>
          <w:szCs w:val="21"/>
          <w:highlight w:val="none"/>
          <w:lang w:eastAsia="zh-CN"/>
        </w:rPr>
        <w:t>到账时间</w:t>
      </w:r>
      <w:r>
        <w:rPr>
          <w:rFonts w:hint="eastAsia" w:ascii="宋体"/>
          <w:color w:val="auto"/>
          <w:szCs w:val="21"/>
          <w:highlight w:val="none"/>
        </w:rPr>
        <w:t>以银行确认的到达专用账户的时间为准。保证金有效期与投标有效期一致。以保险方式递交的，保险期与投标有效期一致。</w:t>
      </w:r>
    </w:p>
    <w:p w14:paraId="4AB68774">
      <w:pPr>
        <w:spacing w:line="480" w:lineRule="exact"/>
        <w:ind w:firstLine="420" w:firstLineChars="200"/>
        <w:rPr>
          <w:rFonts w:ascii="宋体"/>
          <w:color w:val="auto"/>
          <w:szCs w:val="21"/>
          <w:highlight w:val="none"/>
        </w:rPr>
      </w:pPr>
      <w:r>
        <w:rPr>
          <w:rFonts w:hint="eastAsia" w:ascii="宋体"/>
          <w:color w:val="auto"/>
          <w:szCs w:val="21"/>
          <w:highlight w:val="none"/>
        </w:rPr>
        <w:t>（二）投标保证金应以投标人自身的名义提交，并且必须从其基本账户转出，不得以分支机构等其他名义提交；提交银行保函的，保函申请人必须是投标人，保证人必须是投标人基本账户的开户银行。</w:t>
      </w:r>
    </w:p>
    <w:p w14:paraId="57773D63">
      <w:pPr>
        <w:spacing w:line="480" w:lineRule="exact"/>
        <w:ind w:firstLine="420" w:firstLineChars="200"/>
        <w:rPr>
          <w:rFonts w:ascii="宋体"/>
          <w:color w:val="auto"/>
          <w:szCs w:val="21"/>
          <w:highlight w:val="none"/>
        </w:rPr>
      </w:pPr>
      <w:r>
        <w:rPr>
          <w:rFonts w:hint="eastAsia" w:ascii="宋体"/>
          <w:color w:val="auto"/>
          <w:szCs w:val="21"/>
          <w:highlight w:val="none"/>
        </w:rPr>
        <w:t>（三）投标人投同一项目下两个及以上标段（或包号）的，应按标段（或包号）分别提交保证金、银行保函。</w:t>
      </w:r>
    </w:p>
    <w:p w14:paraId="147AED6A">
      <w:pPr>
        <w:spacing w:line="480" w:lineRule="exact"/>
        <w:ind w:firstLine="420" w:firstLineChars="200"/>
        <w:rPr>
          <w:rFonts w:ascii="宋体"/>
          <w:color w:val="auto"/>
          <w:szCs w:val="21"/>
          <w:highlight w:val="none"/>
        </w:rPr>
      </w:pPr>
      <w:r>
        <w:rPr>
          <w:rFonts w:hint="eastAsia" w:ascii="宋体"/>
          <w:color w:val="auto"/>
          <w:szCs w:val="21"/>
          <w:highlight w:val="none"/>
        </w:rPr>
        <w:t>（四）投标人为联合体的，由联合体中的一方或多方共同提交投标（交易）保证金，其提交的保证金对联合体各方均具有约束力。</w:t>
      </w:r>
    </w:p>
    <w:p w14:paraId="4AF2A4F1">
      <w:pPr>
        <w:spacing w:line="480" w:lineRule="exact"/>
        <w:ind w:firstLine="420" w:firstLineChars="200"/>
        <w:rPr>
          <w:rFonts w:ascii="宋体"/>
          <w:color w:val="auto"/>
          <w:szCs w:val="21"/>
          <w:highlight w:val="none"/>
        </w:rPr>
      </w:pPr>
      <w:r>
        <w:rPr>
          <w:rFonts w:hint="eastAsia" w:ascii="宋体"/>
          <w:color w:val="auto"/>
          <w:szCs w:val="21"/>
          <w:highlight w:val="none"/>
        </w:rPr>
        <w:t>18.2 投标人不按“投标人须知前附表”要求提交投标保证金的，其投标文件作否决投标处理。</w:t>
      </w:r>
    </w:p>
    <w:p w14:paraId="59AE9C8C">
      <w:pPr>
        <w:spacing w:line="480" w:lineRule="exact"/>
        <w:ind w:firstLine="420" w:firstLineChars="200"/>
        <w:rPr>
          <w:rFonts w:ascii="宋体"/>
          <w:color w:val="auto"/>
          <w:szCs w:val="21"/>
          <w:highlight w:val="none"/>
        </w:rPr>
      </w:pPr>
      <w:r>
        <w:rPr>
          <w:rFonts w:hint="eastAsia" w:ascii="宋体"/>
          <w:color w:val="auto"/>
          <w:szCs w:val="21"/>
          <w:highlight w:val="none"/>
        </w:rPr>
        <w:t>18.3未中标的投标人在中标通知书发出后5个工作日内无息退还；中标人的保证金，在签订合同后5个工作日内无息退还。</w:t>
      </w:r>
    </w:p>
    <w:p w14:paraId="1AB88F63">
      <w:pPr>
        <w:spacing w:line="480" w:lineRule="exact"/>
        <w:ind w:firstLine="420" w:firstLineChars="200"/>
        <w:rPr>
          <w:rFonts w:ascii="宋体"/>
          <w:color w:val="auto"/>
          <w:szCs w:val="21"/>
          <w:highlight w:val="none"/>
        </w:rPr>
      </w:pPr>
      <w:r>
        <w:rPr>
          <w:rFonts w:hint="eastAsia" w:ascii="宋体"/>
          <w:color w:val="auto"/>
          <w:szCs w:val="21"/>
          <w:highlight w:val="none"/>
        </w:rPr>
        <w:t>18</w:t>
      </w:r>
      <w:r>
        <w:rPr>
          <w:rFonts w:ascii="宋体"/>
          <w:color w:val="auto"/>
          <w:szCs w:val="21"/>
          <w:highlight w:val="none"/>
        </w:rPr>
        <w:t>.</w:t>
      </w:r>
      <w:r>
        <w:rPr>
          <w:rFonts w:hint="eastAsia" w:ascii="宋体"/>
          <w:color w:val="auto"/>
          <w:szCs w:val="21"/>
          <w:highlight w:val="none"/>
        </w:rPr>
        <w:t>4</w:t>
      </w:r>
      <w:r>
        <w:rPr>
          <w:rFonts w:ascii="宋体"/>
          <w:color w:val="auto"/>
          <w:szCs w:val="21"/>
          <w:highlight w:val="none"/>
        </w:rPr>
        <w:t>下列情况发生时，保证金将全部扣除</w:t>
      </w:r>
      <w:r>
        <w:rPr>
          <w:rFonts w:hint="eastAsia" w:ascii="宋体"/>
          <w:color w:val="auto"/>
          <w:szCs w:val="21"/>
          <w:highlight w:val="none"/>
        </w:rPr>
        <w:t>不予退还</w:t>
      </w:r>
      <w:r>
        <w:rPr>
          <w:rFonts w:ascii="宋体"/>
          <w:color w:val="auto"/>
          <w:szCs w:val="21"/>
          <w:highlight w:val="none"/>
        </w:rPr>
        <w:t>：</w:t>
      </w:r>
    </w:p>
    <w:p w14:paraId="35618B5A">
      <w:pPr>
        <w:spacing w:line="480" w:lineRule="exact"/>
        <w:ind w:firstLine="420" w:firstLineChars="200"/>
        <w:rPr>
          <w:rFonts w:ascii="宋体"/>
          <w:color w:val="auto"/>
          <w:szCs w:val="21"/>
          <w:highlight w:val="none"/>
        </w:rPr>
      </w:pPr>
      <w:r>
        <w:rPr>
          <w:rFonts w:ascii="宋体"/>
          <w:color w:val="auto"/>
          <w:szCs w:val="21"/>
          <w:highlight w:val="none"/>
        </w:rPr>
        <w:t>（</w:t>
      </w:r>
      <w:r>
        <w:rPr>
          <w:rFonts w:hint="eastAsia" w:ascii="宋体"/>
          <w:color w:val="auto"/>
          <w:szCs w:val="21"/>
          <w:highlight w:val="none"/>
        </w:rPr>
        <w:t>1</w:t>
      </w:r>
      <w:r>
        <w:rPr>
          <w:rFonts w:ascii="宋体"/>
          <w:color w:val="auto"/>
          <w:szCs w:val="21"/>
          <w:highlight w:val="none"/>
        </w:rPr>
        <w:t>）</w:t>
      </w:r>
      <w:r>
        <w:rPr>
          <w:rFonts w:hint="eastAsia" w:ascii="宋体"/>
          <w:color w:val="auto"/>
          <w:szCs w:val="21"/>
          <w:highlight w:val="none"/>
        </w:rPr>
        <w:t>投标人在提交投标文件截止时间后，在投标有效期内撤销其投标文件的；</w:t>
      </w:r>
    </w:p>
    <w:p w14:paraId="7A2BD2FC">
      <w:pPr>
        <w:spacing w:line="480" w:lineRule="exact"/>
        <w:ind w:firstLine="420" w:firstLineChars="200"/>
        <w:rPr>
          <w:rFonts w:ascii="宋体"/>
          <w:color w:val="auto"/>
          <w:szCs w:val="21"/>
          <w:highlight w:val="none"/>
        </w:rPr>
      </w:pPr>
      <w:r>
        <w:rPr>
          <w:rFonts w:ascii="宋体"/>
          <w:color w:val="auto"/>
          <w:szCs w:val="21"/>
          <w:highlight w:val="none"/>
        </w:rPr>
        <w:t>（</w:t>
      </w:r>
      <w:r>
        <w:rPr>
          <w:rFonts w:hint="eastAsia" w:ascii="宋体"/>
          <w:color w:val="auto"/>
          <w:szCs w:val="21"/>
          <w:highlight w:val="none"/>
        </w:rPr>
        <w:t>2</w:t>
      </w:r>
      <w:r>
        <w:rPr>
          <w:rFonts w:ascii="宋体"/>
          <w:color w:val="auto"/>
          <w:szCs w:val="21"/>
          <w:highlight w:val="none"/>
        </w:rPr>
        <w:t>）投标人在</w:t>
      </w:r>
      <w:r>
        <w:rPr>
          <w:rFonts w:hint="eastAsia" w:ascii="宋体"/>
          <w:color w:val="auto"/>
          <w:szCs w:val="21"/>
          <w:highlight w:val="none"/>
        </w:rPr>
        <w:t>投标</w:t>
      </w:r>
      <w:r>
        <w:rPr>
          <w:rFonts w:ascii="宋体"/>
          <w:color w:val="auto"/>
          <w:szCs w:val="21"/>
          <w:highlight w:val="none"/>
        </w:rPr>
        <w:t>文件中提供虚假材料的；</w:t>
      </w:r>
    </w:p>
    <w:p w14:paraId="7E49FED6">
      <w:pPr>
        <w:spacing w:line="480" w:lineRule="exact"/>
        <w:ind w:firstLine="420" w:firstLineChars="200"/>
        <w:rPr>
          <w:rFonts w:ascii="宋体"/>
          <w:color w:val="auto"/>
          <w:szCs w:val="21"/>
          <w:highlight w:val="none"/>
        </w:rPr>
      </w:pPr>
      <w:r>
        <w:rPr>
          <w:rFonts w:ascii="宋体"/>
          <w:color w:val="auto"/>
          <w:szCs w:val="21"/>
          <w:highlight w:val="none"/>
        </w:rPr>
        <w:t>（</w:t>
      </w:r>
      <w:r>
        <w:rPr>
          <w:rFonts w:hint="eastAsia" w:ascii="宋体"/>
          <w:color w:val="auto"/>
          <w:szCs w:val="21"/>
          <w:highlight w:val="none"/>
        </w:rPr>
        <w:t>3</w:t>
      </w:r>
      <w:r>
        <w:rPr>
          <w:rFonts w:ascii="宋体"/>
          <w:color w:val="auto"/>
          <w:szCs w:val="21"/>
          <w:highlight w:val="none"/>
        </w:rPr>
        <w:t>）除因不可抗力或</w:t>
      </w:r>
      <w:r>
        <w:rPr>
          <w:rFonts w:hint="eastAsia" w:ascii="宋体"/>
          <w:color w:val="auto"/>
          <w:szCs w:val="21"/>
          <w:highlight w:val="none"/>
        </w:rPr>
        <w:t>招标</w:t>
      </w:r>
      <w:r>
        <w:rPr>
          <w:rFonts w:ascii="宋体"/>
          <w:color w:val="auto"/>
          <w:szCs w:val="21"/>
          <w:highlight w:val="none"/>
        </w:rPr>
        <w:t>文件认可的情形以外，</w:t>
      </w:r>
      <w:r>
        <w:rPr>
          <w:rFonts w:hint="eastAsia" w:ascii="宋体"/>
          <w:color w:val="auto"/>
          <w:szCs w:val="21"/>
          <w:highlight w:val="none"/>
        </w:rPr>
        <w:t>中标人</w:t>
      </w:r>
      <w:r>
        <w:rPr>
          <w:rFonts w:ascii="宋体"/>
          <w:color w:val="auto"/>
          <w:szCs w:val="21"/>
          <w:highlight w:val="none"/>
        </w:rPr>
        <w:t>不与</w:t>
      </w:r>
      <w:r>
        <w:rPr>
          <w:rFonts w:hint="eastAsia" w:ascii="宋体"/>
          <w:color w:val="auto"/>
          <w:szCs w:val="21"/>
          <w:highlight w:val="none"/>
          <w:lang w:eastAsia="zh-CN"/>
        </w:rPr>
        <w:t>采购人</w:t>
      </w:r>
      <w:r>
        <w:rPr>
          <w:rFonts w:ascii="宋体"/>
          <w:color w:val="auto"/>
          <w:szCs w:val="21"/>
          <w:highlight w:val="none"/>
        </w:rPr>
        <w:t>签订合同的；</w:t>
      </w:r>
    </w:p>
    <w:p w14:paraId="77C24A28">
      <w:pPr>
        <w:spacing w:line="480" w:lineRule="exact"/>
        <w:ind w:firstLine="420" w:firstLineChars="200"/>
        <w:rPr>
          <w:rFonts w:ascii="宋体"/>
          <w:color w:val="auto"/>
          <w:szCs w:val="21"/>
          <w:highlight w:val="none"/>
        </w:rPr>
      </w:pPr>
      <w:r>
        <w:rPr>
          <w:rFonts w:ascii="宋体"/>
          <w:color w:val="auto"/>
          <w:szCs w:val="21"/>
          <w:highlight w:val="none"/>
        </w:rPr>
        <w:t>（</w:t>
      </w:r>
      <w:r>
        <w:rPr>
          <w:rFonts w:hint="eastAsia" w:ascii="宋体"/>
          <w:color w:val="auto"/>
          <w:szCs w:val="21"/>
          <w:highlight w:val="none"/>
        </w:rPr>
        <w:t>4</w:t>
      </w:r>
      <w:r>
        <w:rPr>
          <w:rFonts w:ascii="宋体"/>
          <w:color w:val="auto"/>
          <w:szCs w:val="21"/>
          <w:highlight w:val="none"/>
        </w:rPr>
        <w:t>）投标人与</w:t>
      </w:r>
      <w:r>
        <w:rPr>
          <w:rFonts w:hint="eastAsia" w:ascii="宋体"/>
          <w:color w:val="auto"/>
          <w:szCs w:val="21"/>
          <w:highlight w:val="none"/>
          <w:lang w:eastAsia="zh-CN"/>
        </w:rPr>
        <w:t>采购人</w:t>
      </w:r>
      <w:r>
        <w:rPr>
          <w:rFonts w:ascii="宋体"/>
          <w:color w:val="auto"/>
          <w:szCs w:val="21"/>
          <w:highlight w:val="none"/>
        </w:rPr>
        <w:t>、其他投标人或者</w:t>
      </w:r>
      <w:r>
        <w:rPr>
          <w:rFonts w:hint="eastAsia" w:ascii="宋体"/>
          <w:color w:val="auto"/>
          <w:szCs w:val="21"/>
          <w:highlight w:val="none"/>
          <w:lang w:eastAsia="zh-CN"/>
        </w:rPr>
        <w:t>采购代理</w:t>
      </w:r>
      <w:r>
        <w:rPr>
          <w:rFonts w:ascii="宋体"/>
          <w:color w:val="auto"/>
          <w:szCs w:val="21"/>
          <w:highlight w:val="none"/>
        </w:rPr>
        <w:t>机构恶意串通的；</w:t>
      </w:r>
    </w:p>
    <w:p w14:paraId="73A3C874">
      <w:pPr>
        <w:spacing w:line="480" w:lineRule="exact"/>
        <w:ind w:firstLine="420" w:firstLineChars="200"/>
        <w:rPr>
          <w:rFonts w:ascii="宋体"/>
          <w:color w:val="auto"/>
          <w:szCs w:val="21"/>
          <w:highlight w:val="none"/>
        </w:rPr>
      </w:pPr>
      <w:r>
        <w:rPr>
          <w:rFonts w:ascii="宋体"/>
          <w:color w:val="auto"/>
          <w:szCs w:val="21"/>
          <w:highlight w:val="none"/>
        </w:rPr>
        <w:t>（</w:t>
      </w:r>
      <w:r>
        <w:rPr>
          <w:rFonts w:hint="eastAsia" w:ascii="宋体"/>
          <w:color w:val="auto"/>
          <w:szCs w:val="21"/>
          <w:highlight w:val="none"/>
        </w:rPr>
        <w:t>5</w:t>
      </w:r>
      <w:r>
        <w:rPr>
          <w:rFonts w:ascii="宋体"/>
          <w:color w:val="auto"/>
          <w:szCs w:val="21"/>
          <w:highlight w:val="none"/>
        </w:rPr>
        <w:t>）由于投标人的原因未按规定的时间、地点与</w:t>
      </w:r>
      <w:r>
        <w:rPr>
          <w:rFonts w:hint="eastAsia" w:ascii="宋体"/>
          <w:color w:val="auto"/>
          <w:szCs w:val="21"/>
          <w:highlight w:val="none"/>
          <w:lang w:eastAsia="zh-CN"/>
        </w:rPr>
        <w:t>采购人</w:t>
      </w:r>
      <w:r>
        <w:rPr>
          <w:rFonts w:ascii="宋体"/>
          <w:color w:val="auto"/>
          <w:szCs w:val="21"/>
          <w:highlight w:val="none"/>
        </w:rPr>
        <w:t>签订合同</w:t>
      </w:r>
      <w:r>
        <w:rPr>
          <w:rFonts w:hint="eastAsia" w:ascii="宋体"/>
          <w:color w:val="auto"/>
          <w:szCs w:val="21"/>
          <w:highlight w:val="none"/>
        </w:rPr>
        <w:t>或未提交履约保证金和支付</w:t>
      </w:r>
      <w:r>
        <w:rPr>
          <w:rFonts w:hint="eastAsia" w:ascii="宋体"/>
          <w:color w:val="auto"/>
          <w:szCs w:val="21"/>
          <w:highlight w:val="none"/>
          <w:lang w:eastAsia="zh-CN"/>
        </w:rPr>
        <w:t>采购代理</w:t>
      </w:r>
      <w:r>
        <w:rPr>
          <w:rFonts w:hint="eastAsia" w:ascii="宋体"/>
          <w:color w:val="auto"/>
          <w:szCs w:val="21"/>
          <w:highlight w:val="none"/>
        </w:rPr>
        <w:t>服务费的</w:t>
      </w:r>
      <w:r>
        <w:rPr>
          <w:rFonts w:ascii="宋体"/>
          <w:color w:val="auto"/>
          <w:szCs w:val="21"/>
          <w:highlight w:val="none"/>
        </w:rPr>
        <w:t>；</w:t>
      </w:r>
    </w:p>
    <w:p w14:paraId="6D4E07F1">
      <w:pPr>
        <w:spacing w:line="480" w:lineRule="exact"/>
        <w:ind w:firstLine="420" w:firstLineChars="200"/>
        <w:rPr>
          <w:rFonts w:ascii="宋体"/>
          <w:color w:val="auto"/>
          <w:szCs w:val="21"/>
          <w:highlight w:val="none"/>
        </w:rPr>
      </w:pPr>
      <w:r>
        <w:rPr>
          <w:rFonts w:hint="eastAsia" w:ascii="宋体"/>
          <w:color w:val="auto"/>
          <w:szCs w:val="21"/>
          <w:highlight w:val="none"/>
        </w:rPr>
        <w:t>（6）招标文件规定的其他情形。</w:t>
      </w:r>
    </w:p>
    <w:p w14:paraId="6593A7DA">
      <w:pPr>
        <w:ind w:firstLine="522"/>
        <w:rPr>
          <w:color w:val="auto"/>
          <w:highlight w:val="none"/>
        </w:rPr>
      </w:pPr>
    </w:p>
    <w:p w14:paraId="6C9B4769">
      <w:pPr>
        <w:pStyle w:val="3"/>
        <w:rPr>
          <w:color w:val="auto"/>
          <w:highlight w:val="none"/>
        </w:rPr>
      </w:pPr>
      <w:bookmarkStart w:id="63" w:name="_Toc4697"/>
      <w:r>
        <w:rPr>
          <w:rFonts w:hint="eastAsia"/>
          <w:color w:val="auto"/>
          <w:highlight w:val="none"/>
        </w:rPr>
        <w:t>四、投标文件的提交</w:t>
      </w:r>
      <w:bookmarkEnd w:id="63"/>
    </w:p>
    <w:p w14:paraId="1C0F7298">
      <w:pPr>
        <w:pStyle w:val="4"/>
        <w:rPr>
          <w:color w:val="auto"/>
          <w:highlight w:val="none"/>
        </w:rPr>
      </w:pPr>
      <w:bookmarkStart w:id="64" w:name="_Toc6437"/>
      <w:r>
        <w:rPr>
          <w:rFonts w:hint="eastAsia"/>
          <w:color w:val="auto"/>
          <w:highlight w:val="none"/>
        </w:rPr>
        <w:t>19.投标文件的密封与标记（实质性要求）</w:t>
      </w:r>
      <w:bookmarkEnd w:id="64"/>
    </w:p>
    <w:p w14:paraId="17ABF6FB">
      <w:pPr>
        <w:spacing w:line="360" w:lineRule="auto"/>
        <w:ind w:firstLine="420" w:firstLineChars="200"/>
        <w:jc w:val="left"/>
        <w:rPr>
          <w:rFonts w:ascii="宋体"/>
          <w:color w:val="auto"/>
          <w:szCs w:val="21"/>
          <w:highlight w:val="none"/>
        </w:rPr>
      </w:pPr>
      <w:r>
        <w:rPr>
          <w:rFonts w:hint="eastAsia" w:ascii="宋体"/>
          <w:color w:val="auto"/>
          <w:szCs w:val="21"/>
          <w:highlight w:val="none"/>
        </w:rPr>
        <w:t>19.1 网上递交的投标文件需要对投标文件进行加密。</w:t>
      </w:r>
    </w:p>
    <w:p w14:paraId="3B2EB2C8">
      <w:pPr>
        <w:spacing w:line="360" w:lineRule="auto"/>
        <w:ind w:firstLine="420" w:firstLineChars="200"/>
        <w:jc w:val="left"/>
        <w:rPr>
          <w:rFonts w:ascii="宋体"/>
          <w:color w:val="auto"/>
          <w:szCs w:val="21"/>
          <w:highlight w:val="none"/>
        </w:rPr>
      </w:pPr>
      <w:r>
        <w:rPr>
          <w:rFonts w:hint="eastAsia" w:ascii="宋体"/>
          <w:color w:val="auto"/>
          <w:szCs w:val="21"/>
          <w:highlight w:val="none"/>
        </w:rPr>
        <w:t>19.2投标人使用某个数字证书（CA）对投标文件进行了数字证书（CA）加密，需要在开标会上使用该数字证书（CA）进行远程解密，才能读取或导入投标文件，因投标人原因造成投标文件未解密的，视为撤回其投标文件。</w:t>
      </w:r>
    </w:p>
    <w:p w14:paraId="098D73F5">
      <w:pPr>
        <w:pStyle w:val="4"/>
        <w:rPr>
          <w:color w:val="auto"/>
          <w:highlight w:val="none"/>
        </w:rPr>
      </w:pPr>
      <w:bookmarkStart w:id="65" w:name="_Toc2843"/>
      <w:r>
        <w:rPr>
          <w:rFonts w:hint="eastAsia"/>
          <w:color w:val="auto"/>
          <w:highlight w:val="none"/>
        </w:rPr>
        <w:t>20.提交投标文件的截止时间和地点（实质性要求）</w:t>
      </w:r>
      <w:bookmarkEnd w:id="65"/>
    </w:p>
    <w:p w14:paraId="12A6348E">
      <w:pPr>
        <w:spacing w:line="360" w:lineRule="auto"/>
        <w:ind w:firstLine="420" w:firstLineChars="200"/>
        <w:jc w:val="left"/>
        <w:rPr>
          <w:rFonts w:ascii="宋体"/>
          <w:color w:val="auto"/>
          <w:szCs w:val="21"/>
          <w:highlight w:val="none"/>
        </w:rPr>
      </w:pPr>
      <w:r>
        <w:rPr>
          <w:rFonts w:hint="eastAsia" w:ascii="宋体"/>
          <w:color w:val="auto"/>
          <w:szCs w:val="21"/>
          <w:highlight w:val="none"/>
        </w:rPr>
        <w:t>20.1 投标文件的提交不得迟于“</w:t>
      </w:r>
      <w:r>
        <w:rPr>
          <w:rFonts w:hint="eastAsia" w:ascii="宋体"/>
          <w:b/>
          <w:bCs/>
          <w:color w:val="auto"/>
          <w:szCs w:val="21"/>
          <w:highlight w:val="none"/>
        </w:rPr>
        <w:t>投标人须知前附表</w:t>
      </w:r>
      <w:r>
        <w:rPr>
          <w:rFonts w:hint="eastAsia" w:ascii="宋体"/>
          <w:color w:val="auto"/>
          <w:szCs w:val="21"/>
          <w:highlight w:val="none"/>
        </w:rPr>
        <w:t>”规定的提交投标文件截止时间。</w:t>
      </w:r>
    </w:p>
    <w:p w14:paraId="0D3AE80E">
      <w:pPr>
        <w:spacing w:line="360" w:lineRule="auto"/>
        <w:ind w:firstLine="420" w:firstLineChars="200"/>
        <w:jc w:val="left"/>
        <w:rPr>
          <w:rFonts w:ascii="宋体"/>
          <w:color w:val="auto"/>
          <w:szCs w:val="21"/>
          <w:highlight w:val="none"/>
        </w:rPr>
      </w:pPr>
      <w:r>
        <w:rPr>
          <w:rFonts w:hint="eastAsia" w:ascii="宋体"/>
          <w:color w:val="auto"/>
          <w:szCs w:val="21"/>
          <w:highlight w:val="none"/>
        </w:rPr>
        <w:t>20.2 投标人必须在规定时间内将投标文件提交到“</w:t>
      </w:r>
      <w:r>
        <w:rPr>
          <w:rFonts w:hint="eastAsia" w:ascii="宋体"/>
          <w:b/>
          <w:bCs/>
          <w:color w:val="auto"/>
          <w:szCs w:val="21"/>
          <w:highlight w:val="none"/>
        </w:rPr>
        <w:t>投标人须知前附表</w:t>
      </w:r>
      <w:r>
        <w:rPr>
          <w:rFonts w:hint="eastAsia" w:ascii="宋体"/>
          <w:color w:val="auto"/>
          <w:szCs w:val="21"/>
          <w:highlight w:val="none"/>
        </w:rPr>
        <w:t>”规定的地点。</w:t>
      </w:r>
    </w:p>
    <w:p w14:paraId="27E52AF8">
      <w:pPr>
        <w:spacing w:line="360" w:lineRule="auto"/>
        <w:ind w:firstLine="420" w:firstLineChars="200"/>
        <w:jc w:val="left"/>
        <w:rPr>
          <w:rFonts w:ascii="宋体"/>
          <w:color w:val="auto"/>
          <w:szCs w:val="21"/>
          <w:highlight w:val="none"/>
        </w:rPr>
      </w:pPr>
      <w:r>
        <w:rPr>
          <w:rFonts w:hint="eastAsia" w:ascii="宋体"/>
          <w:color w:val="auto"/>
          <w:szCs w:val="21"/>
          <w:highlight w:val="none"/>
        </w:rPr>
        <w:t>20.3 除“</w:t>
      </w:r>
      <w:r>
        <w:rPr>
          <w:rFonts w:hint="eastAsia" w:ascii="宋体"/>
          <w:b/>
          <w:color w:val="auto"/>
          <w:szCs w:val="21"/>
          <w:highlight w:val="none"/>
        </w:rPr>
        <w:t>投标人须知前附表</w:t>
      </w:r>
      <w:r>
        <w:rPr>
          <w:rFonts w:hint="eastAsia" w:ascii="宋体"/>
          <w:color w:val="auto"/>
          <w:szCs w:val="21"/>
          <w:highlight w:val="none"/>
        </w:rPr>
        <w:t>”另有规定外，投标人所递交的投标文件不予退还。</w:t>
      </w:r>
    </w:p>
    <w:p w14:paraId="1DAE2351">
      <w:pPr>
        <w:spacing w:line="360" w:lineRule="auto"/>
        <w:ind w:firstLine="420" w:firstLineChars="200"/>
        <w:jc w:val="left"/>
        <w:rPr>
          <w:rFonts w:ascii="宋体"/>
          <w:color w:val="auto"/>
          <w:szCs w:val="21"/>
          <w:highlight w:val="none"/>
        </w:rPr>
      </w:pPr>
      <w:r>
        <w:rPr>
          <w:rFonts w:hint="eastAsia" w:ascii="宋体"/>
          <w:color w:val="auto"/>
          <w:szCs w:val="21"/>
          <w:highlight w:val="none"/>
        </w:rPr>
        <w:t>20.4</w:t>
      </w:r>
      <w:r>
        <w:rPr>
          <w:color w:val="auto"/>
          <w:highlight w:val="none"/>
        </w:rPr>
        <w:t>逾期</w:t>
      </w:r>
      <w:r>
        <w:rPr>
          <w:rFonts w:hint="eastAsia"/>
          <w:color w:val="auto"/>
          <w:highlight w:val="none"/>
        </w:rPr>
        <w:t>上传</w:t>
      </w:r>
      <w:r>
        <w:rPr>
          <w:color w:val="auto"/>
          <w:highlight w:val="none"/>
        </w:rPr>
        <w:t>或者未</w:t>
      </w:r>
      <w:r>
        <w:rPr>
          <w:rFonts w:hint="eastAsia"/>
          <w:color w:val="auto"/>
          <w:highlight w:val="none"/>
        </w:rPr>
        <w:t>上传</w:t>
      </w:r>
      <w:r>
        <w:rPr>
          <w:color w:val="auto"/>
          <w:highlight w:val="none"/>
        </w:rPr>
        <w:t>指定</w:t>
      </w:r>
      <w:r>
        <w:rPr>
          <w:rFonts w:hint="eastAsia"/>
          <w:color w:val="auto"/>
          <w:highlight w:val="none"/>
        </w:rPr>
        <w:t>系统项目下</w:t>
      </w:r>
      <w:r>
        <w:rPr>
          <w:color w:val="auto"/>
          <w:highlight w:val="none"/>
        </w:rPr>
        <w:t>的</w:t>
      </w:r>
      <w:r>
        <w:rPr>
          <w:rFonts w:hint="eastAsia"/>
          <w:color w:val="auto"/>
          <w:highlight w:val="none"/>
        </w:rPr>
        <w:t>投标</w:t>
      </w:r>
      <w:r>
        <w:rPr>
          <w:color w:val="auto"/>
          <w:highlight w:val="none"/>
        </w:rPr>
        <w:t>文件，</w:t>
      </w:r>
      <w:r>
        <w:rPr>
          <w:rFonts w:hint="eastAsia"/>
          <w:color w:val="auto"/>
          <w:highlight w:val="none"/>
          <w:lang w:eastAsia="zh-CN"/>
        </w:rPr>
        <w:t>采购代理</w:t>
      </w:r>
      <w:r>
        <w:rPr>
          <w:color w:val="auto"/>
          <w:highlight w:val="none"/>
        </w:rPr>
        <w:t>机构不予受理。</w:t>
      </w:r>
    </w:p>
    <w:p w14:paraId="2288CF0B">
      <w:pPr>
        <w:pStyle w:val="3"/>
        <w:rPr>
          <w:color w:val="auto"/>
          <w:highlight w:val="none"/>
        </w:rPr>
      </w:pPr>
      <w:bookmarkStart w:id="66" w:name="_Toc11292"/>
      <w:r>
        <w:rPr>
          <w:rFonts w:hint="eastAsia"/>
          <w:color w:val="auto"/>
          <w:highlight w:val="none"/>
        </w:rPr>
        <w:t>五、开标与评标</w:t>
      </w:r>
      <w:bookmarkEnd w:id="66"/>
    </w:p>
    <w:p w14:paraId="757B9396">
      <w:pPr>
        <w:pStyle w:val="4"/>
        <w:rPr>
          <w:color w:val="auto"/>
          <w:highlight w:val="none"/>
        </w:rPr>
      </w:pPr>
      <w:bookmarkStart w:id="67" w:name="_Toc1696"/>
      <w:r>
        <w:rPr>
          <w:rFonts w:hint="eastAsia"/>
          <w:color w:val="auto"/>
          <w:highlight w:val="none"/>
        </w:rPr>
        <w:t>21.开标</w:t>
      </w:r>
      <w:bookmarkEnd w:id="67"/>
    </w:p>
    <w:p w14:paraId="20D9E358">
      <w:pPr>
        <w:spacing w:line="360" w:lineRule="auto"/>
        <w:ind w:firstLine="420" w:firstLineChars="200"/>
        <w:jc w:val="left"/>
        <w:rPr>
          <w:rFonts w:ascii="宋体"/>
          <w:color w:val="auto"/>
          <w:szCs w:val="21"/>
          <w:highlight w:val="none"/>
        </w:rPr>
      </w:pPr>
      <w:r>
        <w:rPr>
          <w:rFonts w:hint="eastAsia" w:ascii="宋体"/>
          <w:color w:val="auto"/>
          <w:szCs w:val="21"/>
          <w:highlight w:val="none"/>
        </w:rPr>
        <w:t xml:space="preserve">21.1 </w:t>
      </w:r>
      <w:r>
        <w:rPr>
          <w:rFonts w:hint="eastAsia" w:ascii="宋体"/>
          <w:color w:val="auto"/>
          <w:szCs w:val="21"/>
          <w:highlight w:val="none"/>
          <w:lang w:eastAsia="zh-CN"/>
        </w:rPr>
        <w:t>采购代理</w:t>
      </w:r>
      <w:r>
        <w:rPr>
          <w:rFonts w:hint="eastAsia" w:ascii="宋体"/>
          <w:color w:val="auto"/>
          <w:szCs w:val="21"/>
          <w:highlight w:val="none"/>
        </w:rPr>
        <w:t>机构将在“投标人须知前附表”规定的时间和地点进行开标，投标人完成远程解密、查看开标一览表等相关操作。若投标人未在规定时</w:t>
      </w:r>
      <w:r>
        <w:rPr>
          <w:rFonts w:hint="eastAsia" w:ascii="宋体"/>
          <w:color w:val="auto"/>
          <w:szCs w:val="21"/>
          <w:highlight w:val="none"/>
          <w:lang w:eastAsia="zh-CN"/>
        </w:rPr>
        <w:t>间内</w:t>
      </w:r>
      <w:r>
        <w:rPr>
          <w:rFonts w:hint="eastAsia" w:ascii="宋体"/>
          <w:color w:val="auto"/>
          <w:szCs w:val="21"/>
          <w:highlight w:val="none"/>
        </w:rPr>
        <w:t xml:space="preserve">完成解密，否则视为无效投标，不再进入评标阶段。 </w:t>
      </w:r>
    </w:p>
    <w:p w14:paraId="61F37890">
      <w:pPr>
        <w:spacing w:line="360" w:lineRule="auto"/>
        <w:ind w:firstLine="420" w:firstLineChars="200"/>
        <w:jc w:val="left"/>
        <w:rPr>
          <w:rFonts w:ascii="宋体"/>
          <w:color w:val="auto"/>
          <w:szCs w:val="21"/>
          <w:highlight w:val="none"/>
        </w:rPr>
      </w:pPr>
      <w:r>
        <w:rPr>
          <w:rFonts w:hint="eastAsia" w:ascii="宋体"/>
          <w:color w:val="auto"/>
          <w:szCs w:val="21"/>
          <w:highlight w:val="none"/>
        </w:rPr>
        <w:t>21.2 开标程序</w:t>
      </w:r>
    </w:p>
    <w:p w14:paraId="54652519">
      <w:pPr>
        <w:spacing w:line="360" w:lineRule="auto"/>
        <w:ind w:firstLine="420" w:firstLineChars="200"/>
        <w:jc w:val="left"/>
        <w:rPr>
          <w:rFonts w:ascii="宋体"/>
          <w:color w:val="auto"/>
          <w:szCs w:val="21"/>
          <w:highlight w:val="none"/>
        </w:rPr>
      </w:pPr>
      <w:r>
        <w:rPr>
          <w:rFonts w:hint="eastAsia" w:ascii="宋体"/>
          <w:color w:val="auto"/>
          <w:szCs w:val="21"/>
          <w:highlight w:val="none"/>
        </w:rPr>
        <w:t>（1）开标会由</w:t>
      </w:r>
      <w:r>
        <w:rPr>
          <w:rFonts w:hint="eastAsia" w:ascii="宋体"/>
          <w:color w:val="auto"/>
          <w:szCs w:val="21"/>
          <w:highlight w:val="none"/>
          <w:lang w:eastAsia="zh-CN"/>
        </w:rPr>
        <w:t>采购代理</w:t>
      </w:r>
      <w:r>
        <w:rPr>
          <w:rFonts w:hint="eastAsia" w:ascii="宋体"/>
          <w:color w:val="auto"/>
          <w:szCs w:val="21"/>
          <w:highlight w:val="none"/>
        </w:rPr>
        <w:t>机构主持，主持人宣布开标会议开始；</w:t>
      </w:r>
    </w:p>
    <w:p w14:paraId="474D026E">
      <w:pPr>
        <w:spacing w:line="360" w:lineRule="auto"/>
        <w:ind w:firstLine="420" w:firstLineChars="200"/>
        <w:jc w:val="left"/>
        <w:rPr>
          <w:rFonts w:ascii="宋体"/>
          <w:color w:val="auto"/>
          <w:szCs w:val="21"/>
          <w:highlight w:val="none"/>
        </w:rPr>
      </w:pPr>
      <w:r>
        <w:rPr>
          <w:rFonts w:hint="eastAsia" w:ascii="宋体"/>
          <w:color w:val="auto"/>
          <w:szCs w:val="21"/>
          <w:highlight w:val="none"/>
        </w:rPr>
        <w:t>（2）介绍参加开标会的人员名单；</w:t>
      </w:r>
    </w:p>
    <w:p w14:paraId="70630156">
      <w:pPr>
        <w:spacing w:line="360" w:lineRule="auto"/>
        <w:ind w:firstLine="420" w:firstLineChars="200"/>
        <w:jc w:val="left"/>
        <w:rPr>
          <w:rFonts w:ascii="宋体"/>
          <w:color w:val="auto"/>
          <w:szCs w:val="21"/>
          <w:highlight w:val="none"/>
        </w:rPr>
      </w:pPr>
      <w:r>
        <w:rPr>
          <w:rFonts w:hint="eastAsia" w:ascii="宋体"/>
          <w:color w:val="auto"/>
          <w:szCs w:val="21"/>
          <w:highlight w:val="none"/>
        </w:rPr>
        <w:t>（3）开标：</w:t>
      </w:r>
      <w:r>
        <w:rPr>
          <w:rFonts w:hint="eastAsia" w:ascii="宋体"/>
          <w:color w:val="auto"/>
          <w:szCs w:val="21"/>
          <w:highlight w:val="none"/>
          <w:lang w:eastAsia="zh-CN"/>
        </w:rPr>
        <w:t>采购代理</w:t>
      </w:r>
      <w:r>
        <w:rPr>
          <w:rFonts w:hint="eastAsia" w:ascii="宋体"/>
          <w:color w:val="auto"/>
          <w:szCs w:val="21"/>
          <w:highlight w:val="none"/>
        </w:rPr>
        <w:t>机构工作人员通过</w:t>
      </w:r>
      <w:r>
        <w:rPr>
          <w:rFonts w:hint="eastAsia" w:ascii="宋体" w:hAnsi="宋体"/>
          <w:color w:val="auto"/>
          <w:szCs w:val="21"/>
          <w:highlight w:val="none"/>
        </w:rPr>
        <w:t>“政采云平台”（https://www.zcygov.cn/）</w:t>
      </w:r>
      <w:r>
        <w:rPr>
          <w:rFonts w:hint="eastAsia" w:ascii="宋体"/>
          <w:color w:val="auto"/>
          <w:szCs w:val="21"/>
          <w:highlight w:val="none"/>
        </w:rPr>
        <w:t>自动提取所有投标人的投标文件。主持人宣布开启电子投标文件后，根据系统提示设置解密时限，投标人使用编制投标文件时的加密数字证书在解密时限内对投标文件进行解密；</w:t>
      </w:r>
    </w:p>
    <w:p w14:paraId="2137361B">
      <w:pPr>
        <w:spacing w:line="360" w:lineRule="auto"/>
        <w:ind w:firstLine="420" w:firstLineChars="200"/>
        <w:jc w:val="left"/>
        <w:rPr>
          <w:rFonts w:ascii="宋体"/>
          <w:color w:val="auto"/>
          <w:szCs w:val="21"/>
          <w:highlight w:val="none"/>
        </w:rPr>
      </w:pPr>
      <w:r>
        <w:rPr>
          <w:rFonts w:hint="eastAsia" w:ascii="宋体"/>
          <w:color w:val="auto"/>
          <w:szCs w:val="21"/>
          <w:highlight w:val="none"/>
        </w:rPr>
        <w:t>（4）唱标：由</w:t>
      </w:r>
      <w:r>
        <w:rPr>
          <w:rFonts w:hint="eastAsia" w:ascii="宋体" w:hAnsi="宋体"/>
          <w:color w:val="auto"/>
          <w:szCs w:val="21"/>
          <w:highlight w:val="none"/>
        </w:rPr>
        <w:t>“政采云平台”（https://www.zcygov.cn/）</w:t>
      </w:r>
      <w:r>
        <w:rPr>
          <w:rFonts w:hint="eastAsia" w:ascii="宋体"/>
          <w:color w:val="auto"/>
          <w:szCs w:val="21"/>
          <w:highlight w:val="none"/>
        </w:rPr>
        <w:t>自动读取投标人在其电子投标文件中开标一览表内的投标价格和招标文件规定的需要宣布的其他内容；</w:t>
      </w:r>
    </w:p>
    <w:p w14:paraId="5E237902">
      <w:pPr>
        <w:spacing w:line="360" w:lineRule="auto"/>
        <w:ind w:firstLine="420" w:firstLineChars="200"/>
        <w:jc w:val="left"/>
        <w:rPr>
          <w:rFonts w:ascii="宋体"/>
          <w:color w:val="auto"/>
          <w:szCs w:val="21"/>
          <w:highlight w:val="none"/>
        </w:rPr>
      </w:pPr>
      <w:r>
        <w:rPr>
          <w:rFonts w:hint="eastAsia" w:ascii="宋体"/>
          <w:color w:val="auto"/>
          <w:szCs w:val="21"/>
          <w:highlight w:val="none"/>
        </w:rPr>
        <w:t>（5）宣布评标期间的有关事项；</w:t>
      </w:r>
    </w:p>
    <w:p w14:paraId="11E61B58">
      <w:pPr>
        <w:spacing w:line="360" w:lineRule="auto"/>
        <w:ind w:firstLine="420" w:firstLineChars="200"/>
        <w:jc w:val="left"/>
        <w:rPr>
          <w:rFonts w:ascii="宋体"/>
          <w:color w:val="auto"/>
          <w:szCs w:val="21"/>
          <w:highlight w:val="none"/>
        </w:rPr>
      </w:pPr>
      <w:r>
        <w:rPr>
          <w:rFonts w:hint="eastAsia" w:ascii="宋体"/>
          <w:color w:val="auto"/>
          <w:szCs w:val="21"/>
          <w:highlight w:val="none"/>
        </w:rPr>
        <w:t>（6）开标会议结束。</w:t>
      </w:r>
    </w:p>
    <w:p w14:paraId="43B3BBBC">
      <w:pPr>
        <w:spacing w:line="360" w:lineRule="auto"/>
        <w:ind w:firstLine="420" w:firstLineChars="200"/>
        <w:jc w:val="left"/>
        <w:rPr>
          <w:rFonts w:ascii="宋体"/>
          <w:color w:val="auto"/>
          <w:szCs w:val="21"/>
          <w:highlight w:val="none"/>
        </w:rPr>
      </w:pPr>
      <w:r>
        <w:rPr>
          <w:rFonts w:hint="eastAsia" w:ascii="宋体"/>
          <w:color w:val="auto"/>
          <w:szCs w:val="21"/>
          <w:highlight w:val="none"/>
        </w:rPr>
        <w:t>21.</w:t>
      </w:r>
      <w:r>
        <w:rPr>
          <w:rFonts w:ascii="宋体"/>
          <w:color w:val="auto"/>
          <w:szCs w:val="21"/>
          <w:highlight w:val="none"/>
        </w:rPr>
        <w:t>3</w:t>
      </w:r>
      <w:r>
        <w:rPr>
          <w:rFonts w:hint="eastAsia" w:ascii="宋体"/>
          <w:color w:val="auto"/>
          <w:szCs w:val="21"/>
          <w:highlight w:val="none"/>
        </w:rPr>
        <w:t xml:space="preserve"> </w:t>
      </w:r>
      <w:r>
        <w:rPr>
          <w:rFonts w:hint="eastAsia" w:ascii="宋体"/>
          <w:color w:val="auto"/>
          <w:szCs w:val="21"/>
          <w:highlight w:val="none"/>
          <w:lang w:eastAsia="zh-CN"/>
        </w:rPr>
        <w:t>采购代理</w:t>
      </w:r>
      <w:r>
        <w:rPr>
          <w:rFonts w:hint="eastAsia" w:ascii="宋体"/>
          <w:color w:val="auto"/>
          <w:szCs w:val="21"/>
          <w:highlight w:val="none"/>
        </w:rPr>
        <w:t>机构将做开标记录，参会人员对唱标结果签字见证。</w:t>
      </w:r>
    </w:p>
    <w:p w14:paraId="6136010C">
      <w:pPr>
        <w:pStyle w:val="4"/>
        <w:rPr>
          <w:color w:val="auto"/>
          <w:highlight w:val="none"/>
        </w:rPr>
      </w:pPr>
      <w:bookmarkStart w:id="68" w:name="_Toc6125"/>
      <w:r>
        <w:rPr>
          <w:rFonts w:hint="eastAsia"/>
          <w:color w:val="auto"/>
          <w:highlight w:val="none"/>
        </w:rPr>
        <w:t>22.评标</w:t>
      </w:r>
      <w:bookmarkEnd w:id="68"/>
    </w:p>
    <w:p w14:paraId="6FD31CD2">
      <w:pPr>
        <w:spacing w:line="360" w:lineRule="auto"/>
        <w:ind w:firstLine="420" w:firstLineChars="200"/>
        <w:jc w:val="left"/>
        <w:rPr>
          <w:rFonts w:ascii="宋体"/>
          <w:color w:val="auto"/>
          <w:szCs w:val="21"/>
          <w:highlight w:val="none"/>
        </w:rPr>
      </w:pPr>
      <w:r>
        <w:rPr>
          <w:rFonts w:hint="eastAsia" w:ascii="宋体"/>
          <w:color w:val="auto"/>
          <w:szCs w:val="21"/>
          <w:highlight w:val="none"/>
        </w:rPr>
        <w:t>22.1 评标由</w:t>
      </w:r>
      <w:r>
        <w:rPr>
          <w:rFonts w:hint="eastAsia" w:ascii="宋体"/>
          <w:color w:val="auto"/>
          <w:szCs w:val="21"/>
          <w:highlight w:val="none"/>
          <w:lang w:eastAsia="zh-CN"/>
        </w:rPr>
        <w:t>采购人</w:t>
      </w:r>
      <w:r>
        <w:rPr>
          <w:rFonts w:hint="eastAsia" w:ascii="宋体"/>
          <w:color w:val="auto"/>
          <w:szCs w:val="21"/>
          <w:highlight w:val="none"/>
        </w:rPr>
        <w:t>依法组建的评标委员会负责。评标委员会由</w:t>
      </w:r>
      <w:r>
        <w:rPr>
          <w:rFonts w:hint="eastAsia" w:ascii="宋体"/>
          <w:color w:val="auto"/>
          <w:szCs w:val="21"/>
          <w:highlight w:val="none"/>
          <w:lang w:eastAsia="zh-CN"/>
        </w:rPr>
        <w:t>采购人</w:t>
      </w:r>
      <w:r>
        <w:rPr>
          <w:rFonts w:hint="eastAsia" w:ascii="宋体"/>
          <w:color w:val="auto"/>
          <w:szCs w:val="21"/>
          <w:highlight w:val="none"/>
        </w:rPr>
        <w:t>熟悉相关业务的代表，以及有关技术、经济等方面的专家组成。其中，技术、经济等方面的专家不得少于成员总数的三分之二。</w:t>
      </w:r>
    </w:p>
    <w:p w14:paraId="1105A0F9">
      <w:pPr>
        <w:spacing w:line="360" w:lineRule="auto"/>
        <w:ind w:firstLine="420" w:firstLineChars="200"/>
        <w:jc w:val="left"/>
        <w:rPr>
          <w:rFonts w:ascii="宋体"/>
          <w:color w:val="auto"/>
          <w:szCs w:val="21"/>
          <w:highlight w:val="none"/>
        </w:rPr>
      </w:pPr>
      <w:bookmarkStart w:id="69" w:name="_Toc191374422"/>
      <w:r>
        <w:rPr>
          <w:rFonts w:hint="eastAsia" w:ascii="宋体"/>
          <w:color w:val="auto"/>
          <w:szCs w:val="21"/>
          <w:highlight w:val="none"/>
        </w:rPr>
        <w:t>22.2 评标原则</w:t>
      </w:r>
      <w:bookmarkEnd w:id="69"/>
    </w:p>
    <w:p w14:paraId="1FFD2D87">
      <w:pPr>
        <w:spacing w:line="360" w:lineRule="auto"/>
        <w:ind w:firstLine="420" w:firstLineChars="200"/>
        <w:jc w:val="left"/>
        <w:rPr>
          <w:rFonts w:ascii="宋体"/>
          <w:color w:val="auto"/>
          <w:szCs w:val="21"/>
          <w:highlight w:val="none"/>
        </w:rPr>
      </w:pPr>
      <w:r>
        <w:rPr>
          <w:rFonts w:hint="eastAsia" w:ascii="宋体"/>
          <w:color w:val="auto"/>
          <w:szCs w:val="21"/>
          <w:highlight w:val="none"/>
        </w:rPr>
        <w:t>评标活动遵循公平、公正、科学和择优的原则。</w:t>
      </w:r>
    </w:p>
    <w:p w14:paraId="4EC848F1">
      <w:pPr>
        <w:spacing w:line="360" w:lineRule="auto"/>
        <w:ind w:firstLine="420" w:firstLineChars="200"/>
        <w:jc w:val="left"/>
        <w:rPr>
          <w:rFonts w:ascii="宋体"/>
          <w:color w:val="auto"/>
          <w:szCs w:val="21"/>
          <w:highlight w:val="none"/>
        </w:rPr>
      </w:pPr>
      <w:r>
        <w:rPr>
          <w:rFonts w:hint="eastAsia" w:ascii="宋体"/>
          <w:color w:val="auto"/>
          <w:szCs w:val="21"/>
          <w:highlight w:val="none"/>
        </w:rPr>
        <w:t>22.3 评标</w:t>
      </w:r>
    </w:p>
    <w:p w14:paraId="74A32887">
      <w:pPr>
        <w:spacing w:line="360" w:lineRule="auto"/>
        <w:ind w:firstLine="420" w:firstLineChars="200"/>
        <w:jc w:val="left"/>
        <w:rPr>
          <w:rFonts w:ascii="宋体"/>
          <w:color w:val="auto"/>
          <w:szCs w:val="21"/>
          <w:highlight w:val="none"/>
        </w:rPr>
      </w:pPr>
      <w:r>
        <w:rPr>
          <w:rFonts w:hint="eastAsia" w:ascii="宋体"/>
          <w:color w:val="auto"/>
          <w:szCs w:val="21"/>
          <w:highlight w:val="none"/>
        </w:rPr>
        <w:t>评标委员会按照第六章“</w:t>
      </w:r>
      <w:r>
        <w:rPr>
          <w:rFonts w:hint="eastAsia" w:ascii="宋体"/>
          <w:b/>
          <w:color w:val="auto"/>
          <w:szCs w:val="21"/>
          <w:highlight w:val="none"/>
        </w:rPr>
        <w:t>评标办法</w:t>
      </w:r>
      <w:r>
        <w:rPr>
          <w:rFonts w:hint="eastAsia" w:ascii="宋体"/>
          <w:color w:val="auto"/>
          <w:szCs w:val="21"/>
          <w:highlight w:val="none"/>
        </w:rPr>
        <w:t>”规定的方法、评审因素、标准和程序对投标文件进行评审。第六章“</w:t>
      </w:r>
      <w:r>
        <w:rPr>
          <w:rFonts w:hint="eastAsia" w:ascii="宋体"/>
          <w:b/>
          <w:color w:val="auto"/>
          <w:szCs w:val="21"/>
          <w:highlight w:val="none"/>
        </w:rPr>
        <w:t>评标办法</w:t>
      </w:r>
      <w:r>
        <w:rPr>
          <w:rFonts w:hint="eastAsia" w:ascii="宋体"/>
          <w:color w:val="auto"/>
          <w:szCs w:val="21"/>
          <w:highlight w:val="none"/>
        </w:rPr>
        <w:t>”没有规定的方法、评审因素和标准，不作为评标依据。</w:t>
      </w:r>
    </w:p>
    <w:p w14:paraId="3256C139">
      <w:pPr>
        <w:pStyle w:val="4"/>
        <w:rPr>
          <w:color w:val="auto"/>
          <w:highlight w:val="none"/>
        </w:rPr>
      </w:pPr>
      <w:bookmarkStart w:id="70" w:name="_Toc13611"/>
      <w:r>
        <w:rPr>
          <w:rFonts w:hint="eastAsia"/>
          <w:color w:val="auto"/>
          <w:highlight w:val="none"/>
        </w:rPr>
        <w:t>23.评标过程的保密</w:t>
      </w:r>
      <w:bookmarkEnd w:id="70"/>
    </w:p>
    <w:p w14:paraId="453F7D0D">
      <w:pPr>
        <w:spacing w:line="360" w:lineRule="auto"/>
        <w:ind w:firstLine="420" w:firstLineChars="200"/>
        <w:jc w:val="left"/>
        <w:rPr>
          <w:rFonts w:ascii="宋体"/>
          <w:color w:val="auto"/>
          <w:szCs w:val="21"/>
          <w:highlight w:val="none"/>
        </w:rPr>
      </w:pPr>
      <w:r>
        <w:rPr>
          <w:rFonts w:hint="eastAsia" w:ascii="宋体"/>
          <w:color w:val="auto"/>
          <w:szCs w:val="21"/>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2FAD314B">
      <w:pPr>
        <w:pStyle w:val="4"/>
        <w:rPr>
          <w:color w:val="auto"/>
          <w:highlight w:val="none"/>
        </w:rPr>
      </w:pPr>
      <w:bookmarkStart w:id="71" w:name="_Toc3826"/>
      <w:r>
        <w:rPr>
          <w:rFonts w:hint="eastAsia"/>
          <w:color w:val="auto"/>
          <w:highlight w:val="none"/>
        </w:rPr>
        <w:t>24.在招标采购中，出现下列情形之一的，应予废标</w:t>
      </w:r>
      <w:bookmarkEnd w:id="71"/>
    </w:p>
    <w:p w14:paraId="2248CE5C">
      <w:pPr>
        <w:spacing w:line="360" w:lineRule="auto"/>
        <w:ind w:firstLine="420" w:firstLineChars="200"/>
        <w:jc w:val="left"/>
        <w:rPr>
          <w:rFonts w:ascii="宋体"/>
          <w:color w:val="auto"/>
          <w:szCs w:val="21"/>
          <w:highlight w:val="none"/>
        </w:rPr>
      </w:pPr>
      <w:r>
        <w:rPr>
          <w:rFonts w:hint="eastAsia" w:ascii="宋体"/>
          <w:color w:val="auto"/>
          <w:szCs w:val="21"/>
          <w:highlight w:val="none"/>
        </w:rPr>
        <w:t>（1）符合专业条件的投标人或者对招标文件作实质响应的投标人不足3家的；</w:t>
      </w:r>
    </w:p>
    <w:p w14:paraId="5E21572B">
      <w:pPr>
        <w:spacing w:line="360" w:lineRule="auto"/>
        <w:ind w:firstLine="420" w:firstLineChars="200"/>
        <w:jc w:val="left"/>
        <w:rPr>
          <w:rFonts w:ascii="宋体"/>
          <w:color w:val="auto"/>
          <w:szCs w:val="21"/>
          <w:highlight w:val="none"/>
        </w:rPr>
      </w:pPr>
      <w:r>
        <w:rPr>
          <w:rFonts w:hint="eastAsia" w:ascii="宋体"/>
          <w:color w:val="auto"/>
          <w:szCs w:val="21"/>
          <w:highlight w:val="none"/>
        </w:rPr>
        <w:t>（2）出现影响采购公正的违法、违规行为的；</w:t>
      </w:r>
    </w:p>
    <w:p w14:paraId="4019EBDB">
      <w:pPr>
        <w:spacing w:line="360" w:lineRule="auto"/>
        <w:ind w:firstLine="420" w:firstLineChars="200"/>
        <w:jc w:val="left"/>
        <w:rPr>
          <w:rFonts w:ascii="宋体"/>
          <w:color w:val="auto"/>
          <w:szCs w:val="21"/>
          <w:highlight w:val="none"/>
        </w:rPr>
      </w:pPr>
      <w:r>
        <w:rPr>
          <w:rFonts w:hint="eastAsia" w:ascii="宋体"/>
          <w:color w:val="auto"/>
          <w:szCs w:val="21"/>
          <w:highlight w:val="none"/>
        </w:rPr>
        <w:t>（3）投标人的报价均超过了采购</w:t>
      </w:r>
      <w:r>
        <w:rPr>
          <w:rFonts w:hint="eastAsia" w:ascii="宋体"/>
          <w:bCs/>
          <w:color w:val="auto"/>
          <w:szCs w:val="21"/>
          <w:highlight w:val="none"/>
        </w:rPr>
        <w:t>预算价（或</w:t>
      </w:r>
      <w:r>
        <w:rPr>
          <w:rFonts w:ascii="宋体"/>
          <w:bCs/>
          <w:color w:val="auto"/>
          <w:szCs w:val="21"/>
          <w:highlight w:val="none"/>
        </w:rPr>
        <w:t>最高投标限价</w:t>
      </w:r>
      <w:r>
        <w:rPr>
          <w:rFonts w:hint="eastAsia" w:ascii="宋体"/>
          <w:bCs/>
          <w:color w:val="auto"/>
          <w:szCs w:val="21"/>
          <w:highlight w:val="none"/>
        </w:rPr>
        <w:t>）</w:t>
      </w:r>
      <w:r>
        <w:rPr>
          <w:rFonts w:hint="eastAsia" w:ascii="宋体"/>
          <w:color w:val="auto"/>
          <w:szCs w:val="21"/>
          <w:highlight w:val="none"/>
        </w:rPr>
        <w:t>，</w:t>
      </w:r>
      <w:r>
        <w:rPr>
          <w:rFonts w:hint="eastAsia" w:ascii="宋体"/>
          <w:color w:val="auto"/>
          <w:szCs w:val="21"/>
          <w:highlight w:val="none"/>
          <w:lang w:eastAsia="zh-CN"/>
        </w:rPr>
        <w:t>采购人</w:t>
      </w:r>
      <w:r>
        <w:rPr>
          <w:rFonts w:hint="eastAsia" w:ascii="宋体"/>
          <w:color w:val="auto"/>
          <w:szCs w:val="21"/>
          <w:highlight w:val="none"/>
        </w:rPr>
        <w:t>不能支付的；</w:t>
      </w:r>
    </w:p>
    <w:p w14:paraId="3D7A053A">
      <w:pPr>
        <w:spacing w:line="360" w:lineRule="auto"/>
        <w:ind w:firstLine="420" w:firstLineChars="200"/>
        <w:jc w:val="left"/>
        <w:rPr>
          <w:rFonts w:ascii="宋体"/>
          <w:color w:val="auto"/>
          <w:szCs w:val="21"/>
          <w:highlight w:val="none"/>
        </w:rPr>
      </w:pPr>
      <w:r>
        <w:rPr>
          <w:rFonts w:hint="eastAsia" w:ascii="宋体"/>
          <w:color w:val="auto"/>
          <w:szCs w:val="21"/>
          <w:highlight w:val="none"/>
        </w:rPr>
        <w:t>（4）因重大变故，采购任务取消的。</w:t>
      </w:r>
    </w:p>
    <w:p w14:paraId="0D2765A7">
      <w:pPr>
        <w:pStyle w:val="3"/>
        <w:rPr>
          <w:color w:val="auto"/>
          <w:highlight w:val="none"/>
        </w:rPr>
      </w:pPr>
      <w:bookmarkStart w:id="72" w:name="_Toc15942"/>
      <w:r>
        <w:rPr>
          <w:rFonts w:hint="eastAsia"/>
          <w:color w:val="auto"/>
          <w:highlight w:val="none"/>
        </w:rPr>
        <w:t>六、中标结果</w:t>
      </w:r>
      <w:bookmarkEnd w:id="72"/>
    </w:p>
    <w:p w14:paraId="3B737A81">
      <w:pPr>
        <w:pStyle w:val="4"/>
        <w:rPr>
          <w:color w:val="auto"/>
          <w:highlight w:val="none"/>
        </w:rPr>
      </w:pPr>
      <w:bookmarkStart w:id="73" w:name="_Toc18114"/>
      <w:r>
        <w:rPr>
          <w:rFonts w:hint="eastAsia"/>
          <w:color w:val="auto"/>
          <w:highlight w:val="none"/>
        </w:rPr>
        <w:t>25.中标人的确定</w:t>
      </w:r>
      <w:bookmarkEnd w:id="73"/>
    </w:p>
    <w:p w14:paraId="582F819A">
      <w:pPr>
        <w:spacing w:line="360" w:lineRule="auto"/>
        <w:ind w:firstLine="420" w:firstLineChars="200"/>
        <w:jc w:val="left"/>
        <w:rPr>
          <w:rFonts w:ascii="宋体"/>
          <w:color w:val="auto"/>
          <w:szCs w:val="21"/>
          <w:highlight w:val="none"/>
        </w:rPr>
      </w:pPr>
      <w:r>
        <w:rPr>
          <w:rFonts w:hint="eastAsia" w:ascii="宋体"/>
          <w:color w:val="auto"/>
          <w:szCs w:val="21"/>
          <w:highlight w:val="none"/>
        </w:rPr>
        <w:t xml:space="preserve">25.1 </w:t>
      </w:r>
      <w:r>
        <w:rPr>
          <w:rFonts w:hint="eastAsia" w:ascii="宋体"/>
          <w:color w:val="auto"/>
          <w:szCs w:val="21"/>
          <w:highlight w:val="none"/>
          <w:lang w:eastAsia="zh-CN"/>
        </w:rPr>
        <w:t>采购代理</w:t>
      </w:r>
      <w:r>
        <w:rPr>
          <w:rFonts w:hint="eastAsia" w:ascii="宋体"/>
          <w:color w:val="auto"/>
          <w:szCs w:val="21"/>
          <w:highlight w:val="none"/>
        </w:rPr>
        <w:t>机构应当在评标结束后2个工作日内将评标报告送</w:t>
      </w:r>
      <w:r>
        <w:rPr>
          <w:rFonts w:hint="eastAsia" w:ascii="宋体"/>
          <w:color w:val="auto"/>
          <w:szCs w:val="21"/>
          <w:highlight w:val="none"/>
          <w:lang w:eastAsia="zh-CN"/>
        </w:rPr>
        <w:t>采购人</w:t>
      </w:r>
      <w:r>
        <w:rPr>
          <w:rFonts w:hint="eastAsia" w:ascii="宋体"/>
          <w:color w:val="auto"/>
          <w:szCs w:val="21"/>
          <w:highlight w:val="none"/>
        </w:rPr>
        <w:t>确认。</w:t>
      </w:r>
    </w:p>
    <w:p w14:paraId="318BC983">
      <w:pPr>
        <w:spacing w:line="360" w:lineRule="auto"/>
        <w:ind w:firstLine="420" w:firstLineChars="200"/>
        <w:jc w:val="left"/>
        <w:rPr>
          <w:rFonts w:ascii="宋体"/>
          <w:color w:val="auto"/>
          <w:szCs w:val="21"/>
          <w:highlight w:val="none"/>
        </w:rPr>
      </w:pPr>
      <w:r>
        <w:rPr>
          <w:rFonts w:hint="eastAsia" w:ascii="宋体"/>
          <w:color w:val="auto"/>
          <w:szCs w:val="21"/>
          <w:highlight w:val="none"/>
        </w:rPr>
        <w:t xml:space="preserve">25.2 </w:t>
      </w:r>
      <w:r>
        <w:rPr>
          <w:rFonts w:hint="eastAsia" w:ascii="宋体"/>
          <w:color w:val="auto"/>
          <w:szCs w:val="21"/>
          <w:highlight w:val="none"/>
          <w:lang w:eastAsia="zh-CN"/>
        </w:rPr>
        <w:t>采购人</w:t>
      </w:r>
      <w:r>
        <w:rPr>
          <w:rFonts w:hint="eastAsia" w:ascii="宋体"/>
          <w:color w:val="auto"/>
          <w:szCs w:val="21"/>
          <w:highlight w:val="none"/>
        </w:rPr>
        <w:t>应当在收到评标报告后5个工作日内，按照评标报告中推荐的中标人顺序确定中标人。</w:t>
      </w:r>
    </w:p>
    <w:p w14:paraId="5ABE74E3">
      <w:pPr>
        <w:pStyle w:val="4"/>
        <w:rPr>
          <w:color w:val="auto"/>
          <w:highlight w:val="none"/>
        </w:rPr>
      </w:pPr>
      <w:bookmarkStart w:id="74" w:name="_Toc17560"/>
      <w:r>
        <w:rPr>
          <w:rFonts w:hint="eastAsia"/>
          <w:color w:val="auto"/>
          <w:highlight w:val="none"/>
        </w:rPr>
        <w:t>26.中标通知书</w:t>
      </w:r>
      <w:bookmarkEnd w:id="74"/>
    </w:p>
    <w:p w14:paraId="5797218C">
      <w:pPr>
        <w:spacing w:line="360" w:lineRule="auto"/>
        <w:ind w:firstLine="420" w:firstLineChars="200"/>
        <w:jc w:val="left"/>
        <w:rPr>
          <w:rFonts w:ascii="宋体"/>
          <w:color w:val="auto"/>
          <w:szCs w:val="21"/>
          <w:highlight w:val="none"/>
        </w:rPr>
      </w:pPr>
      <w:r>
        <w:rPr>
          <w:rFonts w:hint="eastAsia" w:ascii="宋体"/>
          <w:color w:val="auto"/>
          <w:szCs w:val="21"/>
          <w:highlight w:val="none"/>
        </w:rPr>
        <w:t>26.1 中标人确定后，中标结果由</w:t>
      </w:r>
      <w:r>
        <w:rPr>
          <w:rFonts w:hint="eastAsia" w:ascii="宋体"/>
          <w:color w:val="auto"/>
          <w:szCs w:val="21"/>
          <w:highlight w:val="none"/>
          <w:lang w:eastAsia="zh-CN"/>
        </w:rPr>
        <w:t>采购代理</w:t>
      </w:r>
      <w:r>
        <w:rPr>
          <w:rFonts w:hint="eastAsia" w:ascii="宋体"/>
          <w:color w:val="auto"/>
          <w:szCs w:val="21"/>
          <w:highlight w:val="none"/>
        </w:rPr>
        <w:t>机构在招标公告发布网上公告</w:t>
      </w:r>
      <w:r>
        <w:rPr>
          <w:rFonts w:hint="eastAsia" w:ascii="宋体"/>
          <w:color w:val="auto"/>
          <w:szCs w:val="21"/>
          <w:highlight w:val="none"/>
          <w:lang w:eastAsia="zh-CN"/>
        </w:rPr>
        <w:t>，</w:t>
      </w:r>
      <w:r>
        <w:rPr>
          <w:rFonts w:hint="eastAsia" w:ascii="宋体"/>
          <w:color w:val="auto"/>
          <w:szCs w:val="21"/>
          <w:highlight w:val="none"/>
        </w:rPr>
        <w:t>同时向中标人发出中标通知书。</w:t>
      </w:r>
    </w:p>
    <w:p w14:paraId="5BEEE614">
      <w:pPr>
        <w:spacing w:line="360" w:lineRule="auto"/>
        <w:ind w:firstLine="420" w:firstLineChars="200"/>
        <w:jc w:val="left"/>
        <w:rPr>
          <w:rFonts w:ascii="宋体"/>
          <w:color w:val="auto"/>
          <w:szCs w:val="21"/>
          <w:highlight w:val="none"/>
        </w:rPr>
      </w:pPr>
      <w:r>
        <w:rPr>
          <w:rFonts w:hint="eastAsia" w:ascii="宋体"/>
          <w:color w:val="auto"/>
          <w:szCs w:val="21"/>
          <w:highlight w:val="none"/>
        </w:rPr>
        <w:t>26.2 中标通知书是合同的一个组成部分。</w:t>
      </w:r>
    </w:p>
    <w:p w14:paraId="76FD6E85">
      <w:pPr>
        <w:pStyle w:val="4"/>
        <w:rPr>
          <w:color w:val="auto"/>
          <w:highlight w:val="none"/>
        </w:rPr>
      </w:pPr>
      <w:bookmarkStart w:id="75" w:name="_Toc13605"/>
      <w:r>
        <w:rPr>
          <w:rFonts w:hint="eastAsia"/>
          <w:color w:val="auto"/>
          <w:highlight w:val="none"/>
        </w:rPr>
        <w:t>27.签订合同（实质性要求）</w:t>
      </w:r>
      <w:bookmarkEnd w:id="75"/>
    </w:p>
    <w:p w14:paraId="7385DBAD">
      <w:pPr>
        <w:spacing w:line="400" w:lineRule="exact"/>
        <w:ind w:firstLine="420" w:firstLineChars="200"/>
        <w:jc w:val="left"/>
        <w:rPr>
          <w:color w:val="auto"/>
          <w:highlight w:val="none"/>
        </w:rPr>
      </w:pPr>
      <w:r>
        <w:rPr>
          <w:rFonts w:hint="eastAsia" w:ascii="宋体"/>
          <w:color w:val="auto"/>
          <w:szCs w:val="21"/>
          <w:highlight w:val="none"/>
        </w:rPr>
        <w:t>27.1 中标人收到中标通知书后，按招标文件、投标文件及有关澄清承诺书的要求与</w:t>
      </w:r>
      <w:r>
        <w:rPr>
          <w:rFonts w:hint="eastAsia" w:ascii="宋体"/>
          <w:color w:val="auto"/>
          <w:szCs w:val="21"/>
          <w:highlight w:val="none"/>
          <w:lang w:eastAsia="zh-CN"/>
        </w:rPr>
        <w:t>采购人</w:t>
      </w:r>
      <w:r>
        <w:rPr>
          <w:rFonts w:hint="eastAsia" w:ascii="宋体"/>
          <w:color w:val="auto"/>
          <w:szCs w:val="21"/>
          <w:highlight w:val="none"/>
        </w:rPr>
        <w:t>签订合同，</w:t>
      </w:r>
      <w:r>
        <w:rPr>
          <w:color w:val="auto"/>
          <w:highlight w:val="none"/>
        </w:rPr>
        <w:t>合同格式以</w:t>
      </w:r>
      <w:r>
        <w:rPr>
          <w:rFonts w:hint="eastAsia"/>
          <w:color w:val="auto"/>
          <w:highlight w:val="none"/>
        </w:rPr>
        <w:t>在云南众高工程咨询有限公司</w:t>
      </w:r>
      <w:r>
        <w:rPr>
          <w:color w:val="auto"/>
          <w:highlight w:val="none"/>
        </w:rPr>
        <w:t>领取的合同格式为准。</w:t>
      </w:r>
    </w:p>
    <w:p w14:paraId="71496352">
      <w:pPr>
        <w:spacing w:line="400" w:lineRule="exact"/>
        <w:ind w:firstLine="420" w:firstLineChars="200"/>
        <w:jc w:val="left"/>
        <w:rPr>
          <w:rFonts w:ascii="宋体"/>
          <w:color w:val="auto"/>
          <w:szCs w:val="21"/>
          <w:highlight w:val="none"/>
        </w:rPr>
      </w:pPr>
      <w:r>
        <w:rPr>
          <w:rFonts w:hint="eastAsia" w:ascii="宋体"/>
          <w:color w:val="auto"/>
          <w:szCs w:val="21"/>
          <w:highlight w:val="none"/>
        </w:rPr>
        <w:t>27.2 中标人应在</w:t>
      </w:r>
      <w:r>
        <w:rPr>
          <w:rFonts w:hint="eastAsia" w:ascii="宋体"/>
          <w:color w:val="auto"/>
          <w:szCs w:val="21"/>
          <w:highlight w:val="none"/>
          <w:lang w:val="en-US" w:eastAsia="zh-CN"/>
        </w:rPr>
        <w:t>中标</w:t>
      </w:r>
      <w:r>
        <w:rPr>
          <w:rFonts w:hint="eastAsia" w:ascii="宋体"/>
          <w:color w:val="auto"/>
          <w:szCs w:val="21"/>
          <w:highlight w:val="none"/>
        </w:rPr>
        <w:t>通知书发出之日起三十日内与</w:t>
      </w:r>
      <w:r>
        <w:rPr>
          <w:rFonts w:hint="eastAsia" w:ascii="宋体"/>
          <w:color w:val="auto"/>
          <w:szCs w:val="21"/>
          <w:highlight w:val="none"/>
          <w:lang w:eastAsia="zh-CN"/>
        </w:rPr>
        <w:t>采购人</w:t>
      </w:r>
      <w:r>
        <w:rPr>
          <w:rFonts w:hint="eastAsia" w:ascii="宋体"/>
          <w:color w:val="auto"/>
          <w:szCs w:val="21"/>
          <w:highlight w:val="none"/>
        </w:rPr>
        <w:t>签订采购合同。由于中标人的原因逾期未与</w:t>
      </w:r>
      <w:r>
        <w:rPr>
          <w:rFonts w:hint="eastAsia" w:ascii="宋体"/>
          <w:color w:val="auto"/>
          <w:szCs w:val="21"/>
          <w:highlight w:val="none"/>
          <w:lang w:eastAsia="zh-CN"/>
        </w:rPr>
        <w:t>采购人</w:t>
      </w:r>
      <w:r>
        <w:rPr>
          <w:rFonts w:hint="eastAsia" w:ascii="宋体"/>
          <w:color w:val="auto"/>
          <w:szCs w:val="21"/>
          <w:highlight w:val="none"/>
        </w:rPr>
        <w:t>签订采购合同的，将视为放弃</w:t>
      </w:r>
      <w:r>
        <w:rPr>
          <w:rFonts w:hint="eastAsia" w:ascii="宋体"/>
          <w:color w:val="auto"/>
          <w:szCs w:val="21"/>
          <w:highlight w:val="none"/>
          <w:lang w:val="en-US" w:eastAsia="zh-CN"/>
        </w:rPr>
        <w:t>中标</w:t>
      </w:r>
      <w:r>
        <w:rPr>
          <w:rFonts w:hint="eastAsia" w:ascii="宋体"/>
          <w:color w:val="auto"/>
          <w:szCs w:val="21"/>
          <w:highlight w:val="none"/>
        </w:rPr>
        <w:t>，取消其</w:t>
      </w:r>
      <w:r>
        <w:rPr>
          <w:rFonts w:hint="eastAsia" w:ascii="宋体"/>
          <w:color w:val="auto"/>
          <w:szCs w:val="21"/>
          <w:highlight w:val="none"/>
          <w:lang w:val="en-US" w:eastAsia="zh-CN"/>
        </w:rPr>
        <w:t>中标</w:t>
      </w:r>
      <w:r>
        <w:rPr>
          <w:rFonts w:hint="eastAsia" w:ascii="宋体"/>
          <w:color w:val="auto"/>
          <w:szCs w:val="21"/>
          <w:highlight w:val="none"/>
        </w:rPr>
        <w:t>资格并将按相关规定进行处理。</w:t>
      </w:r>
    </w:p>
    <w:p w14:paraId="27743B26">
      <w:pPr>
        <w:spacing w:line="400" w:lineRule="exact"/>
        <w:ind w:firstLine="420" w:firstLineChars="200"/>
        <w:jc w:val="left"/>
        <w:rPr>
          <w:rFonts w:ascii="宋体"/>
          <w:color w:val="auto"/>
          <w:szCs w:val="21"/>
          <w:highlight w:val="none"/>
        </w:rPr>
      </w:pPr>
      <w:r>
        <w:rPr>
          <w:rFonts w:hint="eastAsia" w:ascii="宋体"/>
          <w:color w:val="auto"/>
          <w:szCs w:val="21"/>
          <w:highlight w:val="none"/>
        </w:rPr>
        <w:t>27.3 招标文件、中标人的投标文件及双方确认的澄清文件等，均</w:t>
      </w:r>
      <w:r>
        <w:rPr>
          <w:rFonts w:hint="eastAsia" w:ascii="宋体"/>
          <w:color w:val="auto"/>
          <w:szCs w:val="21"/>
          <w:highlight w:val="none"/>
          <w:lang w:eastAsia="zh-CN"/>
        </w:rPr>
        <w:t>为具</w:t>
      </w:r>
      <w:r>
        <w:rPr>
          <w:rFonts w:hint="eastAsia" w:ascii="宋体"/>
          <w:color w:val="auto"/>
          <w:szCs w:val="21"/>
          <w:highlight w:val="none"/>
        </w:rPr>
        <w:t>有法律约束力的合同组成部分。</w:t>
      </w:r>
    </w:p>
    <w:p w14:paraId="310DEC1C">
      <w:pPr>
        <w:spacing w:line="400" w:lineRule="exact"/>
        <w:ind w:firstLine="420" w:firstLineChars="200"/>
        <w:jc w:val="left"/>
        <w:rPr>
          <w:rFonts w:ascii="宋体"/>
          <w:color w:val="auto"/>
          <w:szCs w:val="21"/>
          <w:highlight w:val="none"/>
        </w:rPr>
      </w:pPr>
      <w:r>
        <w:rPr>
          <w:rFonts w:hint="eastAsia" w:ascii="宋体"/>
          <w:color w:val="auto"/>
          <w:szCs w:val="21"/>
          <w:highlight w:val="none"/>
        </w:rPr>
        <w:t xml:space="preserve">27.4 </w:t>
      </w:r>
      <w:r>
        <w:rPr>
          <w:rFonts w:hint="eastAsia" w:ascii="宋体"/>
          <w:color w:val="auto"/>
          <w:szCs w:val="21"/>
          <w:highlight w:val="none"/>
          <w:lang w:eastAsia="zh-CN"/>
        </w:rPr>
        <w:t>采购人</w:t>
      </w:r>
      <w:r>
        <w:rPr>
          <w:rFonts w:hint="eastAsia" w:ascii="宋体"/>
          <w:color w:val="auto"/>
          <w:szCs w:val="21"/>
          <w:highlight w:val="none"/>
        </w:rPr>
        <w:t>不得向中标人提出任何不合理的要求，作为签订合同的条件，不得与中标人私下订立背离合同实质性内容的任何协议，所签订的合同不得对招标文件和中标人投标文件确定的事项进行修改。</w:t>
      </w:r>
    </w:p>
    <w:p w14:paraId="7E27B6B3">
      <w:pPr>
        <w:spacing w:line="400" w:lineRule="exact"/>
        <w:ind w:firstLine="420" w:firstLineChars="200"/>
        <w:jc w:val="left"/>
        <w:rPr>
          <w:rFonts w:ascii="宋体"/>
          <w:color w:val="auto"/>
          <w:szCs w:val="21"/>
          <w:highlight w:val="none"/>
        </w:rPr>
      </w:pPr>
      <w:r>
        <w:rPr>
          <w:rFonts w:hint="eastAsia" w:ascii="宋体"/>
          <w:color w:val="auto"/>
          <w:szCs w:val="21"/>
          <w:highlight w:val="none"/>
        </w:rPr>
        <w:t>27.5 中标人因不可抗力原因不能履行采购合同或放弃</w:t>
      </w:r>
      <w:r>
        <w:rPr>
          <w:rFonts w:hint="eastAsia" w:ascii="宋体"/>
          <w:color w:val="auto"/>
          <w:szCs w:val="21"/>
          <w:highlight w:val="none"/>
          <w:lang w:val="en-US" w:eastAsia="zh-CN"/>
        </w:rPr>
        <w:t>中标</w:t>
      </w:r>
      <w:r>
        <w:rPr>
          <w:rFonts w:hint="eastAsia" w:ascii="宋体"/>
          <w:color w:val="auto"/>
          <w:szCs w:val="21"/>
          <w:highlight w:val="none"/>
        </w:rPr>
        <w:t>的，</w:t>
      </w:r>
      <w:r>
        <w:rPr>
          <w:rFonts w:hint="eastAsia" w:ascii="宋体"/>
          <w:color w:val="auto"/>
          <w:szCs w:val="21"/>
          <w:highlight w:val="none"/>
          <w:lang w:eastAsia="zh-CN"/>
        </w:rPr>
        <w:t>采购人</w:t>
      </w:r>
      <w:r>
        <w:rPr>
          <w:rFonts w:hint="eastAsia" w:ascii="宋体"/>
          <w:color w:val="auto"/>
          <w:szCs w:val="21"/>
          <w:highlight w:val="none"/>
        </w:rPr>
        <w:t>可以与排在中标人之后第一位的中标候选人签订采购合同，以此类推。</w:t>
      </w:r>
    </w:p>
    <w:p w14:paraId="5498EAA3">
      <w:pPr>
        <w:pStyle w:val="4"/>
        <w:rPr>
          <w:color w:val="auto"/>
          <w:highlight w:val="none"/>
        </w:rPr>
      </w:pPr>
      <w:bookmarkStart w:id="76" w:name="_Toc21891"/>
      <w:bookmarkStart w:id="77" w:name="_Toc25333"/>
      <w:r>
        <w:rPr>
          <w:rFonts w:hint="eastAsia"/>
          <w:color w:val="auto"/>
          <w:highlight w:val="none"/>
        </w:rPr>
        <w:t>28.合同分包（实质性要求）</w:t>
      </w:r>
      <w:bookmarkEnd w:id="76"/>
      <w:bookmarkEnd w:id="77"/>
    </w:p>
    <w:p w14:paraId="096E4191">
      <w:pPr>
        <w:spacing w:line="400" w:lineRule="exact"/>
        <w:ind w:firstLine="420" w:firstLineChars="200"/>
        <w:jc w:val="left"/>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rPr>
        <w:t>28.1 经</w:t>
      </w:r>
      <w:r>
        <w:rPr>
          <w:rFonts w:hint="eastAsia" w:ascii="宋体" w:cs="Times New Roman"/>
          <w:color w:val="auto"/>
          <w:szCs w:val="21"/>
          <w:highlight w:val="none"/>
          <w:lang w:eastAsia="zh-CN"/>
        </w:rPr>
        <w:t>采购人</w:t>
      </w:r>
      <w:r>
        <w:rPr>
          <w:rFonts w:hint="eastAsia" w:ascii="宋体" w:hAnsi="Times New Roman" w:eastAsia="宋体" w:cs="Times New Roman"/>
          <w:color w:val="auto"/>
          <w:szCs w:val="21"/>
          <w:highlight w:val="none"/>
        </w:rPr>
        <w:t>同意，中标人可以依法采取分包方式履行合同，但必须在投标文件中事前载明。这种要求应当在合同签订之前征得</w:t>
      </w:r>
      <w:r>
        <w:rPr>
          <w:rFonts w:hint="eastAsia" w:ascii="宋体" w:cs="Times New Roman"/>
          <w:color w:val="auto"/>
          <w:szCs w:val="21"/>
          <w:highlight w:val="none"/>
          <w:lang w:eastAsia="zh-CN"/>
        </w:rPr>
        <w:t>采购人</w:t>
      </w:r>
      <w:r>
        <w:rPr>
          <w:rFonts w:hint="eastAsia" w:ascii="宋体" w:hAnsi="Times New Roman" w:eastAsia="宋体" w:cs="Times New Roman"/>
          <w:color w:val="auto"/>
          <w:szCs w:val="21"/>
          <w:highlight w:val="none"/>
        </w:rPr>
        <w:t>同意，并且分包投标人履行的分包项目的品牌、规格型号及技术要求或服务等，必须与中标的一致。</w:t>
      </w:r>
    </w:p>
    <w:p w14:paraId="65D5FCB0">
      <w:pPr>
        <w:spacing w:line="400" w:lineRule="exact"/>
        <w:ind w:firstLine="420" w:firstLineChars="200"/>
        <w:jc w:val="left"/>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rPr>
        <w:t>分包履行合同的部分应当为采购项目的非主体、非关键性工作，不属于中标人的主要合同义务。</w:t>
      </w:r>
    </w:p>
    <w:p w14:paraId="5D4BE1CC">
      <w:pPr>
        <w:spacing w:line="400" w:lineRule="exact"/>
        <w:ind w:firstLine="420" w:firstLineChars="200"/>
        <w:jc w:val="left"/>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rPr>
        <w:t>28.2 采购合同实行分包履行的，中标人就采购项目和分包项目向</w:t>
      </w:r>
      <w:r>
        <w:rPr>
          <w:rFonts w:hint="eastAsia" w:ascii="宋体" w:cs="Times New Roman"/>
          <w:color w:val="auto"/>
          <w:szCs w:val="21"/>
          <w:highlight w:val="none"/>
          <w:lang w:eastAsia="zh-CN"/>
        </w:rPr>
        <w:t>采购人</w:t>
      </w:r>
      <w:r>
        <w:rPr>
          <w:rFonts w:hint="eastAsia" w:ascii="宋体" w:hAnsi="Times New Roman" w:eastAsia="宋体" w:cs="Times New Roman"/>
          <w:color w:val="auto"/>
          <w:szCs w:val="21"/>
          <w:highlight w:val="none"/>
        </w:rPr>
        <w:t>负责，分包投标人就分包项目承担责任。</w:t>
      </w:r>
    </w:p>
    <w:p w14:paraId="43224499">
      <w:pPr>
        <w:spacing w:line="400" w:lineRule="exact"/>
        <w:ind w:firstLine="420" w:firstLineChars="200"/>
        <w:jc w:val="left"/>
        <w:rPr>
          <w:color w:val="auto"/>
          <w:szCs w:val="22"/>
          <w:highlight w:val="none"/>
        </w:rPr>
      </w:pPr>
      <w:r>
        <w:rPr>
          <w:rFonts w:hint="eastAsia" w:ascii="宋体" w:hAnsi="Times New Roman" w:eastAsia="宋体" w:cs="Times New Roman"/>
          <w:color w:val="auto"/>
          <w:szCs w:val="21"/>
          <w:highlight w:val="none"/>
        </w:rPr>
        <w:t>28.3 中小企业参照《政府采购促进中小企业发展管理办法》（财库﹝2020﹞46 号）规定的政策获取采购合同后，小微企业不得将合同分包给大中型企业，中型企业不得将合同分包给大型企业。</w:t>
      </w:r>
    </w:p>
    <w:p w14:paraId="14AE743B">
      <w:pPr>
        <w:pStyle w:val="4"/>
        <w:rPr>
          <w:color w:val="auto"/>
          <w:highlight w:val="none"/>
        </w:rPr>
      </w:pPr>
      <w:bookmarkStart w:id="78" w:name="_Toc19914"/>
      <w:bookmarkStart w:id="79" w:name="_Toc8842"/>
      <w:r>
        <w:rPr>
          <w:rFonts w:hint="eastAsia"/>
          <w:color w:val="auto"/>
          <w:highlight w:val="none"/>
        </w:rPr>
        <w:t>29.禁止合同转包</w:t>
      </w:r>
      <w:bookmarkEnd w:id="78"/>
      <w:bookmarkEnd w:id="79"/>
    </w:p>
    <w:p w14:paraId="03ADBC53">
      <w:pPr>
        <w:spacing w:line="400" w:lineRule="exact"/>
        <w:ind w:firstLine="420" w:firstLineChars="200"/>
        <w:jc w:val="left"/>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rPr>
        <w:t>29.1本采购项目严禁中标人将任何采购合同义务转包。本项目所称转包，是指中标人将采购合同义务转让给第三人，并退出现有采购合同当事人双方的权利义务关系，受让人（即第三人）成为采购合同的另一方当事人的行为。</w:t>
      </w:r>
    </w:p>
    <w:p w14:paraId="3B1E7B2B">
      <w:pPr>
        <w:spacing w:line="400" w:lineRule="exact"/>
        <w:ind w:firstLine="420" w:firstLineChars="200"/>
        <w:jc w:val="left"/>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rPr>
        <w:t>29.2中标人转包的，视同拒绝履行采购合同义务，将依法追究法律责任。投标人应重视其法律责任，并在投标文件中作出不转包承诺。</w:t>
      </w:r>
    </w:p>
    <w:p w14:paraId="1B67F13F">
      <w:pPr>
        <w:pStyle w:val="4"/>
        <w:rPr>
          <w:color w:val="auto"/>
          <w:highlight w:val="none"/>
        </w:rPr>
      </w:pPr>
      <w:bookmarkStart w:id="80" w:name="_Toc7157"/>
      <w:bookmarkStart w:id="81" w:name="_Toc2689"/>
      <w:r>
        <w:rPr>
          <w:rFonts w:hint="eastAsia"/>
          <w:color w:val="auto"/>
          <w:highlight w:val="none"/>
        </w:rPr>
        <w:t>30.补充合同</w:t>
      </w:r>
      <w:bookmarkEnd w:id="80"/>
      <w:bookmarkEnd w:id="81"/>
    </w:p>
    <w:p w14:paraId="7D9EC271">
      <w:pPr>
        <w:spacing w:line="400" w:lineRule="exact"/>
        <w:ind w:firstLine="420" w:firstLineChars="200"/>
        <w:jc w:val="left"/>
        <w:rPr>
          <w:color w:val="auto"/>
          <w:szCs w:val="22"/>
          <w:highlight w:val="none"/>
        </w:rPr>
      </w:pPr>
      <w:r>
        <w:rPr>
          <w:rFonts w:hint="eastAsia"/>
          <w:color w:val="auto"/>
          <w:szCs w:val="22"/>
          <w:highlight w:val="none"/>
        </w:rPr>
        <w:t>采购合同履行过程中，采购人需要追加与合同标的相同的货物、工程或者服务的，在不改变合同其他条款的前提下，可以与</w:t>
      </w:r>
      <w:r>
        <w:rPr>
          <w:rFonts w:hint="eastAsia"/>
          <w:color w:val="auto"/>
          <w:szCs w:val="22"/>
          <w:highlight w:val="none"/>
          <w:lang w:val="en-US" w:eastAsia="zh-CN"/>
        </w:rPr>
        <w:t>中标人</w:t>
      </w:r>
      <w:r>
        <w:rPr>
          <w:rFonts w:hint="eastAsia"/>
          <w:color w:val="auto"/>
          <w:szCs w:val="22"/>
          <w:highlight w:val="none"/>
        </w:rPr>
        <w:t>协商签订补充合同，</w:t>
      </w:r>
      <w:r>
        <w:rPr>
          <w:rFonts w:hint="eastAsia"/>
          <w:b/>
          <w:color w:val="auto"/>
          <w:szCs w:val="22"/>
          <w:highlight w:val="none"/>
        </w:rPr>
        <w:t>但所有补充合同的采购金额不得超过原合同采购金额的</w:t>
      </w:r>
      <w:r>
        <w:rPr>
          <w:b/>
          <w:color w:val="auto"/>
          <w:szCs w:val="22"/>
          <w:highlight w:val="none"/>
        </w:rPr>
        <w:t>10%</w:t>
      </w:r>
      <w:r>
        <w:rPr>
          <w:rFonts w:hint="eastAsia"/>
          <w:color w:val="auto"/>
          <w:szCs w:val="22"/>
          <w:highlight w:val="none"/>
        </w:rPr>
        <w:t xml:space="preserve">。该补充合同应当在原采购合同履行过程中，不得在原采购合同履行结束后，且采购货物、工程和服务的名称、价格、履约方式、验收标准等必须与原采购合同一致。 </w:t>
      </w:r>
    </w:p>
    <w:p w14:paraId="4E9670F8">
      <w:pPr>
        <w:pStyle w:val="4"/>
        <w:rPr>
          <w:color w:val="auto"/>
          <w:highlight w:val="none"/>
        </w:rPr>
      </w:pPr>
      <w:bookmarkStart w:id="82" w:name="_Toc22118"/>
      <w:bookmarkStart w:id="83" w:name="_Toc3747"/>
      <w:r>
        <w:rPr>
          <w:rFonts w:hint="eastAsia"/>
          <w:color w:val="auto"/>
          <w:highlight w:val="none"/>
        </w:rPr>
        <w:t>31.履约保证金（实质性要求）</w:t>
      </w:r>
      <w:bookmarkEnd w:id="82"/>
      <w:bookmarkEnd w:id="83"/>
    </w:p>
    <w:p w14:paraId="7C78C71C">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31.1 若须知前附表要求缴纳履约保证金的，中标人应在合同签订之后规定期限内</w:t>
      </w:r>
      <w:r>
        <w:rPr>
          <w:rFonts w:hint="eastAsia" w:ascii="宋体" w:hAnsi="宋体" w:cs="宋体"/>
          <w:color w:val="auto"/>
          <w:szCs w:val="21"/>
          <w:highlight w:val="none"/>
          <w:lang w:eastAsia="zh-CN"/>
        </w:rPr>
        <w:t>缴纳</w:t>
      </w:r>
      <w:r>
        <w:rPr>
          <w:rFonts w:hint="eastAsia" w:ascii="宋体" w:hAnsi="宋体" w:cs="宋体"/>
          <w:color w:val="auto"/>
          <w:szCs w:val="21"/>
          <w:highlight w:val="none"/>
        </w:rPr>
        <w:t>合同约定数额的履约保证金。</w:t>
      </w:r>
    </w:p>
    <w:p w14:paraId="407B8864">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31.2 如果中标人在规定的合同签订时间内，没有按照规定</w:t>
      </w:r>
      <w:r>
        <w:rPr>
          <w:rFonts w:hint="eastAsia" w:ascii="宋体" w:hAnsi="宋体" w:cs="宋体"/>
          <w:color w:val="auto"/>
          <w:szCs w:val="21"/>
          <w:highlight w:val="none"/>
          <w:lang w:eastAsia="zh-CN"/>
        </w:rPr>
        <w:t>缴纳</w:t>
      </w:r>
      <w:r>
        <w:rPr>
          <w:rFonts w:hint="eastAsia" w:ascii="宋体" w:hAnsi="宋体" w:cs="宋体"/>
          <w:color w:val="auto"/>
          <w:szCs w:val="21"/>
          <w:highlight w:val="none"/>
        </w:rPr>
        <w:t>履约保证金，且又无正当理由的，将视为放弃中标。</w:t>
      </w:r>
    </w:p>
    <w:p w14:paraId="5E2C2AAF">
      <w:pPr>
        <w:pStyle w:val="4"/>
        <w:rPr>
          <w:color w:val="auto"/>
          <w:highlight w:val="none"/>
        </w:rPr>
      </w:pPr>
      <w:bookmarkStart w:id="84" w:name="_Toc4764"/>
      <w:bookmarkStart w:id="85" w:name="_Toc1389"/>
      <w:r>
        <w:rPr>
          <w:rFonts w:hint="eastAsia"/>
          <w:color w:val="auto"/>
          <w:highlight w:val="none"/>
        </w:rPr>
        <w:t>32.验收</w:t>
      </w:r>
      <w:bookmarkEnd w:id="84"/>
      <w:bookmarkEnd w:id="85"/>
    </w:p>
    <w:p w14:paraId="5F6E6AEB">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32.1根据《中华人民共和国政府采购法实施条例》及《政府采购货物和服务招标投标管理办法》（财政部令第87号）等有关规定，本项目履约完成后须进行验收。</w:t>
      </w:r>
    </w:p>
    <w:p w14:paraId="2A089011">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32.2验收结果不合格的，中标人应根据</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、参与验收的相关部门的要求及时整改，整改后再次申请验收，整改后验收仍不合格的履约保证金将不予退还，也将不予支付采购资金。</w:t>
      </w:r>
    </w:p>
    <w:p w14:paraId="258B95B9">
      <w:pPr>
        <w:pStyle w:val="31"/>
        <w:rPr>
          <w:rFonts w:ascii="宋体"/>
          <w:color w:val="auto"/>
          <w:spacing w:val="0"/>
          <w:sz w:val="21"/>
          <w:szCs w:val="21"/>
          <w:highlight w:val="none"/>
        </w:rPr>
      </w:pPr>
      <w:r>
        <w:rPr>
          <w:rFonts w:hint="eastAsia" w:ascii="宋体"/>
          <w:color w:val="auto"/>
          <w:spacing w:val="0"/>
          <w:sz w:val="21"/>
          <w:szCs w:val="21"/>
          <w:highlight w:val="none"/>
        </w:rPr>
        <w:t>32.3验收记录表</w:t>
      </w:r>
      <w:r>
        <w:rPr>
          <w:rFonts w:hint="eastAsia" w:ascii="宋体"/>
          <w:color w:val="auto"/>
          <w:spacing w:val="0"/>
          <w:sz w:val="21"/>
          <w:szCs w:val="21"/>
          <w:highlight w:val="none"/>
          <w:lang w:eastAsia="zh-CN"/>
        </w:rPr>
        <w:t>采购人</w:t>
      </w:r>
      <w:r>
        <w:rPr>
          <w:rFonts w:hint="eastAsia" w:ascii="宋体"/>
          <w:color w:val="auto"/>
          <w:spacing w:val="0"/>
          <w:sz w:val="21"/>
          <w:szCs w:val="21"/>
          <w:highlight w:val="none"/>
        </w:rPr>
        <w:t>、中标人及</w:t>
      </w:r>
      <w:r>
        <w:rPr>
          <w:rFonts w:hint="eastAsia" w:ascii="宋体"/>
          <w:color w:val="auto"/>
          <w:spacing w:val="0"/>
          <w:sz w:val="21"/>
          <w:szCs w:val="21"/>
          <w:highlight w:val="none"/>
          <w:lang w:eastAsia="zh-CN"/>
        </w:rPr>
        <w:t>采购代理</w:t>
      </w:r>
      <w:r>
        <w:rPr>
          <w:rFonts w:hint="eastAsia" w:ascii="宋体"/>
          <w:color w:val="auto"/>
          <w:spacing w:val="0"/>
          <w:sz w:val="21"/>
          <w:szCs w:val="21"/>
          <w:highlight w:val="none"/>
        </w:rPr>
        <w:t>机构均应存档。</w:t>
      </w:r>
    </w:p>
    <w:p w14:paraId="76FBA0DD">
      <w:pPr>
        <w:pStyle w:val="3"/>
        <w:rPr>
          <w:color w:val="auto"/>
          <w:highlight w:val="none"/>
        </w:rPr>
      </w:pPr>
      <w:bookmarkStart w:id="86" w:name="_Toc22534"/>
      <w:r>
        <w:rPr>
          <w:rFonts w:hint="eastAsia"/>
          <w:color w:val="auto"/>
          <w:highlight w:val="none"/>
        </w:rPr>
        <w:t>七、其他事项</w:t>
      </w:r>
      <w:bookmarkEnd w:id="86"/>
    </w:p>
    <w:p w14:paraId="2E572324">
      <w:pPr>
        <w:pStyle w:val="4"/>
        <w:rPr>
          <w:color w:val="auto"/>
          <w:highlight w:val="none"/>
        </w:rPr>
      </w:pPr>
      <w:bookmarkStart w:id="87" w:name="_Toc19574"/>
      <w:r>
        <w:rPr>
          <w:rFonts w:hint="eastAsia"/>
          <w:color w:val="auto"/>
          <w:highlight w:val="none"/>
        </w:rPr>
        <w:t>33.解释权</w:t>
      </w:r>
      <w:bookmarkEnd w:id="87"/>
    </w:p>
    <w:p w14:paraId="5FEBE26F">
      <w:pPr>
        <w:spacing w:line="360" w:lineRule="auto"/>
        <w:ind w:firstLine="420" w:firstLineChars="200"/>
        <w:jc w:val="left"/>
        <w:rPr>
          <w:rFonts w:ascii="宋体"/>
          <w:color w:val="auto"/>
          <w:szCs w:val="21"/>
          <w:highlight w:val="none"/>
        </w:rPr>
      </w:pPr>
      <w:r>
        <w:rPr>
          <w:rFonts w:hint="eastAsia" w:ascii="宋体"/>
          <w:color w:val="auto"/>
          <w:szCs w:val="21"/>
          <w:highlight w:val="none"/>
        </w:rPr>
        <w:t>本招标文件是根据《中华人民共和国政府采购法》及相关法律法规编制，解释权</w:t>
      </w:r>
      <w:r>
        <w:rPr>
          <w:rFonts w:hint="eastAsia" w:ascii="宋体"/>
          <w:color w:val="auto"/>
          <w:szCs w:val="21"/>
          <w:highlight w:val="none"/>
          <w:lang w:eastAsia="zh-CN"/>
        </w:rPr>
        <w:t>属于采购代理</w:t>
      </w:r>
      <w:r>
        <w:rPr>
          <w:rFonts w:hint="eastAsia" w:ascii="宋体"/>
          <w:color w:val="auto"/>
          <w:szCs w:val="21"/>
          <w:highlight w:val="none"/>
        </w:rPr>
        <w:t>机构。</w:t>
      </w:r>
    </w:p>
    <w:p w14:paraId="775AABAA">
      <w:pPr>
        <w:pStyle w:val="4"/>
        <w:rPr>
          <w:color w:val="auto"/>
          <w:highlight w:val="none"/>
        </w:rPr>
      </w:pPr>
      <w:bookmarkStart w:id="88" w:name="_Toc180687247"/>
      <w:bookmarkStart w:id="89" w:name="_Toc14095"/>
      <w:bookmarkStart w:id="90" w:name="_Toc9768"/>
      <w:r>
        <w:rPr>
          <w:rFonts w:hint="eastAsia"/>
          <w:color w:val="auto"/>
          <w:highlight w:val="none"/>
        </w:rPr>
        <w:t>34.政府采购有关政策（实质性要求）</w:t>
      </w:r>
      <w:bookmarkEnd w:id="88"/>
      <w:bookmarkEnd w:id="89"/>
      <w:bookmarkEnd w:id="90"/>
    </w:p>
    <w:p w14:paraId="710BB838">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34.1本项目为专门面向中小企业采购的项目</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不再进行价格扣除优惠</w:t>
      </w:r>
      <w:r>
        <w:rPr>
          <w:rFonts w:hint="eastAsia" w:ascii="宋体" w:hAnsi="宋体" w:cs="宋体"/>
          <w:color w:val="auto"/>
          <w:szCs w:val="21"/>
          <w:highlight w:val="none"/>
        </w:rPr>
        <w:t>。根据财库〔2020〕46号文件，须由中型企业或小型企业或微型企业承接。监狱企业、残疾人福利性单位视同小型企业、微型企业，提供中小企业声明函或监狱企业证明文件或残疾人福利性单位声明函。</w:t>
      </w:r>
    </w:p>
    <w:p w14:paraId="7512DA60">
      <w:pPr>
        <w:spacing w:line="360" w:lineRule="auto"/>
        <w:ind w:firstLine="420" w:firstLineChars="200"/>
        <w:jc w:val="left"/>
        <w:rPr>
          <w:rFonts w:ascii="宋体"/>
          <w:color w:val="auto"/>
          <w:szCs w:val="21"/>
          <w:highlight w:val="none"/>
        </w:rPr>
      </w:pPr>
      <w:r>
        <w:rPr>
          <w:rFonts w:ascii="宋体"/>
          <w:color w:val="auto"/>
          <w:szCs w:val="21"/>
          <w:highlight w:val="none"/>
        </w:rPr>
        <w:t>3</w:t>
      </w:r>
      <w:r>
        <w:rPr>
          <w:rFonts w:hint="eastAsia" w:ascii="宋体"/>
          <w:color w:val="auto"/>
          <w:szCs w:val="21"/>
          <w:highlight w:val="none"/>
        </w:rPr>
        <w:t>4</w:t>
      </w:r>
      <w:r>
        <w:rPr>
          <w:rFonts w:ascii="宋体"/>
          <w:color w:val="auto"/>
          <w:szCs w:val="21"/>
          <w:highlight w:val="none"/>
        </w:rPr>
        <w:t>.</w:t>
      </w:r>
      <w:r>
        <w:rPr>
          <w:rFonts w:hint="eastAsia" w:ascii="宋体"/>
          <w:color w:val="auto"/>
          <w:szCs w:val="21"/>
          <w:highlight w:val="none"/>
        </w:rPr>
        <w:t>2</w:t>
      </w:r>
      <w:r>
        <w:rPr>
          <w:rFonts w:hint="eastAsia" w:ascii="宋体"/>
          <w:color w:val="auto"/>
          <w:szCs w:val="21"/>
          <w:highlight w:val="none"/>
          <w:lang w:eastAsia="zh-CN"/>
        </w:rPr>
        <w:t>需要补充的其他内容</w:t>
      </w:r>
      <w:r>
        <w:rPr>
          <w:rFonts w:ascii="宋体"/>
          <w:color w:val="auto"/>
          <w:szCs w:val="21"/>
          <w:highlight w:val="none"/>
        </w:rPr>
        <w:t>详见“</w:t>
      </w:r>
      <w:r>
        <w:rPr>
          <w:rFonts w:hint="eastAsia" w:ascii="宋体"/>
          <w:b/>
          <w:color w:val="auto"/>
          <w:szCs w:val="21"/>
          <w:highlight w:val="none"/>
        </w:rPr>
        <w:t>投标人</w:t>
      </w:r>
      <w:r>
        <w:rPr>
          <w:rFonts w:ascii="宋体"/>
          <w:b/>
          <w:color w:val="auto"/>
          <w:szCs w:val="21"/>
          <w:highlight w:val="none"/>
        </w:rPr>
        <w:t>须知前附表</w:t>
      </w:r>
      <w:r>
        <w:rPr>
          <w:rFonts w:ascii="宋体"/>
          <w:color w:val="auto"/>
          <w:szCs w:val="21"/>
          <w:highlight w:val="none"/>
        </w:rPr>
        <w:t>”。</w:t>
      </w:r>
    </w:p>
    <w:p w14:paraId="7D5AC14A">
      <w:pPr>
        <w:ind w:firstLine="522"/>
        <w:rPr>
          <w:color w:val="auto"/>
          <w:highlight w:val="none"/>
        </w:rPr>
      </w:pPr>
    </w:p>
    <w:p w14:paraId="1DB6234E">
      <w:pPr>
        <w:ind w:firstLine="522"/>
        <w:rPr>
          <w:color w:val="auto"/>
          <w:highlight w:val="none"/>
        </w:rPr>
      </w:pPr>
    </w:p>
    <w:p w14:paraId="6F751EB5">
      <w:pPr>
        <w:ind w:firstLine="522"/>
        <w:rPr>
          <w:color w:val="auto"/>
          <w:highlight w:val="none"/>
        </w:rPr>
      </w:pPr>
    </w:p>
    <w:p w14:paraId="7B27E882">
      <w:pPr>
        <w:ind w:firstLine="522"/>
        <w:rPr>
          <w:color w:val="auto"/>
          <w:highlight w:val="none"/>
        </w:rPr>
      </w:pPr>
    </w:p>
    <w:p w14:paraId="450FACA7">
      <w:pPr>
        <w:ind w:firstLine="522"/>
        <w:rPr>
          <w:color w:val="auto"/>
          <w:highlight w:val="none"/>
        </w:rPr>
      </w:pPr>
    </w:p>
    <w:p w14:paraId="055F4C07">
      <w:pPr>
        <w:ind w:firstLine="522"/>
        <w:rPr>
          <w:color w:val="auto"/>
          <w:highlight w:val="none"/>
        </w:rPr>
      </w:pPr>
    </w:p>
    <w:p w14:paraId="33F4555A">
      <w:pPr>
        <w:ind w:firstLine="522"/>
        <w:rPr>
          <w:color w:val="auto"/>
          <w:highlight w:val="none"/>
        </w:rPr>
      </w:pPr>
    </w:p>
    <w:p w14:paraId="3F7B2900">
      <w:pPr>
        <w:ind w:firstLine="522"/>
        <w:rPr>
          <w:color w:val="auto"/>
          <w:highlight w:val="none"/>
        </w:rPr>
      </w:pPr>
    </w:p>
    <w:p w14:paraId="72E0AD87">
      <w:pPr>
        <w:ind w:firstLine="522"/>
        <w:rPr>
          <w:color w:val="auto"/>
          <w:highlight w:val="none"/>
        </w:rPr>
      </w:pPr>
    </w:p>
    <w:p w14:paraId="306E0DA7">
      <w:pPr>
        <w:ind w:firstLine="522"/>
        <w:rPr>
          <w:color w:val="auto"/>
          <w:highlight w:val="none"/>
        </w:rPr>
      </w:pPr>
    </w:p>
    <w:p w14:paraId="090E9205">
      <w:pPr>
        <w:ind w:firstLine="522"/>
        <w:rPr>
          <w:color w:val="auto"/>
          <w:highlight w:val="none"/>
        </w:rPr>
      </w:pPr>
    </w:p>
    <w:p w14:paraId="0F046ED6">
      <w:pPr>
        <w:ind w:firstLine="522"/>
        <w:rPr>
          <w:color w:val="auto"/>
          <w:highlight w:val="none"/>
        </w:rPr>
      </w:pPr>
    </w:p>
    <w:p w14:paraId="381CB0E1">
      <w:pPr>
        <w:ind w:firstLine="522"/>
        <w:rPr>
          <w:color w:val="auto"/>
          <w:highlight w:val="none"/>
        </w:rPr>
      </w:pPr>
    </w:p>
    <w:p w14:paraId="3FBA76DD">
      <w:pPr>
        <w:ind w:firstLine="522"/>
        <w:rPr>
          <w:color w:val="auto"/>
          <w:highlight w:val="none"/>
        </w:rPr>
      </w:pPr>
    </w:p>
    <w:p w14:paraId="6F6ECEEE">
      <w:pPr>
        <w:ind w:firstLine="522"/>
        <w:rPr>
          <w:color w:val="auto"/>
          <w:highlight w:val="none"/>
        </w:rPr>
      </w:pPr>
    </w:p>
    <w:p w14:paraId="090567B7">
      <w:pPr>
        <w:ind w:firstLine="522"/>
        <w:rPr>
          <w:color w:val="auto"/>
          <w:highlight w:val="none"/>
        </w:rPr>
      </w:pPr>
    </w:p>
    <w:p w14:paraId="2F6896A5">
      <w:pPr>
        <w:pStyle w:val="2"/>
        <w:rPr>
          <w:color w:val="auto"/>
          <w:highlight w:val="none"/>
        </w:rPr>
      </w:pPr>
      <w:bookmarkStart w:id="91" w:name="_Toc7608"/>
      <w:r>
        <w:rPr>
          <w:rFonts w:hint="eastAsia"/>
          <w:color w:val="auto"/>
          <w:highlight w:val="none"/>
        </w:rPr>
        <w:t>第三章  合同书样式及主要条款</w:t>
      </w:r>
      <w:bookmarkEnd w:id="91"/>
    </w:p>
    <w:p w14:paraId="5A681680">
      <w:pPr>
        <w:spacing w:line="360" w:lineRule="auto"/>
        <w:ind w:firstLine="520"/>
        <w:rPr>
          <w:rFonts w:ascii="宋体"/>
          <w:b/>
          <w:color w:val="auto"/>
          <w:sz w:val="24"/>
          <w:highlight w:val="none"/>
        </w:rPr>
      </w:pPr>
    </w:p>
    <w:p w14:paraId="66340F2E">
      <w:pPr>
        <w:pStyle w:val="31"/>
        <w:ind w:firstLine="1560" w:firstLineChars="600"/>
        <w:rPr>
          <w:color w:val="auto"/>
          <w:highlight w:val="none"/>
        </w:rPr>
        <w:sectPr>
          <w:pgSz w:w="11906" w:h="16838"/>
          <w:pgMar w:top="1418" w:right="1134" w:bottom="1134" w:left="1418" w:header="935" w:footer="720" w:gutter="0"/>
          <w:pgBorders>
            <w:top w:val="none" w:sz="0" w:space="0"/>
            <w:left w:val="none" w:sz="0" w:space="0"/>
            <w:bottom w:val="none" w:sz="0" w:space="0"/>
            <w:right w:val="none" w:sz="0" w:space="0"/>
          </w:pgBorders>
          <w:pgNumType w:start="1"/>
          <w:cols w:space="720" w:num="1"/>
          <w:docGrid w:type="linesAndChars" w:linePitch="331" w:charSpace="0"/>
        </w:sectPr>
      </w:pPr>
      <w:r>
        <w:rPr>
          <w:rFonts w:hint="eastAsia"/>
          <w:color w:val="auto"/>
          <w:highlight w:val="none"/>
        </w:rPr>
        <w:t>备注：本章所制“合同书样式及主要条款”</w:t>
      </w:r>
      <w:r>
        <w:rPr>
          <w:rFonts w:hint="eastAsia"/>
          <w:color w:val="auto"/>
          <w:highlight w:val="none"/>
          <w:lang w:val="en-US" w:eastAsia="zh-CN"/>
        </w:rPr>
        <w:t>仅供参考</w:t>
      </w:r>
      <w:r>
        <w:rPr>
          <w:rFonts w:hint="eastAsia"/>
          <w:color w:val="auto"/>
          <w:highlight w:val="none"/>
        </w:rPr>
        <w:t>。</w:t>
      </w:r>
    </w:p>
    <w:p w14:paraId="76373A04">
      <w:pPr>
        <w:shd w:val="clear" w:color="auto" w:fill="FFFFFF"/>
        <w:adjustRightInd w:val="0"/>
        <w:snapToGrid w:val="0"/>
        <w:spacing w:before="120" w:after="120"/>
        <w:jc w:val="left"/>
        <w:rPr>
          <w:rFonts w:ascii="宋体" w:hAnsi="宋体"/>
          <w:b/>
          <w:bCs/>
          <w:color w:val="auto"/>
          <w:kern w:val="0"/>
          <w:sz w:val="24"/>
          <w:highlight w:val="none"/>
        </w:rPr>
      </w:pPr>
    </w:p>
    <w:p w14:paraId="3FB99148">
      <w:pPr>
        <w:widowControl/>
        <w:jc w:val="center"/>
        <w:rPr>
          <w:rFonts w:ascii="黑体" w:hAnsi="宋体" w:eastAsia="黑体" w:cs="黑体"/>
          <w:color w:val="auto"/>
          <w:kern w:val="0"/>
          <w:sz w:val="72"/>
          <w:szCs w:val="72"/>
          <w:highlight w:val="none"/>
          <w:lang w:bidi="ar"/>
        </w:rPr>
      </w:pPr>
    </w:p>
    <w:p w14:paraId="4D074B4D">
      <w:pPr>
        <w:widowControl/>
        <w:jc w:val="center"/>
        <w:rPr>
          <w:color w:val="auto"/>
          <w:sz w:val="72"/>
          <w:szCs w:val="72"/>
          <w:highlight w:val="none"/>
        </w:rPr>
      </w:pPr>
      <w:r>
        <w:rPr>
          <w:rFonts w:ascii="黑体" w:hAnsi="宋体" w:eastAsia="黑体" w:cs="黑体"/>
          <w:color w:val="auto"/>
          <w:kern w:val="0"/>
          <w:sz w:val="72"/>
          <w:szCs w:val="72"/>
          <w:highlight w:val="none"/>
          <w:lang w:bidi="ar"/>
        </w:rPr>
        <w:t>政府采购合同</w:t>
      </w:r>
    </w:p>
    <w:p w14:paraId="2BE0A224">
      <w:pPr>
        <w:widowControl/>
        <w:jc w:val="center"/>
        <w:rPr>
          <w:rFonts w:ascii="微软雅黑" w:hAnsi="微软雅黑" w:eastAsia="微软雅黑" w:cs="微软雅黑"/>
          <w:color w:val="auto"/>
          <w:kern w:val="0"/>
          <w:sz w:val="22"/>
          <w:szCs w:val="22"/>
          <w:highlight w:val="none"/>
          <w:lang w:bidi="ar"/>
        </w:rPr>
      </w:pPr>
    </w:p>
    <w:p w14:paraId="63B8F865">
      <w:pPr>
        <w:widowControl/>
        <w:jc w:val="center"/>
        <w:rPr>
          <w:rFonts w:ascii="微软雅黑" w:hAnsi="微软雅黑" w:eastAsia="微软雅黑" w:cs="微软雅黑"/>
          <w:color w:val="auto"/>
          <w:kern w:val="0"/>
          <w:sz w:val="22"/>
          <w:szCs w:val="22"/>
          <w:highlight w:val="none"/>
          <w:lang w:bidi="ar"/>
        </w:rPr>
      </w:pPr>
    </w:p>
    <w:p w14:paraId="4A1E392C">
      <w:pPr>
        <w:widowControl/>
        <w:jc w:val="center"/>
        <w:rPr>
          <w:rFonts w:ascii="微软雅黑" w:hAnsi="微软雅黑" w:eastAsia="微软雅黑" w:cs="微软雅黑"/>
          <w:color w:val="auto"/>
          <w:kern w:val="0"/>
          <w:sz w:val="22"/>
          <w:szCs w:val="22"/>
          <w:highlight w:val="none"/>
          <w:lang w:bidi="ar"/>
        </w:rPr>
      </w:pPr>
    </w:p>
    <w:p w14:paraId="048417D7">
      <w:pPr>
        <w:widowControl/>
        <w:spacing w:line="360" w:lineRule="auto"/>
        <w:rPr>
          <w:rFonts w:hint="eastAsia" w:eastAsia="微软雅黑"/>
          <w:bCs/>
          <w:color w:val="auto"/>
          <w:sz w:val="32"/>
          <w:szCs w:val="32"/>
          <w:highlight w:val="none"/>
          <w:lang w:eastAsia="zh-CN"/>
        </w:rPr>
      </w:pPr>
      <w:r>
        <w:rPr>
          <w:rFonts w:ascii="微软雅黑" w:hAnsi="微软雅黑" w:eastAsia="微软雅黑" w:cs="微软雅黑"/>
          <w:color w:val="auto"/>
          <w:kern w:val="0"/>
          <w:sz w:val="32"/>
          <w:szCs w:val="32"/>
          <w:highlight w:val="none"/>
          <w:lang w:bidi="ar"/>
        </w:rPr>
        <w:t>项目名称：</w:t>
      </w:r>
      <w:r>
        <w:rPr>
          <w:rFonts w:hint="eastAsia" w:eastAsia="微软雅黑"/>
          <w:bCs/>
          <w:color w:val="auto"/>
          <w:sz w:val="32"/>
          <w:szCs w:val="32"/>
          <w:highlight w:val="none"/>
          <w:u w:val="single"/>
          <w:lang w:eastAsia="zh-CN"/>
        </w:rPr>
        <w:t>天敌昆虫资源及产品转化平台建设项目采购一批天敌昆虫扩繁设备</w:t>
      </w:r>
    </w:p>
    <w:p w14:paraId="5A935830">
      <w:pPr>
        <w:widowControl/>
        <w:spacing w:line="360" w:lineRule="auto"/>
        <w:rPr>
          <w:color w:val="auto"/>
          <w:sz w:val="32"/>
          <w:szCs w:val="32"/>
          <w:highlight w:val="none"/>
        </w:rPr>
      </w:pPr>
      <w:r>
        <w:rPr>
          <w:rFonts w:hint="eastAsia" w:ascii="微软雅黑" w:hAnsi="微软雅黑" w:eastAsia="微软雅黑" w:cs="微软雅黑"/>
          <w:color w:val="auto"/>
          <w:kern w:val="0"/>
          <w:sz w:val="32"/>
          <w:szCs w:val="32"/>
          <w:highlight w:val="none"/>
          <w:lang w:bidi="ar"/>
        </w:rPr>
        <w:t>合同编号：</w:t>
      </w:r>
      <w:r>
        <w:rPr>
          <w:rFonts w:hint="eastAsia" w:ascii="微软雅黑" w:hAnsi="微软雅黑" w:eastAsia="微软雅黑" w:cs="微软雅黑"/>
          <w:color w:val="auto"/>
          <w:kern w:val="0"/>
          <w:sz w:val="32"/>
          <w:szCs w:val="32"/>
          <w:highlight w:val="none"/>
          <w:u w:val="single"/>
          <w:lang w:bidi="ar"/>
        </w:rPr>
        <w:t xml:space="preserve">                      </w:t>
      </w:r>
      <w:r>
        <w:rPr>
          <w:rFonts w:hint="eastAsia"/>
          <w:color w:val="auto"/>
          <w:sz w:val="32"/>
          <w:szCs w:val="32"/>
          <w:highlight w:val="none"/>
        </w:rPr>
        <w:t>（系统编号）</w:t>
      </w:r>
    </w:p>
    <w:p w14:paraId="61AB1568">
      <w:pPr>
        <w:widowControl/>
        <w:spacing w:line="360" w:lineRule="auto"/>
        <w:ind w:firstLine="3200" w:firstLineChars="1000"/>
        <w:rPr>
          <w:color w:val="auto"/>
          <w:sz w:val="32"/>
          <w:szCs w:val="32"/>
          <w:highlight w:val="none"/>
        </w:rPr>
      </w:pPr>
      <w:r>
        <w:rPr>
          <w:rFonts w:ascii="微软雅黑" w:hAnsi="微软雅黑" w:eastAsia="微软雅黑" w:cs="微软雅黑"/>
          <w:color w:val="auto"/>
          <w:kern w:val="0"/>
          <w:sz w:val="32"/>
          <w:szCs w:val="32"/>
          <w:highlight w:val="none"/>
          <w:u w:val="single"/>
          <w:lang w:bidi="ar"/>
        </w:rPr>
        <w:t xml:space="preserve"> </w:t>
      </w:r>
      <w:r>
        <w:rPr>
          <w:rFonts w:hint="eastAsia" w:ascii="微软雅黑" w:hAnsi="微软雅黑" w:eastAsia="微软雅黑" w:cs="微软雅黑"/>
          <w:color w:val="auto"/>
          <w:kern w:val="0"/>
          <w:sz w:val="32"/>
          <w:szCs w:val="32"/>
          <w:highlight w:val="none"/>
          <w:u w:val="single"/>
          <w:lang w:eastAsia="zh-CN" w:bidi="ar"/>
        </w:rPr>
        <w:t>ZG-2026087</w:t>
      </w:r>
      <w:r>
        <w:rPr>
          <w:rFonts w:hint="eastAsia"/>
          <w:color w:val="auto"/>
          <w:sz w:val="32"/>
          <w:szCs w:val="32"/>
          <w:highlight w:val="none"/>
        </w:rPr>
        <w:t>（自编号）</w:t>
      </w:r>
    </w:p>
    <w:p w14:paraId="7B612D2A">
      <w:pPr>
        <w:widowControl/>
        <w:jc w:val="center"/>
        <w:rPr>
          <w:rFonts w:ascii="微软雅黑" w:hAnsi="微软雅黑" w:eastAsia="微软雅黑" w:cs="微软雅黑"/>
          <w:color w:val="auto"/>
          <w:kern w:val="0"/>
          <w:sz w:val="32"/>
          <w:szCs w:val="32"/>
          <w:highlight w:val="none"/>
          <w:lang w:bidi="ar"/>
        </w:rPr>
      </w:pPr>
    </w:p>
    <w:p w14:paraId="5A0EA429">
      <w:pPr>
        <w:widowControl/>
        <w:jc w:val="center"/>
        <w:rPr>
          <w:rFonts w:ascii="微软雅黑" w:hAnsi="微软雅黑" w:eastAsia="微软雅黑" w:cs="微软雅黑"/>
          <w:color w:val="auto"/>
          <w:kern w:val="0"/>
          <w:sz w:val="32"/>
          <w:szCs w:val="32"/>
          <w:highlight w:val="none"/>
          <w:lang w:bidi="ar"/>
        </w:rPr>
      </w:pPr>
    </w:p>
    <w:p w14:paraId="7EBC9521">
      <w:pPr>
        <w:widowControl/>
        <w:jc w:val="center"/>
        <w:rPr>
          <w:rFonts w:ascii="微软雅黑" w:hAnsi="微软雅黑" w:eastAsia="微软雅黑" w:cs="微软雅黑"/>
          <w:color w:val="auto"/>
          <w:kern w:val="0"/>
          <w:sz w:val="32"/>
          <w:szCs w:val="32"/>
          <w:highlight w:val="none"/>
          <w:lang w:bidi="ar"/>
        </w:rPr>
      </w:pPr>
    </w:p>
    <w:p w14:paraId="23B203D5">
      <w:pPr>
        <w:widowControl/>
        <w:jc w:val="center"/>
        <w:rPr>
          <w:rFonts w:ascii="微软雅黑" w:hAnsi="微软雅黑" w:eastAsia="微软雅黑" w:cs="微软雅黑"/>
          <w:color w:val="auto"/>
          <w:kern w:val="0"/>
          <w:sz w:val="32"/>
          <w:szCs w:val="32"/>
          <w:highlight w:val="none"/>
          <w:lang w:bidi="ar"/>
        </w:rPr>
      </w:pPr>
    </w:p>
    <w:p w14:paraId="7F49CB21">
      <w:pPr>
        <w:widowControl/>
        <w:rPr>
          <w:rFonts w:hint="eastAsia" w:eastAsia="微软雅黑"/>
          <w:color w:val="auto"/>
          <w:sz w:val="32"/>
          <w:szCs w:val="32"/>
          <w:highlight w:val="none"/>
          <w:lang w:eastAsia="zh-CN"/>
        </w:rPr>
      </w:pPr>
      <w:r>
        <w:rPr>
          <w:rFonts w:hint="eastAsia" w:ascii="微软雅黑" w:hAnsi="微软雅黑" w:eastAsia="微软雅黑" w:cs="微软雅黑"/>
          <w:color w:val="auto"/>
          <w:kern w:val="0"/>
          <w:sz w:val="32"/>
          <w:szCs w:val="32"/>
          <w:highlight w:val="none"/>
          <w:lang w:bidi="ar"/>
        </w:rPr>
        <w:t>甲  方：</w:t>
      </w:r>
      <w:r>
        <w:rPr>
          <w:rFonts w:hint="eastAsia" w:ascii="微软雅黑" w:hAnsi="微软雅黑" w:eastAsia="微软雅黑" w:cs="微软雅黑"/>
          <w:color w:val="auto"/>
          <w:kern w:val="0"/>
          <w:sz w:val="32"/>
          <w:szCs w:val="32"/>
          <w:highlight w:val="none"/>
          <w:lang w:eastAsia="zh-CN" w:bidi="ar"/>
        </w:rPr>
        <w:t>云南省农业科学院农业环境资源研究所</w:t>
      </w:r>
    </w:p>
    <w:p w14:paraId="4D02BF80">
      <w:pPr>
        <w:shd w:val="clear" w:color="auto" w:fill="FFFFFF"/>
        <w:adjustRightInd w:val="0"/>
        <w:snapToGrid w:val="0"/>
        <w:spacing w:before="120" w:after="120" w:line="500" w:lineRule="exact"/>
        <w:ind w:firstLine="3280" w:firstLineChars="1025"/>
        <w:jc w:val="left"/>
        <w:rPr>
          <w:rFonts w:ascii="微软雅黑" w:hAnsi="微软雅黑" w:eastAsia="微软雅黑" w:cs="微软雅黑"/>
          <w:color w:val="auto"/>
          <w:kern w:val="0"/>
          <w:sz w:val="32"/>
          <w:szCs w:val="32"/>
          <w:highlight w:val="none"/>
          <w:lang w:bidi="ar"/>
        </w:rPr>
      </w:pPr>
    </w:p>
    <w:p w14:paraId="7D797DEB">
      <w:pPr>
        <w:shd w:val="clear" w:color="auto" w:fill="FFFFFF"/>
        <w:adjustRightInd w:val="0"/>
        <w:snapToGrid w:val="0"/>
        <w:spacing w:before="120" w:after="120" w:line="500" w:lineRule="exact"/>
        <w:rPr>
          <w:rFonts w:ascii="宋体" w:hAnsi="宋体"/>
          <w:b/>
          <w:bCs/>
          <w:color w:val="auto"/>
          <w:kern w:val="0"/>
          <w:sz w:val="30"/>
          <w:szCs w:val="30"/>
          <w:highlight w:val="none"/>
          <w:lang w:val="zh-CN"/>
        </w:rPr>
      </w:pPr>
      <w:r>
        <w:rPr>
          <w:rFonts w:hint="eastAsia" w:ascii="微软雅黑" w:hAnsi="微软雅黑" w:eastAsia="微软雅黑" w:cs="微软雅黑"/>
          <w:color w:val="auto"/>
          <w:kern w:val="0"/>
          <w:sz w:val="32"/>
          <w:szCs w:val="32"/>
          <w:highlight w:val="none"/>
          <w:lang w:bidi="ar"/>
        </w:rPr>
        <w:t>乙  方：</w:t>
      </w:r>
    </w:p>
    <w:p w14:paraId="38E09A35">
      <w:pPr>
        <w:widowControl/>
        <w:jc w:val="left"/>
        <w:rPr>
          <w:rFonts w:ascii="宋体" w:hAnsi="宋体"/>
          <w:b/>
          <w:bCs/>
          <w:color w:val="auto"/>
          <w:kern w:val="0"/>
          <w:sz w:val="30"/>
          <w:szCs w:val="30"/>
          <w:highlight w:val="none"/>
          <w:lang w:val="zh-CN"/>
        </w:rPr>
      </w:pPr>
      <w:r>
        <w:rPr>
          <w:rFonts w:ascii="宋体" w:hAnsi="宋体"/>
          <w:b/>
          <w:bCs/>
          <w:color w:val="auto"/>
          <w:kern w:val="0"/>
          <w:sz w:val="30"/>
          <w:szCs w:val="30"/>
          <w:highlight w:val="none"/>
          <w:lang w:val="zh-CN"/>
        </w:rPr>
        <w:br w:type="page"/>
      </w:r>
    </w:p>
    <w:p w14:paraId="1B88A438">
      <w:pPr>
        <w:shd w:val="clear" w:color="auto" w:fill="FFFFFF"/>
        <w:adjustRightInd w:val="0"/>
        <w:snapToGrid w:val="0"/>
        <w:spacing w:before="120" w:after="120" w:line="50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甲方：</w:t>
      </w:r>
      <w:r>
        <w:rPr>
          <w:rFonts w:hint="eastAsia" w:ascii="宋体" w:hAnsi="宋体" w:cs="宋体"/>
          <w:b/>
          <w:bCs/>
          <w:color w:val="auto"/>
          <w:kern w:val="0"/>
          <w:sz w:val="24"/>
          <w:highlight w:val="none"/>
          <w:u w:val="single"/>
        </w:rPr>
        <w:t xml:space="preserve">   </w:t>
      </w:r>
      <w:r>
        <w:rPr>
          <w:rFonts w:hint="eastAsia" w:ascii="宋体" w:hAnsi="宋体" w:cs="宋体"/>
          <w:b/>
          <w:bCs/>
          <w:color w:val="auto"/>
          <w:kern w:val="0"/>
          <w:sz w:val="24"/>
          <w:highlight w:val="none"/>
          <w:u w:val="single"/>
          <w:lang w:eastAsia="zh-CN"/>
        </w:rPr>
        <w:t>云南省农业科学院农业环境资源研究所</w:t>
      </w:r>
      <w:r>
        <w:rPr>
          <w:rFonts w:hint="eastAsia" w:ascii="宋体" w:hAnsi="宋体" w:cs="宋体"/>
          <w:b/>
          <w:bCs/>
          <w:color w:val="auto"/>
          <w:kern w:val="0"/>
          <w:sz w:val="24"/>
          <w:highlight w:val="none"/>
          <w:u w:val="single"/>
        </w:rPr>
        <w:t xml:space="preserve">     </w:t>
      </w:r>
    </w:p>
    <w:p w14:paraId="6410BE53">
      <w:pPr>
        <w:shd w:val="clear" w:color="auto" w:fill="FFFFFF"/>
        <w:adjustRightInd w:val="0"/>
        <w:snapToGrid w:val="0"/>
        <w:spacing w:before="120" w:after="120" w:line="500" w:lineRule="exact"/>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 xml:space="preserve">乙方：                           </w:t>
      </w:r>
      <w:r>
        <w:rPr>
          <w:rFonts w:hint="eastAsia" w:ascii="宋体" w:hAnsi="宋体" w:cs="宋体"/>
          <w:b/>
          <w:bCs/>
          <w:color w:val="auto"/>
          <w:kern w:val="0"/>
          <w:sz w:val="24"/>
          <w:highlight w:val="none"/>
          <w:lang w:val="en-US" w:eastAsia="zh-CN"/>
        </w:rPr>
        <w:t xml:space="preserve">    </w:t>
      </w:r>
      <w:r>
        <w:rPr>
          <w:rFonts w:hint="eastAsia" w:ascii="宋体" w:hAnsi="宋体" w:cs="宋体"/>
          <w:b/>
          <w:bCs/>
          <w:color w:val="auto"/>
          <w:kern w:val="0"/>
          <w:sz w:val="24"/>
          <w:highlight w:val="none"/>
        </w:rPr>
        <w:t xml:space="preserve">           </w:t>
      </w:r>
    </w:p>
    <w:p w14:paraId="22EB26C4">
      <w:pPr>
        <w:shd w:val="clear" w:color="auto" w:fill="FFFFFF"/>
        <w:adjustRightInd w:val="0"/>
        <w:snapToGrid w:val="0"/>
        <w:spacing w:before="120" w:after="120" w:line="500" w:lineRule="exact"/>
        <w:ind w:firstLine="482" w:firstLineChars="200"/>
        <w:jc w:val="left"/>
        <w:rPr>
          <w:color w:val="auto"/>
        </w:rPr>
      </w:pPr>
      <w:r>
        <w:rPr>
          <w:rFonts w:hint="eastAsia" w:ascii="宋体" w:hAnsi="宋体" w:cs="宋体"/>
          <w:b/>
          <w:bCs/>
          <w:color w:val="auto"/>
          <w:kern w:val="0"/>
          <w:sz w:val="24"/>
          <w:highlight w:val="none"/>
        </w:rPr>
        <w:t>丙方</w:t>
      </w:r>
      <w:r>
        <w:rPr>
          <w:rFonts w:hint="eastAsia" w:ascii="宋体" w:hAnsi="宋体" w:cs="宋体"/>
          <w:b/>
          <w:bCs/>
          <w:color w:val="auto"/>
          <w:kern w:val="0"/>
          <w:sz w:val="24"/>
        </w:rPr>
        <w:t>：</w:t>
      </w:r>
      <w:r>
        <w:rPr>
          <w:rFonts w:hint="eastAsia" w:ascii="宋体" w:hAnsi="宋体" w:cs="宋体"/>
          <w:b/>
          <w:bCs/>
          <w:color w:val="auto"/>
          <w:kern w:val="0"/>
          <w:sz w:val="24"/>
          <w:u w:val="single"/>
        </w:rPr>
        <w:t xml:space="preserve">   云南众高工程咨询有限公司   </w:t>
      </w:r>
      <w:r>
        <w:rPr>
          <w:rFonts w:ascii="宋体" w:hAnsi="宋体" w:cs="宋体"/>
          <w:b/>
          <w:bCs/>
          <w:color w:val="auto"/>
          <w:kern w:val="0"/>
          <w:sz w:val="24"/>
          <w:u w:val="single"/>
        </w:rPr>
        <w:t xml:space="preserve">    </w:t>
      </w:r>
      <w:r>
        <w:rPr>
          <w:rFonts w:hint="eastAsia" w:ascii="宋体" w:hAnsi="宋体" w:cs="宋体"/>
          <w:b/>
          <w:bCs/>
          <w:color w:val="auto"/>
          <w:kern w:val="0"/>
          <w:sz w:val="24"/>
          <w:u w:val="single"/>
        </w:rPr>
        <w:t xml:space="preserve">   </w:t>
      </w:r>
      <w:r>
        <w:rPr>
          <w:rFonts w:hint="eastAsia" w:ascii="宋体" w:hAnsi="宋体" w:cs="宋体"/>
          <w:b/>
          <w:bCs/>
          <w:color w:val="auto"/>
          <w:kern w:val="0"/>
          <w:sz w:val="24"/>
        </w:rPr>
        <w:t xml:space="preserve">   </w:t>
      </w:r>
    </w:p>
    <w:p w14:paraId="3C7C4B08">
      <w:pPr>
        <w:spacing w:line="400" w:lineRule="exact"/>
        <w:ind w:firstLine="480" w:firstLineChars="200"/>
        <w:rPr>
          <w:rFonts w:ascii="宋体" w:hAnsi="宋体" w:cs="宋体"/>
          <w:color w:val="auto"/>
          <w:sz w:val="24"/>
        </w:rPr>
      </w:pPr>
      <w:r>
        <w:rPr>
          <w:rFonts w:hint="eastAsia" w:ascii="宋体" w:hAnsi="宋体"/>
          <w:color w:val="auto"/>
          <w:sz w:val="24"/>
        </w:rPr>
        <w:t>根据《中华人民共和国政府采购法</w:t>
      </w:r>
      <w:r>
        <w:rPr>
          <w:rFonts w:hint="eastAsia" w:ascii="宋体" w:hAnsi="宋体"/>
          <w:color w:val="auto"/>
          <w:sz w:val="24"/>
          <w:lang w:eastAsia="zh-CN"/>
        </w:rPr>
        <w:t>》《</w:t>
      </w:r>
      <w:r>
        <w:rPr>
          <w:rFonts w:hint="eastAsia" w:ascii="宋体" w:hAnsi="宋体"/>
          <w:color w:val="auto"/>
          <w:sz w:val="24"/>
        </w:rPr>
        <w:t>中华人民共和国民法典》等有关法律法</w:t>
      </w:r>
      <w:r>
        <w:rPr>
          <w:rFonts w:hint="eastAsia" w:ascii="宋体" w:hAnsi="宋体"/>
          <w:color w:val="auto"/>
          <w:sz w:val="24"/>
          <w:lang w:eastAsia="zh-CN"/>
        </w:rPr>
        <w:t>规的</w:t>
      </w:r>
      <w:r>
        <w:rPr>
          <w:rFonts w:hint="eastAsia" w:ascii="宋体" w:hAnsi="宋体"/>
          <w:color w:val="auto"/>
          <w:sz w:val="24"/>
        </w:rPr>
        <w:t>规定，</w:t>
      </w:r>
      <w:r>
        <w:rPr>
          <w:rFonts w:hint="eastAsia" w:ascii="宋体" w:hAnsi="宋体" w:cs="宋体"/>
          <w:b/>
          <w:bCs/>
          <w:color w:val="auto"/>
          <w:kern w:val="0"/>
          <w:sz w:val="24"/>
          <w:highlight w:val="none"/>
          <w:u w:val="single"/>
          <w:lang w:eastAsia="zh-CN"/>
        </w:rPr>
        <w:t>云南省农业科学院农业环境资源研究所</w:t>
      </w:r>
      <w:r>
        <w:rPr>
          <w:rFonts w:hint="eastAsia" w:ascii="宋体" w:hAnsi="宋体"/>
          <w:color w:val="auto"/>
          <w:sz w:val="24"/>
          <w:u w:val="single"/>
        </w:rPr>
        <w:t xml:space="preserve"> </w:t>
      </w:r>
      <w:r>
        <w:rPr>
          <w:rFonts w:hint="eastAsia" w:ascii="宋体" w:hAnsi="宋体"/>
          <w:color w:val="auto"/>
          <w:sz w:val="24"/>
          <w:lang w:eastAsia="zh-CN"/>
        </w:rPr>
        <w:t>（采购人</w:t>
      </w:r>
      <w:r>
        <w:rPr>
          <w:rFonts w:hint="eastAsia" w:ascii="宋体" w:hAnsi="宋体"/>
          <w:color w:val="auto"/>
          <w:sz w:val="24"/>
        </w:rPr>
        <w:t>名称</w:t>
      </w:r>
      <w:r>
        <w:rPr>
          <w:rFonts w:hint="eastAsia" w:ascii="宋体" w:hAnsi="宋体"/>
          <w:color w:val="auto"/>
          <w:sz w:val="24"/>
          <w:lang w:eastAsia="zh-CN"/>
        </w:rPr>
        <w:t>）（</w:t>
      </w:r>
      <w:r>
        <w:rPr>
          <w:rFonts w:hint="eastAsia" w:ascii="宋体" w:hAnsi="宋体"/>
          <w:color w:val="auto"/>
          <w:sz w:val="24"/>
        </w:rPr>
        <w:t>以下简称：“甲方”</w:t>
      </w:r>
      <w:r>
        <w:rPr>
          <w:rFonts w:hint="eastAsia" w:ascii="宋体" w:hAnsi="宋体"/>
          <w:color w:val="auto"/>
          <w:sz w:val="24"/>
          <w:lang w:eastAsia="zh-CN"/>
        </w:rPr>
        <w:t>）</w:t>
      </w:r>
      <w:r>
        <w:rPr>
          <w:rFonts w:hint="eastAsia" w:ascii="宋体" w:hAnsi="宋体"/>
          <w:color w:val="auto"/>
          <w:sz w:val="24"/>
        </w:rPr>
        <w:t>通过</w:t>
      </w:r>
      <w:r>
        <w:rPr>
          <w:rFonts w:hint="eastAsia" w:ascii="宋体" w:hAnsi="宋体"/>
          <w:color w:val="auto"/>
          <w:sz w:val="24"/>
          <w:u w:val="single"/>
        </w:rPr>
        <w:t xml:space="preserve"> </w:t>
      </w:r>
      <w:r>
        <w:rPr>
          <w:rFonts w:hint="eastAsia" w:ascii="宋体" w:hAnsi="宋体"/>
          <w:b/>
          <w:color w:val="auto"/>
          <w:sz w:val="24"/>
          <w:u w:val="single"/>
        </w:rPr>
        <w:t>公开招标</w:t>
      </w:r>
      <w:r>
        <w:rPr>
          <w:rFonts w:hint="eastAsia" w:ascii="宋体" w:hAnsi="宋体"/>
          <w:color w:val="auto"/>
          <w:sz w:val="24"/>
          <w:u w:val="single"/>
        </w:rPr>
        <w:t xml:space="preserve">  </w:t>
      </w:r>
      <w:r>
        <w:rPr>
          <w:rFonts w:hint="eastAsia" w:ascii="宋体" w:hAnsi="宋体"/>
          <w:color w:val="auto"/>
          <w:sz w:val="24"/>
        </w:rPr>
        <w:t>采购</w:t>
      </w:r>
      <w:r>
        <w:rPr>
          <w:rFonts w:hint="eastAsia" w:ascii="宋体" w:hAnsi="宋体"/>
          <w:color w:val="auto"/>
          <w:sz w:val="24"/>
          <w:lang w:eastAsia="zh-CN"/>
        </w:rPr>
        <w:t>（</w:t>
      </w:r>
      <w:r>
        <w:rPr>
          <w:rFonts w:hint="eastAsia" w:ascii="宋体" w:hAnsi="宋体"/>
          <w:color w:val="auto"/>
          <w:sz w:val="24"/>
        </w:rPr>
        <w:t>采购方式</w:t>
      </w:r>
      <w:r>
        <w:rPr>
          <w:rFonts w:hint="eastAsia" w:ascii="宋体" w:hAnsi="宋体"/>
          <w:color w:val="auto"/>
          <w:sz w:val="24"/>
          <w:lang w:eastAsia="zh-CN"/>
        </w:rPr>
        <w:t>）</w:t>
      </w:r>
      <w:r>
        <w:rPr>
          <w:rFonts w:hint="eastAsia" w:ascii="宋体" w:hAnsi="宋体"/>
          <w:color w:val="auto"/>
          <w:sz w:val="24"/>
        </w:rPr>
        <w:t>确定</w:t>
      </w:r>
      <w:r>
        <w:rPr>
          <w:rFonts w:hint="eastAsia"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lang w:eastAsia="zh-CN"/>
        </w:rPr>
        <w:t>（</w:t>
      </w:r>
      <w:r>
        <w:rPr>
          <w:rFonts w:hint="eastAsia" w:ascii="宋体" w:hAnsi="宋体"/>
          <w:color w:val="auto"/>
          <w:sz w:val="24"/>
          <w:lang w:val="en-US" w:eastAsia="zh-CN"/>
        </w:rPr>
        <w:t>中标人</w:t>
      </w:r>
      <w:r>
        <w:rPr>
          <w:rFonts w:hint="eastAsia" w:ascii="宋体" w:hAnsi="宋体"/>
          <w:color w:val="auto"/>
          <w:sz w:val="24"/>
        </w:rPr>
        <w:t>名称</w:t>
      </w:r>
      <w:r>
        <w:rPr>
          <w:rFonts w:hint="eastAsia" w:ascii="宋体" w:hAnsi="宋体"/>
          <w:color w:val="auto"/>
          <w:sz w:val="24"/>
          <w:lang w:eastAsia="zh-CN"/>
        </w:rPr>
        <w:t>）（</w:t>
      </w:r>
      <w:r>
        <w:rPr>
          <w:rFonts w:hint="eastAsia" w:ascii="宋体" w:hAnsi="宋体"/>
          <w:color w:val="auto"/>
          <w:sz w:val="24"/>
        </w:rPr>
        <w:t>以下简称：“乙方”</w:t>
      </w:r>
      <w:r>
        <w:rPr>
          <w:rFonts w:hint="eastAsia" w:ascii="宋体" w:hAnsi="宋体"/>
          <w:color w:val="auto"/>
          <w:sz w:val="24"/>
          <w:lang w:eastAsia="zh-CN"/>
        </w:rPr>
        <w:t>）</w:t>
      </w:r>
      <w:r>
        <w:rPr>
          <w:rFonts w:hint="eastAsia" w:ascii="宋体" w:hAnsi="宋体"/>
          <w:color w:val="auto"/>
          <w:sz w:val="24"/>
        </w:rPr>
        <w:t>为</w:t>
      </w:r>
      <w:r>
        <w:rPr>
          <w:rFonts w:hint="eastAsia" w:ascii="宋体" w:hAnsi="宋体"/>
          <w:b/>
          <w:bCs/>
          <w:color w:val="auto"/>
          <w:sz w:val="24"/>
          <w:u w:val="single"/>
          <w:lang w:eastAsia="zh-CN"/>
        </w:rPr>
        <w:t>天敌昆虫资源及产品转化平台建设项目采购一批天敌昆虫扩繁设备</w:t>
      </w:r>
      <w:r>
        <w:rPr>
          <w:rFonts w:hint="eastAsia" w:ascii="宋体" w:hAnsi="宋体"/>
          <w:b/>
          <w:color w:val="auto"/>
          <w:sz w:val="24"/>
          <w:u w:val="single"/>
          <w:lang w:eastAsia="zh-CN"/>
        </w:rPr>
        <w:t>（</w:t>
      </w:r>
      <w:r>
        <w:rPr>
          <w:rFonts w:hint="eastAsia" w:ascii="宋体" w:hAnsi="宋体"/>
          <w:color w:val="auto"/>
          <w:sz w:val="24"/>
        </w:rPr>
        <w:t>项目名称</w:t>
      </w:r>
      <w:r>
        <w:rPr>
          <w:rFonts w:hint="eastAsia" w:ascii="宋体" w:hAnsi="宋体"/>
          <w:color w:val="auto"/>
          <w:sz w:val="24"/>
          <w:lang w:eastAsia="zh-CN"/>
        </w:rPr>
        <w:t>）</w:t>
      </w:r>
      <w:r>
        <w:rPr>
          <w:rFonts w:hint="eastAsia" w:ascii="宋体" w:hAnsi="宋体"/>
          <w:b w:val="0"/>
          <w:bCs w:val="0"/>
          <w:color w:val="auto"/>
          <w:sz w:val="24"/>
          <w:u w:val="none"/>
        </w:rPr>
        <w:t>中标</w:t>
      </w:r>
      <w:r>
        <w:rPr>
          <w:rFonts w:hint="eastAsia" w:ascii="宋体" w:hAnsi="宋体"/>
          <w:b w:val="0"/>
          <w:bCs w:val="0"/>
          <w:color w:val="auto"/>
          <w:sz w:val="24"/>
          <w:u w:val="none"/>
          <w:lang w:val="en-US" w:eastAsia="zh-CN"/>
        </w:rPr>
        <w:t>人</w:t>
      </w:r>
      <w:r>
        <w:rPr>
          <w:rFonts w:hint="eastAsia" w:ascii="宋体" w:hAnsi="宋体"/>
          <w:color w:val="auto"/>
          <w:sz w:val="24"/>
        </w:rPr>
        <w:t>。甲乙双方</w:t>
      </w:r>
      <w:r>
        <w:rPr>
          <w:rFonts w:hint="eastAsia" w:ascii="宋体" w:hAnsi="宋体" w:cs="宋体"/>
          <w:color w:val="auto"/>
          <w:sz w:val="24"/>
        </w:rPr>
        <w:t>协商一致</w:t>
      </w:r>
      <w:r>
        <w:rPr>
          <w:rFonts w:hint="eastAsia" w:ascii="宋体" w:hAnsi="宋体"/>
          <w:color w:val="auto"/>
          <w:sz w:val="24"/>
        </w:rPr>
        <w:t>同意签署《</w:t>
      </w:r>
      <w:r>
        <w:rPr>
          <w:rFonts w:hint="eastAsia" w:ascii="宋体" w:hAnsi="宋体"/>
          <w:b/>
          <w:bCs/>
          <w:color w:val="auto"/>
          <w:sz w:val="24"/>
          <w:u w:val="single"/>
          <w:lang w:eastAsia="zh-CN"/>
        </w:rPr>
        <w:t>天敌昆虫资源及产品转化平台建设项目采购一批天敌昆虫扩繁设备</w:t>
      </w:r>
      <w:r>
        <w:rPr>
          <w:rFonts w:hint="eastAsia" w:ascii="宋体" w:hAnsi="宋体"/>
          <w:b/>
          <w:color w:val="auto"/>
          <w:sz w:val="24"/>
          <w:u w:val="single"/>
        </w:rPr>
        <w:t>合同</w:t>
      </w:r>
      <w:r>
        <w:rPr>
          <w:rFonts w:hint="eastAsia" w:ascii="宋体" w:hAnsi="宋体"/>
          <w:color w:val="auto"/>
          <w:sz w:val="24"/>
        </w:rPr>
        <w:t>》</w:t>
      </w:r>
      <w:r>
        <w:rPr>
          <w:rFonts w:hint="eastAsia" w:ascii="宋体" w:hAnsi="宋体" w:cs="MingLiU_HKSCS"/>
          <w:color w:val="auto"/>
          <w:sz w:val="24"/>
        </w:rPr>
        <w:t>，</w:t>
      </w:r>
      <w:r>
        <w:rPr>
          <w:rFonts w:hint="eastAsia" w:ascii="宋体" w:hAnsi="宋体"/>
          <w:color w:val="auto"/>
          <w:sz w:val="24"/>
        </w:rPr>
        <w:t>以下简称：“合同”</w:t>
      </w:r>
      <w:r>
        <w:rPr>
          <w:rFonts w:hint="eastAsia" w:ascii="宋体" w:hAnsi="宋体"/>
          <w:color w:val="auto"/>
          <w:sz w:val="24"/>
          <w:lang w:eastAsia="zh-CN"/>
        </w:rPr>
        <w:t>）</w:t>
      </w:r>
      <w:r>
        <w:rPr>
          <w:rFonts w:hint="eastAsia" w:ascii="宋体" w:hAnsi="宋体"/>
          <w:color w:val="auto"/>
          <w:sz w:val="24"/>
        </w:rPr>
        <w:t>。</w:t>
      </w:r>
    </w:p>
    <w:p w14:paraId="4E8085B1">
      <w:pPr>
        <w:spacing w:line="440" w:lineRule="exact"/>
        <w:ind w:firstLine="439" w:firstLineChars="182"/>
        <w:rPr>
          <w:rFonts w:ascii="宋体" w:hAnsi="宋体" w:cs="宋体"/>
          <w:b/>
          <w:bCs/>
          <w:color w:val="auto"/>
          <w:sz w:val="24"/>
        </w:rPr>
      </w:pPr>
      <w:r>
        <w:rPr>
          <w:rFonts w:hint="eastAsia" w:ascii="宋体" w:hAnsi="宋体" w:cs="宋体"/>
          <w:b/>
          <w:bCs/>
          <w:color w:val="auto"/>
          <w:sz w:val="24"/>
        </w:rPr>
        <w:t>一、货物</w:t>
      </w:r>
      <w:r>
        <w:rPr>
          <w:rFonts w:hint="eastAsia" w:ascii="宋体" w:hAnsi="宋体" w:cs="宋体"/>
          <w:b/>
          <w:bCs/>
          <w:color w:val="auto"/>
          <w:sz w:val="24"/>
          <w:lang w:eastAsia="zh-CN"/>
        </w:rPr>
        <w:t>（</w:t>
      </w:r>
      <w:r>
        <w:rPr>
          <w:rFonts w:hint="eastAsia" w:ascii="宋体" w:hAnsi="宋体" w:cs="宋体"/>
          <w:b/>
          <w:bCs/>
          <w:color w:val="auto"/>
          <w:sz w:val="24"/>
        </w:rPr>
        <w:t>产品</w:t>
      </w:r>
      <w:r>
        <w:rPr>
          <w:rFonts w:hint="eastAsia" w:ascii="宋体" w:hAnsi="宋体" w:cs="宋体"/>
          <w:b/>
          <w:bCs/>
          <w:color w:val="auto"/>
          <w:sz w:val="24"/>
          <w:lang w:eastAsia="zh-CN"/>
        </w:rPr>
        <w:t>）</w:t>
      </w:r>
      <w:r>
        <w:rPr>
          <w:rFonts w:hint="eastAsia" w:ascii="宋体" w:hAnsi="宋体" w:cs="宋体"/>
          <w:b/>
          <w:bCs/>
          <w:color w:val="auto"/>
          <w:sz w:val="24"/>
        </w:rPr>
        <w:t>名称、品牌、型号规格、数量、单价（甲乙双方据实填写）</w:t>
      </w:r>
    </w:p>
    <w:tbl>
      <w:tblPr>
        <w:tblStyle w:val="32"/>
        <w:tblW w:w="49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1625"/>
        <w:gridCol w:w="1089"/>
        <w:gridCol w:w="1119"/>
        <w:gridCol w:w="1451"/>
        <w:gridCol w:w="936"/>
        <w:gridCol w:w="740"/>
        <w:gridCol w:w="936"/>
      </w:tblGrid>
      <w:tr w14:paraId="0E62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62" w:type="pct"/>
            <w:shd w:val="clear" w:color="auto" w:fill="D8D8D8"/>
            <w:noWrap w:val="0"/>
            <w:vAlign w:val="center"/>
          </w:tcPr>
          <w:p w14:paraId="0AA44957">
            <w:pPr>
              <w:snapToGrid w:val="0"/>
              <w:spacing w:line="460" w:lineRule="exact"/>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序号</w:t>
            </w:r>
          </w:p>
        </w:tc>
        <w:tc>
          <w:tcPr>
            <w:tcW w:w="989" w:type="pct"/>
            <w:shd w:val="clear" w:color="auto" w:fill="D8D8D8"/>
            <w:noWrap w:val="0"/>
            <w:vAlign w:val="center"/>
          </w:tcPr>
          <w:p w14:paraId="5825E360">
            <w:pPr>
              <w:snapToGrid w:val="0"/>
              <w:spacing w:line="460" w:lineRule="exact"/>
              <w:jc w:val="center"/>
              <w:rPr>
                <w:rFonts w:ascii="宋体" w:hAnsi="宋体" w:cs="宋体"/>
                <w:color w:val="auto"/>
                <w:sz w:val="24"/>
              </w:rPr>
            </w:pPr>
            <w:r>
              <w:rPr>
                <w:rFonts w:hint="eastAsia" w:ascii="宋体" w:hAnsi="宋体" w:cs="宋体"/>
                <w:color w:val="auto"/>
                <w:sz w:val="24"/>
              </w:rPr>
              <w:t>货物</w:t>
            </w:r>
            <w:r>
              <w:rPr>
                <w:rFonts w:hint="eastAsia" w:ascii="宋体" w:hAnsi="宋体" w:cs="宋体"/>
                <w:color w:val="auto"/>
                <w:sz w:val="24"/>
                <w:lang w:eastAsia="zh-CN"/>
              </w:rPr>
              <w:t>（</w:t>
            </w:r>
            <w:r>
              <w:rPr>
                <w:rFonts w:hint="eastAsia" w:ascii="宋体" w:hAnsi="宋体" w:cs="宋体"/>
                <w:color w:val="auto"/>
                <w:sz w:val="24"/>
              </w:rPr>
              <w:t>产品</w:t>
            </w:r>
            <w:r>
              <w:rPr>
                <w:rFonts w:hint="eastAsia" w:ascii="宋体" w:hAnsi="宋体" w:cs="宋体"/>
                <w:color w:val="auto"/>
                <w:sz w:val="24"/>
                <w:lang w:eastAsia="zh-CN"/>
              </w:rPr>
              <w:t>）</w:t>
            </w:r>
            <w:r>
              <w:rPr>
                <w:rFonts w:hint="eastAsia" w:ascii="宋体" w:hAnsi="宋体" w:cs="宋体"/>
                <w:color w:val="auto"/>
                <w:sz w:val="24"/>
              </w:rPr>
              <w:t>名称</w:t>
            </w:r>
          </w:p>
        </w:tc>
        <w:tc>
          <w:tcPr>
            <w:tcW w:w="672" w:type="pct"/>
            <w:shd w:val="clear" w:color="auto" w:fill="D8D8D8"/>
            <w:noWrap w:val="0"/>
            <w:vAlign w:val="center"/>
          </w:tcPr>
          <w:p w14:paraId="518473CB">
            <w:pPr>
              <w:snapToGrid w:val="0"/>
              <w:spacing w:line="460" w:lineRule="exact"/>
              <w:jc w:val="center"/>
              <w:rPr>
                <w:rFonts w:ascii="宋体" w:hAnsi="宋体" w:cs="宋体"/>
                <w:color w:val="auto"/>
                <w:sz w:val="24"/>
              </w:rPr>
            </w:pPr>
            <w:r>
              <w:rPr>
                <w:rFonts w:hint="eastAsia" w:ascii="宋体" w:hAnsi="宋体" w:cs="宋体"/>
                <w:color w:val="auto"/>
                <w:sz w:val="24"/>
              </w:rPr>
              <w:t>品牌</w:t>
            </w:r>
          </w:p>
        </w:tc>
        <w:tc>
          <w:tcPr>
            <w:tcW w:w="690" w:type="pct"/>
            <w:shd w:val="clear" w:color="auto" w:fill="D8D8D8"/>
            <w:noWrap w:val="0"/>
            <w:vAlign w:val="center"/>
          </w:tcPr>
          <w:p w14:paraId="2611291D">
            <w:pPr>
              <w:snapToGrid w:val="0"/>
              <w:spacing w:line="460" w:lineRule="exact"/>
              <w:jc w:val="center"/>
              <w:rPr>
                <w:rFonts w:ascii="宋体" w:hAnsi="宋体" w:cs="宋体"/>
                <w:color w:val="auto"/>
                <w:sz w:val="24"/>
              </w:rPr>
            </w:pPr>
            <w:r>
              <w:rPr>
                <w:rFonts w:hint="eastAsia" w:ascii="宋体" w:hAnsi="宋体" w:cs="宋体"/>
                <w:color w:val="auto"/>
                <w:sz w:val="24"/>
              </w:rPr>
              <w:t>规格型号</w:t>
            </w:r>
          </w:p>
        </w:tc>
        <w:tc>
          <w:tcPr>
            <w:tcW w:w="886" w:type="pct"/>
            <w:shd w:val="clear" w:color="auto" w:fill="D8D8D8"/>
            <w:noWrap w:val="0"/>
            <w:vAlign w:val="center"/>
          </w:tcPr>
          <w:p w14:paraId="34D661B4">
            <w:pPr>
              <w:snapToGrid w:val="0"/>
              <w:spacing w:line="460" w:lineRule="exact"/>
              <w:jc w:val="center"/>
              <w:rPr>
                <w:rFonts w:ascii="宋体" w:hAnsi="宋体" w:cs="宋体"/>
                <w:color w:val="auto"/>
                <w:sz w:val="24"/>
              </w:rPr>
            </w:pPr>
            <w:r>
              <w:rPr>
                <w:rFonts w:hint="eastAsia" w:ascii="宋体" w:hAnsi="宋体" w:cs="宋体"/>
                <w:color w:val="auto"/>
                <w:sz w:val="24"/>
              </w:rPr>
              <w:t>参数</w:t>
            </w:r>
          </w:p>
        </w:tc>
        <w:tc>
          <w:tcPr>
            <w:tcW w:w="466" w:type="pct"/>
            <w:shd w:val="clear" w:color="auto" w:fill="D8D8D8"/>
            <w:noWrap w:val="0"/>
            <w:vAlign w:val="center"/>
          </w:tcPr>
          <w:p w14:paraId="02CCCEA6">
            <w:pPr>
              <w:snapToGrid w:val="0"/>
              <w:spacing w:line="460" w:lineRule="exact"/>
              <w:jc w:val="center"/>
              <w:rPr>
                <w:rFonts w:hint="eastAsia" w:ascii="宋体" w:hAnsi="宋体" w:eastAsia="宋体" w:cs="宋体"/>
                <w:color w:val="auto"/>
                <w:sz w:val="24"/>
                <w:lang w:eastAsia="zh-CN"/>
              </w:rPr>
            </w:pPr>
            <w:r>
              <w:rPr>
                <w:rFonts w:hint="eastAsia" w:ascii="宋体" w:hAnsi="宋体" w:cs="宋体"/>
                <w:color w:val="auto"/>
                <w:sz w:val="24"/>
              </w:rPr>
              <w:t>单价</w:t>
            </w:r>
            <w:r>
              <w:rPr>
                <w:rFonts w:hint="eastAsia" w:ascii="宋体" w:hAnsi="宋体" w:cs="宋体"/>
                <w:color w:val="auto"/>
                <w:sz w:val="24"/>
                <w:lang w:eastAsia="zh-CN"/>
              </w:rPr>
              <w:t>（</w:t>
            </w:r>
            <w:r>
              <w:rPr>
                <w:rFonts w:hint="eastAsia" w:ascii="宋体" w:hAnsi="宋体" w:cs="宋体"/>
                <w:color w:val="auto"/>
                <w:sz w:val="24"/>
                <w:lang w:val="en-US" w:eastAsia="zh-CN"/>
              </w:rPr>
              <w:t>元</w:t>
            </w:r>
            <w:r>
              <w:rPr>
                <w:rFonts w:hint="eastAsia" w:ascii="宋体" w:hAnsi="宋体" w:cs="宋体"/>
                <w:color w:val="auto"/>
                <w:sz w:val="24"/>
                <w:lang w:eastAsia="zh-CN"/>
              </w:rPr>
              <w:t>）</w:t>
            </w:r>
          </w:p>
        </w:tc>
        <w:tc>
          <w:tcPr>
            <w:tcW w:w="466" w:type="pct"/>
            <w:shd w:val="clear" w:color="auto" w:fill="D8D8D8"/>
            <w:noWrap w:val="0"/>
            <w:vAlign w:val="center"/>
          </w:tcPr>
          <w:p w14:paraId="7F60D2F4">
            <w:pPr>
              <w:snapToGrid w:val="0"/>
              <w:spacing w:line="460" w:lineRule="exact"/>
              <w:jc w:val="center"/>
              <w:rPr>
                <w:rFonts w:ascii="宋体" w:hAnsi="宋体" w:cs="宋体"/>
                <w:color w:val="auto"/>
                <w:sz w:val="24"/>
              </w:rPr>
            </w:pPr>
            <w:r>
              <w:rPr>
                <w:rFonts w:hint="eastAsia" w:ascii="宋体" w:hAnsi="宋体" w:cs="宋体"/>
                <w:color w:val="auto"/>
                <w:sz w:val="24"/>
              </w:rPr>
              <w:t>数量</w:t>
            </w:r>
          </w:p>
        </w:tc>
        <w:tc>
          <w:tcPr>
            <w:tcW w:w="465" w:type="pct"/>
            <w:shd w:val="clear" w:color="auto" w:fill="D8D8D8"/>
            <w:noWrap w:val="0"/>
            <w:vAlign w:val="center"/>
          </w:tcPr>
          <w:p w14:paraId="16F87A41">
            <w:pPr>
              <w:snapToGrid w:val="0"/>
              <w:spacing w:line="460" w:lineRule="exact"/>
              <w:jc w:val="center"/>
              <w:rPr>
                <w:rFonts w:hint="eastAsia" w:ascii="宋体" w:hAnsi="宋体" w:eastAsia="宋体" w:cs="宋体"/>
                <w:color w:val="auto"/>
                <w:sz w:val="24"/>
                <w:lang w:eastAsia="zh-CN"/>
              </w:rPr>
            </w:pPr>
            <w:r>
              <w:rPr>
                <w:rFonts w:hint="eastAsia" w:ascii="宋体" w:hAnsi="宋体" w:cs="宋体"/>
                <w:color w:val="auto"/>
                <w:sz w:val="24"/>
              </w:rPr>
              <w:t>合价</w:t>
            </w:r>
            <w:r>
              <w:rPr>
                <w:rFonts w:hint="eastAsia" w:ascii="宋体" w:hAnsi="宋体" w:cs="宋体"/>
                <w:color w:val="auto"/>
                <w:sz w:val="24"/>
                <w:lang w:eastAsia="zh-CN"/>
              </w:rPr>
              <w:t>（</w:t>
            </w:r>
            <w:r>
              <w:rPr>
                <w:rFonts w:hint="eastAsia" w:ascii="宋体" w:hAnsi="宋体" w:cs="宋体"/>
                <w:color w:val="auto"/>
                <w:sz w:val="24"/>
                <w:lang w:val="en-US" w:eastAsia="zh-CN"/>
              </w:rPr>
              <w:t>元</w:t>
            </w:r>
            <w:r>
              <w:rPr>
                <w:rFonts w:hint="eastAsia" w:ascii="宋体" w:hAnsi="宋体" w:cs="宋体"/>
                <w:color w:val="auto"/>
                <w:sz w:val="24"/>
                <w:lang w:eastAsia="zh-CN"/>
              </w:rPr>
              <w:t>）</w:t>
            </w:r>
          </w:p>
        </w:tc>
      </w:tr>
      <w:tr w14:paraId="05CD6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362" w:type="pct"/>
            <w:noWrap w:val="0"/>
            <w:vAlign w:val="top"/>
          </w:tcPr>
          <w:p w14:paraId="5FF972A4">
            <w:pPr>
              <w:snapToGrid w:val="0"/>
              <w:spacing w:line="460" w:lineRule="exact"/>
              <w:rPr>
                <w:rFonts w:ascii="宋体" w:hAnsi="宋体" w:cs="宋体"/>
                <w:color w:val="auto"/>
                <w:sz w:val="24"/>
              </w:rPr>
            </w:pPr>
          </w:p>
        </w:tc>
        <w:tc>
          <w:tcPr>
            <w:tcW w:w="989" w:type="pct"/>
            <w:noWrap w:val="0"/>
            <w:vAlign w:val="top"/>
          </w:tcPr>
          <w:p w14:paraId="43151AE6">
            <w:pPr>
              <w:snapToGrid w:val="0"/>
              <w:spacing w:line="460" w:lineRule="exact"/>
              <w:rPr>
                <w:rFonts w:ascii="宋体" w:hAnsi="宋体" w:cs="宋体"/>
                <w:color w:val="auto"/>
                <w:sz w:val="24"/>
              </w:rPr>
            </w:pPr>
          </w:p>
        </w:tc>
        <w:tc>
          <w:tcPr>
            <w:tcW w:w="672" w:type="pct"/>
            <w:noWrap w:val="0"/>
            <w:vAlign w:val="top"/>
          </w:tcPr>
          <w:p w14:paraId="5167631B">
            <w:pPr>
              <w:snapToGrid w:val="0"/>
              <w:spacing w:line="460" w:lineRule="exact"/>
              <w:rPr>
                <w:rFonts w:ascii="宋体" w:hAnsi="宋体" w:cs="宋体"/>
                <w:color w:val="auto"/>
                <w:sz w:val="24"/>
              </w:rPr>
            </w:pPr>
          </w:p>
        </w:tc>
        <w:tc>
          <w:tcPr>
            <w:tcW w:w="690" w:type="pct"/>
            <w:noWrap w:val="0"/>
            <w:vAlign w:val="top"/>
          </w:tcPr>
          <w:p w14:paraId="2EBB6860">
            <w:pPr>
              <w:snapToGrid w:val="0"/>
              <w:spacing w:line="460" w:lineRule="exact"/>
              <w:rPr>
                <w:rFonts w:ascii="宋体" w:hAnsi="宋体" w:cs="宋体"/>
                <w:color w:val="auto"/>
                <w:sz w:val="24"/>
              </w:rPr>
            </w:pPr>
          </w:p>
        </w:tc>
        <w:tc>
          <w:tcPr>
            <w:tcW w:w="886" w:type="pct"/>
            <w:noWrap w:val="0"/>
            <w:vAlign w:val="top"/>
          </w:tcPr>
          <w:p w14:paraId="76A64ED9">
            <w:pPr>
              <w:snapToGrid w:val="0"/>
              <w:spacing w:line="460" w:lineRule="exact"/>
              <w:rPr>
                <w:rFonts w:ascii="宋体" w:hAnsi="宋体" w:cs="宋体"/>
                <w:color w:val="auto"/>
                <w:sz w:val="24"/>
              </w:rPr>
            </w:pPr>
          </w:p>
        </w:tc>
        <w:tc>
          <w:tcPr>
            <w:tcW w:w="466" w:type="pct"/>
            <w:noWrap w:val="0"/>
            <w:vAlign w:val="top"/>
          </w:tcPr>
          <w:p w14:paraId="130F78EF">
            <w:pPr>
              <w:snapToGrid w:val="0"/>
              <w:spacing w:line="460" w:lineRule="exact"/>
              <w:rPr>
                <w:rFonts w:ascii="宋体" w:hAnsi="宋体" w:cs="宋体"/>
                <w:color w:val="auto"/>
                <w:sz w:val="24"/>
              </w:rPr>
            </w:pPr>
          </w:p>
        </w:tc>
        <w:tc>
          <w:tcPr>
            <w:tcW w:w="466" w:type="pct"/>
            <w:noWrap w:val="0"/>
            <w:vAlign w:val="top"/>
          </w:tcPr>
          <w:p w14:paraId="22E88C8F">
            <w:pPr>
              <w:snapToGrid w:val="0"/>
              <w:spacing w:line="460" w:lineRule="exact"/>
              <w:rPr>
                <w:rFonts w:ascii="宋体" w:hAnsi="宋体" w:cs="宋体"/>
                <w:color w:val="auto"/>
                <w:sz w:val="24"/>
              </w:rPr>
            </w:pPr>
          </w:p>
        </w:tc>
        <w:tc>
          <w:tcPr>
            <w:tcW w:w="465" w:type="pct"/>
            <w:noWrap w:val="0"/>
            <w:vAlign w:val="top"/>
          </w:tcPr>
          <w:p w14:paraId="5B79C03F">
            <w:pPr>
              <w:snapToGrid w:val="0"/>
              <w:spacing w:line="460" w:lineRule="exact"/>
              <w:rPr>
                <w:rFonts w:ascii="宋体" w:hAnsi="宋体" w:cs="宋体"/>
                <w:color w:val="auto"/>
                <w:sz w:val="24"/>
              </w:rPr>
            </w:pPr>
          </w:p>
        </w:tc>
      </w:tr>
      <w:tr w14:paraId="2B8B8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362" w:type="pct"/>
            <w:noWrap w:val="0"/>
            <w:vAlign w:val="top"/>
          </w:tcPr>
          <w:p w14:paraId="1BF57C3F">
            <w:pPr>
              <w:snapToGrid w:val="0"/>
              <w:spacing w:line="460" w:lineRule="exact"/>
              <w:rPr>
                <w:rFonts w:ascii="宋体" w:hAnsi="宋体" w:cs="宋体"/>
                <w:color w:val="auto"/>
                <w:sz w:val="24"/>
              </w:rPr>
            </w:pPr>
          </w:p>
        </w:tc>
        <w:tc>
          <w:tcPr>
            <w:tcW w:w="989" w:type="pct"/>
            <w:noWrap w:val="0"/>
            <w:vAlign w:val="top"/>
          </w:tcPr>
          <w:p w14:paraId="2579DF73">
            <w:pPr>
              <w:snapToGrid w:val="0"/>
              <w:spacing w:line="460" w:lineRule="exact"/>
              <w:rPr>
                <w:rFonts w:ascii="宋体" w:hAnsi="宋体" w:cs="宋体"/>
                <w:color w:val="auto"/>
                <w:sz w:val="24"/>
              </w:rPr>
            </w:pPr>
          </w:p>
        </w:tc>
        <w:tc>
          <w:tcPr>
            <w:tcW w:w="672" w:type="pct"/>
            <w:noWrap w:val="0"/>
            <w:vAlign w:val="top"/>
          </w:tcPr>
          <w:p w14:paraId="70D85AA1">
            <w:pPr>
              <w:snapToGrid w:val="0"/>
              <w:spacing w:line="460" w:lineRule="exact"/>
              <w:rPr>
                <w:rFonts w:ascii="宋体" w:hAnsi="宋体" w:cs="宋体"/>
                <w:color w:val="auto"/>
                <w:sz w:val="24"/>
              </w:rPr>
            </w:pPr>
          </w:p>
        </w:tc>
        <w:tc>
          <w:tcPr>
            <w:tcW w:w="690" w:type="pct"/>
            <w:noWrap w:val="0"/>
            <w:vAlign w:val="top"/>
          </w:tcPr>
          <w:p w14:paraId="0DD2B7B7">
            <w:pPr>
              <w:snapToGrid w:val="0"/>
              <w:spacing w:line="460" w:lineRule="exact"/>
              <w:rPr>
                <w:rFonts w:ascii="宋体" w:hAnsi="宋体" w:cs="宋体"/>
                <w:color w:val="auto"/>
                <w:sz w:val="24"/>
              </w:rPr>
            </w:pPr>
          </w:p>
        </w:tc>
        <w:tc>
          <w:tcPr>
            <w:tcW w:w="886" w:type="pct"/>
            <w:noWrap w:val="0"/>
            <w:vAlign w:val="top"/>
          </w:tcPr>
          <w:p w14:paraId="053C4527">
            <w:pPr>
              <w:snapToGrid w:val="0"/>
              <w:spacing w:line="460" w:lineRule="exact"/>
              <w:rPr>
                <w:rFonts w:ascii="宋体" w:hAnsi="宋体" w:cs="宋体"/>
                <w:color w:val="auto"/>
                <w:sz w:val="24"/>
              </w:rPr>
            </w:pPr>
          </w:p>
        </w:tc>
        <w:tc>
          <w:tcPr>
            <w:tcW w:w="466" w:type="pct"/>
            <w:noWrap w:val="0"/>
            <w:vAlign w:val="top"/>
          </w:tcPr>
          <w:p w14:paraId="5ED49063">
            <w:pPr>
              <w:snapToGrid w:val="0"/>
              <w:spacing w:line="460" w:lineRule="exact"/>
              <w:rPr>
                <w:rFonts w:ascii="宋体" w:hAnsi="宋体" w:cs="宋体"/>
                <w:color w:val="auto"/>
                <w:sz w:val="24"/>
              </w:rPr>
            </w:pPr>
          </w:p>
        </w:tc>
        <w:tc>
          <w:tcPr>
            <w:tcW w:w="466" w:type="pct"/>
            <w:noWrap w:val="0"/>
            <w:vAlign w:val="top"/>
          </w:tcPr>
          <w:p w14:paraId="63E435C0">
            <w:pPr>
              <w:snapToGrid w:val="0"/>
              <w:spacing w:line="460" w:lineRule="exact"/>
              <w:rPr>
                <w:rFonts w:ascii="宋体" w:hAnsi="宋体" w:cs="宋体"/>
                <w:color w:val="auto"/>
                <w:sz w:val="24"/>
              </w:rPr>
            </w:pPr>
          </w:p>
        </w:tc>
        <w:tc>
          <w:tcPr>
            <w:tcW w:w="465" w:type="pct"/>
            <w:noWrap w:val="0"/>
            <w:vAlign w:val="top"/>
          </w:tcPr>
          <w:p w14:paraId="5E3E367C">
            <w:pPr>
              <w:snapToGrid w:val="0"/>
              <w:spacing w:line="460" w:lineRule="exact"/>
              <w:rPr>
                <w:rFonts w:ascii="宋体" w:hAnsi="宋体" w:cs="宋体"/>
                <w:color w:val="auto"/>
                <w:sz w:val="24"/>
              </w:rPr>
            </w:pPr>
          </w:p>
        </w:tc>
      </w:tr>
    </w:tbl>
    <w:p w14:paraId="1A1935A8">
      <w:pPr>
        <w:spacing w:line="440" w:lineRule="exact"/>
        <w:ind w:firstLine="439" w:firstLineChars="182"/>
        <w:rPr>
          <w:rFonts w:hint="eastAsia" w:ascii="宋体" w:hAnsi="宋体" w:eastAsia="宋体" w:cs="宋体"/>
          <w:b/>
          <w:bCs/>
          <w:color w:val="auto"/>
          <w:sz w:val="24"/>
        </w:rPr>
      </w:pPr>
      <w:r>
        <w:rPr>
          <w:rFonts w:hint="eastAsia" w:ascii="宋体" w:hAnsi="宋体" w:eastAsia="宋体" w:cs="宋体"/>
          <w:b/>
          <w:bCs/>
          <w:color w:val="auto"/>
          <w:sz w:val="24"/>
          <w:lang w:val="en-US" w:eastAsia="zh-CN"/>
        </w:rPr>
        <w:t>二、</w:t>
      </w:r>
      <w:r>
        <w:rPr>
          <w:rFonts w:hint="eastAsia" w:ascii="宋体" w:hAnsi="宋体" w:eastAsia="宋体" w:cs="宋体"/>
          <w:b/>
          <w:bCs/>
          <w:color w:val="auto"/>
          <w:sz w:val="24"/>
        </w:rPr>
        <w:t>合同总价</w:t>
      </w:r>
    </w:p>
    <w:p w14:paraId="61299842">
      <w:pPr>
        <w:spacing w:line="440" w:lineRule="exact"/>
        <w:ind w:firstLine="720" w:firstLineChars="300"/>
        <w:rPr>
          <w:rFonts w:hint="eastAsia" w:ascii="宋体" w:hAnsi="宋体" w:eastAsia="宋体" w:cs="宋体"/>
          <w:bCs/>
          <w:color w:val="auto"/>
          <w:sz w:val="24"/>
          <w:lang w:eastAsia="zh-CN"/>
        </w:rPr>
      </w:pPr>
      <w:r>
        <w:rPr>
          <w:rFonts w:hint="eastAsia" w:ascii="宋体" w:hAnsi="宋体" w:cs="宋体"/>
          <w:bCs/>
          <w:color w:val="auto"/>
          <w:sz w:val="24"/>
          <w:lang w:val="en-US" w:eastAsia="zh-CN"/>
        </w:rPr>
        <w:t>金额</w:t>
      </w:r>
      <w:r>
        <w:rPr>
          <w:rFonts w:hint="eastAsia" w:ascii="宋体" w:hAnsi="宋体" w:cs="宋体"/>
          <w:bCs/>
          <w:color w:val="auto"/>
          <w:sz w:val="24"/>
        </w:rPr>
        <w:t>：</w:t>
      </w:r>
      <w:r>
        <w:rPr>
          <w:rFonts w:hint="eastAsia" w:ascii="宋体" w:hAnsi="宋体" w:cs="宋体"/>
          <w:bCs/>
          <w:color w:val="auto"/>
          <w:sz w:val="24"/>
          <w:lang w:val="en-US" w:eastAsia="zh-CN"/>
        </w:rPr>
        <w:t>小写</w:t>
      </w:r>
      <w:r>
        <w:rPr>
          <w:rFonts w:hint="eastAsia" w:ascii="宋体" w:hAnsi="宋体" w:cs="宋体"/>
          <w:b/>
          <w:bCs/>
          <w:color w:val="auto"/>
          <w:sz w:val="24"/>
          <w:u w:val="single"/>
        </w:rPr>
        <w:t xml:space="preserve">                 </w:t>
      </w:r>
      <w:r>
        <w:rPr>
          <w:rFonts w:hint="eastAsia" w:ascii="宋体" w:hAnsi="宋体" w:cs="宋体"/>
          <w:bCs/>
          <w:color w:val="auto"/>
          <w:sz w:val="24"/>
        </w:rPr>
        <w:t>元</w:t>
      </w:r>
      <w:r>
        <w:rPr>
          <w:rFonts w:hint="eastAsia" w:ascii="宋体" w:hAnsi="宋体" w:cs="宋体"/>
          <w:bCs/>
          <w:color w:val="auto"/>
          <w:sz w:val="24"/>
          <w:lang w:eastAsia="zh-CN"/>
        </w:rPr>
        <w:t>。</w:t>
      </w:r>
    </w:p>
    <w:p w14:paraId="3CCA358B">
      <w:pPr>
        <w:numPr>
          <w:ilvl w:val="0"/>
          <w:numId w:val="0"/>
        </w:numPr>
        <w:spacing w:line="440" w:lineRule="exact"/>
        <w:ind w:leftChars="0" w:firstLine="720" w:firstLineChars="300"/>
        <w:rPr>
          <w:rFonts w:hint="eastAsia" w:ascii="宋体" w:hAnsi="宋体" w:eastAsia="宋体" w:cs="宋体"/>
          <w:color w:val="auto"/>
          <w:sz w:val="24"/>
          <w:lang w:eastAsia="zh-CN"/>
        </w:rPr>
      </w:pPr>
      <w:r>
        <w:rPr>
          <w:rFonts w:hint="eastAsia" w:ascii="宋体" w:hAnsi="宋体" w:cs="宋体"/>
          <w:color w:val="auto"/>
          <w:sz w:val="24"/>
        </w:rPr>
        <w:t>大写：</w:t>
      </w:r>
      <w:r>
        <w:rPr>
          <w:rFonts w:hint="eastAsia" w:ascii="宋体" w:hAnsi="宋体" w:cs="宋体"/>
          <w:color w:val="auto"/>
          <w:sz w:val="24"/>
          <w:u w:val="single"/>
          <w:lang w:val="en-US" w:eastAsia="zh-CN"/>
        </w:rPr>
        <w:t>人民币</w:t>
      </w:r>
      <w:r>
        <w:rPr>
          <w:rFonts w:hint="eastAsia" w:ascii="宋体" w:hAnsi="宋体" w:cs="宋体"/>
          <w:b/>
          <w:bCs/>
          <w:color w:val="auto"/>
          <w:sz w:val="24"/>
          <w:u w:val="single"/>
        </w:rPr>
        <w:t xml:space="preserve">               </w:t>
      </w:r>
      <w:r>
        <w:rPr>
          <w:rFonts w:hint="eastAsia" w:ascii="宋体" w:hAnsi="宋体" w:cs="宋体"/>
          <w:b w:val="0"/>
          <w:bCs w:val="0"/>
          <w:color w:val="auto"/>
          <w:sz w:val="24"/>
          <w:u w:val="none"/>
          <w:lang w:eastAsia="zh-CN"/>
        </w:rPr>
        <w:t>。</w:t>
      </w:r>
    </w:p>
    <w:p w14:paraId="2F181AEE">
      <w:pPr>
        <w:spacing w:line="420" w:lineRule="exact"/>
        <w:ind w:firstLine="482" w:firstLineChars="200"/>
        <w:jc w:val="left"/>
        <w:rPr>
          <w:rFonts w:ascii="宋体" w:hAnsi="宋体" w:cs="宋体"/>
          <w:b/>
          <w:bCs/>
          <w:color w:val="auto"/>
          <w:sz w:val="24"/>
        </w:rPr>
      </w:pPr>
      <w:r>
        <w:rPr>
          <w:rFonts w:hint="eastAsia" w:ascii="宋体" w:hAnsi="宋体" w:cs="宋体"/>
          <w:b/>
          <w:bCs/>
          <w:color w:val="auto"/>
          <w:sz w:val="24"/>
        </w:rPr>
        <w:t>以上价格为包干价，甲方不需要额外承担任何费用。</w:t>
      </w:r>
    </w:p>
    <w:p w14:paraId="37CD65E5">
      <w:pPr>
        <w:spacing w:line="420" w:lineRule="exact"/>
        <w:ind w:firstLine="482" w:firstLineChars="200"/>
        <w:rPr>
          <w:rFonts w:ascii="宋体" w:hAnsi="宋体" w:cs="宋体"/>
          <w:b/>
          <w:bCs/>
          <w:color w:val="auto"/>
          <w:sz w:val="24"/>
        </w:rPr>
      </w:pPr>
      <w:r>
        <w:rPr>
          <w:rFonts w:hint="eastAsia" w:ascii="宋体" w:hAnsi="宋体" w:cs="宋体"/>
          <w:b/>
          <w:bCs/>
          <w:color w:val="auto"/>
          <w:sz w:val="24"/>
        </w:rPr>
        <w:t>三、甲乙</w:t>
      </w:r>
      <w:r>
        <w:rPr>
          <w:rFonts w:hint="eastAsia" w:ascii="宋体" w:hAnsi="宋体" w:cs="宋体"/>
          <w:b/>
          <w:bCs/>
          <w:color w:val="auto"/>
          <w:sz w:val="24"/>
          <w:lang w:val="en-US" w:eastAsia="zh-CN"/>
        </w:rPr>
        <w:t>双</w:t>
      </w:r>
      <w:r>
        <w:rPr>
          <w:rFonts w:hint="eastAsia" w:ascii="宋体" w:hAnsi="宋体" w:cs="宋体"/>
          <w:b/>
          <w:bCs/>
          <w:color w:val="auto"/>
          <w:sz w:val="24"/>
        </w:rPr>
        <w:t>方的权利和义务</w:t>
      </w:r>
    </w:p>
    <w:p w14:paraId="32B9D1ED">
      <w:pPr>
        <w:spacing w:line="420" w:lineRule="exact"/>
        <w:ind w:firstLine="480" w:firstLineChars="200"/>
        <w:rPr>
          <w:rFonts w:ascii="宋体" w:hAnsi="宋体" w:cs="宋体"/>
          <w:color w:val="auto"/>
          <w:sz w:val="24"/>
        </w:rPr>
      </w:pPr>
      <w:r>
        <w:rPr>
          <w:rFonts w:hint="eastAsia" w:ascii="宋体" w:hAnsi="宋体" w:cs="宋体"/>
          <w:color w:val="auto"/>
          <w:sz w:val="24"/>
        </w:rPr>
        <w:t>（一）甲方的权利和义务</w:t>
      </w:r>
    </w:p>
    <w:p w14:paraId="62C3B229">
      <w:pPr>
        <w:spacing w:line="42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rPr>
        <w:t>1.负责合同签订后项目的配合、协调工作</w:t>
      </w:r>
      <w:r>
        <w:rPr>
          <w:rFonts w:hint="eastAsia" w:ascii="宋体" w:hAnsi="宋体" w:cs="宋体"/>
          <w:color w:val="auto"/>
          <w:sz w:val="24"/>
          <w:lang w:eastAsia="zh-CN"/>
        </w:rPr>
        <w:t>。</w:t>
      </w:r>
    </w:p>
    <w:p w14:paraId="0B0C08C0">
      <w:pPr>
        <w:spacing w:line="42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rPr>
        <w:t>2.负责提供项目所必需的场地和环境</w:t>
      </w:r>
      <w:r>
        <w:rPr>
          <w:rFonts w:hint="eastAsia" w:ascii="宋体" w:hAnsi="宋体" w:cs="宋体"/>
          <w:color w:val="auto"/>
          <w:sz w:val="24"/>
          <w:lang w:eastAsia="zh-CN"/>
        </w:rPr>
        <w:t>。</w:t>
      </w:r>
    </w:p>
    <w:p w14:paraId="6D3FA62C">
      <w:pPr>
        <w:spacing w:line="42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rPr>
        <w:t>3.负责组织成立验收小组对项目进行验收并签署验收报告</w:t>
      </w:r>
      <w:r>
        <w:rPr>
          <w:rFonts w:hint="eastAsia" w:ascii="宋体" w:hAnsi="宋体" w:cs="宋体"/>
          <w:color w:val="auto"/>
          <w:sz w:val="24"/>
          <w:lang w:eastAsia="zh-CN"/>
        </w:rPr>
        <w:t>。</w:t>
      </w:r>
    </w:p>
    <w:p w14:paraId="7764D887">
      <w:pPr>
        <w:spacing w:line="420" w:lineRule="exact"/>
        <w:ind w:firstLine="480" w:firstLineChars="200"/>
        <w:rPr>
          <w:rFonts w:ascii="宋体" w:hAnsi="宋体" w:cs="宋体"/>
          <w:color w:val="auto"/>
          <w:sz w:val="24"/>
        </w:rPr>
      </w:pPr>
      <w:r>
        <w:rPr>
          <w:rFonts w:hint="eastAsia" w:ascii="宋体" w:hAnsi="宋体" w:cs="宋体"/>
          <w:color w:val="auto"/>
          <w:sz w:val="24"/>
        </w:rPr>
        <w:t>4.按合同规定享有乙方提供的货物和服务。</w:t>
      </w:r>
    </w:p>
    <w:p w14:paraId="5B140D51">
      <w:pPr>
        <w:spacing w:line="420" w:lineRule="exact"/>
        <w:ind w:firstLine="480" w:firstLineChars="200"/>
        <w:rPr>
          <w:rFonts w:ascii="宋体" w:hAnsi="宋体" w:cs="宋体"/>
          <w:color w:val="auto"/>
          <w:sz w:val="24"/>
        </w:rPr>
      </w:pPr>
      <w:r>
        <w:rPr>
          <w:rFonts w:hint="eastAsia" w:ascii="宋体" w:hAnsi="宋体" w:cs="宋体"/>
          <w:color w:val="auto"/>
          <w:sz w:val="24"/>
        </w:rPr>
        <w:t>（二）乙方的权利和义务</w:t>
      </w:r>
    </w:p>
    <w:p w14:paraId="6C162D25">
      <w:pPr>
        <w:spacing w:line="42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rPr>
        <w:t>1.乙方保证按本合同条款负责完成甲方项目，并保证提供的货物是符合招标文件规定、具有国家有关部门注册并符合国家质量检测标准和产品出厂标准的货物</w:t>
      </w:r>
      <w:r>
        <w:rPr>
          <w:rFonts w:hint="eastAsia" w:ascii="宋体" w:hAnsi="宋体" w:cs="宋体"/>
          <w:color w:val="auto"/>
          <w:sz w:val="24"/>
          <w:lang w:eastAsia="zh-CN"/>
        </w:rPr>
        <w:t>。</w:t>
      </w:r>
    </w:p>
    <w:p w14:paraId="11264AA2">
      <w:pPr>
        <w:spacing w:line="42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rPr>
        <w:t>2.保证甲方在使用期间不受第三方提出侵犯其专利权、商标权和工业设计权的起诉</w:t>
      </w:r>
      <w:r>
        <w:rPr>
          <w:rFonts w:hint="eastAsia" w:ascii="宋体" w:hAnsi="宋体" w:cs="宋体"/>
          <w:color w:val="auto"/>
          <w:sz w:val="24"/>
          <w:lang w:eastAsia="zh-CN"/>
        </w:rPr>
        <w:t>。</w:t>
      </w:r>
    </w:p>
    <w:p w14:paraId="16AB416D">
      <w:pPr>
        <w:spacing w:line="42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rPr>
        <w:t>3.严格遵守投标、技术澄清、商务谈判、中标所承诺的一切规定和条款</w:t>
      </w:r>
      <w:r>
        <w:rPr>
          <w:rFonts w:hint="eastAsia" w:ascii="宋体" w:hAnsi="宋体" w:cs="宋体"/>
          <w:color w:val="auto"/>
          <w:sz w:val="24"/>
          <w:lang w:eastAsia="zh-CN"/>
        </w:rPr>
        <w:t>。</w:t>
      </w:r>
    </w:p>
    <w:p w14:paraId="3E268204">
      <w:pPr>
        <w:spacing w:line="420" w:lineRule="exact"/>
        <w:ind w:firstLine="480" w:firstLineChars="200"/>
        <w:rPr>
          <w:rFonts w:hint="eastAsia" w:ascii="宋体" w:hAnsi="宋体" w:cs="宋体"/>
          <w:color w:val="auto"/>
          <w:sz w:val="24"/>
        </w:rPr>
      </w:pPr>
      <w:r>
        <w:rPr>
          <w:rFonts w:hint="eastAsia" w:ascii="宋体" w:hAnsi="宋体" w:cs="宋体"/>
          <w:color w:val="auto"/>
          <w:sz w:val="24"/>
        </w:rPr>
        <w:t>4.参与甲方组织的项目验收。</w:t>
      </w:r>
    </w:p>
    <w:p w14:paraId="6047728D">
      <w:pPr>
        <w:spacing w:line="420" w:lineRule="exact"/>
        <w:ind w:firstLine="480" w:firstLineChars="200"/>
        <w:rPr>
          <w:rFonts w:hint="eastAsia" w:ascii="宋体" w:hAnsi="宋体" w:cs="宋体"/>
          <w:color w:val="auto"/>
          <w:sz w:val="24"/>
        </w:rPr>
      </w:pPr>
      <w:r>
        <w:rPr>
          <w:rFonts w:hint="eastAsia" w:ascii="宋体" w:hAnsi="宋体" w:cs="宋体"/>
          <w:color w:val="auto"/>
          <w:sz w:val="24"/>
        </w:rPr>
        <w:t>（三）丙方的权利和义务</w:t>
      </w:r>
    </w:p>
    <w:p w14:paraId="280E1262">
      <w:pPr>
        <w:spacing w:line="420" w:lineRule="exact"/>
        <w:ind w:firstLine="480" w:firstLineChars="200"/>
        <w:rPr>
          <w:rFonts w:hint="eastAsia" w:ascii="宋体" w:hAnsi="宋体" w:cs="宋体"/>
          <w:color w:val="auto"/>
          <w:sz w:val="24"/>
        </w:rPr>
      </w:pPr>
      <w:r>
        <w:rPr>
          <w:rFonts w:hint="eastAsia" w:ascii="宋体" w:hAnsi="宋体" w:cs="宋体"/>
          <w:color w:val="auto"/>
          <w:sz w:val="24"/>
        </w:rPr>
        <w:t>丙方应核实合同标的、合同履行期限、合同金额等实质性内容与招标文件及</w:t>
      </w:r>
      <w:r>
        <w:rPr>
          <w:rFonts w:hint="eastAsia" w:ascii="宋体" w:hAnsi="宋体" w:cs="宋体"/>
          <w:color w:val="auto"/>
          <w:sz w:val="24"/>
          <w:lang w:eastAsia="zh-CN"/>
        </w:rPr>
        <w:t>投标</w:t>
      </w:r>
      <w:r>
        <w:rPr>
          <w:rFonts w:hint="eastAsia" w:ascii="宋体" w:hAnsi="宋体" w:cs="宋体"/>
          <w:color w:val="auto"/>
          <w:sz w:val="24"/>
        </w:rPr>
        <w:t>文件一致。</w:t>
      </w:r>
    </w:p>
    <w:p w14:paraId="675B2146">
      <w:pPr>
        <w:spacing w:line="420" w:lineRule="exact"/>
        <w:ind w:firstLine="482" w:firstLineChars="200"/>
        <w:rPr>
          <w:rFonts w:ascii="宋体" w:hAnsi="宋体" w:cs="宋体"/>
          <w:b/>
          <w:bCs/>
          <w:color w:val="auto"/>
          <w:sz w:val="24"/>
        </w:rPr>
      </w:pPr>
      <w:r>
        <w:rPr>
          <w:rFonts w:hint="eastAsia" w:ascii="宋体" w:hAnsi="宋体" w:cs="宋体"/>
          <w:b/>
          <w:bCs/>
          <w:color w:val="auto"/>
          <w:sz w:val="24"/>
        </w:rPr>
        <w:t>四、技术支持</w:t>
      </w:r>
    </w:p>
    <w:p w14:paraId="52A7AFE4">
      <w:pPr>
        <w:spacing w:line="420" w:lineRule="exact"/>
        <w:ind w:left="437" w:leftChars="208"/>
        <w:rPr>
          <w:rFonts w:ascii="宋体" w:hAnsi="宋体" w:cs="宋体"/>
          <w:color w:val="auto"/>
          <w:sz w:val="24"/>
        </w:rPr>
      </w:pPr>
      <w:r>
        <w:rPr>
          <w:rFonts w:hint="eastAsia" w:ascii="宋体" w:hAnsi="宋体" w:cs="宋体"/>
          <w:color w:val="auto"/>
          <w:sz w:val="24"/>
        </w:rPr>
        <w:t>1.甲方在使用过程中发生技术质量问题，乙方应提供及时有效的技术支持。</w:t>
      </w:r>
    </w:p>
    <w:p w14:paraId="2EF2F1D9">
      <w:pPr>
        <w:spacing w:line="420" w:lineRule="exact"/>
        <w:ind w:left="437" w:leftChars="208"/>
        <w:rPr>
          <w:rFonts w:ascii="宋体" w:hAnsi="宋体" w:cs="宋体"/>
          <w:color w:val="auto"/>
          <w:sz w:val="24"/>
          <w:u w:val="single"/>
        </w:rPr>
      </w:pPr>
      <w:r>
        <w:rPr>
          <w:rFonts w:hint="eastAsia" w:ascii="宋体" w:hAnsi="宋体" w:cs="宋体"/>
          <w:color w:val="auto"/>
          <w:sz w:val="24"/>
        </w:rPr>
        <w:t>2.乙方技术支持联系人：</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，电话：</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w:t>
      </w:r>
    </w:p>
    <w:p w14:paraId="47A2889D">
      <w:pPr>
        <w:spacing w:line="420" w:lineRule="exact"/>
        <w:ind w:firstLine="482" w:firstLineChars="200"/>
        <w:rPr>
          <w:rFonts w:ascii="宋体" w:hAnsi="宋体" w:cs="宋体"/>
          <w:b/>
          <w:bCs/>
          <w:color w:val="auto"/>
          <w:sz w:val="24"/>
        </w:rPr>
      </w:pPr>
      <w:r>
        <w:rPr>
          <w:rFonts w:hint="eastAsia" w:ascii="宋体" w:hAnsi="宋体" w:cs="宋体"/>
          <w:b/>
          <w:bCs/>
          <w:color w:val="auto"/>
          <w:sz w:val="24"/>
        </w:rPr>
        <w:t>五、合同履行期限</w:t>
      </w:r>
    </w:p>
    <w:p w14:paraId="3134CBC2">
      <w:pPr>
        <w:spacing w:line="420" w:lineRule="exact"/>
        <w:ind w:firstLine="480" w:firstLineChars="20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w:t>
      </w:r>
    </w:p>
    <w:p w14:paraId="2CFF91C7">
      <w:pPr>
        <w:spacing w:line="420" w:lineRule="exact"/>
        <w:ind w:firstLine="480" w:firstLineChars="200"/>
        <w:rPr>
          <w:rFonts w:hint="eastAsia" w:ascii="宋体" w:hAnsi="宋体" w:cs="宋体"/>
          <w:color w:val="auto"/>
          <w:sz w:val="24"/>
        </w:rPr>
      </w:pPr>
      <w:r>
        <w:rPr>
          <w:rFonts w:hint="eastAsia" w:ascii="宋体" w:hAnsi="宋体" w:cs="宋体"/>
          <w:color w:val="auto"/>
          <w:sz w:val="24"/>
        </w:rPr>
        <w:t>因乙方原因造成交货期延误的，延误期限在5个日历天以内（含5个日历天）的，乙方按每日</w:t>
      </w:r>
      <w:r>
        <w:rPr>
          <w:rFonts w:hint="eastAsia" w:ascii="宋体" w:hAnsi="宋体" w:cs="宋体"/>
          <w:color w:val="auto"/>
          <w:sz w:val="24"/>
          <w:lang w:val="en-US" w:eastAsia="zh-CN"/>
        </w:rPr>
        <w:t>5</w:t>
      </w:r>
      <w:r>
        <w:rPr>
          <w:rFonts w:hint="eastAsia" w:ascii="宋体" w:hAnsi="宋体" w:cs="宋体"/>
          <w:color w:val="auto"/>
          <w:sz w:val="24"/>
        </w:rPr>
        <w:t>0</w:t>
      </w:r>
      <w:r>
        <w:rPr>
          <w:rFonts w:ascii="宋体" w:hAnsi="宋体" w:cs="宋体"/>
          <w:color w:val="auto"/>
          <w:sz w:val="24"/>
        </w:rPr>
        <w:t>0</w:t>
      </w:r>
      <w:r>
        <w:rPr>
          <w:rFonts w:hint="eastAsia" w:ascii="宋体" w:hAnsi="宋体" w:cs="宋体"/>
          <w:color w:val="auto"/>
          <w:sz w:val="24"/>
        </w:rPr>
        <w:t>元支付违约金。延误期限在5个日历天以上至10个日历天以内（含10个日历天）的，乙方按每日</w:t>
      </w:r>
      <w:r>
        <w:rPr>
          <w:rFonts w:hint="eastAsia" w:ascii="宋体" w:hAnsi="宋体" w:cs="宋体"/>
          <w:color w:val="auto"/>
          <w:sz w:val="24"/>
          <w:lang w:val="en-US" w:eastAsia="zh-CN"/>
        </w:rPr>
        <w:t>8</w:t>
      </w:r>
      <w:r>
        <w:rPr>
          <w:rFonts w:hint="eastAsia" w:ascii="宋体" w:hAnsi="宋体" w:cs="宋体"/>
          <w:color w:val="auto"/>
          <w:sz w:val="24"/>
        </w:rPr>
        <w:t>00元支付违约金。延误交货期超过10个日历天的，甲方有权解除合同，乙方还应向甲方支付签约合同价</w:t>
      </w:r>
      <w:r>
        <w:rPr>
          <w:rFonts w:ascii="宋体" w:hAnsi="宋体" w:cs="宋体"/>
          <w:color w:val="auto"/>
          <w:sz w:val="24"/>
        </w:rPr>
        <w:t>5%</w:t>
      </w:r>
      <w:r>
        <w:rPr>
          <w:rFonts w:hint="eastAsia" w:ascii="宋体" w:hAnsi="宋体" w:cs="宋体"/>
          <w:color w:val="auto"/>
          <w:sz w:val="24"/>
        </w:rPr>
        <w:t>的违约金。违约金若不足以弥补甲方损失的，乙方应承担由此给甲方造成的其他经济损失。</w:t>
      </w:r>
    </w:p>
    <w:p w14:paraId="1CA6F370">
      <w:pPr>
        <w:spacing w:line="420" w:lineRule="exact"/>
        <w:ind w:firstLine="482" w:firstLineChars="200"/>
        <w:rPr>
          <w:rFonts w:ascii="宋体" w:hAnsi="宋体" w:cs="宋体"/>
          <w:b/>
          <w:bCs/>
          <w:color w:val="auto"/>
          <w:sz w:val="24"/>
        </w:rPr>
      </w:pPr>
      <w:r>
        <w:rPr>
          <w:rFonts w:hint="eastAsia" w:ascii="宋体" w:hAnsi="宋体" w:cs="宋体"/>
          <w:b/>
          <w:bCs/>
          <w:color w:val="auto"/>
          <w:sz w:val="24"/>
        </w:rPr>
        <w:t>六、验收及验收标准</w:t>
      </w:r>
    </w:p>
    <w:p w14:paraId="06936B27">
      <w:pPr>
        <w:spacing w:line="420" w:lineRule="exact"/>
        <w:ind w:firstLine="480" w:firstLineChars="200"/>
        <w:rPr>
          <w:rFonts w:hint="eastAsia" w:ascii="宋体" w:hAnsi="宋体" w:cs="宋体"/>
          <w:color w:val="auto"/>
          <w:sz w:val="24"/>
        </w:rPr>
      </w:pPr>
      <w:r>
        <w:rPr>
          <w:rFonts w:hint="eastAsia" w:ascii="宋体" w:hAnsi="宋体" w:cs="宋体"/>
          <w:color w:val="auto"/>
          <w:sz w:val="24"/>
        </w:rPr>
        <w:t>1.交付验收标准依次序对照适用标准为：①符合国家/行业相关质量标准；②符合招标文件和响应文件中配置、参数及各项要求，提供设备合格证及相关检测报告。</w:t>
      </w:r>
    </w:p>
    <w:p w14:paraId="4C8828D3">
      <w:pPr>
        <w:spacing w:line="420" w:lineRule="exact"/>
        <w:ind w:firstLine="480" w:firstLineChars="200"/>
        <w:rPr>
          <w:rFonts w:hint="eastAsia" w:ascii="宋体" w:hAnsi="宋体" w:cs="宋体"/>
          <w:color w:val="auto"/>
          <w:sz w:val="24"/>
        </w:rPr>
      </w:pPr>
      <w:r>
        <w:rPr>
          <w:rFonts w:hint="eastAsia" w:ascii="宋体" w:hAnsi="宋体" w:cs="宋体"/>
          <w:color w:val="auto"/>
          <w:sz w:val="24"/>
        </w:rPr>
        <w:t>2.货物为原厂商未启封全新包装，提供出厂合格证，序列号、包装箱号，所有随设备的附件必须齐全。</w:t>
      </w:r>
    </w:p>
    <w:p w14:paraId="5FD3C29E">
      <w:pPr>
        <w:spacing w:line="420" w:lineRule="exact"/>
        <w:ind w:firstLine="480" w:firstLineChars="200"/>
        <w:rPr>
          <w:rFonts w:hint="eastAsia" w:ascii="宋体" w:hAnsi="宋体" w:cs="宋体"/>
          <w:color w:val="auto"/>
          <w:sz w:val="24"/>
        </w:rPr>
      </w:pPr>
      <w:r>
        <w:rPr>
          <w:rFonts w:hint="eastAsia" w:ascii="宋体" w:hAnsi="宋体" w:cs="宋体"/>
          <w:color w:val="auto"/>
          <w:sz w:val="24"/>
        </w:rPr>
        <w:t>3.应提供设备的用户手册、保修手册、有关单证资料及配备件、随机工具等，使用操作及安全须知等重要资料应附有中文说明。</w:t>
      </w:r>
    </w:p>
    <w:p w14:paraId="40374646">
      <w:pPr>
        <w:spacing w:line="420" w:lineRule="exact"/>
        <w:ind w:firstLine="480" w:firstLineChars="200"/>
        <w:rPr>
          <w:rFonts w:hint="eastAsia" w:ascii="宋体" w:hAnsi="宋体" w:cs="宋体"/>
          <w:color w:val="auto"/>
          <w:sz w:val="24"/>
        </w:rPr>
      </w:pPr>
      <w:r>
        <w:rPr>
          <w:rFonts w:hint="eastAsia" w:ascii="宋体" w:hAnsi="宋体" w:cs="宋体"/>
          <w:color w:val="auto"/>
          <w:sz w:val="24"/>
        </w:rPr>
        <w:t>4.提供各类培训材料及培训签到表。</w:t>
      </w:r>
    </w:p>
    <w:p w14:paraId="3EF078BC">
      <w:pPr>
        <w:spacing w:line="420" w:lineRule="exact"/>
        <w:ind w:firstLine="480" w:firstLineChars="200"/>
        <w:rPr>
          <w:rFonts w:hint="eastAsia" w:ascii="宋体" w:hAnsi="宋体" w:cs="宋体"/>
          <w:color w:val="auto"/>
          <w:sz w:val="24"/>
        </w:rPr>
      </w:pPr>
      <w:r>
        <w:rPr>
          <w:rFonts w:hint="eastAsia" w:ascii="宋体" w:hAnsi="宋体" w:cs="宋体"/>
          <w:color w:val="auto"/>
          <w:sz w:val="24"/>
        </w:rPr>
        <w:t>5.提供系统布线及设备安装拓扑图。</w:t>
      </w:r>
    </w:p>
    <w:p w14:paraId="3F7E8708">
      <w:pPr>
        <w:spacing w:line="420" w:lineRule="exact"/>
        <w:ind w:firstLine="480" w:firstLineChars="200"/>
        <w:rPr>
          <w:rFonts w:hint="eastAsia" w:ascii="宋体" w:hAnsi="宋体" w:cs="宋体"/>
          <w:color w:val="auto"/>
          <w:sz w:val="24"/>
        </w:rPr>
      </w:pPr>
      <w:r>
        <w:rPr>
          <w:rFonts w:hint="eastAsia" w:ascii="宋体" w:hAnsi="宋体" w:cs="宋体"/>
          <w:color w:val="auto"/>
          <w:sz w:val="24"/>
        </w:rPr>
        <w:t>6.甲方组成验收小组按国家有关规定、规范进行验收，必要时邀请相关的专业人员或机构参与验收。因货物质量问题发生争议时，由本地质量技术监督部门鉴定。</w:t>
      </w:r>
    </w:p>
    <w:p w14:paraId="3390218C">
      <w:pPr>
        <w:numPr>
          <w:ilvl w:val="0"/>
          <w:numId w:val="0"/>
        </w:numPr>
        <w:spacing w:line="420" w:lineRule="exact"/>
        <w:ind w:firstLine="482" w:firstLineChars="200"/>
        <w:rPr>
          <w:rFonts w:hint="eastAsia" w:ascii="宋体" w:hAnsi="宋体" w:cs="宋体"/>
          <w:b/>
          <w:bCs/>
          <w:color w:val="auto"/>
          <w:sz w:val="24"/>
        </w:rPr>
      </w:pPr>
      <w:r>
        <w:rPr>
          <w:rFonts w:hint="eastAsia" w:ascii="宋体" w:hAnsi="宋体" w:cs="宋体"/>
          <w:b/>
          <w:bCs/>
          <w:color w:val="auto"/>
          <w:kern w:val="2"/>
          <w:sz w:val="24"/>
          <w:szCs w:val="24"/>
          <w:lang w:val="en-US" w:eastAsia="zh-CN" w:bidi="ar-SA"/>
        </w:rPr>
        <w:t>七</w:t>
      </w:r>
      <w:r>
        <w:rPr>
          <w:rFonts w:hint="eastAsia" w:ascii="宋体" w:hAnsi="宋体" w:eastAsia="宋体" w:cs="宋体"/>
          <w:b/>
          <w:bCs/>
          <w:color w:val="auto"/>
          <w:kern w:val="2"/>
          <w:sz w:val="24"/>
          <w:szCs w:val="24"/>
          <w:lang w:val="en-US" w:eastAsia="zh-CN" w:bidi="ar-SA"/>
        </w:rPr>
        <w:t>、</w:t>
      </w:r>
      <w:r>
        <w:rPr>
          <w:rFonts w:hint="eastAsia" w:ascii="宋体" w:hAnsi="宋体" w:cs="宋体"/>
          <w:b/>
          <w:bCs/>
          <w:color w:val="auto"/>
          <w:sz w:val="24"/>
        </w:rPr>
        <w:t>质量及售后服务要求</w:t>
      </w:r>
    </w:p>
    <w:p w14:paraId="0D56BE9C">
      <w:pPr>
        <w:numPr>
          <w:ilvl w:val="0"/>
          <w:numId w:val="0"/>
        </w:numPr>
        <w:spacing w:line="420" w:lineRule="exact"/>
        <w:ind w:firstLine="480" w:firstLineChars="200"/>
        <w:rPr>
          <w:rFonts w:hint="eastAsia" w:ascii="宋体" w:hAnsi="宋体" w:cs="宋体"/>
          <w:color w:val="auto"/>
          <w:sz w:val="24"/>
        </w:rPr>
      </w:pPr>
      <w:r>
        <w:rPr>
          <w:rFonts w:hint="eastAsia" w:ascii="宋体" w:hAnsi="宋体" w:cs="宋体"/>
          <w:color w:val="auto"/>
          <w:sz w:val="24"/>
        </w:rPr>
        <w:t>1.提供全新、符合行业相关标准的产品，提供产品的合格证及相关检测报告；</w:t>
      </w:r>
    </w:p>
    <w:p w14:paraId="0AAF063B">
      <w:pPr>
        <w:spacing w:line="42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2</w:t>
      </w:r>
      <w:r>
        <w:rPr>
          <w:rFonts w:hint="eastAsia" w:ascii="宋体" w:hAnsi="宋体" w:cs="宋体"/>
          <w:color w:val="auto"/>
          <w:sz w:val="24"/>
        </w:rPr>
        <w:t>.项目实施过程中或项目通过整体验收尚在质量保修期内，设施设备发生故障，应在接到通知后快速作出实质响应，快速派出维修人员到场处置，维修人员必须具备相关认证证书；</w:t>
      </w:r>
    </w:p>
    <w:p w14:paraId="2F5549EB">
      <w:pPr>
        <w:spacing w:line="42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3</w:t>
      </w:r>
      <w:r>
        <w:rPr>
          <w:rFonts w:hint="eastAsia" w:ascii="宋体" w:hAnsi="宋体" w:cs="宋体"/>
          <w:color w:val="auto"/>
          <w:sz w:val="24"/>
        </w:rPr>
        <w:t>.若发生硬件故障无法在现场修复的应当提供备品备件进行更换；</w:t>
      </w:r>
    </w:p>
    <w:p w14:paraId="347C0A8B">
      <w:pPr>
        <w:spacing w:line="42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4</w:t>
      </w:r>
      <w:r>
        <w:rPr>
          <w:rFonts w:hint="eastAsia" w:ascii="宋体" w:hAnsi="宋体" w:cs="宋体"/>
          <w:color w:val="auto"/>
          <w:sz w:val="24"/>
        </w:rPr>
        <w:t>同一设备相同故障维修2次以上，再次出现相同故障的提供全新相同设备进行更换；</w:t>
      </w:r>
    </w:p>
    <w:p w14:paraId="43F48365">
      <w:pPr>
        <w:spacing w:line="42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lang w:val="en-US" w:eastAsia="zh-CN"/>
        </w:rPr>
        <w:t>5</w:t>
      </w:r>
      <w:r>
        <w:rPr>
          <w:rFonts w:hint="eastAsia" w:ascii="宋体" w:hAnsi="宋体" w:cs="宋体"/>
          <w:color w:val="auto"/>
          <w:sz w:val="24"/>
        </w:rPr>
        <w:t>.超出质保期后，提供终身维修服务，维修费用按照成本计算</w:t>
      </w:r>
      <w:r>
        <w:rPr>
          <w:rFonts w:hint="eastAsia" w:ascii="宋体" w:hAnsi="宋体" w:cs="宋体"/>
          <w:color w:val="auto"/>
          <w:sz w:val="24"/>
          <w:lang w:eastAsia="zh-CN"/>
        </w:rPr>
        <w:t>。</w:t>
      </w:r>
    </w:p>
    <w:p w14:paraId="2D805EBD">
      <w:pPr>
        <w:tabs>
          <w:tab w:val="left" w:pos="6930"/>
        </w:tabs>
        <w:autoSpaceDE w:val="0"/>
        <w:autoSpaceDN w:val="0"/>
        <w:adjustRightInd w:val="0"/>
        <w:spacing w:line="420" w:lineRule="exact"/>
        <w:ind w:right="525" w:firstLine="482" w:firstLineChars="200"/>
        <w:rPr>
          <w:rFonts w:ascii="宋体" w:hAnsi="宋体" w:cs="宋体"/>
          <w:b/>
          <w:bCs/>
          <w:color w:val="auto"/>
          <w:sz w:val="24"/>
        </w:rPr>
      </w:pPr>
      <w:r>
        <w:rPr>
          <w:rFonts w:hint="eastAsia" w:ascii="宋体" w:hAnsi="宋体" w:cs="宋体"/>
          <w:b/>
          <w:bCs/>
          <w:color w:val="auto"/>
          <w:sz w:val="24"/>
          <w:lang w:val="en-US" w:eastAsia="zh-CN"/>
        </w:rPr>
        <w:t>八</w:t>
      </w:r>
      <w:r>
        <w:rPr>
          <w:rFonts w:hint="eastAsia" w:ascii="宋体" w:hAnsi="宋体" w:cs="宋体"/>
          <w:b/>
          <w:bCs/>
          <w:color w:val="auto"/>
          <w:sz w:val="24"/>
        </w:rPr>
        <w:t>、合同价款结算</w:t>
      </w:r>
    </w:p>
    <w:p w14:paraId="15B93281">
      <w:pPr>
        <w:spacing w:line="420" w:lineRule="exact"/>
        <w:ind w:firstLine="480" w:firstLineChars="200"/>
        <w:rPr>
          <w:rFonts w:hint="default" w:ascii="宋体" w:hAnsi="宋体" w:eastAsia="宋体" w:cs="宋体"/>
          <w:color w:val="auto"/>
          <w:sz w:val="24"/>
          <w:lang w:val="en-US" w:eastAsia="zh-CN"/>
        </w:rPr>
      </w:pPr>
      <w:r>
        <w:rPr>
          <w:rFonts w:hint="eastAsia" w:ascii="宋体" w:hAnsi="宋体"/>
          <w:color w:val="auto"/>
          <w:sz w:val="24"/>
        </w:rPr>
        <w:t>1.付款：</w:t>
      </w:r>
      <w:r>
        <w:rPr>
          <w:rFonts w:hint="eastAsia" w:ascii="宋体" w:hAnsi="宋体"/>
          <w:color w:val="auto"/>
          <w:sz w:val="24"/>
          <w:u w:val="single"/>
          <w:lang w:val="en-US" w:eastAsia="zh-CN"/>
        </w:rPr>
        <w:t>合同签订时确定。</w:t>
      </w:r>
    </w:p>
    <w:p w14:paraId="17C6959C">
      <w:pPr>
        <w:spacing w:line="420" w:lineRule="exact"/>
        <w:ind w:firstLine="480" w:firstLineChars="200"/>
        <w:rPr>
          <w:rFonts w:ascii="宋体" w:hAnsi="宋体" w:cs="宋体"/>
          <w:color w:val="auto"/>
          <w:sz w:val="24"/>
        </w:rPr>
      </w:pPr>
      <w:bookmarkStart w:id="92" w:name="bookmark79"/>
      <w:bookmarkEnd w:id="92"/>
      <w:bookmarkStart w:id="93" w:name="bookmark78"/>
      <w:bookmarkEnd w:id="93"/>
      <w:r>
        <w:rPr>
          <w:rFonts w:hint="eastAsia" w:ascii="宋体" w:hAnsi="宋体" w:cs="宋体"/>
          <w:color w:val="auto"/>
          <w:sz w:val="24"/>
        </w:rPr>
        <w:t>2.付款方式：采用银行汇付（含电汇）等形式。</w:t>
      </w:r>
    </w:p>
    <w:p w14:paraId="7FDFF5B6">
      <w:pPr>
        <w:spacing w:line="420" w:lineRule="exact"/>
        <w:ind w:firstLine="480" w:firstLineChars="200"/>
        <w:rPr>
          <w:rFonts w:ascii="宋体" w:hAnsi="宋体" w:cs="宋体"/>
          <w:color w:val="auto"/>
          <w:sz w:val="24"/>
          <w:u w:val="single"/>
        </w:rPr>
      </w:pPr>
      <w:bookmarkStart w:id="94" w:name="bookmark80"/>
      <w:bookmarkEnd w:id="94"/>
      <w:r>
        <w:rPr>
          <w:rFonts w:hint="eastAsia" w:ascii="宋体" w:hAnsi="宋体" w:cs="宋体"/>
          <w:color w:val="auto"/>
          <w:sz w:val="24"/>
        </w:rPr>
        <w:t>乙方名称：</w:t>
      </w:r>
      <w:r>
        <w:rPr>
          <w:rFonts w:hint="eastAsia" w:ascii="宋体" w:hAnsi="宋体" w:cs="宋体"/>
          <w:color w:val="auto"/>
          <w:sz w:val="24"/>
          <w:u w:val="single"/>
        </w:rPr>
        <w:t xml:space="preserve">                  </w:t>
      </w:r>
    </w:p>
    <w:p w14:paraId="579AA069">
      <w:pPr>
        <w:spacing w:line="420" w:lineRule="exact"/>
        <w:ind w:firstLine="480" w:firstLineChars="200"/>
        <w:rPr>
          <w:rFonts w:ascii="宋体" w:hAnsi="宋体" w:cs="宋体"/>
          <w:color w:val="auto"/>
          <w:sz w:val="24"/>
        </w:rPr>
      </w:pPr>
      <w:r>
        <w:rPr>
          <w:rFonts w:hint="eastAsia" w:ascii="宋体" w:hAnsi="宋体" w:cs="宋体"/>
          <w:color w:val="auto"/>
          <w:sz w:val="24"/>
        </w:rPr>
        <w:t>乙方地址：</w:t>
      </w:r>
      <w:r>
        <w:rPr>
          <w:rFonts w:hint="eastAsia" w:ascii="宋体" w:hAnsi="宋体" w:cs="宋体"/>
          <w:color w:val="auto"/>
          <w:sz w:val="24"/>
          <w:u w:val="single"/>
        </w:rPr>
        <w:t xml:space="preserve">                 </w:t>
      </w:r>
    </w:p>
    <w:p w14:paraId="26AC50D1">
      <w:pPr>
        <w:spacing w:line="420" w:lineRule="exact"/>
        <w:ind w:firstLine="480" w:firstLineChars="200"/>
        <w:rPr>
          <w:rFonts w:ascii="宋体" w:hAnsi="宋体" w:cs="宋体"/>
          <w:color w:val="auto"/>
          <w:sz w:val="24"/>
        </w:rPr>
      </w:pPr>
      <w:r>
        <w:rPr>
          <w:rFonts w:hint="eastAsia" w:ascii="宋体" w:hAnsi="宋体" w:cs="宋体"/>
          <w:color w:val="auto"/>
          <w:sz w:val="24"/>
        </w:rPr>
        <w:t>开户行：</w:t>
      </w:r>
      <w:r>
        <w:rPr>
          <w:rFonts w:hint="eastAsia" w:ascii="宋体" w:hAnsi="宋体" w:cs="宋体"/>
          <w:color w:val="auto"/>
          <w:sz w:val="24"/>
          <w:u w:val="single"/>
        </w:rPr>
        <w:t xml:space="preserve">                   </w:t>
      </w:r>
    </w:p>
    <w:p w14:paraId="7650D2BA">
      <w:pPr>
        <w:spacing w:line="420" w:lineRule="exact"/>
        <w:ind w:firstLine="480" w:firstLineChars="200"/>
        <w:rPr>
          <w:rFonts w:ascii="宋体" w:hAnsi="宋体" w:cs="宋体"/>
          <w:color w:val="auto"/>
          <w:sz w:val="24"/>
        </w:rPr>
      </w:pPr>
      <w:r>
        <w:rPr>
          <w:rFonts w:hint="eastAsia" w:ascii="宋体" w:hAnsi="宋体" w:cs="宋体"/>
          <w:color w:val="auto"/>
          <w:sz w:val="24"/>
        </w:rPr>
        <w:t>账号：</w:t>
      </w:r>
      <w:r>
        <w:rPr>
          <w:rFonts w:hint="eastAsia" w:ascii="宋体" w:hAnsi="宋体" w:cs="宋体"/>
          <w:color w:val="auto"/>
          <w:sz w:val="24"/>
          <w:u w:val="single"/>
        </w:rPr>
        <w:t xml:space="preserve">                     </w:t>
      </w:r>
    </w:p>
    <w:p w14:paraId="00E49C19">
      <w:pPr>
        <w:spacing w:line="420" w:lineRule="exact"/>
        <w:ind w:firstLine="480" w:firstLineChars="200"/>
        <w:rPr>
          <w:rFonts w:ascii="宋体" w:hAnsi="宋体" w:cs="宋体"/>
          <w:color w:val="auto"/>
          <w:sz w:val="24"/>
        </w:rPr>
      </w:pPr>
      <w:r>
        <w:rPr>
          <w:rFonts w:hint="eastAsia" w:ascii="宋体" w:hAnsi="宋体" w:cs="宋体"/>
          <w:color w:val="auto"/>
          <w:sz w:val="24"/>
        </w:rPr>
        <w:t>统一社会信用代码：</w:t>
      </w:r>
      <w:r>
        <w:rPr>
          <w:rFonts w:hint="eastAsia" w:ascii="宋体" w:hAnsi="宋体" w:cs="宋体"/>
          <w:color w:val="auto"/>
          <w:sz w:val="24"/>
          <w:u w:val="single"/>
        </w:rPr>
        <w:t xml:space="preserve">         </w:t>
      </w:r>
    </w:p>
    <w:p w14:paraId="7534FFAE">
      <w:pPr>
        <w:spacing w:line="420" w:lineRule="exact"/>
        <w:ind w:firstLine="480" w:firstLineChars="200"/>
        <w:rPr>
          <w:rFonts w:ascii="宋体" w:hAnsi="宋体" w:cs="宋体"/>
          <w:color w:val="auto"/>
          <w:sz w:val="24"/>
          <w:u w:val="single"/>
        </w:rPr>
      </w:pPr>
      <w:r>
        <w:rPr>
          <w:rFonts w:hint="eastAsia" w:ascii="宋体" w:hAnsi="宋体" w:cs="宋体"/>
          <w:color w:val="auto"/>
          <w:sz w:val="24"/>
        </w:rPr>
        <w:t>邮编：</w:t>
      </w:r>
      <w:r>
        <w:rPr>
          <w:rFonts w:hint="eastAsia" w:ascii="宋体" w:hAnsi="宋体" w:cs="宋体"/>
          <w:color w:val="auto"/>
          <w:sz w:val="24"/>
          <w:u w:val="single"/>
        </w:rPr>
        <w:t xml:space="preserve">                     </w:t>
      </w:r>
    </w:p>
    <w:p w14:paraId="343E942E">
      <w:pPr>
        <w:spacing w:line="420" w:lineRule="exact"/>
        <w:ind w:firstLine="480" w:firstLineChars="200"/>
        <w:rPr>
          <w:color w:val="auto"/>
        </w:rPr>
      </w:pPr>
      <w:r>
        <w:rPr>
          <w:rFonts w:hint="eastAsia" w:ascii="宋体" w:hAnsi="宋体" w:cs="宋体"/>
          <w:color w:val="auto"/>
          <w:sz w:val="24"/>
        </w:rPr>
        <w:t>联系电话：</w:t>
      </w:r>
      <w:r>
        <w:rPr>
          <w:rFonts w:hint="eastAsia" w:ascii="宋体" w:hAnsi="宋体" w:cs="宋体"/>
          <w:color w:val="auto"/>
          <w:sz w:val="24"/>
          <w:u w:val="single"/>
        </w:rPr>
        <w:t xml:space="preserve">                 </w:t>
      </w:r>
    </w:p>
    <w:p w14:paraId="3A69E441">
      <w:pPr>
        <w:spacing w:line="420" w:lineRule="exact"/>
        <w:ind w:firstLine="480" w:firstLineChars="200"/>
        <w:rPr>
          <w:rFonts w:ascii="宋体" w:hAnsi="宋体" w:cs="宋体"/>
          <w:color w:val="auto"/>
          <w:sz w:val="24"/>
        </w:rPr>
      </w:pPr>
      <w:r>
        <w:rPr>
          <w:rFonts w:hint="eastAsia" w:ascii="宋体" w:hAnsi="宋体" w:cs="宋体"/>
          <w:color w:val="auto"/>
          <w:sz w:val="24"/>
        </w:rPr>
        <w:t>备注：乙方在所有货物验收完毕后，向甲方提供全套完整报账资料，其中免税货物提供全套海关免税报账手续，含税货物提供全额增值税发票。</w:t>
      </w:r>
      <w:r>
        <w:rPr>
          <w:rFonts w:hint="eastAsia" w:ascii="宋体" w:hAnsi="宋体"/>
          <w:color w:val="auto"/>
          <w:sz w:val="24"/>
        </w:rPr>
        <w:t>乙方逾期提供上述报账资料的，甲方有权相应顺延付款时间且不承担违约责任。</w:t>
      </w:r>
    </w:p>
    <w:p w14:paraId="4C4C2079">
      <w:pPr>
        <w:spacing w:line="420" w:lineRule="exact"/>
        <w:ind w:firstLine="482" w:firstLineChars="200"/>
        <w:rPr>
          <w:rFonts w:ascii="宋体" w:hAnsi="宋体"/>
          <w:b/>
          <w:bCs/>
          <w:color w:val="auto"/>
          <w:sz w:val="24"/>
          <w:shd w:val="clear" w:color="auto" w:fill="FFFFFF"/>
        </w:rPr>
      </w:pPr>
      <w:r>
        <w:rPr>
          <w:rFonts w:hint="eastAsia" w:ascii="宋体" w:hAnsi="宋体"/>
          <w:b/>
          <w:bCs/>
          <w:color w:val="auto"/>
          <w:sz w:val="24"/>
          <w:shd w:val="clear" w:color="auto" w:fill="FFFFFF"/>
          <w:lang w:val="en-US" w:eastAsia="zh-CN"/>
        </w:rPr>
        <w:t>九</w:t>
      </w:r>
      <w:r>
        <w:rPr>
          <w:rFonts w:ascii="宋体" w:hAnsi="宋体"/>
          <w:b/>
          <w:bCs/>
          <w:color w:val="auto"/>
          <w:sz w:val="24"/>
          <w:shd w:val="clear" w:color="auto" w:fill="FFFFFF"/>
        </w:rPr>
        <w:t>、知识产权</w:t>
      </w:r>
    </w:p>
    <w:p w14:paraId="6AC4C4D4">
      <w:pPr>
        <w:spacing w:line="420" w:lineRule="exact"/>
        <w:ind w:firstLine="480" w:firstLineChars="200"/>
        <w:rPr>
          <w:rFonts w:ascii="宋体" w:hAnsi="宋体"/>
          <w:color w:val="auto"/>
          <w:sz w:val="24"/>
          <w:shd w:val="clear" w:color="auto" w:fill="FFFFFF"/>
        </w:rPr>
      </w:pPr>
      <w:r>
        <w:rPr>
          <w:rFonts w:ascii="宋体" w:hAnsi="宋体"/>
          <w:color w:val="auto"/>
          <w:sz w:val="24"/>
          <w:shd w:val="clear" w:color="auto" w:fill="FFFFFF"/>
        </w:rPr>
        <w:t>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p>
    <w:p w14:paraId="5127EEAF">
      <w:pPr>
        <w:spacing w:line="420" w:lineRule="exact"/>
        <w:ind w:firstLine="482" w:firstLineChars="200"/>
        <w:rPr>
          <w:rFonts w:ascii="宋体" w:hAnsi="宋体"/>
          <w:b/>
          <w:bCs/>
          <w:color w:val="auto"/>
          <w:sz w:val="24"/>
          <w:shd w:val="clear" w:color="auto" w:fill="FFFFFF"/>
        </w:rPr>
      </w:pPr>
      <w:r>
        <w:rPr>
          <w:rFonts w:hint="eastAsia" w:ascii="宋体" w:hAnsi="宋体"/>
          <w:b/>
          <w:bCs/>
          <w:color w:val="auto"/>
          <w:sz w:val="24"/>
          <w:shd w:val="clear" w:color="auto" w:fill="FFFFFF"/>
          <w:lang w:val="en-US" w:eastAsia="zh-CN"/>
        </w:rPr>
        <w:t>十</w:t>
      </w:r>
      <w:r>
        <w:rPr>
          <w:rFonts w:ascii="宋体" w:hAnsi="宋体"/>
          <w:b/>
          <w:bCs/>
          <w:color w:val="auto"/>
          <w:sz w:val="24"/>
          <w:shd w:val="clear" w:color="auto" w:fill="FFFFFF"/>
        </w:rPr>
        <w:t>、保密</w:t>
      </w:r>
    </w:p>
    <w:p w14:paraId="1AB611D2">
      <w:pPr>
        <w:spacing w:line="420" w:lineRule="exact"/>
        <w:ind w:firstLine="480" w:firstLineChars="200"/>
        <w:rPr>
          <w:rFonts w:ascii="宋体" w:hAnsi="宋体"/>
          <w:color w:val="auto"/>
          <w:sz w:val="24"/>
          <w:shd w:val="clear" w:color="auto" w:fill="FFFFFF"/>
        </w:rPr>
      </w:pPr>
      <w:r>
        <w:rPr>
          <w:rFonts w:hint="eastAsia" w:ascii="宋体" w:hAnsi="宋体"/>
          <w:color w:val="auto"/>
          <w:sz w:val="24"/>
          <w:shd w:val="clear" w:color="auto" w:fill="FFFFFF"/>
        </w:rPr>
        <w:t>1.</w:t>
      </w:r>
      <w:r>
        <w:rPr>
          <w:rFonts w:hint="eastAsia" w:ascii="宋体" w:hAnsi="宋体"/>
          <w:color w:val="auto"/>
          <w:sz w:val="24"/>
        </w:rPr>
        <w:t>乙方应对其在本合同签订/履行过程中所知悉的甲方及相关方的所有信息承担严格的保密义务，未经甲方事先书面同意，乙方不得向任何第三方披露，不得将保密信息的部分或全部用于本合同约定事项以外的其他用途。该保密义务在本合同终止后仍然继续有效</w:t>
      </w:r>
      <w:r>
        <w:rPr>
          <w:rFonts w:ascii="宋体" w:hAnsi="宋体"/>
          <w:color w:val="auto"/>
          <w:sz w:val="24"/>
          <w:shd w:val="clear" w:color="auto" w:fill="FFFFFF"/>
        </w:rPr>
        <w:t>。</w:t>
      </w:r>
    </w:p>
    <w:p w14:paraId="0007A840">
      <w:pPr>
        <w:spacing w:line="420" w:lineRule="exact"/>
        <w:ind w:firstLine="480" w:firstLineChars="200"/>
        <w:rPr>
          <w:rFonts w:ascii="宋体" w:hAnsi="宋体"/>
          <w:color w:val="auto"/>
          <w:sz w:val="24"/>
          <w:shd w:val="clear" w:color="auto" w:fill="FFFFFF"/>
        </w:rPr>
      </w:pPr>
      <w:r>
        <w:rPr>
          <w:rFonts w:hint="eastAsia" w:ascii="宋体" w:hAnsi="宋体"/>
          <w:color w:val="auto"/>
          <w:sz w:val="24"/>
          <w:shd w:val="clear" w:color="auto" w:fill="FFFFFF"/>
        </w:rPr>
        <w:t>2.</w:t>
      </w:r>
      <w:r>
        <w:rPr>
          <w:rFonts w:hint="eastAsia" w:ascii="宋体" w:hAnsi="宋体" w:eastAsia="宋体" w:cs="宋体"/>
          <w:color w:val="auto"/>
          <w:sz w:val="24"/>
          <w:highlight w:val="none"/>
          <w:shd w:val="clear" w:color="auto" w:fill="FFFFFF"/>
        </w:rPr>
        <w:t>未经</w:t>
      </w:r>
      <w:r>
        <w:rPr>
          <w:rFonts w:hint="eastAsia" w:ascii="宋体" w:hAnsi="宋体" w:cs="宋体"/>
          <w:color w:val="auto"/>
          <w:sz w:val="24"/>
          <w:highlight w:val="none"/>
          <w:shd w:val="clear" w:color="auto" w:fill="FFFFFF"/>
          <w:lang w:eastAsia="zh"/>
        </w:rPr>
        <w:t>甲</w:t>
      </w:r>
      <w:r>
        <w:rPr>
          <w:rFonts w:hint="eastAsia" w:ascii="宋体" w:hAnsi="宋体" w:eastAsia="宋体" w:cs="宋体"/>
          <w:color w:val="auto"/>
          <w:sz w:val="24"/>
          <w:highlight w:val="none"/>
          <w:shd w:val="clear" w:color="auto" w:fill="FFFFFF"/>
        </w:rPr>
        <w:t>方事先书面同意，</w:t>
      </w:r>
      <w:r>
        <w:rPr>
          <w:rFonts w:hint="eastAsia" w:ascii="宋体" w:hAnsi="宋体" w:cs="宋体"/>
          <w:color w:val="auto"/>
          <w:sz w:val="24"/>
          <w:highlight w:val="none"/>
          <w:shd w:val="clear" w:color="auto" w:fill="FFFFFF"/>
          <w:lang w:eastAsia="zh"/>
        </w:rPr>
        <w:t>乙</w:t>
      </w:r>
      <w:r>
        <w:rPr>
          <w:rFonts w:hint="eastAsia" w:ascii="宋体" w:hAnsi="宋体" w:eastAsia="宋体" w:cs="宋体"/>
          <w:color w:val="auto"/>
          <w:sz w:val="24"/>
          <w:highlight w:val="none"/>
          <w:shd w:val="clear" w:color="auto" w:fill="FFFFFF"/>
        </w:rPr>
        <w:t>方不得将为本合同提供的</w:t>
      </w:r>
      <w:r>
        <w:rPr>
          <w:rFonts w:hint="eastAsia" w:ascii="宋体" w:hAnsi="宋体" w:cs="宋体"/>
          <w:color w:val="auto"/>
          <w:sz w:val="24"/>
          <w:highlight w:val="none"/>
          <w:shd w:val="clear" w:color="auto" w:fill="FFFFFF"/>
          <w:lang w:eastAsia="zh"/>
        </w:rPr>
        <w:t>方案</w:t>
      </w:r>
      <w:r>
        <w:rPr>
          <w:rFonts w:hint="eastAsia" w:ascii="宋体" w:hAnsi="宋体" w:eastAsia="宋体" w:cs="宋体"/>
          <w:color w:val="auto"/>
          <w:sz w:val="24"/>
          <w:highlight w:val="none"/>
          <w:shd w:val="clear" w:color="auto" w:fill="FFFFFF"/>
        </w:rPr>
        <w:t>、</w:t>
      </w:r>
      <w:r>
        <w:rPr>
          <w:rFonts w:hint="eastAsia" w:ascii="宋体" w:hAnsi="宋体" w:cs="宋体"/>
          <w:color w:val="auto"/>
          <w:sz w:val="24"/>
          <w:highlight w:val="none"/>
          <w:shd w:val="clear" w:color="auto" w:fill="FFFFFF"/>
          <w:lang w:eastAsia="zh"/>
        </w:rPr>
        <w:t>文件</w:t>
      </w:r>
      <w:r>
        <w:rPr>
          <w:rFonts w:hint="eastAsia" w:ascii="宋体" w:hAnsi="宋体" w:eastAsia="宋体" w:cs="宋体"/>
          <w:color w:val="auto"/>
          <w:sz w:val="24"/>
          <w:highlight w:val="none"/>
          <w:shd w:val="clear" w:color="auto" w:fill="FFFFFF"/>
        </w:rPr>
        <w:t>、资料</w:t>
      </w:r>
      <w:r>
        <w:rPr>
          <w:rFonts w:hint="eastAsia" w:ascii="宋体" w:hAnsi="宋体" w:cs="宋体"/>
          <w:color w:val="auto"/>
          <w:sz w:val="24"/>
          <w:highlight w:val="none"/>
          <w:shd w:val="clear" w:color="auto" w:fill="FFFFFF"/>
          <w:lang w:eastAsia="zh"/>
        </w:rPr>
        <w:t>等</w:t>
      </w:r>
      <w:r>
        <w:rPr>
          <w:rFonts w:hint="eastAsia" w:ascii="宋体" w:hAnsi="宋体" w:eastAsia="宋体" w:cs="宋体"/>
          <w:color w:val="auto"/>
          <w:sz w:val="24"/>
          <w:highlight w:val="none"/>
          <w:shd w:val="clear" w:color="auto" w:fill="FFFFFF"/>
        </w:rPr>
        <w:t>提供给与本合同无关的任何第三方，不得将其用于履行本合同之外的其它用途。即使向与履行本合同有关的人员提供，也应注意保密并限于履行合同所必需的范围</w:t>
      </w:r>
      <w:r>
        <w:rPr>
          <w:rFonts w:hint="eastAsia" w:ascii="宋体" w:hAnsi="宋体" w:cs="宋体"/>
          <w:color w:val="auto"/>
          <w:sz w:val="24"/>
          <w:highlight w:val="none"/>
          <w:shd w:val="clear" w:color="auto" w:fill="FFFFFF"/>
          <w:lang w:eastAsia="zh-CN"/>
        </w:rPr>
        <w:t>。</w:t>
      </w:r>
    </w:p>
    <w:p w14:paraId="337ACDAF">
      <w:pPr>
        <w:tabs>
          <w:tab w:val="left" w:pos="6930"/>
        </w:tabs>
        <w:autoSpaceDE w:val="0"/>
        <w:autoSpaceDN w:val="0"/>
        <w:adjustRightInd w:val="0"/>
        <w:spacing w:line="420" w:lineRule="exact"/>
        <w:ind w:right="525" w:firstLine="482" w:firstLineChars="200"/>
        <w:rPr>
          <w:rFonts w:ascii="宋体" w:hAnsi="宋体" w:cs="宋体"/>
          <w:b/>
          <w:bCs w:val="0"/>
          <w:color w:val="auto"/>
          <w:sz w:val="24"/>
        </w:rPr>
      </w:pPr>
      <w:r>
        <w:rPr>
          <w:rFonts w:hint="eastAsia" w:ascii="宋体" w:hAnsi="宋体" w:cs="宋体"/>
          <w:b/>
          <w:bCs w:val="0"/>
          <w:color w:val="auto"/>
          <w:sz w:val="24"/>
        </w:rPr>
        <w:t>十</w:t>
      </w:r>
      <w:r>
        <w:rPr>
          <w:rFonts w:hint="eastAsia" w:ascii="宋体" w:hAnsi="宋体" w:cs="宋体"/>
          <w:b/>
          <w:bCs w:val="0"/>
          <w:color w:val="auto"/>
          <w:sz w:val="24"/>
          <w:lang w:val="en-US" w:eastAsia="zh-CN"/>
        </w:rPr>
        <w:t>一</w:t>
      </w:r>
      <w:r>
        <w:rPr>
          <w:rFonts w:hint="eastAsia" w:ascii="宋体" w:hAnsi="宋体" w:cs="宋体"/>
          <w:b/>
          <w:bCs w:val="0"/>
          <w:color w:val="auto"/>
          <w:sz w:val="24"/>
        </w:rPr>
        <w:t>、违约责任</w:t>
      </w:r>
    </w:p>
    <w:p w14:paraId="5C27F04A">
      <w:pPr>
        <w:spacing w:line="420" w:lineRule="exact"/>
        <w:ind w:firstLine="480" w:firstLineChars="200"/>
        <w:rPr>
          <w:rFonts w:ascii="宋体" w:hAnsi="宋体" w:cs="宋体"/>
          <w:color w:val="auto"/>
          <w:sz w:val="24"/>
        </w:rPr>
      </w:pPr>
      <w:r>
        <w:rPr>
          <w:rFonts w:hint="eastAsia" w:ascii="宋体" w:hAnsi="宋体" w:cs="宋体"/>
          <w:color w:val="auto"/>
          <w:sz w:val="24"/>
          <w:lang w:val="en-US" w:eastAsia="zh-CN"/>
        </w:rPr>
        <w:t>1.</w:t>
      </w:r>
      <w:r>
        <w:rPr>
          <w:rFonts w:hint="eastAsia" w:ascii="宋体" w:hAnsi="宋体" w:cs="宋体"/>
          <w:color w:val="auto"/>
          <w:sz w:val="24"/>
        </w:rPr>
        <w:t>除发生不可抗力事实外，乙方所交货物与合同标准不相符合的，甲方有权拒收。因乙方不能按期交付及所交货物与合同标准不符的，甲方有权要求乙方承担合同总额</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%的违约金。造成甲方损失的，甲方有权要求乙方赔偿责任并终止合同。</w:t>
      </w:r>
    </w:p>
    <w:p w14:paraId="3D14CB4E">
      <w:pPr>
        <w:spacing w:line="420" w:lineRule="exact"/>
        <w:ind w:firstLine="480" w:firstLineChars="200"/>
        <w:rPr>
          <w:rFonts w:ascii="宋体" w:hAnsi="宋体" w:cs="宋体"/>
          <w:color w:val="auto"/>
          <w:sz w:val="24"/>
        </w:rPr>
      </w:pPr>
      <w:r>
        <w:rPr>
          <w:rFonts w:hint="eastAsia" w:ascii="宋体" w:hAnsi="宋体" w:cs="宋体"/>
          <w:color w:val="auto"/>
          <w:sz w:val="24"/>
          <w:lang w:val="en-US" w:eastAsia="zh-CN"/>
        </w:rPr>
        <w:t>2.</w:t>
      </w:r>
      <w:r>
        <w:rPr>
          <w:rFonts w:hint="eastAsia" w:ascii="宋体" w:hAnsi="宋体" w:cs="宋体"/>
          <w:color w:val="auto"/>
          <w:sz w:val="24"/>
        </w:rPr>
        <w:t>若乙方所交货物与投标文件中的参数不符或者不能完全满足招标文件采购需求中技术参数的，乙方需向甲方支付违约责任金人民币</w:t>
      </w:r>
      <w:r>
        <w:rPr>
          <w:rFonts w:ascii="宋体" w:hAnsi="宋体" w:cs="宋体"/>
          <w:color w:val="auto"/>
          <w:sz w:val="24"/>
        </w:rPr>
        <w:t>5</w:t>
      </w:r>
      <w:r>
        <w:rPr>
          <w:rFonts w:hint="eastAsia" w:ascii="宋体" w:hAnsi="宋体" w:cs="宋体"/>
          <w:color w:val="auto"/>
          <w:sz w:val="24"/>
        </w:rPr>
        <w:t>万元，且甲方有权中止合同。</w:t>
      </w:r>
    </w:p>
    <w:p w14:paraId="6F034E65">
      <w:pPr>
        <w:spacing w:line="420" w:lineRule="exact"/>
        <w:ind w:firstLine="480" w:firstLineChars="200"/>
        <w:rPr>
          <w:rFonts w:ascii="宋体" w:hAnsi="宋体" w:cs="宋体"/>
          <w:color w:val="auto"/>
          <w:sz w:val="24"/>
        </w:rPr>
      </w:pPr>
      <w:r>
        <w:rPr>
          <w:rFonts w:hint="eastAsia" w:ascii="宋体" w:hAnsi="宋体" w:cs="宋体"/>
          <w:color w:val="auto"/>
          <w:sz w:val="24"/>
          <w:lang w:val="en-US" w:eastAsia="zh-CN"/>
        </w:rPr>
        <w:t>3.</w:t>
      </w:r>
      <w:r>
        <w:rPr>
          <w:rFonts w:hint="eastAsia" w:ascii="宋体" w:hAnsi="宋体" w:cs="宋体"/>
          <w:color w:val="auto"/>
          <w:sz w:val="24"/>
        </w:rPr>
        <w:t>甲方无正当理由拒收货物，甲方向乙方偿付合同款总价</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的违约金；逾期支付合同款将向乙方按应支付价款的同期活期银行利息支付逾期违约费用。</w:t>
      </w:r>
    </w:p>
    <w:p w14:paraId="1AD9B204">
      <w:pPr>
        <w:spacing w:line="420" w:lineRule="exact"/>
        <w:ind w:firstLine="480" w:firstLineChars="200"/>
        <w:rPr>
          <w:rFonts w:ascii="宋体" w:hAnsi="宋体" w:cs="宋体"/>
          <w:color w:val="auto"/>
          <w:sz w:val="24"/>
        </w:rPr>
      </w:pPr>
      <w:r>
        <w:rPr>
          <w:rFonts w:hint="eastAsia" w:ascii="宋体" w:hAnsi="宋体" w:cs="宋体"/>
          <w:color w:val="auto"/>
          <w:sz w:val="24"/>
          <w:lang w:val="en-US" w:eastAsia="zh-CN"/>
        </w:rPr>
        <w:t>4.</w:t>
      </w:r>
      <w:r>
        <w:rPr>
          <w:rFonts w:hint="eastAsia" w:ascii="宋体" w:hAnsi="宋体" w:cs="宋体"/>
          <w:color w:val="auto"/>
          <w:sz w:val="24"/>
        </w:rPr>
        <w:t>甲方有权拒付合同价以外的任何费用；乙方有权拒绝合同整体范围以外的条件。</w:t>
      </w:r>
    </w:p>
    <w:p w14:paraId="4F2C3932">
      <w:pPr>
        <w:spacing w:line="420" w:lineRule="exact"/>
        <w:ind w:firstLine="482" w:firstLineChars="200"/>
        <w:rPr>
          <w:rFonts w:ascii="宋体" w:hAnsi="宋体"/>
          <w:b/>
          <w:bCs/>
          <w:color w:val="auto"/>
          <w:sz w:val="24"/>
          <w:shd w:val="clear" w:color="auto" w:fill="FFFFFF"/>
        </w:rPr>
      </w:pPr>
      <w:r>
        <w:rPr>
          <w:rFonts w:ascii="宋体" w:hAnsi="宋体"/>
          <w:b/>
          <w:bCs/>
          <w:color w:val="auto"/>
          <w:sz w:val="24"/>
          <w:shd w:val="clear" w:color="auto" w:fill="FFFFFF"/>
        </w:rPr>
        <w:t>十</w:t>
      </w:r>
      <w:r>
        <w:rPr>
          <w:rFonts w:hint="eastAsia" w:ascii="宋体" w:hAnsi="宋体"/>
          <w:b/>
          <w:bCs/>
          <w:color w:val="auto"/>
          <w:sz w:val="24"/>
          <w:shd w:val="clear" w:color="auto" w:fill="FFFFFF"/>
          <w:lang w:val="en-US" w:eastAsia="zh-CN"/>
        </w:rPr>
        <w:t>二</w:t>
      </w:r>
      <w:r>
        <w:rPr>
          <w:rFonts w:ascii="宋体" w:hAnsi="宋体"/>
          <w:b/>
          <w:bCs/>
          <w:color w:val="auto"/>
          <w:sz w:val="24"/>
          <w:shd w:val="clear" w:color="auto" w:fill="FFFFFF"/>
        </w:rPr>
        <w:t>、不可抗力</w:t>
      </w:r>
    </w:p>
    <w:p w14:paraId="0D472803">
      <w:pPr>
        <w:spacing w:line="420" w:lineRule="exact"/>
        <w:ind w:firstLine="480" w:firstLineChars="200"/>
        <w:rPr>
          <w:rFonts w:ascii="宋体" w:hAnsi="宋体" w:cs="宋体"/>
          <w:color w:val="auto"/>
          <w:sz w:val="24"/>
        </w:rPr>
      </w:pPr>
      <w:r>
        <w:rPr>
          <w:rFonts w:hint="eastAsia" w:ascii="宋体" w:hAnsi="宋体" w:cs="宋体"/>
          <w:color w:val="auto"/>
          <w:sz w:val="24"/>
        </w:rPr>
        <w:t>任何一方由于不可抗力原因不能履行合同时，应在不可抗力事件结束后1 日内向对方通报，以减轻可能给对方造成的损失，在取得有关机构的不可抗力证明或双方谅解确认后，允许延期履行或修订合同，并根据情况可部分或全部免于承担违约责任。</w:t>
      </w:r>
    </w:p>
    <w:p w14:paraId="595B9D94">
      <w:pPr>
        <w:spacing w:line="420" w:lineRule="exact"/>
        <w:ind w:firstLine="482" w:firstLineChars="200"/>
        <w:rPr>
          <w:rFonts w:ascii="宋体" w:hAnsi="宋体"/>
          <w:b/>
          <w:bCs/>
          <w:color w:val="auto"/>
          <w:sz w:val="24"/>
          <w:shd w:val="clear" w:color="auto" w:fill="FFFFFF"/>
        </w:rPr>
      </w:pPr>
      <w:r>
        <w:rPr>
          <w:rFonts w:hint="eastAsia" w:ascii="宋体" w:hAnsi="宋体" w:cs="宋体"/>
          <w:b/>
          <w:bCs/>
          <w:color w:val="auto"/>
          <w:sz w:val="24"/>
        </w:rPr>
        <w:t>十</w:t>
      </w:r>
      <w:r>
        <w:rPr>
          <w:rFonts w:hint="eastAsia" w:ascii="宋体" w:hAnsi="宋体" w:cs="宋体"/>
          <w:b/>
          <w:bCs/>
          <w:color w:val="auto"/>
          <w:sz w:val="24"/>
          <w:lang w:val="en-US" w:eastAsia="zh-CN"/>
        </w:rPr>
        <w:t>三</w:t>
      </w:r>
      <w:r>
        <w:rPr>
          <w:rFonts w:hint="eastAsia" w:ascii="宋体" w:hAnsi="宋体" w:cs="宋体"/>
          <w:b/>
          <w:bCs/>
          <w:color w:val="auto"/>
          <w:sz w:val="24"/>
        </w:rPr>
        <w:t>、</w:t>
      </w:r>
      <w:r>
        <w:rPr>
          <w:rFonts w:ascii="宋体" w:hAnsi="宋体"/>
          <w:b/>
          <w:bCs/>
          <w:color w:val="auto"/>
          <w:sz w:val="24"/>
          <w:shd w:val="clear" w:color="auto" w:fill="FFFFFF"/>
        </w:rPr>
        <w:t>争端的解决</w:t>
      </w:r>
    </w:p>
    <w:p w14:paraId="06695E84">
      <w:pPr>
        <w:spacing w:line="420" w:lineRule="exact"/>
        <w:ind w:firstLine="480" w:firstLineChars="200"/>
        <w:rPr>
          <w:rFonts w:ascii="宋体" w:hAnsi="宋体" w:cs="宋体"/>
          <w:color w:val="auto"/>
          <w:sz w:val="24"/>
        </w:rPr>
      </w:pPr>
      <w:r>
        <w:rPr>
          <w:rFonts w:hint="eastAsia" w:ascii="宋体" w:hAnsi="宋体" w:cs="宋体"/>
          <w:color w:val="auto"/>
          <w:sz w:val="24"/>
        </w:rPr>
        <w:t>甲乙双方在履行合同过程中发生纠纷，应及时向有关监督管理部门反映，以便相关部门进行协调或处理；或按以下方式处理：（请在□内打√，其余打×）</w:t>
      </w:r>
    </w:p>
    <w:p w14:paraId="5B0AA012">
      <w:pPr>
        <w:spacing w:line="42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lang w:val="en-US" w:eastAsia="zh-CN"/>
        </w:rPr>
        <w:t>（1）</w:t>
      </w:r>
      <w:r>
        <w:rPr>
          <w:rFonts w:hint="eastAsia" w:ascii="宋体" w:hAnsi="宋体" w:cs="宋体"/>
          <w:color w:val="auto"/>
          <w:sz w:val="24"/>
        </w:rPr>
        <w:t>向合同签订地仲裁委员会申请仲裁</w:t>
      </w:r>
      <w:r>
        <w:rPr>
          <w:rFonts w:ascii="Wingdings 2" w:hAnsi="Wingdings 2" w:cs="宋体"/>
          <w:color w:val="auto"/>
          <w:sz w:val="24"/>
        </w:rPr>
        <w:sym w:font="Wingdings 2" w:char="00A3"/>
      </w:r>
      <w:r>
        <w:rPr>
          <w:rFonts w:hint="eastAsia" w:ascii="宋体" w:hAnsi="宋体" w:cs="宋体"/>
          <w:color w:val="auto"/>
          <w:sz w:val="24"/>
          <w:lang w:eastAsia="zh-CN"/>
        </w:rPr>
        <w:t>。</w:t>
      </w:r>
    </w:p>
    <w:p w14:paraId="370AB5C4">
      <w:pPr>
        <w:spacing w:line="42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lang w:val="en-US" w:eastAsia="zh-CN"/>
        </w:rPr>
        <w:t>（2）</w:t>
      </w:r>
      <w:r>
        <w:rPr>
          <w:rFonts w:hint="eastAsia" w:ascii="宋体" w:hAnsi="宋体" w:cs="宋体"/>
          <w:color w:val="auto"/>
          <w:sz w:val="24"/>
        </w:rPr>
        <w:t>向合同签订地人民法院管辖提起诉讼</w:t>
      </w:r>
      <w:r>
        <w:rPr>
          <w:rFonts w:hint="eastAsia" w:ascii="宋体" w:hAnsi="宋体" w:cs="宋体"/>
          <w:color w:val="auto"/>
          <w:sz w:val="24"/>
        </w:rPr>
        <w:sym w:font="Wingdings 2" w:char="0052"/>
      </w:r>
      <w:r>
        <w:rPr>
          <w:rFonts w:hint="eastAsia" w:ascii="宋体" w:hAnsi="宋体" w:cs="宋体"/>
          <w:color w:val="auto"/>
          <w:sz w:val="24"/>
        </w:rPr>
        <w:t>。</w:t>
      </w:r>
    </w:p>
    <w:p w14:paraId="688D29AA">
      <w:pPr>
        <w:spacing w:line="420" w:lineRule="exact"/>
        <w:ind w:firstLine="482" w:firstLineChars="200"/>
        <w:rPr>
          <w:rFonts w:ascii="宋体" w:hAnsi="宋体" w:cs="宋体"/>
          <w:b/>
          <w:bCs/>
          <w:color w:val="auto"/>
          <w:sz w:val="24"/>
        </w:rPr>
      </w:pPr>
      <w:r>
        <w:rPr>
          <w:rFonts w:hint="eastAsia" w:ascii="宋体" w:hAnsi="宋体" w:cs="宋体"/>
          <w:b/>
          <w:bCs/>
          <w:color w:val="auto"/>
          <w:sz w:val="24"/>
        </w:rPr>
        <w:t>十</w:t>
      </w:r>
      <w:r>
        <w:rPr>
          <w:rFonts w:hint="eastAsia" w:ascii="宋体" w:hAnsi="宋体" w:cs="宋体"/>
          <w:b/>
          <w:bCs/>
          <w:color w:val="auto"/>
          <w:sz w:val="24"/>
          <w:lang w:val="en-US" w:eastAsia="zh-CN"/>
        </w:rPr>
        <w:t>四</w:t>
      </w:r>
      <w:r>
        <w:rPr>
          <w:rFonts w:hint="eastAsia" w:ascii="宋体" w:hAnsi="宋体" w:cs="宋体"/>
          <w:b/>
          <w:bCs/>
          <w:color w:val="auto"/>
          <w:sz w:val="24"/>
        </w:rPr>
        <w:t>、未尽事宜</w:t>
      </w:r>
    </w:p>
    <w:p w14:paraId="7A5EB5F5">
      <w:pPr>
        <w:spacing w:line="420" w:lineRule="exact"/>
        <w:ind w:firstLine="480" w:firstLineChars="200"/>
        <w:rPr>
          <w:rFonts w:ascii="宋体" w:hAnsi="宋体" w:cs="宋体"/>
          <w:color w:val="auto"/>
          <w:sz w:val="24"/>
        </w:rPr>
      </w:pPr>
      <w:r>
        <w:rPr>
          <w:rFonts w:hint="eastAsia" w:ascii="宋体" w:hAnsi="宋体" w:cs="宋体"/>
          <w:color w:val="auto"/>
          <w:sz w:val="24"/>
        </w:rPr>
        <w:t>本合同其他未尽事宜，</w:t>
      </w:r>
      <w:r>
        <w:rPr>
          <w:rFonts w:hint="eastAsia" w:ascii="宋体" w:hAnsi="宋体" w:cs="宋体"/>
          <w:color w:val="auto"/>
          <w:sz w:val="24"/>
          <w:lang w:eastAsia="zh-CN"/>
        </w:rPr>
        <w:t>按照《中华人民共和国</w:t>
      </w:r>
      <w:r>
        <w:rPr>
          <w:rFonts w:hint="eastAsia" w:ascii="宋体" w:hAnsi="宋体" w:cs="宋体"/>
          <w:color w:val="auto"/>
          <w:sz w:val="24"/>
        </w:rPr>
        <w:t>民法典》有关规定处理。</w:t>
      </w:r>
    </w:p>
    <w:p w14:paraId="1F7154D4">
      <w:pPr>
        <w:spacing w:line="420" w:lineRule="exact"/>
        <w:ind w:firstLine="482" w:firstLineChars="200"/>
        <w:rPr>
          <w:rFonts w:ascii="宋体" w:hAnsi="宋体" w:cs="宋体"/>
          <w:b/>
          <w:bCs/>
          <w:color w:val="auto"/>
          <w:sz w:val="24"/>
        </w:rPr>
      </w:pPr>
      <w:r>
        <w:rPr>
          <w:rFonts w:hint="eastAsia" w:ascii="宋体" w:hAnsi="宋体" w:cs="宋体"/>
          <w:b/>
          <w:bCs/>
          <w:color w:val="auto"/>
          <w:sz w:val="24"/>
        </w:rPr>
        <w:t>十</w:t>
      </w:r>
      <w:r>
        <w:rPr>
          <w:rFonts w:hint="eastAsia" w:ascii="宋体" w:hAnsi="宋体" w:cs="宋体"/>
          <w:b/>
          <w:bCs/>
          <w:color w:val="auto"/>
          <w:sz w:val="24"/>
          <w:lang w:val="en-US" w:eastAsia="zh-CN"/>
        </w:rPr>
        <w:t>五</w:t>
      </w:r>
      <w:r>
        <w:rPr>
          <w:rFonts w:hint="eastAsia" w:ascii="宋体" w:hAnsi="宋体" w:cs="宋体"/>
          <w:b/>
          <w:bCs/>
          <w:color w:val="auto"/>
          <w:sz w:val="24"/>
        </w:rPr>
        <w:t>、合同生效与份数</w:t>
      </w:r>
    </w:p>
    <w:p w14:paraId="05EFF583">
      <w:pPr>
        <w:spacing w:line="420" w:lineRule="exact"/>
        <w:ind w:firstLine="480" w:firstLineChars="200"/>
        <w:rPr>
          <w:rFonts w:ascii="宋体" w:hAnsi="宋体" w:cs="宋体"/>
          <w:color w:val="auto"/>
          <w:sz w:val="24"/>
        </w:rPr>
      </w:pPr>
      <w:r>
        <w:rPr>
          <w:rFonts w:hint="eastAsia" w:ascii="宋体" w:hAnsi="宋体" w:cs="宋体"/>
          <w:color w:val="auto"/>
          <w:sz w:val="24"/>
        </w:rPr>
        <w:t>1.合同自甲乙</w:t>
      </w:r>
      <w:r>
        <w:rPr>
          <w:rFonts w:hint="eastAsia" w:ascii="宋体" w:hAnsi="宋体" w:cs="宋体"/>
          <w:color w:val="auto"/>
          <w:sz w:val="24"/>
          <w:lang w:val="en-US" w:eastAsia="zh-CN"/>
        </w:rPr>
        <w:t>双</w:t>
      </w:r>
      <w:r>
        <w:rPr>
          <w:rFonts w:hint="eastAsia" w:ascii="宋体" w:hAnsi="宋体" w:cs="宋体"/>
          <w:color w:val="auto"/>
          <w:sz w:val="24"/>
        </w:rPr>
        <w:t>方法定代表人或其委托代理人签字、盖章之日起生效。</w:t>
      </w:r>
    </w:p>
    <w:p w14:paraId="65C55027">
      <w:pPr>
        <w:spacing w:line="420" w:lineRule="exact"/>
        <w:ind w:firstLine="480" w:firstLineChars="200"/>
        <w:rPr>
          <w:rFonts w:ascii="宋体" w:hAnsi="宋体" w:cs="宋体"/>
          <w:color w:val="auto"/>
          <w:sz w:val="24"/>
        </w:rPr>
      </w:pPr>
      <w:r>
        <w:rPr>
          <w:rFonts w:hint="eastAsia" w:ascii="宋体" w:hAnsi="宋体" w:cs="宋体"/>
          <w:color w:val="auto"/>
          <w:sz w:val="24"/>
        </w:rPr>
        <w:t>2.</w:t>
      </w:r>
      <w:r>
        <w:rPr>
          <w:rFonts w:hint="eastAsia" w:ascii="宋体" w:hAnsi="宋体"/>
          <w:color w:val="auto"/>
          <w:sz w:val="24"/>
          <w:shd w:val="clear" w:color="auto" w:fill="FFFFFF"/>
        </w:rPr>
        <w:t>本合同一式</w:t>
      </w:r>
      <w:r>
        <w:rPr>
          <w:rFonts w:hint="eastAsia" w:ascii="宋体" w:hAnsi="宋体"/>
          <w:color w:val="auto"/>
          <w:sz w:val="24"/>
          <w:u w:val="single"/>
          <w:shd w:val="clear" w:color="auto" w:fill="FFFFFF"/>
        </w:rPr>
        <w:t xml:space="preserve"> 6 </w:t>
      </w:r>
      <w:r>
        <w:rPr>
          <w:rFonts w:hint="eastAsia" w:ascii="宋体" w:hAnsi="宋体"/>
          <w:color w:val="auto"/>
          <w:sz w:val="24"/>
          <w:shd w:val="clear" w:color="auto" w:fill="FFFFFF"/>
        </w:rPr>
        <w:t>份，甲方执</w:t>
      </w:r>
      <w:r>
        <w:rPr>
          <w:rFonts w:hint="eastAsia" w:ascii="宋体" w:hAnsi="宋体"/>
          <w:color w:val="auto"/>
          <w:sz w:val="24"/>
          <w:u w:val="single"/>
          <w:shd w:val="clear" w:color="auto" w:fill="FFFFFF"/>
        </w:rPr>
        <w:t xml:space="preserve"> 3 </w:t>
      </w:r>
      <w:r>
        <w:rPr>
          <w:rFonts w:hint="eastAsia" w:ascii="宋体" w:hAnsi="宋体"/>
          <w:color w:val="auto"/>
          <w:sz w:val="24"/>
          <w:shd w:val="clear" w:color="auto" w:fill="FFFFFF"/>
        </w:rPr>
        <w:t>份、乙方执</w:t>
      </w:r>
      <w:r>
        <w:rPr>
          <w:rFonts w:hint="eastAsia" w:ascii="宋体" w:hAnsi="宋体"/>
          <w:color w:val="auto"/>
          <w:sz w:val="24"/>
          <w:u w:val="single"/>
          <w:shd w:val="clear" w:color="auto" w:fill="FFFFFF"/>
        </w:rPr>
        <w:t xml:space="preserve"> 2 </w:t>
      </w:r>
      <w:r>
        <w:rPr>
          <w:rFonts w:hint="eastAsia" w:ascii="宋体" w:hAnsi="宋体"/>
          <w:color w:val="auto"/>
          <w:sz w:val="24"/>
          <w:shd w:val="clear" w:color="auto" w:fill="FFFFFF"/>
        </w:rPr>
        <w:t>份，丙方执</w:t>
      </w:r>
      <w:r>
        <w:rPr>
          <w:rFonts w:hint="eastAsia" w:ascii="宋体" w:hAnsi="宋体"/>
          <w:color w:val="auto"/>
          <w:sz w:val="24"/>
          <w:u w:val="single"/>
          <w:shd w:val="clear" w:color="auto" w:fill="FFFFFF"/>
        </w:rPr>
        <w:t xml:space="preserve"> 1 </w:t>
      </w:r>
      <w:r>
        <w:rPr>
          <w:rFonts w:hint="eastAsia" w:ascii="宋体" w:hAnsi="宋体"/>
          <w:color w:val="auto"/>
          <w:sz w:val="24"/>
          <w:shd w:val="clear" w:color="auto" w:fill="FFFFFF"/>
        </w:rPr>
        <w:t>份</w:t>
      </w:r>
      <w:r>
        <w:rPr>
          <w:rFonts w:hint="eastAsia" w:ascii="宋体" w:hAnsi="宋体"/>
          <w:color w:val="auto"/>
          <w:sz w:val="24"/>
          <w:shd w:val="clear" w:color="auto" w:fill="FFFFFF"/>
          <w:lang w:eastAsia="zh-CN"/>
        </w:rPr>
        <w:t>。</w:t>
      </w:r>
    </w:p>
    <w:p w14:paraId="3D1AC6AA">
      <w:pPr>
        <w:autoSpaceDE w:val="0"/>
        <w:autoSpaceDN w:val="0"/>
        <w:adjustRightInd w:val="0"/>
        <w:spacing w:line="420" w:lineRule="exact"/>
        <w:ind w:firstLine="482" w:firstLineChars="200"/>
        <w:jc w:val="left"/>
        <w:rPr>
          <w:rFonts w:ascii="宋体" w:hAnsi="宋体" w:cs="宋体"/>
          <w:b/>
          <w:bCs/>
          <w:color w:val="auto"/>
          <w:sz w:val="24"/>
        </w:rPr>
      </w:pPr>
      <w:r>
        <w:rPr>
          <w:rFonts w:hint="eastAsia" w:ascii="宋体" w:hAnsi="宋体" w:cs="宋体"/>
          <w:b/>
          <w:bCs/>
          <w:color w:val="auto"/>
          <w:sz w:val="24"/>
        </w:rPr>
        <w:t>十</w:t>
      </w:r>
      <w:r>
        <w:rPr>
          <w:rFonts w:hint="eastAsia" w:ascii="宋体" w:hAnsi="宋体" w:cs="宋体"/>
          <w:b/>
          <w:bCs/>
          <w:color w:val="auto"/>
          <w:sz w:val="24"/>
          <w:lang w:val="en-US" w:eastAsia="zh-CN"/>
        </w:rPr>
        <w:t>六</w:t>
      </w:r>
      <w:r>
        <w:rPr>
          <w:rFonts w:hint="eastAsia" w:ascii="宋体" w:hAnsi="宋体" w:cs="宋体"/>
          <w:b/>
          <w:bCs/>
          <w:color w:val="auto"/>
          <w:sz w:val="24"/>
        </w:rPr>
        <w:t>、本合同不可分割之部分</w:t>
      </w:r>
      <w:r>
        <w:rPr>
          <w:rFonts w:hint="eastAsia" w:ascii="宋体" w:hAnsi="宋体"/>
          <w:b/>
          <w:bCs/>
          <w:color w:val="auto"/>
          <w:sz w:val="24"/>
          <w:shd w:val="clear" w:color="auto" w:fill="FFFFFF"/>
        </w:rPr>
        <w:t>及解释顺序</w:t>
      </w:r>
    </w:p>
    <w:p w14:paraId="46E4D868">
      <w:pPr>
        <w:autoSpaceDE w:val="0"/>
        <w:autoSpaceDN w:val="0"/>
        <w:adjustRightInd w:val="0"/>
        <w:spacing w:line="420" w:lineRule="exact"/>
        <w:ind w:firstLine="480" w:firstLineChars="200"/>
        <w:jc w:val="left"/>
        <w:rPr>
          <w:rFonts w:hint="eastAsia" w:ascii="宋体" w:hAnsi="宋体" w:eastAsia="宋体"/>
          <w:color w:val="auto"/>
          <w:sz w:val="24"/>
          <w:shd w:val="clear" w:color="auto" w:fill="FFFFFF"/>
          <w:lang w:eastAsia="zh-CN"/>
        </w:rPr>
      </w:pPr>
      <w:r>
        <w:rPr>
          <w:rFonts w:hint="eastAsia" w:ascii="宋体" w:hAnsi="宋体"/>
          <w:color w:val="auto"/>
          <w:sz w:val="24"/>
          <w:shd w:val="clear" w:color="auto" w:fill="FFFFFF"/>
        </w:rPr>
        <w:t>1.合同书及附件</w:t>
      </w:r>
      <w:r>
        <w:rPr>
          <w:rFonts w:hint="eastAsia" w:ascii="宋体" w:hAnsi="宋体"/>
          <w:color w:val="auto"/>
          <w:sz w:val="24"/>
          <w:shd w:val="clear" w:color="auto" w:fill="FFFFFF"/>
          <w:lang w:eastAsia="zh-CN"/>
        </w:rPr>
        <w:t>。</w:t>
      </w:r>
    </w:p>
    <w:p w14:paraId="23BA9AD2">
      <w:pPr>
        <w:autoSpaceDE w:val="0"/>
        <w:autoSpaceDN w:val="0"/>
        <w:adjustRightInd w:val="0"/>
        <w:spacing w:line="420" w:lineRule="exact"/>
        <w:ind w:firstLine="480" w:firstLineChars="200"/>
        <w:jc w:val="left"/>
        <w:rPr>
          <w:rFonts w:hint="eastAsia" w:ascii="宋体" w:hAnsi="宋体" w:eastAsia="宋体"/>
          <w:color w:val="auto"/>
          <w:sz w:val="24"/>
          <w:shd w:val="clear" w:color="auto" w:fill="FFFFFF"/>
          <w:lang w:eastAsia="zh-CN"/>
        </w:rPr>
      </w:pPr>
      <w:r>
        <w:rPr>
          <w:rFonts w:hint="eastAsia" w:ascii="宋体" w:hAnsi="宋体"/>
          <w:color w:val="auto"/>
          <w:sz w:val="24"/>
          <w:shd w:val="clear" w:color="auto" w:fill="FFFFFF"/>
        </w:rPr>
        <w:t>2.中标通知书</w:t>
      </w:r>
      <w:r>
        <w:rPr>
          <w:rFonts w:hint="eastAsia" w:ascii="宋体" w:hAnsi="宋体"/>
          <w:color w:val="auto"/>
          <w:sz w:val="24"/>
          <w:shd w:val="clear" w:color="auto" w:fill="FFFFFF"/>
          <w:lang w:eastAsia="zh-CN"/>
        </w:rPr>
        <w:t>。</w:t>
      </w:r>
    </w:p>
    <w:p w14:paraId="448DEC70">
      <w:pPr>
        <w:autoSpaceDE w:val="0"/>
        <w:autoSpaceDN w:val="0"/>
        <w:adjustRightInd w:val="0"/>
        <w:spacing w:line="420" w:lineRule="exact"/>
        <w:ind w:firstLine="480" w:firstLineChars="200"/>
        <w:jc w:val="left"/>
        <w:rPr>
          <w:rFonts w:hint="eastAsia" w:ascii="宋体" w:hAnsi="宋体" w:eastAsia="宋体"/>
          <w:color w:val="auto"/>
          <w:sz w:val="24"/>
          <w:shd w:val="clear" w:color="auto" w:fill="FFFFFF"/>
          <w:lang w:eastAsia="zh-CN"/>
        </w:rPr>
      </w:pPr>
      <w:r>
        <w:rPr>
          <w:rFonts w:hint="eastAsia" w:ascii="宋体" w:hAnsi="宋体"/>
          <w:color w:val="auto"/>
          <w:sz w:val="24"/>
          <w:shd w:val="clear" w:color="auto" w:fill="FFFFFF"/>
        </w:rPr>
        <w:t>3.中标人投标文件及澄清或承诺</w:t>
      </w:r>
      <w:r>
        <w:rPr>
          <w:rFonts w:hint="eastAsia" w:ascii="宋体" w:hAnsi="宋体"/>
          <w:color w:val="auto"/>
          <w:sz w:val="24"/>
          <w:shd w:val="clear" w:color="auto" w:fill="FFFFFF"/>
          <w:lang w:eastAsia="zh-CN"/>
        </w:rPr>
        <w:t>。</w:t>
      </w:r>
    </w:p>
    <w:p w14:paraId="768C37D8">
      <w:pPr>
        <w:autoSpaceDE w:val="0"/>
        <w:autoSpaceDN w:val="0"/>
        <w:adjustRightInd w:val="0"/>
        <w:spacing w:line="420" w:lineRule="exact"/>
        <w:ind w:firstLine="480" w:firstLineChars="200"/>
        <w:jc w:val="left"/>
        <w:rPr>
          <w:rFonts w:ascii="宋体" w:hAnsi="宋体"/>
          <w:color w:val="auto"/>
          <w:sz w:val="24"/>
          <w:shd w:val="clear" w:color="auto" w:fill="FFFFFF"/>
        </w:rPr>
      </w:pPr>
      <w:r>
        <w:rPr>
          <w:rFonts w:hint="eastAsia" w:ascii="宋体" w:hAnsi="宋体"/>
          <w:color w:val="auto"/>
          <w:sz w:val="24"/>
          <w:shd w:val="clear" w:color="auto" w:fill="FFFFFF"/>
        </w:rPr>
        <w:t>4.招标文件。</w:t>
      </w:r>
    </w:p>
    <w:p w14:paraId="7BD190F8">
      <w:pPr>
        <w:spacing w:line="420" w:lineRule="exact"/>
        <w:ind w:firstLine="482" w:firstLineChars="200"/>
        <w:rPr>
          <w:rFonts w:ascii="宋体" w:hAnsi="宋体" w:cs="宋体"/>
          <w:b/>
          <w:bCs/>
          <w:color w:val="auto"/>
          <w:sz w:val="24"/>
        </w:rPr>
      </w:pPr>
      <w:r>
        <w:rPr>
          <w:rFonts w:hint="eastAsia" w:ascii="宋体" w:hAnsi="宋体" w:cs="宋体"/>
          <w:b/>
          <w:bCs/>
          <w:color w:val="auto"/>
          <w:sz w:val="24"/>
        </w:rPr>
        <w:t>十</w:t>
      </w:r>
      <w:r>
        <w:rPr>
          <w:rFonts w:hint="eastAsia" w:ascii="宋体" w:hAnsi="宋体" w:cs="宋体"/>
          <w:b/>
          <w:bCs/>
          <w:color w:val="auto"/>
          <w:sz w:val="24"/>
          <w:lang w:val="en-US" w:eastAsia="zh-CN"/>
        </w:rPr>
        <w:t>七</w:t>
      </w:r>
      <w:r>
        <w:rPr>
          <w:rFonts w:hint="eastAsia" w:ascii="宋体" w:hAnsi="宋体" w:cs="宋体"/>
          <w:b/>
          <w:bCs/>
          <w:color w:val="auto"/>
          <w:sz w:val="24"/>
        </w:rPr>
        <w:t>、附件名称及内容</w:t>
      </w:r>
    </w:p>
    <w:p w14:paraId="483671F5">
      <w:pPr>
        <w:spacing w:line="420" w:lineRule="exact"/>
        <w:ind w:firstLine="480" w:firstLineChars="200"/>
        <w:rPr>
          <w:rFonts w:ascii="宋体" w:hAnsi="宋体" w:cs="宋体"/>
          <w:color w:val="auto"/>
          <w:sz w:val="24"/>
          <w:u w:val="single"/>
        </w:rPr>
      </w:pPr>
      <w:r>
        <w:rPr>
          <w:rFonts w:hint="eastAsia" w:ascii="宋体" w:hAnsi="宋体" w:cs="宋体"/>
          <w:color w:val="auto"/>
          <w:sz w:val="24"/>
          <w:u w:val="single"/>
        </w:rPr>
        <w:t xml:space="preserve">                                      </w:t>
      </w:r>
    </w:p>
    <w:p w14:paraId="6CDCB996">
      <w:pPr>
        <w:spacing w:line="440" w:lineRule="exact"/>
        <w:ind w:firstLine="480" w:firstLineChars="200"/>
        <w:rPr>
          <w:rFonts w:ascii="宋体" w:hAnsi="宋体" w:cs="宋体"/>
          <w:color w:val="auto"/>
          <w:sz w:val="24"/>
        </w:rPr>
      </w:pPr>
    </w:p>
    <w:p w14:paraId="3EB9CC22">
      <w:pPr>
        <w:shd w:val="clear" w:color="auto" w:fill="FFFFFF"/>
        <w:snapToGrid w:val="0"/>
        <w:spacing w:line="460" w:lineRule="exact"/>
        <w:ind w:firstLine="480" w:firstLineChars="200"/>
        <w:rPr>
          <w:rFonts w:ascii="宋体" w:hAnsi="宋体" w:cs="宋体"/>
          <w:color w:val="auto"/>
          <w:sz w:val="24"/>
        </w:rPr>
      </w:pPr>
      <w:r>
        <w:rPr>
          <w:rFonts w:hint="eastAsia" w:ascii="宋体" w:hAnsi="宋体" w:cs="宋体"/>
          <w:color w:val="auto"/>
          <w:sz w:val="24"/>
        </w:rPr>
        <w:t>（以下无正文）</w:t>
      </w:r>
    </w:p>
    <w:p w14:paraId="73FF0AD0">
      <w:pPr>
        <w:shd w:val="clear" w:color="auto" w:fill="FFFFFF"/>
        <w:snapToGrid w:val="0"/>
        <w:spacing w:line="460" w:lineRule="exact"/>
        <w:ind w:firstLine="480" w:firstLineChars="200"/>
        <w:rPr>
          <w:rFonts w:ascii="宋体" w:hAnsi="宋体" w:eastAsia="宋体"/>
          <w:color w:val="auto"/>
          <w:sz w:val="24"/>
          <w:szCs w:val="24"/>
        </w:rPr>
      </w:pPr>
    </w:p>
    <w:p w14:paraId="1AF10449">
      <w:pPr>
        <w:keepNext w:val="0"/>
        <w:keepLines w:val="0"/>
        <w:pageBreakBefore w:val="0"/>
        <w:widowControl w:val="0"/>
        <w:kinsoku/>
        <w:wordWrap/>
        <w:overflowPunct/>
        <w:topLinePunct w:val="0"/>
        <w:autoSpaceDE w:val="0"/>
        <w:autoSpaceDN w:val="0"/>
        <w:bidi w:val="0"/>
        <w:adjustRightInd w:val="0"/>
        <w:spacing w:line="400" w:lineRule="exact"/>
        <w:ind w:left="0" w:leftChars="0" w:firstLine="442" w:firstLineChars="200"/>
        <w:jc w:val="left"/>
        <w:textAlignment w:val="auto"/>
        <w:rPr>
          <w:rFonts w:hint="eastAsia" w:ascii="宋体" w:hAnsi="宋体" w:eastAsia="宋体" w:cs="Times New Roman"/>
          <w:b/>
          <w:color w:val="auto"/>
          <w:sz w:val="22"/>
        </w:rPr>
      </w:pPr>
      <w:r>
        <w:rPr>
          <w:rFonts w:hint="eastAsia" w:ascii="宋体" w:hAnsi="宋体"/>
          <w:b/>
          <w:color w:val="auto"/>
          <w:sz w:val="22"/>
        </w:rPr>
        <w:t>备注：</w:t>
      </w:r>
      <w:r>
        <w:rPr>
          <w:rFonts w:hint="eastAsia" w:ascii="宋体" w:hAnsi="宋体" w:eastAsia="宋体" w:cs="Times New Roman"/>
          <w:b/>
          <w:color w:val="auto"/>
          <w:sz w:val="22"/>
        </w:rPr>
        <w:t>（1）采购人可根据项目实际情况对合同条款进行调整、修改、补充，正式合同以采购人根据《中华人民共和国民法典》有关规定签订的合同为准，但不能改变合同标的、数量、质量、价款、履行期限、履行地点和方式、违约责任和解决争议方法等实质性内容。本章所制“合同书样式及主要条款”</w:t>
      </w:r>
      <w:r>
        <w:rPr>
          <w:rFonts w:hint="eastAsia" w:ascii="宋体" w:hAnsi="宋体" w:eastAsia="宋体" w:cs="Times New Roman"/>
          <w:b/>
          <w:color w:val="auto"/>
          <w:sz w:val="22"/>
          <w:lang w:val="en-US" w:eastAsia="zh-CN"/>
        </w:rPr>
        <w:t>仅供参考</w:t>
      </w:r>
      <w:r>
        <w:rPr>
          <w:rFonts w:hint="eastAsia" w:ascii="宋体" w:hAnsi="宋体" w:eastAsia="宋体" w:cs="Times New Roman"/>
          <w:b/>
          <w:color w:val="auto"/>
          <w:sz w:val="22"/>
        </w:rPr>
        <w:t>。</w:t>
      </w:r>
    </w:p>
    <w:p w14:paraId="473CC783">
      <w:pPr>
        <w:keepNext w:val="0"/>
        <w:keepLines w:val="0"/>
        <w:pageBreakBefore w:val="0"/>
        <w:widowControl w:val="0"/>
        <w:kinsoku/>
        <w:wordWrap/>
        <w:overflowPunct/>
        <w:topLinePunct w:val="0"/>
        <w:autoSpaceDE w:val="0"/>
        <w:autoSpaceDN w:val="0"/>
        <w:bidi w:val="0"/>
        <w:adjustRightInd w:val="0"/>
        <w:spacing w:line="400" w:lineRule="exact"/>
        <w:ind w:left="0" w:leftChars="0" w:firstLine="442" w:firstLineChars="200"/>
        <w:jc w:val="left"/>
        <w:textAlignment w:val="auto"/>
        <w:rPr>
          <w:rFonts w:hint="eastAsia" w:ascii="宋体" w:hAnsi="宋体" w:eastAsia="宋体" w:cs="Times New Roman"/>
          <w:b/>
          <w:color w:val="auto"/>
          <w:sz w:val="22"/>
        </w:rPr>
      </w:pPr>
      <w:r>
        <w:rPr>
          <w:rFonts w:hint="eastAsia" w:ascii="宋体" w:hAnsi="宋体" w:eastAsia="宋体" w:cs="Times New Roman"/>
          <w:b/>
          <w:color w:val="auto"/>
          <w:sz w:val="22"/>
        </w:rPr>
        <w:t>（2）根据《关于进一步提高政府采购透明度和采购效率相关事项的通知》（财办库〔2023〕243号）的规定，在政府采购合同中约定资金支付的方式、时间和条件，明确逾期支付资金的违约责任。对于有预付安排的合同，鼓励采购人将合同预付款比例提高到30%以上。对于满足合同约定支付条件的，采购人原则上应当自收到发票后10个工作日内将资金支付到合同约定的投标人账户，鼓励采购人完善内部流程，自收到发票后1个工作日内完成资金支付事宜。</w:t>
      </w:r>
    </w:p>
    <w:p w14:paraId="25C929EA">
      <w:pPr>
        <w:keepNext w:val="0"/>
        <w:keepLines w:val="0"/>
        <w:pageBreakBefore w:val="0"/>
        <w:widowControl w:val="0"/>
        <w:kinsoku/>
        <w:wordWrap/>
        <w:overflowPunct/>
        <w:topLinePunct w:val="0"/>
        <w:autoSpaceDE w:val="0"/>
        <w:autoSpaceDN w:val="0"/>
        <w:bidi w:val="0"/>
        <w:adjustRightInd w:val="0"/>
        <w:spacing w:line="400" w:lineRule="exact"/>
        <w:ind w:left="0" w:leftChars="0" w:firstLine="442" w:firstLineChars="200"/>
        <w:jc w:val="left"/>
        <w:textAlignment w:val="auto"/>
        <w:rPr>
          <w:rFonts w:hint="eastAsia" w:ascii="宋体" w:hAnsi="宋体" w:eastAsia="宋体" w:cs="Times New Roman"/>
          <w:b/>
          <w:color w:val="auto"/>
          <w:sz w:val="22"/>
        </w:rPr>
      </w:pPr>
      <w:r>
        <w:rPr>
          <w:rFonts w:hint="eastAsia" w:ascii="宋体" w:hAnsi="宋体" w:eastAsia="宋体" w:cs="Times New Roman"/>
          <w:b/>
          <w:color w:val="auto"/>
          <w:sz w:val="22"/>
        </w:rPr>
        <w:t>合同签订时请甲乙双方按以上规定执行。</w:t>
      </w:r>
    </w:p>
    <w:p w14:paraId="00937803">
      <w:pPr>
        <w:shd w:val="clear" w:color="auto" w:fill="FFFFFF"/>
        <w:snapToGrid w:val="0"/>
        <w:spacing w:line="480" w:lineRule="exact"/>
        <w:ind w:firstLine="338" w:firstLineChars="141"/>
        <w:rPr>
          <w:rFonts w:ascii="宋体" w:hAnsi="宋体"/>
          <w:color w:val="auto"/>
          <w:sz w:val="24"/>
        </w:rPr>
      </w:pPr>
    </w:p>
    <w:p w14:paraId="34B0888F">
      <w:pPr>
        <w:rPr>
          <w:color w:val="auto"/>
          <w:highlight w:val="none"/>
        </w:rPr>
      </w:pPr>
      <w:r>
        <w:rPr>
          <w:color w:val="auto"/>
          <w:highlight w:val="none"/>
        </w:rPr>
        <w:br w:type="page"/>
      </w:r>
    </w:p>
    <w:p w14:paraId="15B346DC">
      <w:pPr>
        <w:pStyle w:val="16"/>
        <w:rPr>
          <w:color w:val="auto"/>
        </w:rPr>
      </w:pPr>
    </w:p>
    <w:tbl>
      <w:tblPr>
        <w:tblStyle w:val="32"/>
        <w:tblW w:w="0" w:type="auto"/>
        <w:jc w:val="center"/>
        <w:tblCellSpacing w:w="0" w:type="dxa"/>
        <w:tblLayout w:type="fixed"/>
        <w:tblCellMar>
          <w:top w:w="0" w:type="dxa"/>
          <w:left w:w="0" w:type="dxa"/>
          <w:bottom w:w="0" w:type="dxa"/>
          <w:right w:w="0" w:type="dxa"/>
        </w:tblCellMar>
      </w:tblPr>
      <w:tblGrid>
        <w:gridCol w:w="1412"/>
        <w:gridCol w:w="6894"/>
      </w:tblGrid>
      <w:tr w14:paraId="74C45D56">
        <w:tblPrEx>
          <w:tblCellMar>
            <w:top w:w="0" w:type="dxa"/>
            <w:left w:w="0" w:type="dxa"/>
            <w:bottom w:w="0" w:type="dxa"/>
            <w:right w:w="0" w:type="dxa"/>
          </w:tblCellMar>
        </w:tblPrEx>
        <w:trPr>
          <w:tblCellSpacing w:w="0" w:type="dxa"/>
          <w:jc w:val="center"/>
        </w:trPr>
        <w:tc>
          <w:tcPr>
            <w:tcW w:w="8306" w:type="dxa"/>
            <w:gridSpan w:val="2"/>
            <w:vAlign w:val="center"/>
          </w:tcPr>
          <w:p w14:paraId="73739D6E">
            <w:pPr>
              <w:widowControl/>
              <w:spacing w:after="240"/>
              <w:jc w:val="left"/>
              <w:rPr>
                <w:rFonts w:ascii="宋体" w:hAnsi="宋体" w:cs="宋体"/>
                <w:color w:val="auto"/>
                <w:kern w:val="0"/>
                <w:sz w:val="24"/>
                <w:highlight w:val="none"/>
              </w:rPr>
            </w:pPr>
          </w:p>
          <w:p w14:paraId="356B69BE">
            <w:pPr>
              <w:widowControl/>
              <w:spacing w:after="240"/>
              <w:jc w:val="left"/>
              <w:rPr>
                <w:rFonts w:hint="eastAsia" w:ascii="宋体" w:hAnsi="宋体" w:eastAsia="宋体" w:cs="宋体"/>
                <w:color w:val="auto"/>
                <w:kern w:val="0"/>
                <w:sz w:val="24"/>
                <w:highlight w:val="none"/>
                <w:lang w:eastAsia="zh-CN"/>
              </w:rPr>
            </w:pPr>
            <w:r>
              <w:rPr>
                <w:rFonts w:ascii="宋体" w:hAnsi="宋体" w:cs="宋体"/>
                <w:color w:val="auto"/>
                <w:kern w:val="0"/>
                <w:sz w:val="24"/>
                <w:highlight w:val="none"/>
              </w:rPr>
              <w:t>甲方（采购人公章）名 称：</w:t>
            </w:r>
            <w:r>
              <w:rPr>
                <w:rFonts w:hint="eastAsia" w:ascii="宋体" w:hAnsi="宋体" w:cs="宋体"/>
                <w:color w:val="auto"/>
                <w:kern w:val="0"/>
                <w:sz w:val="24"/>
                <w:highlight w:val="none"/>
                <w:lang w:eastAsia="zh-CN"/>
              </w:rPr>
              <w:t>云南省农业科学院农业环境资源研究所</w:t>
            </w:r>
          </w:p>
        </w:tc>
      </w:tr>
      <w:tr w14:paraId="33485323">
        <w:tblPrEx>
          <w:tblCellMar>
            <w:top w:w="0" w:type="dxa"/>
            <w:left w:w="0" w:type="dxa"/>
            <w:bottom w:w="0" w:type="dxa"/>
            <w:right w:w="0" w:type="dxa"/>
          </w:tblCellMar>
        </w:tblPrEx>
        <w:trPr>
          <w:tblCellSpacing w:w="0" w:type="dxa"/>
          <w:jc w:val="center"/>
        </w:trPr>
        <w:tc>
          <w:tcPr>
            <w:tcW w:w="1412" w:type="dxa"/>
            <w:vAlign w:val="center"/>
          </w:tcPr>
          <w:p w14:paraId="2C3D98BD">
            <w:pPr>
              <w:widowControl/>
              <w:jc w:val="left"/>
              <w:rPr>
                <w:rFonts w:ascii="宋体" w:hAnsi="宋体" w:cs="宋体"/>
                <w:color w:val="auto"/>
                <w:kern w:val="0"/>
                <w:sz w:val="24"/>
                <w:highlight w:val="none"/>
              </w:rPr>
            </w:pPr>
          </w:p>
        </w:tc>
        <w:tc>
          <w:tcPr>
            <w:tcW w:w="6894" w:type="dxa"/>
            <w:vAlign w:val="center"/>
          </w:tcPr>
          <w:p w14:paraId="52196519">
            <w:pPr>
              <w:widowControl/>
              <w:spacing w:after="240"/>
              <w:ind w:firstLine="720" w:firstLineChars="300"/>
              <w:jc w:val="left"/>
              <w:rPr>
                <w:rFonts w:ascii="宋体" w:hAnsi="宋体" w:cs="宋体"/>
                <w:color w:val="auto"/>
                <w:kern w:val="0"/>
                <w:sz w:val="24"/>
                <w:highlight w:val="none"/>
              </w:rPr>
            </w:pPr>
            <w:r>
              <w:rPr>
                <w:rFonts w:ascii="宋体" w:hAnsi="宋体" w:cs="宋体"/>
                <w:color w:val="auto"/>
                <w:kern w:val="0"/>
                <w:sz w:val="24"/>
                <w:highlight w:val="none"/>
              </w:rPr>
              <w:t>地 址：</w:t>
            </w:r>
          </w:p>
        </w:tc>
      </w:tr>
      <w:tr w14:paraId="63859626">
        <w:tblPrEx>
          <w:tblCellMar>
            <w:top w:w="0" w:type="dxa"/>
            <w:left w:w="0" w:type="dxa"/>
            <w:bottom w:w="0" w:type="dxa"/>
            <w:right w:w="0" w:type="dxa"/>
          </w:tblCellMar>
        </w:tblPrEx>
        <w:trPr>
          <w:tblCellSpacing w:w="0" w:type="dxa"/>
          <w:jc w:val="center"/>
        </w:trPr>
        <w:tc>
          <w:tcPr>
            <w:tcW w:w="1412" w:type="dxa"/>
            <w:vAlign w:val="center"/>
          </w:tcPr>
          <w:p w14:paraId="78AA447F">
            <w:pPr>
              <w:widowControl/>
              <w:jc w:val="left"/>
              <w:rPr>
                <w:rFonts w:ascii="宋体" w:hAnsi="宋体" w:cs="宋体"/>
                <w:color w:val="auto"/>
                <w:kern w:val="0"/>
                <w:sz w:val="24"/>
                <w:highlight w:val="none"/>
              </w:rPr>
            </w:pPr>
          </w:p>
        </w:tc>
        <w:tc>
          <w:tcPr>
            <w:tcW w:w="6894" w:type="dxa"/>
            <w:vAlign w:val="center"/>
          </w:tcPr>
          <w:p w14:paraId="3712B3B9">
            <w:pPr>
              <w:widowControl/>
              <w:spacing w:after="240"/>
              <w:ind w:firstLine="720" w:firstLineChars="300"/>
              <w:jc w:val="left"/>
              <w:rPr>
                <w:rFonts w:ascii="宋体" w:hAnsi="宋体" w:cs="宋体"/>
                <w:color w:val="auto"/>
                <w:kern w:val="0"/>
                <w:sz w:val="24"/>
                <w:highlight w:val="none"/>
              </w:rPr>
            </w:pPr>
            <w:r>
              <w:rPr>
                <w:rFonts w:ascii="宋体" w:hAnsi="宋体" w:cs="宋体"/>
                <w:color w:val="auto"/>
                <w:kern w:val="0"/>
                <w:sz w:val="24"/>
                <w:highlight w:val="none"/>
              </w:rPr>
              <w:t>邮 编：</w:t>
            </w:r>
          </w:p>
        </w:tc>
      </w:tr>
      <w:tr w14:paraId="0486534B">
        <w:tblPrEx>
          <w:tblCellMar>
            <w:top w:w="0" w:type="dxa"/>
            <w:left w:w="0" w:type="dxa"/>
            <w:bottom w:w="0" w:type="dxa"/>
            <w:right w:w="0" w:type="dxa"/>
          </w:tblCellMar>
        </w:tblPrEx>
        <w:trPr>
          <w:tblCellSpacing w:w="0" w:type="dxa"/>
          <w:jc w:val="center"/>
        </w:trPr>
        <w:tc>
          <w:tcPr>
            <w:tcW w:w="1412" w:type="dxa"/>
            <w:vAlign w:val="center"/>
          </w:tcPr>
          <w:p w14:paraId="16DE16C2">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  </w:t>
            </w:r>
          </w:p>
        </w:tc>
        <w:tc>
          <w:tcPr>
            <w:tcW w:w="6894" w:type="dxa"/>
            <w:vAlign w:val="center"/>
          </w:tcPr>
          <w:p w14:paraId="611BD9FB">
            <w:pPr>
              <w:widowControl/>
              <w:spacing w:after="240"/>
              <w:ind w:firstLine="720" w:firstLineChars="300"/>
              <w:jc w:val="left"/>
              <w:rPr>
                <w:rFonts w:ascii="宋体" w:hAnsi="宋体" w:cs="宋体"/>
                <w:color w:val="auto"/>
                <w:kern w:val="0"/>
                <w:sz w:val="24"/>
                <w:highlight w:val="none"/>
              </w:rPr>
            </w:pPr>
            <w:r>
              <w:rPr>
                <w:rFonts w:ascii="宋体" w:hAnsi="宋体" w:cs="宋体"/>
                <w:color w:val="auto"/>
                <w:kern w:val="0"/>
                <w:sz w:val="24"/>
                <w:highlight w:val="none"/>
              </w:rPr>
              <w:t>法定代表人或委托代理人：</w:t>
            </w:r>
          </w:p>
        </w:tc>
      </w:tr>
      <w:tr w14:paraId="090DCB64">
        <w:tblPrEx>
          <w:tblCellMar>
            <w:top w:w="0" w:type="dxa"/>
            <w:left w:w="0" w:type="dxa"/>
            <w:bottom w:w="0" w:type="dxa"/>
            <w:right w:w="0" w:type="dxa"/>
          </w:tblCellMar>
        </w:tblPrEx>
        <w:trPr>
          <w:tblCellSpacing w:w="0" w:type="dxa"/>
          <w:jc w:val="center"/>
        </w:trPr>
        <w:tc>
          <w:tcPr>
            <w:tcW w:w="1412" w:type="dxa"/>
            <w:vAlign w:val="center"/>
          </w:tcPr>
          <w:p w14:paraId="3036274F">
            <w:pPr>
              <w:widowControl/>
              <w:jc w:val="left"/>
              <w:rPr>
                <w:rFonts w:ascii="宋体" w:hAnsi="宋体" w:cs="宋体"/>
                <w:color w:val="auto"/>
                <w:kern w:val="0"/>
                <w:sz w:val="24"/>
                <w:highlight w:val="none"/>
              </w:rPr>
            </w:pPr>
          </w:p>
        </w:tc>
        <w:tc>
          <w:tcPr>
            <w:tcW w:w="6894" w:type="dxa"/>
            <w:vAlign w:val="center"/>
          </w:tcPr>
          <w:p w14:paraId="288ECAFB">
            <w:pPr>
              <w:widowControl/>
              <w:spacing w:after="240"/>
              <w:ind w:firstLine="720" w:firstLineChars="300"/>
              <w:jc w:val="left"/>
              <w:rPr>
                <w:rFonts w:ascii="宋体" w:hAnsi="宋体" w:cs="宋体"/>
                <w:color w:val="auto"/>
                <w:kern w:val="0"/>
                <w:sz w:val="24"/>
                <w:highlight w:val="none"/>
              </w:rPr>
            </w:pPr>
            <w:r>
              <w:rPr>
                <w:rFonts w:ascii="宋体" w:hAnsi="宋体" w:cs="宋体"/>
                <w:color w:val="auto"/>
                <w:kern w:val="0"/>
                <w:sz w:val="24"/>
                <w:highlight w:val="none"/>
              </w:rPr>
              <w:t>项目（技术）负责人：</w:t>
            </w:r>
          </w:p>
        </w:tc>
      </w:tr>
      <w:tr w14:paraId="145DA950">
        <w:tblPrEx>
          <w:tblCellMar>
            <w:top w:w="0" w:type="dxa"/>
            <w:left w:w="0" w:type="dxa"/>
            <w:bottom w:w="0" w:type="dxa"/>
            <w:right w:w="0" w:type="dxa"/>
          </w:tblCellMar>
        </w:tblPrEx>
        <w:trPr>
          <w:tblCellSpacing w:w="0" w:type="dxa"/>
          <w:jc w:val="center"/>
        </w:trPr>
        <w:tc>
          <w:tcPr>
            <w:tcW w:w="1412" w:type="dxa"/>
            <w:vAlign w:val="center"/>
          </w:tcPr>
          <w:p w14:paraId="71406463">
            <w:pPr>
              <w:widowControl/>
              <w:jc w:val="left"/>
              <w:rPr>
                <w:rFonts w:ascii="宋体" w:hAnsi="宋体" w:cs="宋体"/>
                <w:color w:val="auto"/>
                <w:kern w:val="0"/>
                <w:sz w:val="24"/>
                <w:highlight w:val="none"/>
              </w:rPr>
            </w:pPr>
          </w:p>
        </w:tc>
        <w:tc>
          <w:tcPr>
            <w:tcW w:w="6894" w:type="dxa"/>
            <w:vAlign w:val="center"/>
          </w:tcPr>
          <w:p w14:paraId="4E58187C">
            <w:pPr>
              <w:widowControl/>
              <w:spacing w:after="240"/>
              <w:ind w:firstLine="720" w:firstLineChars="300"/>
              <w:jc w:val="left"/>
              <w:rPr>
                <w:rFonts w:ascii="宋体" w:hAnsi="宋体" w:cs="宋体"/>
                <w:color w:val="auto"/>
                <w:kern w:val="0"/>
                <w:sz w:val="24"/>
                <w:highlight w:val="none"/>
              </w:rPr>
            </w:pPr>
            <w:r>
              <w:rPr>
                <w:rFonts w:ascii="宋体" w:hAnsi="宋体" w:cs="宋体"/>
                <w:color w:val="auto"/>
                <w:kern w:val="0"/>
                <w:sz w:val="24"/>
                <w:highlight w:val="none"/>
              </w:rPr>
              <w:t>电 话：</w:t>
            </w:r>
          </w:p>
          <w:p w14:paraId="24B023E4">
            <w:pPr>
              <w:widowControl/>
              <w:spacing w:after="240"/>
              <w:ind w:firstLine="720" w:firstLineChars="300"/>
              <w:jc w:val="left"/>
              <w:rPr>
                <w:rFonts w:ascii="宋体" w:hAnsi="宋体" w:cs="宋体"/>
                <w:color w:val="auto"/>
                <w:kern w:val="0"/>
                <w:sz w:val="24"/>
                <w:highlight w:val="none"/>
              </w:rPr>
            </w:pPr>
            <w:r>
              <w:rPr>
                <w:rFonts w:hint="eastAsia" w:ascii="宋体" w:hAnsi="宋体" w:cs="宋体"/>
                <w:color w:val="auto"/>
                <w:kern w:val="0"/>
                <w:sz w:val="24"/>
                <w:highlight w:val="none"/>
              </w:rPr>
              <w:t>签订日期：</w:t>
            </w:r>
          </w:p>
        </w:tc>
      </w:tr>
      <w:tr w14:paraId="0087BC44">
        <w:tblPrEx>
          <w:tblCellMar>
            <w:top w:w="0" w:type="dxa"/>
            <w:left w:w="0" w:type="dxa"/>
            <w:bottom w:w="0" w:type="dxa"/>
            <w:right w:w="0" w:type="dxa"/>
          </w:tblCellMar>
        </w:tblPrEx>
        <w:trPr>
          <w:tblCellSpacing w:w="0" w:type="dxa"/>
          <w:jc w:val="center"/>
        </w:trPr>
        <w:tc>
          <w:tcPr>
            <w:tcW w:w="8306" w:type="dxa"/>
            <w:gridSpan w:val="2"/>
            <w:vAlign w:val="center"/>
          </w:tcPr>
          <w:p w14:paraId="6835207A">
            <w:pPr>
              <w:widowControl/>
              <w:spacing w:after="240"/>
              <w:jc w:val="left"/>
              <w:rPr>
                <w:rFonts w:ascii="宋体" w:hAnsi="宋体" w:cs="宋体"/>
                <w:color w:val="auto"/>
                <w:kern w:val="0"/>
                <w:sz w:val="24"/>
                <w:highlight w:val="none"/>
              </w:rPr>
            </w:pPr>
          </w:p>
          <w:p w14:paraId="592BCDEC">
            <w:pPr>
              <w:widowControl/>
              <w:spacing w:after="240"/>
              <w:jc w:val="left"/>
              <w:rPr>
                <w:rFonts w:ascii="宋体" w:hAnsi="宋体" w:cs="宋体"/>
                <w:color w:val="auto"/>
                <w:kern w:val="0"/>
                <w:sz w:val="24"/>
                <w:highlight w:val="none"/>
              </w:rPr>
            </w:pPr>
            <w:r>
              <w:rPr>
                <w:rFonts w:ascii="宋体" w:hAnsi="宋体" w:cs="宋体"/>
                <w:color w:val="auto"/>
                <w:kern w:val="0"/>
                <w:sz w:val="24"/>
                <w:highlight w:val="none"/>
              </w:rPr>
              <w:t>乙方（供应商公章）名 称：</w:t>
            </w:r>
            <w:r>
              <w:rPr>
                <w:rFonts w:hint="eastAsia" w:ascii="宋体" w:hAnsi="宋体" w:cs="宋体"/>
                <w:color w:val="auto"/>
                <w:kern w:val="0"/>
                <w:sz w:val="24"/>
                <w:highlight w:val="none"/>
              </w:rPr>
              <w:t xml:space="preserve"> </w:t>
            </w:r>
          </w:p>
        </w:tc>
      </w:tr>
      <w:tr w14:paraId="4A7071B7">
        <w:tblPrEx>
          <w:tblCellMar>
            <w:top w:w="0" w:type="dxa"/>
            <w:left w:w="0" w:type="dxa"/>
            <w:bottom w:w="0" w:type="dxa"/>
            <w:right w:w="0" w:type="dxa"/>
          </w:tblCellMar>
        </w:tblPrEx>
        <w:trPr>
          <w:tblCellSpacing w:w="0" w:type="dxa"/>
          <w:jc w:val="center"/>
        </w:trPr>
        <w:tc>
          <w:tcPr>
            <w:tcW w:w="1412" w:type="dxa"/>
            <w:vAlign w:val="center"/>
          </w:tcPr>
          <w:p w14:paraId="724E34E6">
            <w:pPr>
              <w:widowControl/>
              <w:jc w:val="left"/>
              <w:rPr>
                <w:rFonts w:ascii="宋体" w:hAnsi="宋体" w:cs="宋体"/>
                <w:color w:val="auto"/>
                <w:kern w:val="0"/>
                <w:sz w:val="24"/>
                <w:highlight w:val="none"/>
              </w:rPr>
            </w:pPr>
          </w:p>
        </w:tc>
        <w:tc>
          <w:tcPr>
            <w:tcW w:w="6894" w:type="dxa"/>
            <w:vAlign w:val="center"/>
          </w:tcPr>
          <w:p w14:paraId="3D503E3D">
            <w:pPr>
              <w:widowControl/>
              <w:spacing w:after="240"/>
              <w:ind w:firstLine="720" w:firstLineChars="300"/>
              <w:jc w:val="left"/>
              <w:rPr>
                <w:rFonts w:ascii="宋体" w:hAnsi="宋体" w:cs="宋体"/>
                <w:color w:val="auto"/>
                <w:kern w:val="0"/>
                <w:sz w:val="24"/>
                <w:highlight w:val="none"/>
              </w:rPr>
            </w:pPr>
            <w:r>
              <w:rPr>
                <w:rFonts w:ascii="宋体" w:hAnsi="宋体" w:cs="宋体"/>
                <w:color w:val="auto"/>
                <w:kern w:val="0"/>
                <w:sz w:val="24"/>
                <w:highlight w:val="none"/>
              </w:rPr>
              <w:t>地 址：</w:t>
            </w:r>
          </w:p>
        </w:tc>
      </w:tr>
      <w:tr w14:paraId="58C35E20">
        <w:tblPrEx>
          <w:tblCellMar>
            <w:top w:w="0" w:type="dxa"/>
            <w:left w:w="0" w:type="dxa"/>
            <w:bottom w:w="0" w:type="dxa"/>
            <w:right w:w="0" w:type="dxa"/>
          </w:tblCellMar>
        </w:tblPrEx>
        <w:trPr>
          <w:tblCellSpacing w:w="0" w:type="dxa"/>
          <w:jc w:val="center"/>
        </w:trPr>
        <w:tc>
          <w:tcPr>
            <w:tcW w:w="1412" w:type="dxa"/>
            <w:vAlign w:val="center"/>
          </w:tcPr>
          <w:p w14:paraId="56C7653A">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  </w:t>
            </w:r>
          </w:p>
        </w:tc>
        <w:tc>
          <w:tcPr>
            <w:tcW w:w="6894" w:type="dxa"/>
            <w:vAlign w:val="center"/>
          </w:tcPr>
          <w:p w14:paraId="3A83438D">
            <w:pPr>
              <w:widowControl/>
              <w:spacing w:after="240"/>
              <w:ind w:firstLine="720" w:firstLineChars="300"/>
              <w:jc w:val="left"/>
              <w:rPr>
                <w:rFonts w:ascii="宋体" w:hAnsi="宋体" w:cs="宋体"/>
                <w:color w:val="auto"/>
                <w:kern w:val="0"/>
                <w:sz w:val="24"/>
                <w:highlight w:val="none"/>
              </w:rPr>
            </w:pPr>
            <w:r>
              <w:rPr>
                <w:rFonts w:ascii="宋体" w:hAnsi="宋体" w:cs="宋体"/>
                <w:color w:val="auto"/>
                <w:kern w:val="0"/>
                <w:sz w:val="24"/>
                <w:highlight w:val="none"/>
              </w:rPr>
              <w:t>邮 编：</w:t>
            </w:r>
          </w:p>
        </w:tc>
      </w:tr>
      <w:tr w14:paraId="2048C68F">
        <w:tblPrEx>
          <w:tblCellMar>
            <w:top w:w="0" w:type="dxa"/>
            <w:left w:w="0" w:type="dxa"/>
            <w:bottom w:w="0" w:type="dxa"/>
            <w:right w:w="0" w:type="dxa"/>
          </w:tblCellMar>
        </w:tblPrEx>
        <w:trPr>
          <w:tblCellSpacing w:w="0" w:type="dxa"/>
          <w:jc w:val="center"/>
        </w:trPr>
        <w:tc>
          <w:tcPr>
            <w:tcW w:w="1412" w:type="dxa"/>
            <w:vAlign w:val="center"/>
          </w:tcPr>
          <w:p w14:paraId="59FECCA9">
            <w:pPr>
              <w:widowControl/>
              <w:jc w:val="left"/>
              <w:rPr>
                <w:rFonts w:ascii="宋体" w:hAnsi="宋体" w:cs="宋体"/>
                <w:color w:val="auto"/>
                <w:kern w:val="0"/>
                <w:sz w:val="24"/>
                <w:highlight w:val="none"/>
              </w:rPr>
            </w:pPr>
          </w:p>
        </w:tc>
        <w:tc>
          <w:tcPr>
            <w:tcW w:w="6894" w:type="dxa"/>
            <w:vAlign w:val="center"/>
          </w:tcPr>
          <w:p w14:paraId="1EFE63D6">
            <w:pPr>
              <w:widowControl/>
              <w:spacing w:after="240"/>
              <w:ind w:firstLine="720" w:firstLineChars="300"/>
              <w:jc w:val="left"/>
              <w:rPr>
                <w:rFonts w:ascii="宋体" w:hAnsi="宋体" w:cs="宋体"/>
                <w:color w:val="auto"/>
                <w:kern w:val="0"/>
                <w:sz w:val="24"/>
                <w:highlight w:val="none"/>
              </w:rPr>
            </w:pPr>
            <w:r>
              <w:rPr>
                <w:rFonts w:ascii="宋体" w:hAnsi="宋体" w:cs="宋体"/>
                <w:color w:val="auto"/>
                <w:kern w:val="0"/>
                <w:sz w:val="24"/>
                <w:highlight w:val="none"/>
              </w:rPr>
              <w:t>法定代表人或委托代理人：</w:t>
            </w:r>
          </w:p>
        </w:tc>
      </w:tr>
      <w:tr w14:paraId="53EFE4AD">
        <w:tblPrEx>
          <w:tblCellMar>
            <w:top w:w="0" w:type="dxa"/>
            <w:left w:w="0" w:type="dxa"/>
            <w:bottom w:w="0" w:type="dxa"/>
            <w:right w:w="0" w:type="dxa"/>
          </w:tblCellMar>
        </w:tblPrEx>
        <w:trPr>
          <w:tblCellSpacing w:w="0" w:type="dxa"/>
          <w:jc w:val="center"/>
        </w:trPr>
        <w:tc>
          <w:tcPr>
            <w:tcW w:w="1412" w:type="dxa"/>
            <w:vAlign w:val="center"/>
          </w:tcPr>
          <w:p w14:paraId="22F6302C">
            <w:pPr>
              <w:widowControl/>
              <w:jc w:val="left"/>
              <w:rPr>
                <w:rFonts w:ascii="宋体" w:hAnsi="宋体" w:cs="宋体"/>
                <w:color w:val="auto"/>
                <w:kern w:val="0"/>
                <w:sz w:val="24"/>
                <w:highlight w:val="none"/>
              </w:rPr>
            </w:pPr>
          </w:p>
        </w:tc>
        <w:tc>
          <w:tcPr>
            <w:tcW w:w="6894" w:type="dxa"/>
            <w:vAlign w:val="center"/>
          </w:tcPr>
          <w:p w14:paraId="59A2C1C1">
            <w:pPr>
              <w:widowControl/>
              <w:spacing w:after="240"/>
              <w:ind w:firstLine="720" w:firstLineChars="300"/>
              <w:jc w:val="left"/>
              <w:rPr>
                <w:rFonts w:ascii="宋体" w:hAnsi="宋体" w:cs="宋体"/>
                <w:color w:val="auto"/>
                <w:kern w:val="0"/>
                <w:sz w:val="24"/>
                <w:highlight w:val="none"/>
              </w:rPr>
            </w:pPr>
            <w:r>
              <w:rPr>
                <w:rFonts w:ascii="宋体" w:hAnsi="宋体" w:cs="宋体"/>
                <w:color w:val="auto"/>
                <w:kern w:val="0"/>
                <w:sz w:val="24"/>
                <w:highlight w:val="none"/>
              </w:rPr>
              <w:t>经办人：</w:t>
            </w:r>
          </w:p>
        </w:tc>
      </w:tr>
      <w:tr w14:paraId="2E227F08">
        <w:tblPrEx>
          <w:tblCellMar>
            <w:top w:w="0" w:type="dxa"/>
            <w:left w:w="0" w:type="dxa"/>
            <w:bottom w:w="0" w:type="dxa"/>
            <w:right w:w="0" w:type="dxa"/>
          </w:tblCellMar>
        </w:tblPrEx>
        <w:trPr>
          <w:tblCellSpacing w:w="0" w:type="dxa"/>
          <w:jc w:val="center"/>
        </w:trPr>
        <w:tc>
          <w:tcPr>
            <w:tcW w:w="1412" w:type="dxa"/>
            <w:vAlign w:val="center"/>
          </w:tcPr>
          <w:p w14:paraId="35249957">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     </w:t>
            </w:r>
          </w:p>
        </w:tc>
        <w:tc>
          <w:tcPr>
            <w:tcW w:w="6894" w:type="dxa"/>
            <w:vAlign w:val="center"/>
          </w:tcPr>
          <w:p w14:paraId="581B65F0">
            <w:pPr>
              <w:widowControl/>
              <w:spacing w:after="240"/>
              <w:ind w:firstLine="720" w:firstLineChars="300"/>
              <w:jc w:val="left"/>
              <w:rPr>
                <w:rFonts w:ascii="宋体" w:hAnsi="宋体" w:cs="宋体"/>
                <w:color w:val="auto"/>
                <w:kern w:val="0"/>
                <w:sz w:val="24"/>
                <w:highlight w:val="none"/>
              </w:rPr>
            </w:pPr>
            <w:r>
              <w:rPr>
                <w:rFonts w:ascii="宋体" w:hAnsi="宋体" w:cs="宋体"/>
                <w:color w:val="auto"/>
                <w:kern w:val="0"/>
                <w:sz w:val="24"/>
                <w:highlight w:val="none"/>
              </w:rPr>
              <w:t>电 话：</w:t>
            </w:r>
          </w:p>
        </w:tc>
      </w:tr>
      <w:tr w14:paraId="1012809A">
        <w:tblPrEx>
          <w:tblCellMar>
            <w:top w:w="0" w:type="dxa"/>
            <w:left w:w="0" w:type="dxa"/>
            <w:bottom w:w="0" w:type="dxa"/>
            <w:right w:w="0" w:type="dxa"/>
          </w:tblCellMar>
        </w:tblPrEx>
        <w:trPr>
          <w:tblCellSpacing w:w="0" w:type="dxa"/>
          <w:jc w:val="center"/>
        </w:trPr>
        <w:tc>
          <w:tcPr>
            <w:tcW w:w="8306" w:type="dxa"/>
            <w:gridSpan w:val="2"/>
            <w:shd w:val="clear" w:color="auto" w:fill="auto"/>
            <w:vAlign w:val="center"/>
          </w:tcPr>
          <w:p w14:paraId="4BD146BB">
            <w:pPr>
              <w:spacing w:after="240" w:line="276" w:lineRule="auto"/>
              <w:ind w:firstLine="2160" w:firstLineChars="900"/>
              <w:rPr>
                <w:rFonts w:ascii="宋体" w:hAnsi="宋体" w:cs="宋体"/>
                <w:color w:val="auto"/>
                <w:kern w:val="0"/>
                <w:sz w:val="24"/>
                <w:highlight w:val="none"/>
              </w:rPr>
            </w:pPr>
            <w:r>
              <w:rPr>
                <w:rFonts w:hint="eastAsia" w:ascii="宋体" w:hAnsi="宋体" w:cs="宋体"/>
                <w:color w:val="auto"/>
                <w:kern w:val="0"/>
                <w:sz w:val="24"/>
                <w:highlight w:val="none"/>
              </w:rPr>
              <w:t>签订日期：</w:t>
            </w:r>
          </w:p>
          <w:p w14:paraId="63DFB592">
            <w:pPr>
              <w:pStyle w:val="15"/>
              <w:rPr>
                <w:color w:val="auto"/>
                <w:highlight w:val="none"/>
              </w:rPr>
            </w:pPr>
          </w:p>
          <w:p w14:paraId="06401367">
            <w:pPr>
              <w:spacing w:after="240" w:line="276" w:lineRule="auto"/>
              <w:rPr>
                <w:rFonts w:ascii="宋体" w:hAnsi="宋体" w:eastAsia="宋体" w:cs="宋体"/>
                <w:color w:val="auto"/>
                <w:kern w:val="0"/>
                <w:sz w:val="24"/>
                <w:szCs w:val="24"/>
                <w:highlight w:val="none"/>
                <w:lang w:val="en-US" w:eastAsia="zh-CN" w:bidi="ar-SA"/>
              </w:rPr>
            </w:pPr>
            <w:r>
              <w:rPr>
                <w:rFonts w:ascii="宋体" w:hAnsi="宋体" w:cs="宋体"/>
                <w:color w:val="auto"/>
                <w:kern w:val="0"/>
                <w:sz w:val="24"/>
                <w:highlight w:val="none"/>
              </w:rPr>
              <w:t>丙方（鉴证方公章）名 称：</w:t>
            </w:r>
            <w:r>
              <w:rPr>
                <w:rFonts w:hint="eastAsia" w:ascii="宋体" w:hAnsi="宋体" w:cs="宋体"/>
                <w:color w:val="auto"/>
                <w:kern w:val="0"/>
                <w:sz w:val="24"/>
                <w:highlight w:val="none"/>
              </w:rPr>
              <w:t>云南众高工程咨询有限公司</w:t>
            </w:r>
          </w:p>
        </w:tc>
      </w:tr>
      <w:tr w14:paraId="0E48C8B7">
        <w:tblPrEx>
          <w:tblCellMar>
            <w:top w:w="0" w:type="dxa"/>
            <w:left w:w="0" w:type="dxa"/>
            <w:bottom w:w="0" w:type="dxa"/>
            <w:right w:w="0" w:type="dxa"/>
          </w:tblCellMar>
        </w:tblPrEx>
        <w:trPr>
          <w:tblCellSpacing w:w="0" w:type="dxa"/>
          <w:jc w:val="center"/>
        </w:trPr>
        <w:tc>
          <w:tcPr>
            <w:tcW w:w="0" w:type="auto"/>
            <w:gridSpan w:val="2"/>
            <w:shd w:val="clear" w:color="auto" w:fill="auto"/>
            <w:vAlign w:val="center"/>
          </w:tcPr>
          <w:p w14:paraId="0AF4DD26">
            <w:pPr>
              <w:spacing w:after="240" w:line="276" w:lineRule="auto"/>
              <w:ind w:firstLine="2160" w:firstLineChars="900"/>
              <w:rPr>
                <w:rFonts w:ascii="宋体" w:hAnsi="宋体" w:eastAsia="宋体" w:cs="宋体"/>
                <w:color w:val="auto"/>
                <w:kern w:val="0"/>
                <w:sz w:val="24"/>
                <w:szCs w:val="24"/>
                <w:highlight w:val="none"/>
                <w:lang w:val="en-US" w:eastAsia="zh-CN" w:bidi="ar-SA"/>
              </w:rPr>
            </w:pPr>
            <w:r>
              <w:rPr>
                <w:rFonts w:ascii="宋体" w:hAnsi="宋体" w:cs="宋体"/>
                <w:color w:val="auto"/>
                <w:kern w:val="0"/>
                <w:sz w:val="24"/>
                <w:highlight w:val="none"/>
              </w:rPr>
              <w:t>地 址：</w:t>
            </w:r>
          </w:p>
        </w:tc>
      </w:tr>
      <w:tr w14:paraId="50744E71">
        <w:tblPrEx>
          <w:tblCellMar>
            <w:top w:w="0" w:type="dxa"/>
            <w:left w:w="0" w:type="dxa"/>
            <w:bottom w:w="0" w:type="dxa"/>
            <w:right w:w="0" w:type="dxa"/>
          </w:tblCellMar>
        </w:tblPrEx>
        <w:trPr>
          <w:tblCellSpacing w:w="0" w:type="dxa"/>
          <w:jc w:val="center"/>
        </w:trPr>
        <w:tc>
          <w:tcPr>
            <w:tcW w:w="0" w:type="auto"/>
            <w:gridSpan w:val="2"/>
            <w:shd w:val="clear" w:color="auto" w:fill="auto"/>
            <w:vAlign w:val="center"/>
          </w:tcPr>
          <w:p w14:paraId="01D1F005">
            <w:pPr>
              <w:spacing w:after="240" w:line="276" w:lineRule="auto"/>
              <w:ind w:firstLine="2160" w:firstLineChars="900"/>
              <w:rPr>
                <w:rFonts w:ascii="宋体" w:hAnsi="宋体" w:eastAsia="宋体" w:cs="宋体"/>
                <w:color w:val="auto"/>
                <w:kern w:val="0"/>
                <w:sz w:val="24"/>
                <w:szCs w:val="24"/>
                <w:highlight w:val="none"/>
                <w:lang w:val="en-US" w:eastAsia="zh-CN" w:bidi="ar-SA"/>
              </w:rPr>
            </w:pPr>
            <w:r>
              <w:rPr>
                <w:rFonts w:ascii="宋体" w:hAnsi="宋体" w:cs="宋体"/>
                <w:color w:val="auto"/>
                <w:kern w:val="0"/>
                <w:sz w:val="24"/>
                <w:highlight w:val="none"/>
              </w:rPr>
              <w:t>邮 编：</w:t>
            </w:r>
          </w:p>
        </w:tc>
      </w:tr>
      <w:tr w14:paraId="2F7DA3D7">
        <w:tblPrEx>
          <w:tblCellMar>
            <w:top w:w="0" w:type="dxa"/>
            <w:left w:w="0" w:type="dxa"/>
            <w:bottom w:w="0" w:type="dxa"/>
            <w:right w:w="0" w:type="dxa"/>
          </w:tblCellMar>
        </w:tblPrEx>
        <w:trPr>
          <w:tblCellSpacing w:w="0" w:type="dxa"/>
          <w:jc w:val="center"/>
        </w:trPr>
        <w:tc>
          <w:tcPr>
            <w:tcW w:w="0" w:type="auto"/>
            <w:gridSpan w:val="2"/>
            <w:shd w:val="clear" w:color="auto" w:fill="auto"/>
            <w:vAlign w:val="center"/>
          </w:tcPr>
          <w:p w14:paraId="787DD58A">
            <w:pPr>
              <w:spacing w:after="240" w:line="276" w:lineRule="auto"/>
              <w:ind w:firstLine="2160" w:firstLineChars="900"/>
              <w:rPr>
                <w:rFonts w:ascii="宋体" w:hAnsi="宋体" w:eastAsia="宋体" w:cs="宋体"/>
                <w:color w:val="auto"/>
                <w:kern w:val="0"/>
                <w:sz w:val="24"/>
                <w:szCs w:val="24"/>
                <w:highlight w:val="none"/>
                <w:lang w:val="en-US" w:eastAsia="zh-CN" w:bidi="ar-SA"/>
              </w:rPr>
            </w:pPr>
            <w:r>
              <w:rPr>
                <w:rFonts w:ascii="宋体" w:hAnsi="宋体" w:cs="宋体"/>
                <w:color w:val="auto"/>
                <w:kern w:val="0"/>
                <w:sz w:val="24"/>
                <w:highlight w:val="none"/>
              </w:rPr>
              <w:t>法定代表人或委托代理人：</w:t>
            </w:r>
          </w:p>
        </w:tc>
      </w:tr>
      <w:tr w14:paraId="035974C9">
        <w:tblPrEx>
          <w:tblCellMar>
            <w:top w:w="0" w:type="dxa"/>
            <w:left w:w="0" w:type="dxa"/>
            <w:bottom w:w="0" w:type="dxa"/>
            <w:right w:w="0" w:type="dxa"/>
          </w:tblCellMar>
        </w:tblPrEx>
        <w:trPr>
          <w:tblCellSpacing w:w="0" w:type="dxa"/>
          <w:jc w:val="center"/>
        </w:trPr>
        <w:tc>
          <w:tcPr>
            <w:tcW w:w="0" w:type="auto"/>
            <w:gridSpan w:val="2"/>
            <w:shd w:val="clear" w:color="auto" w:fill="auto"/>
            <w:vAlign w:val="center"/>
          </w:tcPr>
          <w:p w14:paraId="32E6BDCE">
            <w:pPr>
              <w:spacing w:after="240" w:line="276" w:lineRule="auto"/>
              <w:ind w:firstLine="2160" w:firstLineChars="900"/>
              <w:rPr>
                <w:rFonts w:ascii="宋体" w:hAnsi="宋体" w:eastAsia="宋体" w:cs="宋体"/>
                <w:color w:val="auto"/>
                <w:kern w:val="0"/>
                <w:sz w:val="24"/>
                <w:szCs w:val="24"/>
                <w:highlight w:val="none"/>
                <w:lang w:val="en-US" w:eastAsia="zh-CN" w:bidi="ar-SA"/>
              </w:rPr>
            </w:pPr>
            <w:r>
              <w:rPr>
                <w:rFonts w:ascii="宋体" w:hAnsi="宋体" w:cs="宋体"/>
                <w:color w:val="auto"/>
                <w:kern w:val="0"/>
                <w:sz w:val="24"/>
                <w:highlight w:val="none"/>
              </w:rPr>
              <w:t>经办人：</w:t>
            </w:r>
          </w:p>
        </w:tc>
      </w:tr>
      <w:tr w14:paraId="0A6065EA">
        <w:tblPrEx>
          <w:tblCellMar>
            <w:top w:w="0" w:type="dxa"/>
            <w:left w:w="0" w:type="dxa"/>
            <w:bottom w:w="0" w:type="dxa"/>
            <w:right w:w="0" w:type="dxa"/>
          </w:tblCellMar>
        </w:tblPrEx>
        <w:trPr>
          <w:trHeight w:val="624" w:hRule="atLeast"/>
          <w:tblCellSpacing w:w="0" w:type="dxa"/>
          <w:jc w:val="center"/>
        </w:trPr>
        <w:tc>
          <w:tcPr>
            <w:tcW w:w="0" w:type="auto"/>
            <w:gridSpan w:val="2"/>
            <w:shd w:val="clear" w:color="auto" w:fill="auto"/>
            <w:vAlign w:val="center"/>
          </w:tcPr>
          <w:p w14:paraId="3825C8DE">
            <w:pPr>
              <w:spacing w:line="276" w:lineRule="auto"/>
              <w:ind w:firstLine="2160" w:firstLineChars="900"/>
              <w:rPr>
                <w:rFonts w:ascii="宋体" w:hAnsi="宋体" w:eastAsia="宋体" w:cs="宋体"/>
                <w:color w:val="auto"/>
                <w:kern w:val="0"/>
                <w:sz w:val="24"/>
                <w:szCs w:val="24"/>
                <w:highlight w:val="none"/>
                <w:lang w:val="en-US" w:eastAsia="zh-CN" w:bidi="ar-SA"/>
              </w:rPr>
            </w:pPr>
            <w:r>
              <w:rPr>
                <w:rFonts w:ascii="宋体" w:hAnsi="宋体" w:cs="宋体"/>
                <w:color w:val="auto"/>
                <w:kern w:val="0"/>
                <w:sz w:val="24"/>
                <w:highlight w:val="none"/>
              </w:rPr>
              <w:t>电 话：</w:t>
            </w:r>
          </w:p>
        </w:tc>
      </w:tr>
    </w:tbl>
    <w:p w14:paraId="7DE25289">
      <w:pPr>
        <w:pStyle w:val="15"/>
        <w:rPr>
          <w:color w:val="auto"/>
          <w:highlight w:val="none"/>
        </w:rPr>
        <w:sectPr>
          <w:headerReference r:id="rId6"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755A5CDE">
      <w:pPr>
        <w:pStyle w:val="29"/>
        <w:jc w:val="center"/>
        <w:rPr>
          <w:rFonts w:hint="eastAsia" w:ascii="方正小标宋简体" w:eastAsia="方正小标宋简体"/>
          <w:b/>
          <w:color w:val="auto"/>
          <w:sz w:val="32"/>
          <w:szCs w:val="32"/>
        </w:rPr>
      </w:pPr>
      <w:r>
        <w:rPr>
          <w:rStyle w:val="35"/>
          <w:rFonts w:hint="eastAsia" w:ascii="方正小标宋简体" w:eastAsia="方正小标宋简体"/>
          <w:b w:val="0"/>
          <w:color w:val="auto"/>
          <w:sz w:val="40"/>
          <w:szCs w:val="40"/>
          <w:lang w:eastAsia="zh-CN"/>
        </w:rPr>
        <w:t>天敌昆虫资源及产品转化平台建设项目采购一批天敌昆虫扩繁设备</w:t>
      </w:r>
      <w:r>
        <w:rPr>
          <w:rStyle w:val="35"/>
          <w:rFonts w:hint="eastAsia" w:ascii="方正小标宋简体" w:eastAsia="方正小标宋简体"/>
          <w:b w:val="0"/>
          <w:color w:val="auto"/>
          <w:sz w:val="40"/>
          <w:szCs w:val="40"/>
        </w:rPr>
        <w:t>廉政合同</w:t>
      </w:r>
    </w:p>
    <w:p w14:paraId="69BA0D3B">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w:t>
      </w:r>
      <w:r>
        <w:rPr>
          <w:rFonts w:hint="eastAsia" w:asciiTheme="minorEastAsia" w:hAnsiTheme="minorEastAsia" w:eastAsiaTheme="minorEastAsia" w:cstheme="minorEastAsia"/>
          <w:color w:val="auto"/>
          <w:sz w:val="24"/>
          <w:szCs w:val="24"/>
          <w:lang w:val="en-US" w:eastAsia="zh-CN"/>
        </w:rPr>
        <w:t>采购</w:t>
      </w:r>
      <w:r>
        <w:rPr>
          <w:rFonts w:hint="eastAsia" w:asciiTheme="minorEastAsia" w:hAnsiTheme="minorEastAsia" w:eastAsiaTheme="minorEastAsia" w:cstheme="minorEastAsia"/>
          <w:color w:val="auto"/>
          <w:sz w:val="24"/>
          <w:szCs w:val="24"/>
        </w:rPr>
        <w:t>单位（甲方）：</w:t>
      </w:r>
    </w:p>
    <w:p w14:paraId="6A4A88FA">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项目承担单位（乙方）：</w:t>
      </w:r>
    </w:p>
    <w:p w14:paraId="7B83A1F1">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为加强项目建设中的廉政建设，规范双方的各项活动，防止发生各种谋取不正当利益的违法违纪行为，保护国家、集体和当事人的合法权益，根据国家有关法律法规和廉政建设责任制规定，特订立廉政合同。</w:t>
      </w:r>
    </w:p>
    <w:p w14:paraId="4C549871">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第一条 甲乙双方的责任</w:t>
      </w:r>
    </w:p>
    <w:p w14:paraId="319C4943">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（一）应严格遵守国家关于市场准入和市场活动等有关</w:t>
      </w:r>
      <w:r>
        <w:rPr>
          <w:rFonts w:hint="eastAsia" w:asciiTheme="minorEastAsia" w:hAnsiTheme="minorEastAsia" w:eastAsiaTheme="minorEastAsia" w:cstheme="minorEastAsia"/>
          <w:color w:val="auto"/>
          <w:sz w:val="24"/>
          <w:szCs w:val="24"/>
          <w:lang w:eastAsia="zh-CN"/>
        </w:rPr>
        <w:t>法律法规</w:t>
      </w:r>
      <w:r>
        <w:rPr>
          <w:rFonts w:hint="eastAsia" w:asciiTheme="minorEastAsia" w:hAnsiTheme="minorEastAsia" w:eastAsiaTheme="minorEastAsia" w:cstheme="minorEastAsia"/>
          <w:color w:val="auto"/>
          <w:sz w:val="24"/>
          <w:szCs w:val="24"/>
        </w:rPr>
        <w:t>，相关政策，以及廉政建设的各项规定。</w:t>
      </w:r>
    </w:p>
    <w:p w14:paraId="1DED81D2">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（二）严格执行项目合同文件，自觉按合同办事。</w:t>
      </w:r>
    </w:p>
    <w:p w14:paraId="13D62521">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（三）业务活动必须坚持公开、公平、公正、诚信、透明的原则（除法律法规另有规定者外），不得为获取不正当的利益，损害国家、集体和对方利益，不得违反规章制度。</w:t>
      </w:r>
    </w:p>
    <w:p w14:paraId="2FFA36A8">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（四）发现对方在业务活动中有违规、违纪、违法行为的，应及时提醒对方，情节严重的，应向其上级主管部门或纪检监察、司法等有关机关举报。</w:t>
      </w:r>
    </w:p>
    <w:p w14:paraId="327B3D63">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第二条 甲方的责任</w:t>
      </w:r>
    </w:p>
    <w:p w14:paraId="5902D8E9">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甲方的领导和从事该项目的工作人员，在</w:t>
      </w:r>
      <w:r>
        <w:rPr>
          <w:rFonts w:hint="eastAsia" w:asciiTheme="minorEastAsia" w:hAnsiTheme="minorEastAsia" w:eastAsiaTheme="minorEastAsia" w:cstheme="minorEastAsia"/>
          <w:color w:val="auto"/>
          <w:sz w:val="24"/>
          <w:szCs w:val="24"/>
          <w:lang w:val="en-US" w:eastAsia="zh-CN"/>
        </w:rPr>
        <w:t>项目实施</w:t>
      </w:r>
      <w:r>
        <w:rPr>
          <w:rFonts w:hint="eastAsia" w:asciiTheme="minorEastAsia" w:hAnsiTheme="minorEastAsia" w:eastAsiaTheme="minorEastAsia" w:cstheme="minorEastAsia"/>
          <w:color w:val="auto"/>
          <w:sz w:val="24"/>
          <w:szCs w:val="24"/>
        </w:rPr>
        <w:t>的事前、事中、事后应遵守以下规定：</w:t>
      </w:r>
    </w:p>
    <w:p w14:paraId="60522B1A">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（一）不准向乙方和相关单位索要或接受回扣、礼金、有价证券、贵重物品和好处费、感谢费等。</w:t>
      </w:r>
    </w:p>
    <w:p w14:paraId="7BCECC0F">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（二）不准在乙方和相关单位报销任何应由甲方或个人支付的费用。</w:t>
      </w:r>
    </w:p>
    <w:p w14:paraId="4856C120">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（三）不准要求、暗示或接受乙方和相关单位为个人装修住房、婚丧嫁娶、配偶子女的工作安排以及出国（境）、旅游等提供方便。</w:t>
      </w:r>
    </w:p>
    <w:p w14:paraId="5CEA784A">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（四）不准参加有可能影响公正执行公务的乙方和相关单位的宴请和健身、娱乐等活动。</w:t>
      </w:r>
    </w:p>
    <w:p w14:paraId="1532D80A">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不准向乙方介绍或为配偶、子女、亲属参与同甲方项目合同有关的设备、材料、工程分包、劳务等经济活动。不得以任何理由向乙方和相关单位推荐分包单位和要求乙方购买项目合同规定以外的材料、设备等。</w:t>
      </w:r>
    </w:p>
    <w:p w14:paraId="599E7E11">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第三条 乙方的责任</w:t>
      </w:r>
    </w:p>
    <w:p w14:paraId="35708194">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应与甲方保持正常的业务交往，按照有关法律法规和程序开展业务工作，严格执行有关方针、政策</w:t>
      </w:r>
      <w:r>
        <w:rPr>
          <w:rFonts w:hint="eastAsia" w:asciiTheme="minorEastAsia" w:hAnsiTheme="minorEastAsia" w:eastAsiaTheme="minorEastAsia" w:cstheme="minorEastAsia"/>
          <w:color w:val="auto"/>
          <w:sz w:val="24"/>
          <w:szCs w:val="24"/>
          <w:lang w:val="en-US" w:eastAsia="zh-CN"/>
        </w:rPr>
        <w:t>及</w:t>
      </w:r>
      <w:r>
        <w:rPr>
          <w:rFonts w:hint="eastAsia" w:asciiTheme="minorEastAsia" w:hAnsiTheme="minorEastAsia" w:eastAsiaTheme="minorEastAsia" w:cstheme="minorEastAsia"/>
          <w:color w:val="auto"/>
          <w:sz w:val="24"/>
          <w:szCs w:val="24"/>
        </w:rPr>
        <w:t>标准和规范，并遵守以下规定：</w:t>
      </w:r>
    </w:p>
    <w:p w14:paraId="7A1C3625">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（一）不准以任何理由向甲方及其工作人员索要、接受或赠送礼金、有价证券、贵重物品和回扣、好处费、感谢费等。</w:t>
      </w:r>
    </w:p>
    <w:p w14:paraId="7F57F157">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（二）不准以任何理由为甲方和相关单位报销应由对方或个人支付的费用。</w:t>
      </w:r>
    </w:p>
    <w:p w14:paraId="171E09F7">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（三）不准接受或暗示为甲方、相关单位或个人装修住房、婚丧嫁娶、配偶子女的工作安排以及出国（境）、旅游等提供方便。</w:t>
      </w:r>
    </w:p>
    <w:p w14:paraId="0A420FCE">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（四）不准以任何理由为甲方、相关单位或个人组织有可能影响公正执行公务的宴请、健身、娱乐等活动。</w:t>
      </w:r>
    </w:p>
    <w:p w14:paraId="03F707E8">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第四条 违约责任</w:t>
      </w:r>
    </w:p>
    <w:p w14:paraId="39D48736">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（一）甲方工作人员有违反本合同第一、二条责任行为的，按照管理权限，依据有关法律法规和规定给予党纪、政纪处分或组织处理；涉嫌犯罪的，移交司法机关追究刑事责任。</w:t>
      </w:r>
    </w:p>
    <w:p w14:paraId="538E04FB">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（二）乙方工作人员有违反本合同第一、三条责任行为的，按照管理权限，依据有关法律法规和规定给予党纪、政纪处分或组织处理；涉嫌犯罪的，移交司法机关追究刑事责任。</w:t>
      </w:r>
    </w:p>
    <w:p w14:paraId="2B7E8088">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第五条 本合同作为</w:t>
      </w:r>
      <w:r>
        <w:rPr>
          <w:rFonts w:hint="eastAsia" w:asciiTheme="minorEastAsia" w:hAnsiTheme="minorEastAsia" w:eastAsiaTheme="minorEastAsia" w:cstheme="minorEastAsia"/>
          <w:color w:val="auto"/>
          <w:sz w:val="24"/>
          <w:szCs w:val="24"/>
          <w:lang w:val="en-US" w:eastAsia="zh-CN"/>
        </w:rPr>
        <w:t>项目</w:t>
      </w:r>
      <w:r>
        <w:rPr>
          <w:rFonts w:hint="eastAsia" w:asciiTheme="minorEastAsia" w:hAnsiTheme="minorEastAsia" w:eastAsiaTheme="minorEastAsia" w:cstheme="minorEastAsia"/>
          <w:color w:val="auto"/>
          <w:sz w:val="24"/>
          <w:szCs w:val="24"/>
        </w:rPr>
        <w:t>合同的附件，与</w:t>
      </w:r>
      <w:r>
        <w:rPr>
          <w:rFonts w:hint="eastAsia" w:asciiTheme="minorEastAsia" w:hAnsiTheme="minorEastAsia" w:eastAsiaTheme="minorEastAsia" w:cstheme="minorEastAsia"/>
          <w:color w:val="auto"/>
          <w:sz w:val="24"/>
          <w:szCs w:val="24"/>
          <w:lang w:val="en-US" w:eastAsia="zh-CN"/>
        </w:rPr>
        <w:t>项目</w:t>
      </w:r>
      <w:r>
        <w:rPr>
          <w:rFonts w:hint="eastAsia" w:asciiTheme="minorEastAsia" w:hAnsiTheme="minorEastAsia" w:eastAsiaTheme="minorEastAsia" w:cstheme="minorEastAsia"/>
          <w:color w:val="auto"/>
          <w:sz w:val="24"/>
          <w:szCs w:val="24"/>
        </w:rPr>
        <w:t>合同具有同等法律效力。经双方签署后立即生效。</w:t>
      </w:r>
    </w:p>
    <w:p w14:paraId="0B377033">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第六条 本合同的有效期为双方签署之日起至该项目验收合格时止。</w:t>
      </w:r>
    </w:p>
    <w:p w14:paraId="59898C79">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第七条 本合同</w:t>
      </w:r>
      <w:r>
        <w:rPr>
          <w:rFonts w:hint="eastAsia" w:asciiTheme="minorEastAsia" w:hAnsiTheme="minorEastAsia" w:eastAsiaTheme="minorEastAsia" w:cstheme="minorEastAsia"/>
          <w:color w:val="auto"/>
          <w:sz w:val="24"/>
          <w:szCs w:val="24"/>
          <w:lang w:eastAsia="zh-CN"/>
        </w:rPr>
        <w:t>一式两份</w:t>
      </w:r>
      <w:r>
        <w:rPr>
          <w:rFonts w:hint="eastAsia" w:asciiTheme="minorEastAsia" w:hAnsiTheme="minorEastAsia" w:eastAsiaTheme="minorEastAsia" w:cstheme="minorEastAsia"/>
          <w:color w:val="auto"/>
          <w:sz w:val="24"/>
          <w:szCs w:val="24"/>
        </w:rPr>
        <w:t>，甲乙双方各执一份。</w:t>
      </w:r>
    </w:p>
    <w:p w14:paraId="5CA3BEAD">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 </w:t>
      </w:r>
    </w:p>
    <w:p w14:paraId="3B03C16B">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Theme="minorEastAsia" w:hAnsiTheme="minorEastAsia" w:eastAsiaTheme="minorEastAsia" w:cstheme="minorEastAsia"/>
          <w:color w:val="auto"/>
          <w:sz w:val="24"/>
          <w:szCs w:val="24"/>
          <w:lang w:val="en-US" w:eastAsia="zh-CN"/>
        </w:rPr>
      </w:pPr>
    </w:p>
    <w:p w14:paraId="2609D67D">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甲方单位：（盖章）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乙方单位：（盖章）</w:t>
      </w:r>
    </w:p>
    <w:p w14:paraId="2F998271">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法人或委托人：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法人或委托人：</w:t>
      </w:r>
    </w:p>
    <w:p w14:paraId="4BB27DE2">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地址：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地址：</w:t>
      </w:r>
    </w:p>
    <w:p w14:paraId="2D9201DD">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电话：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电话：</w:t>
      </w:r>
    </w:p>
    <w:p w14:paraId="188B1679">
      <w:pPr>
        <w:pStyle w:val="29"/>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color w:val="auto"/>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Theme="minorEastAsia" w:hAnsiTheme="minorEastAsia" w:eastAsiaTheme="minorEastAsia" w:cstheme="minorEastAsia"/>
          <w:color w:val="auto"/>
          <w:sz w:val="24"/>
          <w:szCs w:val="24"/>
        </w:rPr>
        <w:t xml:space="preserve">年  月  日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年  月  日</w:t>
      </w:r>
    </w:p>
    <w:p w14:paraId="78A9BF00">
      <w:pPr>
        <w:pStyle w:val="15"/>
        <w:rPr>
          <w:color w:val="auto"/>
          <w:highlight w:val="none"/>
        </w:rPr>
      </w:pPr>
    </w:p>
    <w:p w14:paraId="231165AD">
      <w:pPr>
        <w:autoSpaceDE w:val="0"/>
        <w:autoSpaceDN w:val="0"/>
        <w:adjustRightInd w:val="0"/>
        <w:spacing w:before="120" w:after="120" w:line="480" w:lineRule="exact"/>
        <w:ind w:firstLine="1974" w:firstLineChars="705"/>
        <w:rPr>
          <w:rFonts w:ascii="仿宋_GB2312" w:eastAsia="仿宋_GB2312"/>
          <w:color w:val="auto"/>
          <w:kern w:val="0"/>
          <w:sz w:val="28"/>
          <w:szCs w:val="28"/>
          <w:highlight w:val="none"/>
          <w:lang w:val="zh-CN"/>
        </w:rPr>
      </w:pPr>
    </w:p>
    <w:p w14:paraId="6D766F4B">
      <w:pPr>
        <w:spacing w:before="120" w:after="120"/>
        <w:ind w:firstLine="522"/>
        <w:rPr>
          <w:color w:val="auto"/>
          <w:highlight w:val="none"/>
        </w:rPr>
      </w:pPr>
    </w:p>
    <w:p w14:paraId="73987B17">
      <w:pPr>
        <w:spacing w:before="120" w:after="120"/>
        <w:ind w:firstLine="522"/>
        <w:rPr>
          <w:color w:val="auto"/>
          <w:highlight w:val="none"/>
        </w:rPr>
      </w:pPr>
    </w:p>
    <w:p w14:paraId="3BB72275">
      <w:pPr>
        <w:spacing w:before="120" w:after="120"/>
        <w:rPr>
          <w:color w:val="auto"/>
          <w:highlight w:val="none"/>
        </w:rPr>
      </w:pPr>
    </w:p>
    <w:p w14:paraId="7BB1BB24">
      <w:pPr>
        <w:spacing w:before="120" w:after="120"/>
        <w:ind w:firstLine="522"/>
        <w:rPr>
          <w:color w:val="auto"/>
          <w:highlight w:val="none"/>
        </w:rPr>
      </w:pPr>
    </w:p>
    <w:p w14:paraId="6C654FB5">
      <w:pPr>
        <w:spacing w:before="120" w:after="120"/>
        <w:ind w:firstLine="522"/>
        <w:rPr>
          <w:color w:val="auto"/>
          <w:highlight w:val="none"/>
        </w:rPr>
      </w:pPr>
    </w:p>
    <w:p w14:paraId="05AFC7DF">
      <w:pPr>
        <w:spacing w:before="120" w:after="120"/>
        <w:ind w:firstLine="522"/>
        <w:rPr>
          <w:color w:val="auto"/>
          <w:highlight w:val="none"/>
        </w:rPr>
      </w:pPr>
    </w:p>
    <w:p w14:paraId="439365E4">
      <w:pPr>
        <w:spacing w:before="120" w:after="120"/>
        <w:ind w:firstLine="522"/>
        <w:rPr>
          <w:color w:val="auto"/>
          <w:highlight w:val="none"/>
        </w:rPr>
      </w:pPr>
    </w:p>
    <w:p w14:paraId="08B8B84B">
      <w:pPr>
        <w:spacing w:before="120" w:after="120"/>
        <w:ind w:firstLine="522"/>
        <w:rPr>
          <w:color w:val="auto"/>
          <w:highlight w:val="none"/>
        </w:rPr>
      </w:pPr>
    </w:p>
    <w:p w14:paraId="3182CE45">
      <w:pPr>
        <w:pStyle w:val="2"/>
        <w:rPr>
          <w:color w:val="auto"/>
          <w:highlight w:val="none"/>
        </w:rPr>
      </w:pPr>
      <w:bookmarkStart w:id="95" w:name="_Toc15316"/>
      <w:r>
        <w:rPr>
          <w:rFonts w:hint="eastAsia"/>
          <w:color w:val="auto"/>
          <w:highlight w:val="none"/>
        </w:rPr>
        <w:t xml:space="preserve">第四章 </w:t>
      </w:r>
      <w:r>
        <w:rPr>
          <w:color w:val="auto"/>
          <w:highlight w:val="none"/>
        </w:rPr>
        <w:t xml:space="preserve"> </w:t>
      </w:r>
      <w:r>
        <w:rPr>
          <w:rFonts w:hint="eastAsia"/>
          <w:color w:val="auto"/>
          <w:highlight w:val="none"/>
        </w:rPr>
        <w:t>投标文件格式</w:t>
      </w:r>
      <w:bookmarkEnd w:id="95"/>
    </w:p>
    <w:p w14:paraId="022FE950">
      <w:pPr>
        <w:spacing w:before="120" w:after="120"/>
        <w:ind w:firstLine="522"/>
        <w:rPr>
          <w:color w:val="auto"/>
          <w:highlight w:val="none"/>
        </w:rPr>
      </w:pPr>
    </w:p>
    <w:p w14:paraId="0316570A">
      <w:pPr>
        <w:spacing w:before="120" w:after="48" w:afterLines="20" w:line="420" w:lineRule="exact"/>
        <w:ind w:firstLine="520" w:firstLineChars="200"/>
        <w:rPr>
          <w:rFonts w:ascii="宋体" w:hAnsi="宋体"/>
          <w:bCs/>
          <w:color w:val="auto"/>
          <w:spacing w:val="10"/>
          <w:sz w:val="24"/>
          <w:highlight w:val="none"/>
        </w:rPr>
      </w:pPr>
      <w:r>
        <w:rPr>
          <w:rFonts w:hint="eastAsia" w:ascii="宋体" w:hAnsi="宋体"/>
          <w:bCs/>
          <w:color w:val="auto"/>
          <w:spacing w:val="10"/>
          <w:sz w:val="24"/>
          <w:highlight w:val="none"/>
        </w:rPr>
        <w:t>备注：1、本章所制“投标文件格式”为实质性要求，具有强制性，但排序不作为实质性要求；明确“格式不限”的由投标人自行编制。2、本章所制投标文件格式有关表格中的备注栏，由投标人根据自身情况作解释性说明，不作为必填项。</w:t>
      </w:r>
    </w:p>
    <w:p w14:paraId="0B15DE39">
      <w:pPr>
        <w:widowControl/>
        <w:spacing w:before="120" w:after="120"/>
        <w:ind w:firstLine="522"/>
        <w:jc w:val="left"/>
        <w:rPr>
          <w:rFonts w:ascii="宋体" w:hAnsi="宋体"/>
          <w:bCs/>
          <w:color w:val="auto"/>
          <w:spacing w:val="10"/>
          <w:sz w:val="24"/>
          <w:highlight w:val="none"/>
        </w:rPr>
      </w:pPr>
      <w:r>
        <w:rPr>
          <w:rFonts w:ascii="宋体" w:hAnsi="宋体"/>
          <w:bCs/>
          <w:color w:val="auto"/>
          <w:spacing w:val="10"/>
          <w:sz w:val="24"/>
          <w:highlight w:val="none"/>
        </w:rPr>
        <w:br w:type="page"/>
      </w:r>
    </w:p>
    <w:p w14:paraId="60FAF509">
      <w:pPr>
        <w:widowControl/>
        <w:spacing w:before="120" w:after="120"/>
        <w:ind w:firstLine="2409" w:firstLineChars="500"/>
        <w:jc w:val="left"/>
        <w:rPr>
          <w:rFonts w:ascii="宋体" w:hAnsi="宋体"/>
          <w:b/>
          <w:bCs/>
          <w:color w:val="auto"/>
          <w:sz w:val="48"/>
          <w:highlight w:val="none"/>
        </w:rPr>
      </w:pPr>
    </w:p>
    <w:p w14:paraId="169745AA">
      <w:pPr>
        <w:widowControl/>
        <w:spacing w:before="120" w:after="120"/>
        <w:ind w:firstLine="2409" w:firstLineChars="500"/>
        <w:jc w:val="left"/>
        <w:rPr>
          <w:rFonts w:ascii="宋体" w:hAnsi="宋体"/>
          <w:b/>
          <w:bCs/>
          <w:color w:val="auto"/>
          <w:sz w:val="48"/>
          <w:highlight w:val="none"/>
        </w:rPr>
      </w:pPr>
    </w:p>
    <w:p w14:paraId="44584188">
      <w:pPr>
        <w:widowControl/>
        <w:spacing w:before="120" w:after="120"/>
        <w:ind w:firstLine="2409" w:firstLineChars="500"/>
        <w:jc w:val="left"/>
        <w:rPr>
          <w:rFonts w:ascii="宋体" w:hAnsi="宋体"/>
          <w:b/>
          <w:bCs/>
          <w:color w:val="auto"/>
          <w:sz w:val="48"/>
          <w:highlight w:val="none"/>
        </w:rPr>
      </w:pPr>
    </w:p>
    <w:p w14:paraId="08D6CFC8">
      <w:pPr>
        <w:widowControl/>
        <w:spacing w:before="120" w:after="120"/>
        <w:ind w:firstLine="2409" w:firstLineChars="500"/>
        <w:jc w:val="left"/>
        <w:rPr>
          <w:rFonts w:ascii="宋体" w:hAnsi="宋体"/>
          <w:b/>
          <w:bCs/>
          <w:color w:val="auto"/>
          <w:sz w:val="48"/>
          <w:highlight w:val="none"/>
        </w:rPr>
      </w:pPr>
    </w:p>
    <w:p w14:paraId="33EDE92C">
      <w:pPr>
        <w:widowControl/>
        <w:spacing w:before="120" w:after="120"/>
        <w:ind w:firstLine="2409" w:firstLineChars="500"/>
        <w:jc w:val="left"/>
        <w:rPr>
          <w:rFonts w:ascii="宋体" w:hAnsi="宋体"/>
          <w:b/>
          <w:bCs/>
          <w:color w:val="auto"/>
          <w:sz w:val="48"/>
          <w:highlight w:val="none"/>
        </w:rPr>
      </w:pPr>
    </w:p>
    <w:p w14:paraId="49171BB2">
      <w:pPr>
        <w:widowControl/>
        <w:spacing w:before="120" w:after="120"/>
        <w:ind w:firstLine="2409" w:firstLineChars="500"/>
        <w:jc w:val="left"/>
        <w:rPr>
          <w:rFonts w:ascii="宋体" w:hAnsi="宋体"/>
          <w:b/>
          <w:bCs/>
          <w:color w:val="auto"/>
          <w:sz w:val="48"/>
          <w:highlight w:val="none"/>
        </w:rPr>
      </w:pPr>
    </w:p>
    <w:p w14:paraId="168E45EC">
      <w:pPr>
        <w:widowControl/>
        <w:spacing w:before="120" w:after="120"/>
        <w:jc w:val="left"/>
        <w:rPr>
          <w:rFonts w:ascii="宋体" w:hAnsi="宋体"/>
          <w:b/>
          <w:bCs/>
          <w:color w:val="auto"/>
          <w:sz w:val="48"/>
          <w:highlight w:val="none"/>
        </w:rPr>
      </w:pPr>
    </w:p>
    <w:p w14:paraId="6B1D226F">
      <w:pPr>
        <w:widowControl/>
        <w:spacing w:before="120" w:after="120"/>
        <w:ind w:firstLine="2409" w:firstLineChars="500"/>
        <w:jc w:val="left"/>
        <w:rPr>
          <w:rFonts w:ascii="宋体" w:hAnsi="宋体"/>
          <w:b/>
          <w:bCs/>
          <w:color w:val="auto"/>
          <w:sz w:val="48"/>
          <w:highlight w:val="none"/>
        </w:rPr>
      </w:pPr>
    </w:p>
    <w:p w14:paraId="57BEE2E6">
      <w:pPr>
        <w:pStyle w:val="2"/>
        <w:rPr>
          <w:color w:val="auto"/>
          <w:highlight w:val="none"/>
        </w:rPr>
        <w:sectPr>
          <w:headerReference r:id="rId8" w:type="default"/>
          <w:footerReference r:id="rId9" w:type="even"/>
          <w:pgSz w:w="11906" w:h="16838"/>
          <w:pgMar w:top="1418" w:right="1247" w:bottom="1304" w:left="1361" w:header="851" w:footer="851" w:gutter="0"/>
          <w:pgBorders>
            <w:top w:val="none" w:sz="0" w:space="0"/>
            <w:left w:val="none" w:sz="0" w:space="0"/>
            <w:bottom w:val="none" w:sz="0" w:space="0"/>
            <w:right w:val="none" w:sz="0" w:space="0"/>
          </w:pgBorders>
          <w:cols w:space="720" w:num="1"/>
          <w:docGrid w:linePitch="312" w:charSpace="0"/>
        </w:sectPr>
      </w:pPr>
      <w:bookmarkStart w:id="96" w:name="_Toc23272"/>
      <w:r>
        <w:rPr>
          <w:rFonts w:hint="eastAsia"/>
          <w:color w:val="auto"/>
          <w:highlight w:val="none"/>
        </w:rPr>
        <w:t>一、资格审查部分</w:t>
      </w:r>
      <w:bookmarkEnd w:id="96"/>
    </w:p>
    <w:p w14:paraId="54CE0C5F">
      <w:pPr>
        <w:pStyle w:val="3"/>
        <w:rPr>
          <w:color w:val="auto"/>
          <w:highlight w:val="none"/>
        </w:rPr>
      </w:pPr>
      <w:bookmarkStart w:id="97" w:name="_Toc614"/>
      <w:bookmarkStart w:id="98" w:name="_Toc327178025"/>
      <w:bookmarkStart w:id="99" w:name="_Toc326740417"/>
      <w:bookmarkStart w:id="100" w:name="_Toc376964464"/>
      <w:bookmarkStart w:id="101" w:name="_Toc29181"/>
      <w:bookmarkStart w:id="102" w:name="_Toc19192"/>
      <w:bookmarkStart w:id="103" w:name="_Toc472594292"/>
      <w:bookmarkStart w:id="104" w:name="_Toc184807585"/>
      <w:r>
        <w:rPr>
          <w:rFonts w:hint="eastAsia"/>
          <w:color w:val="auto"/>
          <w:highlight w:val="none"/>
        </w:rPr>
        <w:t>投标文件封面格式</w:t>
      </w:r>
      <w:bookmarkEnd w:id="97"/>
    </w:p>
    <w:p w14:paraId="002E1579">
      <w:pPr>
        <w:ind w:firstLine="840"/>
        <w:jc w:val="center"/>
        <w:rPr>
          <w:rFonts w:ascii="宋体" w:hAnsi="宋体"/>
          <w:b/>
          <w:bCs/>
          <w:color w:val="auto"/>
          <w:sz w:val="40"/>
          <w:szCs w:val="48"/>
          <w:highlight w:val="none"/>
        </w:rPr>
      </w:pPr>
    </w:p>
    <w:p w14:paraId="3C94DBD7">
      <w:pPr>
        <w:spacing w:line="360" w:lineRule="auto"/>
        <w:jc w:val="center"/>
        <w:rPr>
          <w:rFonts w:hint="eastAsia" w:ascii="宋体" w:hAnsi="宋体" w:eastAsia="宋体"/>
          <w:b/>
          <w:bCs/>
          <w:color w:val="auto"/>
          <w:sz w:val="44"/>
          <w:szCs w:val="48"/>
          <w:highlight w:val="none"/>
          <w:lang w:eastAsia="zh-CN"/>
        </w:rPr>
      </w:pPr>
      <w:r>
        <w:rPr>
          <w:rFonts w:hint="eastAsia" w:ascii="宋体" w:hAnsi="宋体"/>
          <w:b/>
          <w:bCs/>
          <w:color w:val="auto"/>
          <w:sz w:val="44"/>
          <w:szCs w:val="48"/>
          <w:highlight w:val="none"/>
          <w:lang w:eastAsia="zh-CN"/>
        </w:rPr>
        <w:t>天敌昆虫资源及产品转化平台建设项目采购一批天敌昆虫扩繁设备</w:t>
      </w:r>
    </w:p>
    <w:p w14:paraId="1114E668">
      <w:pPr>
        <w:spacing w:before="165" w:after="165" w:line="400" w:lineRule="atLeast"/>
        <w:ind w:firstLine="3035" w:firstLineChars="1084"/>
        <w:jc w:val="both"/>
        <w:rPr>
          <w:rFonts w:ascii="宋体" w:hAnsi="宋体"/>
          <w:b/>
          <w:bCs/>
          <w:color w:val="auto"/>
          <w:sz w:val="28"/>
          <w:highlight w:val="none"/>
        </w:rPr>
      </w:pPr>
      <w:r>
        <w:rPr>
          <w:rFonts w:hint="eastAsia" w:ascii="宋体" w:hAnsi="宋体"/>
          <w:b/>
          <w:bCs/>
          <w:color w:val="auto"/>
          <w:sz w:val="28"/>
          <w:highlight w:val="none"/>
        </w:rPr>
        <w:t>（招标编号：</w:t>
      </w:r>
      <w:r>
        <w:rPr>
          <w:rFonts w:hint="eastAsia" w:ascii="宋体" w:hAnsi="宋体"/>
          <w:b/>
          <w:bCs/>
          <w:color w:val="auto"/>
          <w:sz w:val="28"/>
          <w:highlight w:val="none"/>
          <w:lang w:eastAsia="zh-CN"/>
        </w:rPr>
        <w:t>ZG-2026087</w:t>
      </w:r>
      <w:r>
        <w:rPr>
          <w:rFonts w:hint="eastAsia" w:ascii="宋体" w:hAnsi="宋体"/>
          <w:b/>
          <w:bCs/>
          <w:color w:val="auto"/>
          <w:sz w:val="28"/>
          <w:highlight w:val="none"/>
        </w:rPr>
        <w:t>）</w:t>
      </w:r>
    </w:p>
    <w:p w14:paraId="2E360499">
      <w:pPr>
        <w:pStyle w:val="31"/>
        <w:ind w:firstLine="763"/>
        <w:rPr>
          <w:rFonts w:ascii="宋体"/>
          <w:b/>
          <w:bCs/>
          <w:color w:val="auto"/>
          <w:sz w:val="36"/>
          <w:szCs w:val="42"/>
          <w:highlight w:val="none"/>
        </w:rPr>
      </w:pPr>
    </w:p>
    <w:p w14:paraId="54081D3C">
      <w:pPr>
        <w:pStyle w:val="31"/>
        <w:ind w:firstLine="763"/>
        <w:rPr>
          <w:rFonts w:ascii="宋体"/>
          <w:b/>
          <w:bCs/>
          <w:color w:val="auto"/>
          <w:sz w:val="36"/>
          <w:szCs w:val="42"/>
          <w:highlight w:val="none"/>
        </w:rPr>
      </w:pPr>
    </w:p>
    <w:p w14:paraId="59C54155">
      <w:pPr>
        <w:pStyle w:val="31"/>
        <w:ind w:firstLine="763"/>
        <w:rPr>
          <w:rFonts w:ascii="宋体"/>
          <w:b/>
          <w:bCs/>
          <w:color w:val="auto"/>
          <w:sz w:val="36"/>
          <w:szCs w:val="42"/>
          <w:highlight w:val="none"/>
        </w:rPr>
      </w:pPr>
    </w:p>
    <w:p w14:paraId="3AF7B2D2">
      <w:pPr>
        <w:spacing w:before="165" w:after="165" w:line="400" w:lineRule="atLeast"/>
        <w:ind w:firstLine="522"/>
        <w:jc w:val="center"/>
        <w:rPr>
          <w:rFonts w:ascii="宋体" w:hAnsi="宋体"/>
          <w:color w:val="auto"/>
          <w:sz w:val="24"/>
          <w:highlight w:val="none"/>
        </w:rPr>
      </w:pPr>
    </w:p>
    <w:p w14:paraId="3D5A4145">
      <w:pPr>
        <w:spacing w:before="165" w:after="165" w:line="400" w:lineRule="atLeast"/>
        <w:rPr>
          <w:rFonts w:ascii="宋体" w:hAnsi="宋体"/>
          <w:color w:val="auto"/>
          <w:sz w:val="24"/>
          <w:highlight w:val="none"/>
        </w:rPr>
      </w:pPr>
    </w:p>
    <w:p w14:paraId="211B449C">
      <w:pPr>
        <w:spacing w:before="165" w:after="165" w:line="400" w:lineRule="atLeast"/>
        <w:ind w:firstLine="2520" w:firstLineChars="300"/>
        <w:rPr>
          <w:rFonts w:ascii="宋体" w:hAnsi="宋体"/>
          <w:b/>
          <w:color w:val="auto"/>
          <w:sz w:val="84"/>
          <w:szCs w:val="102"/>
          <w:highlight w:val="none"/>
        </w:rPr>
      </w:pPr>
      <w:r>
        <w:rPr>
          <w:rFonts w:hint="eastAsia" w:ascii="宋体" w:hAnsi="宋体"/>
          <w:b/>
          <w:color w:val="auto"/>
          <w:sz w:val="84"/>
          <w:szCs w:val="102"/>
          <w:highlight w:val="none"/>
        </w:rPr>
        <w:t>投 标 文 件</w:t>
      </w:r>
    </w:p>
    <w:p w14:paraId="2AEC41F4">
      <w:pPr>
        <w:spacing w:before="165" w:after="165" w:line="400" w:lineRule="atLeast"/>
        <w:ind w:firstLine="520"/>
        <w:jc w:val="center"/>
        <w:rPr>
          <w:rFonts w:ascii="宋体" w:hAnsi="宋体"/>
          <w:b/>
          <w:color w:val="auto"/>
          <w:highlight w:val="none"/>
        </w:rPr>
      </w:pPr>
    </w:p>
    <w:p w14:paraId="6D1E9C3D">
      <w:pPr>
        <w:spacing w:before="165" w:after="165" w:line="400" w:lineRule="atLeast"/>
        <w:ind w:firstLine="520"/>
        <w:jc w:val="center"/>
        <w:rPr>
          <w:rFonts w:ascii="宋体" w:hAnsi="宋体"/>
          <w:b/>
          <w:color w:val="auto"/>
          <w:highlight w:val="none"/>
        </w:rPr>
      </w:pPr>
    </w:p>
    <w:p w14:paraId="4FCED615">
      <w:pPr>
        <w:spacing w:before="165" w:after="165" w:line="400" w:lineRule="atLeast"/>
        <w:ind w:firstLine="520"/>
        <w:rPr>
          <w:rFonts w:ascii="宋体" w:hAnsi="宋体"/>
          <w:b/>
          <w:color w:val="auto"/>
          <w:highlight w:val="none"/>
        </w:rPr>
      </w:pPr>
    </w:p>
    <w:p w14:paraId="513C3E51">
      <w:pPr>
        <w:spacing w:line="580" w:lineRule="atLeast"/>
        <w:ind w:firstLine="900" w:firstLineChars="300"/>
        <w:rPr>
          <w:rFonts w:ascii="宋体" w:hAnsi="宋体"/>
          <w:b/>
          <w:bCs/>
          <w:color w:val="auto"/>
          <w:sz w:val="30"/>
          <w:highlight w:val="none"/>
          <w:u w:val="single"/>
        </w:rPr>
      </w:pPr>
      <w:r>
        <w:rPr>
          <w:rFonts w:hint="eastAsia" w:ascii="宋体" w:hAnsi="宋体"/>
          <w:b/>
          <w:bCs/>
          <w:color w:val="auto"/>
          <w:sz w:val="30"/>
          <w:highlight w:val="none"/>
        </w:rPr>
        <w:t>投标人全称</w:t>
      </w:r>
      <w:r>
        <w:rPr>
          <w:rFonts w:hint="eastAsia" w:ascii="宋体" w:hAnsi="宋体"/>
          <w:b/>
          <w:bCs/>
          <w:color w:val="auto"/>
          <w:sz w:val="30"/>
          <w:highlight w:val="none"/>
          <w:lang w:eastAsia="zh-CN"/>
        </w:rPr>
        <w:t>（</w:t>
      </w:r>
      <w:r>
        <w:rPr>
          <w:rFonts w:hint="eastAsia" w:ascii="宋体" w:hAnsi="宋体"/>
          <w:b/>
          <w:bCs/>
          <w:color w:val="auto"/>
          <w:sz w:val="30"/>
          <w:highlight w:val="none"/>
        </w:rPr>
        <w:t>电子签章</w:t>
      </w:r>
      <w:r>
        <w:rPr>
          <w:rFonts w:hint="eastAsia" w:ascii="宋体" w:hAnsi="宋体"/>
          <w:b/>
          <w:bCs/>
          <w:color w:val="auto"/>
          <w:sz w:val="30"/>
          <w:highlight w:val="none"/>
          <w:lang w:eastAsia="zh-CN"/>
        </w:rPr>
        <w:t>）</w:t>
      </w:r>
      <w:r>
        <w:rPr>
          <w:rFonts w:hint="eastAsia" w:ascii="宋体" w:hAnsi="宋体"/>
          <w:b/>
          <w:bCs/>
          <w:color w:val="auto"/>
          <w:sz w:val="30"/>
          <w:highlight w:val="none"/>
        </w:rPr>
        <w:t>：</w:t>
      </w:r>
      <w:r>
        <w:rPr>
          <w:rFonts w:hint="eastAsia" w:ascii="宋体" w:hAnsi="宋体"/>
          <w:b/>
          <w:bCs/>
          <w:color w:val="auto"/>
          <w:sz w:val="30"/>
          <w:highlight w:val="none"/>
          <w:u w:val="single"/>
        </w:rPr>
        <w:t xml:space="preserve">                           </w:t>
      </w:r>
    </w:p>
    <w:p w14:paraId="07560A2E">
      <w:pPr>
        <w:spacing w:line="580" w:lineRule="atLeast"/>
        <w:ind w:firstLine="900" w:firstLineChars="300"/>
        <w:rPr>
          <w:rFonts w:ascii="宋体" w:hAnsi="宋体"/>
          <w:b/>
          <w:bCs/>
          <w:color w:val="auto"/>
          <w:sz w:val="30"/>
          <w:highlight w:val="none"/>
          <w:u w:val="single"/>
        </w:rPr>
      </w:pPr>
      <w:r>
        <w:rPr>
          <w:rFonts w:hint="eastAsia" w:ascii="宋体" w:hAnsi="宋体"/>
          <w:b/>
          <w:bCs/>
          <w:color w:val="auto"/>
          <w:sz w:val="30"/>
          <w:highlight w:val="none"/>
          <w:u w:val="single"/>
        </w:rPr>
        <w:t>法 定 代 表 人</w:t>
      </w:r>
    </w:p>
    <w:p w14:paraId="2465B038">
      <w:pPr>
        <w:spacing w:line="580" w:lineRule="atLeast"/>
        <w:ind w:firstLine="900" w:firstLineChars="300"/>
        <w:rPr>
          <w:rFonts w:ascii="宋体" w:hAnsi="宋体"/>
          <w:b/>
          <w:bCs/>
          <w:color w:val="auto"/>
          <w:sz w:val="30"/>
          <w:highlight w:val="none"/>
          <w:u w:val="single"/>
        </w:rPr>
      </w:pPr>
      <w:r>
        <w:rPr>
          <w:rFonts w:hint="eastAsia" w:ascii="宋体" w:hAnsi="宋体"/>
          <w:b/>
          <w:bCs/>
          <w:color w:val="auto"/>
          <w:sz w:val="30"/>
          <w:highlight w:val="none"/>
          <w:u w:val="single"/>
        </w:rPr>
        <w:t xml:space="preserve">或其委托代理人（电子签章）：                    </w:t>
      </w:r>
      <w:r>
        <w:rPr>
          <w:rFonts w:ascii="宋体" w:hAnsi="宋体"/>
          <w:b/>
          <w:bCs/>
          <w:color w:val="auto"/>
          <w:sz w:val="30"/>
          <w:highlight w:val="none"/>
          <w:u w:val="single"/>
        </w:rPr>
        <w:t xml:space="preserve">  </w:t>
      </w:r>
    </w:p>
    <w:p w14:paraId="13870F61">
      <w:pPr>
        <w:spacing w:line="580" w:lineRule="atLeast"/>
        <w:ind w:firstLine="900" w:firstLineChars="300"/>
        <w:rPr>
          <w:rFonts w:ascii="宋体" w:hAnsi="宋体"/>
          <w:b/>
          <w:bCs/>
          <w:color w:val="auto"/>
          <w:sz w:val="30"/>
          <w:highlight w:val="none"/>
          <w:u w:val="single"/>
        </w:rPr>
      </w:pPr>
      <w:r>
        <w:rPr>
          <w:rFonts w:hint="eastAsia" w:ascii="宋体" w:hAnsi="宋体"/>
          <w:b/>
          <w:bCs/>
          <w:color w:val="auto"/>
          <w:sz w:val="30"/>
          <w:highlight w:val="none"/>
        </w:rPr>
        <w:t>地  址：</w:t>
      </w:r>
      <w:r>
        <w:rPr>
          <w:rFonts w:hint="eastAsia" w:ascii="宋体" w:hAnsi="宋体"/>
          <w:b/>
          <w:bCs/>
          <w:color w:val="auto"/>
          <w:sz w:val="30"/>
          <w:highlight w:val="none"/>
          <w:u w:val="single"/>
        </w:rPr>
        <w:t xml:space="preserve">                                         </w:t>
      </w:r>
    </w:p>
    <w:p w14:paraId="71E906E3">
      <w:pPr>
        <w:spacing w:line="580" w:lineRule="atLeast"/>
        <w:ind w:firstLine="900" w:firstLineChars="300"/>
        <w:rPr>
          <w:rFonts w:ascii="宋体" w:hAnsi="宋体"/>
          <w:b/>
          <w:bCs/>
          <w:color w:val="auto"/>
          <w:sz w:val="30"/>
          <w:highlight w:val="none"/>
          <w:u w:val="single"/>
        </w:rPr>
      </w:pPr>
      <w:r>
        <w:rPr>
          <w:rFonts w:hint="eastAsia" w:ascii="宋体" w:hAnsi="宋体"/>
          <w:b/>
          <w:bCs/>
          <w:color w:val="auto"/>
          <w:sz w:val="30"/>
          <w:highlight w:val="none"/>
        </w:rPr>
        <w:t>联系人：</w:t>
      </w:r>
      <w:r>
        <w:rPr>
          <w:rFonts w:hint="eastAsia" w:ascii="宋体" w:hAnsi="宋体"/>
          <w:b/>
          <w:bCs/>
          <w:color w:val="auto"/>
          <w:sz w:val="30"/>
          <w:highlight w:val="none"/>
          <w:u w:val="single"/>
        </w:rPr>
        <w:t xml:space="preserve">              </w:t>
      </w:r>
      <w:r>
        <w:rPr>
          <w:rFonts w:hint="eastAsia" w:ascii="宋体" w:hAnsi="宋体"/>
          <w:b/>
          <w:bCs/>
          <w:color w:val="auto"/>
          <w:sz w:val="30"/>
          <w:highlight w:val="none"/>
        </w:rPr>
        <w:t xml:space="preserve"> 联系电话：</w:t>
      </w:r>
      <w:r>
        <w:rPr>
          <w:rFonts w:hint="eastAsia" w:ascii="宋体" w:hAnsi="宋体"/>
          <w:b/>
          <w:bCs/>
          <w:color w:val="auto"/>
          <w:sz w:val="30"/>
          <w:highlight w:val="none"/>
          <w:u w:val="single"/>
        </w:rPr>
        <w:t xml:space="preserve">                </w:t>
      </w:r>
    </w:p>
    <w:p w14:paraId="6CD157C3">
      <w:pPr>
        <w:spacing w:line="580" w:lineRule="atLeast"/>
        <w:ind w:firstLine="900" w:firstLineChars="300"/>
        <w:rPr>
          <w:rFonts w:ascii="宋体" w:hAnsi="宋体"/>
          <w:b/>
          <w:bCs/>
          <w:color w:val="auto"/>
          <w:sz w:val="30"/>
          <w:highlight w:val="none"/>
          <w:u w:val="single"/>
        </w:rPr>
      </w:pPr>
      <w:r>
        <w:rPr>
          <w:rFonts w:hint="eastAsia" w:ascii="宋体" w:hAnsi="宋体"/>
          <w:b/>
          <w:bCs/>
          <w:color w:val="auto"/>
          <w:sz w:val="30"/>
          <w:highlight w:val="none"/>
        </w:rPr>
        <w:t>日  期：</w:t>
      </w:r>
      <w:r>
        <w:rPr>
          <w:rFonts w:hint="eastAsia" w:ascii="宋体" w:hAnsi="宋体"/>
          <w:b/>
          <w:bCs/>
          <w:color w:val="auto"/>
          <w:sz w:val="30"/>
          <w:highlight w:val="none"/>
          <w:u w:val="single"/>
        </w:rPr>
        <w:t xml:space="preserve">                                         </w:t>
      </w:r>
    </w:p>
    <w:p w14:paraId="2331FEC2">
      <w:pPr>
        <w:pStyle w:val="31"/>
        <w:ind w:firstLine="520"/>
        <w:rPr>
          <w:color w:val="auto"/>
          <w:highlight w:val="none"/>
        </w:rPr>
      </w:pPr>
      <w:r>
        <w:rPr>
          <w:rFonts w:hint="eastAsia"/>
          <w:color w:val="auto"/>
          <w:highlight w:val="none"/>
        </w:rPr>
        <w:br w:type="page"/>
      </w:r>
    </w:p>
    <w:p w14:paraId="2EE98ED4">
      <w:pPr>
        <w:widowControl/>
        <w:jc w:val="center"/>
        <w:rPr>
          <w:color w:val="auto"/>
          <w:sz w:val="23"/>
          <w:highlight w:val="none"/>
        </w:rPr>
      </w:pPr>
    </w:p>
    <w:p w14:paraId="2CDF56E7">
      <w:pPr>
        <w:widowControl/>
        <w:jc w:val="left"/>
        <w:rPr>
          <w:color w:val="auto"/>
          <w:highlight w:val="none"/>
        </w:rPr>
      </w:pPr>
    </w:p>
    <w:p w14:paraId="6EE0AFEE">
      <w:pPr>
        <w:pStyle w:val="3"/>
        <w:rPr>
          <w:color w:val="auto"/>
          <w:highlight w:val="none"/>
        </w:rPr>
      </w:pPr>
      <w:bookmarkStart w:id="105" w:name="_Toc27376"/>
      <w:r>
        <w:rPr>
          <w:rFonts w:hint="eastAsia"/>
          <w:color w:val="auto"/>
          <w:highlight w:val="none"/>
        </w:rPr>
        <w:t>格式1：</w:t>
      </w:r>
      <w:bookmarkEnd w:id="98"/>
      <w:bookmarkEnd w:id="99"/>
      <w:bookmarkEnd w:id="100"/>
      <w:r>
        <w:rPr>
          <w:rFonts w:hint="eastAsia"/>
          <w:color w:val="auto"/>
          <w:highlight w:val="none"/>
        </w:rPr>
        <w:t>投标人信息表</w:t>
      </w:r>
      <w:bookmarkEnd w:id="101"/>
      <w:bookmarkEnd w:id="102"/>
      <w:bookmarkEnd w:id="103"/>
      <w:bookmarkEnd w:id="105"/>
    </w:p>
    <w:bookmarkEnd w:id="104"/>
    <w:tbl>
      <w:tblPr>
        <w:tblStyle w:val="32"/>
        <w:tblpPr w:leftFromText="180" w:rightFromText="180" w:vertAnchor="page" w:horzAnchor="margin" w:tblpY="278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683"/>
        <w:gridCol w:w="4191"/>
        <w:gridCol w:w="4536"/>
      </w:tblGrid>
      <w:tr w14:paraId="1257AE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9" w:hRule="atLeast"/>
        </w:trPr>
        <w:tc>
          <w:tcPr>
            <w:tcW w:w="363" w:type="pct"/>
            <w:tcBorders>
              <w:top w:val="single" w:color="auto" w:sz="6" w:space="0"/>
              <w:left w:val="single" w:color="auto" w:sz="6" w:space="0"/>
              <w:bottom w:val="single" w:color="auto" w:sz="6" w:space="0"/>
              <w:right w:val="single" w:color="auto" w:sz="6" w:space="0"/>
            </w:tcBorders>
            <w:vAlign w:val="center"/>
          </w:tcPr>
          <w:p w14:paraId="7C410CFD">
            <w:pPr>
              <w:spacing w:line="276" w:lineRule="auto"/>
              <w:ind w:firstLine="240" w:firstLineChars="100"/>
              <w:rPr>
                <w:rFonts w:ascii="宋体" w:hAnsi="宋体"/>
                <w:color w:val="auto"/>
                <w:kern w:val="0"/>
                <w:sz w:val="24"/>
                <w:highlight w:val="none"/>
              </w:rPr>
            </w:pPr>
            <w:bookmarkStart w:id="106" w:name="_Toc150703258"/>
            <w:bookmarkStart w:id="107" w:name="_Toc525998713"/>
            <w:r>
              <w:rPr>
                <w:rFonts w:hint="eastAsia" w:ascii="宋体" w:hAnsi="宋体"/>
                <w:color w:val="auto"/>
                <w:kern w:val="0"/>
                <w:sz w:val="24"/>
                <w:highlight w:val="none"/>
              </w:rPr>
              <w:t>1</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669C3986">
            <w:pPr>
              <w:spacing w:line="276" w:lineRule="auto"/>
              <w:rPr>
                <w:rFonts w:ascii="宋体" w:hAnsi="宋体"/>
                <w:color w:val="auto"/>
                <w:kern w:val="0"/>
                <w:sz w:val="24"/>
                <w:highlight w:val="none"/>
              </w:rPr>
            </w:pPr>
            <w:r>
              <w:rPr>
                <w:rFonts w:hint="eastAsia" w:ascii="宋体" w:hAnsi="宋体"/>
                <w:color w:val="auto"/>
                <w:kern w:val="0"/>
                <w:sz w:val="24"/>
                <w:highlight w:val="none"/>
              </w:rPr>
              <w:t>企业名称：</w:t>
            </w:r>
          </w:p>
        </w:tc>
      </w:tr>
      <w:tr w14:paraId="79FE3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4" w:hRule="atLeast"/>
        </w:trPr>
        <w:tc>
          <w:tcPr>
            <w:tcW w:w="363" w:type="pct"/>
            <w:tcBorders>
              <w:top w:val="single" w:color="auto" w:sz="6" w:space="0"/>
              <w:left w:val="single" w:color="auto" w:sz="6" w:space="0"/>
              <w:bottom w:val="single" w:color="auto" w:sz="6" w:space="0"/>
              <w:right w:val="single" w:color="auto" w:sz="6" w:space="0"/>
            </w:tcBorders>
            <w:vAlign w:val="center"/>
          </w:tcPr>
          <w:p w14:paraId="48BB64E2">
            <w:pPr>
              <w:spacing w:line="276" w:lineRule="auto"/>
              <w:ind w:firstLine="240" w:firstLineChars="100"/>
              <w:rPr>
                <w:rFonts w:ascii="宋体" w:hAnsi="宋体"/>
                <w:color w:val="auto"/>
                <w:kern w:val="0"/>
                <w:sz w:val="24"/>
                <w:highlight w:val="none"/>
              </w:rPr>
            </w:pPr>
            <w:r>
              <w:rPr>
                <w:rFonts w:hint="eastAsia" w:ascii="宋体" w:hAnsi="宋体"/>
                <w:color w:val="auto"/>
                <w:kern w:val="0"/>
                <w:sz w:val="24"/>
                <w:highlight w:val="none"/>
              </w:rPr>
              <w:t>2</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581A09FE">
            <w:pPr>
              <w:spacing w:line="276" w:lineRule="auto"/>
              <w:rPr>
                <w:rFonts w:ascii="宋体" w:hAnsi="宋体"/>
                <w:color w:val="auto"/>
                <w:kern w:val="0"/>
                <w:sz w:val="24"/>
                <w:highlight w:val="none"/>
              </w:rPr>
            </w:pPr>
            <w:r>
              <w:rPr>
                <w:rFonts w:hint="eastAsia" w:ascii="宋体" w:hAnsi="宋体"/>
                <w:color w:val="auto"/>
                <w:kern w:val="0"/>
                <w:sz w:val="24"/>
                <w:highlight w:val="none"/>
              </w:rPr>
              <w:t>地址：</w:t>
            </w:r>
          </w:p>
        </w:tc>
      </w:tr>
      <w:tr w14:paraId="70EF9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0" w:hRule="atLeast"/>
        </w:trPr>
        <w:tc>
          <w:tcPr>
            <w:tcW w:w="363" w:type="pct"/>
            <w:tcBorders>
              <w:top w:val="single" w:color="auto" w:sz="6" w:space="0"/>
              <w:left w:val="single" w:color="auto" w:sz="6" w:space="0"/>
              <w:bottom w:val="single" w:color="auto" w:sz="6" w:space="0"/>
              <w:right w:val="single" w:color="auto" w:sz="6" w:space="0"/>
            </w:tcBorders>
            <w:vAlign w:val="center"/>
          </w:tcPr>
          <w:p w14:paraId="27C118F1">
            <w:pPr>
              <w:spacing w:line="276" w:lineRule="auto"/>
              <w:ind w:firstLine="240" w:firstLineChars="100"/>
              <w:rPr>
                <w:rFonts w:ascii="宋体" w:hAnsi="宋体"/>
                <w:color w:val="auto"/>
                <w:kern w:val="0"/>
                <w:sz w:val="24"/>
                <w:highlight w:val="none"/>
              </w:rPr>
            </w:pPr>
            <w:r>
              <w:rPr>
                <w:rFonts w:hint="eastAsia" w:ascii="宋体" w:hAnsi="宋体"/>
                <w:color w:val="auto"/>
                <w:kern w:val="0"/>
                <w:sz w:val="24"/>
                <w:highlight w:val="none"/>
              </w:rPr>
              <w:t>3</w:t>
            </w:r>
          </w:p>
        </w:tc>
        <w:tc>
          <w:tcPr>
            <w:tcW w:w="2227" w:type="pct"/>
            <w:tcBorders>
              <w:top w:val="single" w:color="auto" w:sz="6" w:space="0"/>
              <w:left w:val="single" w:color="auto" w:sz="6" w:space="0"/>
              <w:bottom w:val="single" w:color="auto" w:sz="6" w:space="0"/>
              <w:right w:val="single" w:color="auto" w:sz="6" w:space="0"/>
            </w:tcBorders>
            <w:vAlign w:val="center"/>
          </w:tcPr>
          <w:p w14:paraId="35E69A1C">
            <w:pPr>
              <w:spacing w:line="276" w:lineRule="auto"/>
              <w:rPr>
                <w:rFonts w:ascii="宋体" w:hAnsi="宋体"/>
                <w:color w:val="auto"/>
                <w:kern w:val="0"/>
                <w:sz w:val="24"/>
                <w:highlight w:val="none"/>
              </w:rPr>
            </w:pPr>
            <w:r>
              <w:rPr>
                <w:rFonts w:hint="eastAsia" w:ascii="宋体" w:hAnsi="宋体"/>
                <w:color w:val="auto"/>
                <w:kern w:val="0"/>
                <w:sz w:val="24"/>
                <w:highlight w:val="none"/>
              </w:rPr>
              <w:t>联系人：</w:t>
            </w:r>
          </w:p>
        </w:tc>
        <w:tc>
          <w:tcPr>
            <w:tcW w:w="2410" w:type="pct"/>
            <w:tcBorders>
              <w:top w:val="single" w:color="auto" w:sz="6" w:space="0"/>
              <w:left w:val="single" w:color="auto" w:sz="6" w:space="0"/>
              <w:bottom w:val="single" w:color="auto" w:sz="6" w:space="0"/>
              <w:right w:val="single" w:color="auto" w:sz="6" w:space="0"/>
            </w:tcBorders>
            <w:vAlign w:val="center"/>
          </w:tcPr>
          <w:p w14:paraId="6AB305BA">
            <w:pPr>
              <w:spacing w:line="276" w:lineRule="auto"/>
              <w:ind w:firstLine="522"/>
              <w:rPr>
                <w:rFonts w:ascii="宋体" w:hAnsi="宋体"/>
                <w:color w:val="auto"/>
                <w:kern w:val="0"/>
                <w:sz w:val="24"/>
                <w:highlight w:val="none"/>
              </w:rPr>
            </w:pPr>
            <w:r>
              <w:rPr>
                <w:rFonts w:hint="eastAsia" w:ascii="宋体" w:hAnsi="宋体"/>
                <w:color w:val="auto"/>
                <w:kern w:val="0"/>
                <w:sz w:val="24"/>
                <w:highlight w:val="none"/>
              </w:rPr>
              <w:t>电话：</w:t>
            </w:r>
          </w:p>
        </w:tc>
      </w:tr>
      <w:tr w14:paraId="753F8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77" w:hRule="atLeast"/>
        </w:trPr>
        <w:tc>
          <w:tcPr>
            <w:tcW w:w="363" w:type="pct"/>
            <w:tcBorders>
              <w:top w:val="single" w:color="auto" w:sz="6" w:space="0"/>
              <w:left w:val="single" w:color="auto" w:sz="6" w:space="0"/>
              <w:bottom w:val="single" w:color="auto" w:sz="6" w:space="0"/>
              <w:right w:val="single" w:color="auto" w:sz="6" w:space="0"/>
            </w:tcBorders>
            <w:vAlign w:val="center"/>
          </w:tcPr>
          <w:p w14:paraId="3377CEF8">
            <w:pPr>
              <w:spacing w:line="276" w:lineRule="auto"/>
              <w:ind w:firstLine="240" w:firstLineChars="100"/>
              <w:rPr>
                <w:rFonts w:ascii="宋体" w:hAnsi="宋体"/>
                <w:color w:val="auto"/>
                <w:kern w:val="0"/>
                <w:sz w:val="24"/>
                <w:highlight w:val="none"/>
              </w:rPr>
            </w:pPr>
            <w:r>
              <w:rPr>
                <w:rFonts w:hint="eastAsia" w:ascii="宋体" w:hAnsi="宋体"/>
                <w:color w:val="auto"/>
                <w:kern w:val="0"/>
                <w:sz w:val="24"/>
                <w:highlight w:val="none"/>
              </w:rPr>
              <w:t>4</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164BCE8C">
            <w:pPr>
              <w:spacing w:line="276" w:lineRule="auto"/>
              <w:rPr>
                <w:rFonts w:ascii="宋体" w:hAnsi="宋体"/>
                <w:color w:val="auto"/>
                <w:kern w:val="0"/>
                <w:sz w:val="24"/>
                <w:highlight w:val="none"/>
              </w:rPr>
            </w:pPr>
            <w:r>
              <w:rPr>
                <w:rFonts w:hint="eastAsia" w:ascii="宋体" w:hAnsi="宋体"/>
                <w:color w:val="auto"/>
                <w:kern w:val="0"/>
                <w:sz w:val="24"/>
                <w:highlight w:val="none"/>
              </w:rPr>
              <w:t>电子邮箱：</w:t>
            </w:r>
          </w:p>
        </w:tc>
      </w:tr>
      <w:tr w14:paraId="76A0E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33" w:hRule="atLeast"/>
        </w:trPr>
        <w:tc>
          <w:tcPr>
            <w:tcW w:w="363" w:type="pct"/>
            <w:tcBorders>
              <w:top w:val="single" w:color="auto" w:sz="6" w:space="0"/>
              <w:left w:val="single" w:color="auto" w:sz="6" w:space="0"/>
              <w:bottom w:val="single" w:color="auto" w:sz="6" w:space="0"/>
              <w:right w:val="single" w:color="auto" w:sz="6" w:space="0"/>
            </w:tcBorders>
            <w:vAlign w:val="center"/>
          </w:tcPr>
          <w:p w14:paraId="21CA3D26">
            <w:pPr>
              <w:spacing w:line="276" w:lineRule="auto"/>
              <w:ind w:firstLine="240" w:firstLineChars="100"/>
              <w:rPr>
                <w:rFonts w:ascii="宋体" w:hAnsi="宋体"/>
                <w:color w:val="auto"/>
                <w:kern w:val="0"/>
                <w:sz w:val="24"/>
                <w:highlight w:val="none"/>
              </w:rPr>
            </w:pPr>
            <w:r>
              <w:rPr>
                <w:rFonts w:hint="eastAsia" w:ascii="宋体" w:hAnsi="宋体"/>
                <w:color w:val="auto"/>
                <w:kern w:val="0"/>
                <w:sz w:val="24"/>
                <w:highlight w:val="none"/>
              </w:rPr>
              <w:t>5</w:t>
            </w:r>
          </w:p>
        </w:tc>
        <w:tc>
          <w:tcPr>
            <w:tcW w:w="2227" w:type="pct"/>
            <w:tcBorders>
              <w:top w:val="single" w:color="auto" w:sz="6" w:space="0"/>
              <w:left w:val="single" w:color="auto" w:sz="6" w:space="0"/>
              <w:bottom w:val="single" w:color="auto" w:sz="6" w:space="0"/>
              <w:right w:val="single" w:color="auto" w:sz="6" w:space="0"/>
            </w:tcBorders>
            <w:vAlign w:val="center"/>
          </w:tcPr>
          <w:p w14:paraId="66989685">
            <w:pPr>
              <w:spacing w:line="276" w:lineRule="auto"/>
              <w:rPr>
                <w:rFonts w:ascii="宋体" w:hAnsi="宋体"/>
                <w:color w:val="auto"/>
                <w:kern w:val="0"/>
                <w:sz w:val="24"/>
                <w:highlight w:val="none"/>
              </w:rPr>
            </w:pPr>
            <w:r>
              <w:rPr>
                <w:rFonts w:hint="eastAsia" w:ascii="宋体" w:hAnsi="宋体"/>
                <w:color w:val="auto"/>
                <w:kern w:val="0"/>
                <w:sz w:val="24"/>
                <w:highlight w:val="none"/>
              </w:rPr>
              <w:t>注册地：</w:t>
            </w:r>
          </w:p>
        </w:tc>
        <w:tc>
          <w:tcPr>
            <w:tcW w:w="2410" w:type="pct"/>
            <w:tcBorders>
              <w:top w:val="single" w:color="auto" w:sz="6" w:space="0"/>
              <w:left w:val="single" w:color="auto" w:sz="6" w:space="0"/>
              <w:bottom w:val="single" w:color="auto" w:sz="6" w:space="0"/>
              <w:right w:val="single" w:color="auto" w:sz="6" w:space="0"/>
            </w:tcBorders>
            <w:vAlign w:val="center"/>
          </w:tcPr>
          <w:p w14:paraId="06D3639B">
            <w:pPr>
              <w:spacing w:line="276" w:lineRule="auto"/>
              <w:ind w:firstLine="522"/>
              <w:rPr>
                <w:rFonts w:ascii="宋体" w:hAnsi="宋体"/>
                <w:color w:val="auto"/>
                <w:kern w:val="0"/>
                <w:sz w:val="24"/>
                <w:highlight w:val="none"/>
              </w:rPr>
            </w:pPr>
            <w:r>
              <w:rPr>
                <w:rFonts w:hint="eastAsia" w:ascii="宋体" w:hAnsi="宋体"/>
                <w:color w:val="auto"/>
                <w:kern w:val="0"/>
                <w:sz w:val="24"/>
                <w:highlight w:val="none"/>
              </w:rPr>
              <w:t>注册年份：</w:t>
            </w:r>
          </w:p>
        </w:tc>
      </w:tr>
      <w:tr w14:paraId="79FB0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2" w:hRule="atLeast"/>
        </w:trPr>
        <w:tc>
          <w:tcPr>
            <w:tcW w:w="363" w:type="pct"/>
            <w:tcBorders>
              <w:top w:val="single" w:color="auto" w:sz="6" w:space="0"/>
              <w:left w:val="single" w:color="auto" w:sz="6" w:space="0"/>
              <w:bottom w:val="single" w:color="auto" w:sz="6" w:space="0"/>
              <w:right w:val="single" w:color="auto" w:sz="6" w:space="0"/>
            </w:tcBorders>
            <w:vAlign w:val="center"/>
          </w:tcPr>
          <w:p w14:paraId="1672B950">
            <w:pPr>
              <w:spacing w:line="276" w:lineRule="auto"/>
              <w:ind w:firstLine="240" w:firstLineChars="100"/>
              <w:rPr>
                <w:rFonts w:ascii="宋体" w:hAnsi="宋体"/>
                <w:color w:val="auto"/>
                <w:kern w:val="0"/>
                <w:sz w:val="24"/>
                <w:highlight w:val="none"/>
              </w:rPr>
            </w:pPr>
            <w:r>
              <w:rPr>
                <w:rFonts w:hint="eastAsia" w:ascii="宋体" w:hAnsi="宋体"/>
                <w:color w:val="auto"/>
                <w:kern w:val="0"/>
                <w:sz w:val="24"/>
                <w:highlight w:val="none"/>
              </w:rPr>
              <w:t>6</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4A3BFA38">
            <w:pPr>
              <w:spacing w:line="276" w:lineRule="auto"/>
              <w:rPr>
                <w:rFonts w:ascii="宋体" w:hAnsi="宋体"/>
                <w:color w:val="auto"/>
                <w:kern w:val="0"/>
                <w:sz w:val="24"/>
                <w:highlight w:val="none"/>
              </w:rPr>
            </w:pPr>
            <w:r>
              <w:rPr>
                <w:rFonts w:hint="eastAsia" w:ascii="宋体" w:hAnsi="宋体"/>
                <w:color w:val="auto"/>
                <w:kern w:val="0"/>
                <w:sz w:val="24"/>
                <w:highlight w:val="none"/>
              </w:rPr>
              <w:t xml:space="preserve">公司取得的相关证照：             </w:t>
            </w:r>
          </w:p>
        </w:tc>
      </w:tr>
      <w:tr w14:paraId="60404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24" w:hRule="atLeast"/>
        </w:trPr>
        <w:tc>
          <w:tcPr>
            <w:tcW w:w="363" w:type="pct"/>
            <w:tcBorders>
              <w:top w:val="single" w:color="auto" w:sz="6" w:space="0"/>
              <w:left w:val="single" w:color="auto" w:sz="6" w:space="0"/>
              <w:bottom w:val="single" w:color="auto" w:sz="6" w:space="0"/>
              <w:right w:val="single" w:color="auto" w:sz="6" w:space="0"/>
            </w:tcBorders>
            <w:vAlign w:val="center"/>
          </w:tcPr>
          <w:p w14:paraId="2F32D20D">
            <w:pPr>
              <w:spacing w:line="276" w:lineRule="auto"/>
              <w:ind w:firstLine="240" w:firstLineChars="100"/>
              <w:rPr>
                <w:rFonts w:ascii="宋体" w:hAnsi="宋体"/>
                <w:color w:val="auto"/>
                <w:kern w:val="0"/>
                <w:sz w:val="24"/>
                <w:highlight w:val="none"/>
              </w:rPr>
            </w:pPr>
            <w:r>
              <w:rPr>
                <w:rFonts w:hint="eastAsia" w:ascii="宋体" w:hAnsi="宋体"/>
                <w:color w:val="auto"/>
                <w:kern w:val="0"/>
                <w:sz w:val="24"/>
                <w:highlight w:val="none"/>
              </w:rPr>
              <w:t>7</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4BB0FF55">
            <w:pPr>
              <w:spacing w:line="276" w:lineRule="auto"/>
              <w:rPr>
                <w:rFonts w:ascii="宋体" w:hAnsi="宋体"/>
                <w:color w:val="auto"/>
                <w:kern w:val="0"/>
                <w:sz w:val="24"/>
                <w:highlight w:val="none"/>
              </w:rPr>
            </w:pPr>
            <w:r>
              <w:rPr>
                <w:rFonts w:hint="eastAsia" w:ascii="宋体" w:hAnsi="宋体"/>
                <w:color w:val="auto"/>
                <w:kern w:val="0"/>
                <w:sz w:val="24"/>
                <w:highlight w:val="none"/>
              </w:rPr>
              <w:t>企业人员情况：</w:t>
            </w:r>
          </w:p>
        </w:tc>
      </w:tr>
      <w:tr w14:paraId="36EA9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518" w:hRule="atLeast"/>
        </w:trPr>
        <w:tc>
          <w:tcPr>
            <w:tcW w:w="363" w:type="pct"/>
            <w:tcBorders>
              <w:top w:val="single" w:color="auto" w:sz="6" w:space="0"/>
              <w:left w:val="single" w:color="auto" w:sz="6" w:space="0"/>
              <w:bottom w:val="single" w:color="auto" w:sz="6" w:space="0"/>
              <w:right w:val="single" w:color="auto" w:sz="6" w:space="0"/>
            </w:tcBorders>
            <w:vAlign w:val="center"/>
          </w:tcPr>
          <w:p w14:paraId="1DB359D5">
            <w:pPr>
              <w:spacing w:line="276" w:lineRule="auto"/>
              <w:ind w:firstLine="240" w:firstLineChars="100"/>
              <w:rPr>
                <w:rFonts w:ascii="宋体" w:hAnsi="宋体"/>
                <w:color w:val="auto"/>
                <w:kern w:val="0"/>
                <w:sz w:val="24"/>
                <w:highlight w:val="none"/>
              </w:rPr>
            </w:pPr>
            <w:r>
              <w:rPr>
                <w:rFonts w:hint="eastAsia" w:ascii="宋体" w:hAnsi="宋体"/>
                <w:color w:val="auto"/>
                <w:kern w:val="0"/>
                <w:sz w:val="24"/>
                <w:highlight w:val="none"/>
              </w:rPr>
              <w:t>8</w:t>
            </w:r>
          </w:p>
        </w:tc>
        <w:tc>
          <w:tcPr>
            <w:tcW w:w="4637" w:type="pct"/>
            <w:gridSpan w:val="2"/>
            <w:tcBorders>
              <w:top w:val="single" w:color="auto" w:sz="6" w:space="0"/>
              <w:left w:val="single" w:color="auto" w:sz="6" w:space="0"/>
              <w:bottom w:val="single" w:color="auto" w:sz="6" w:space="0"/>
              <w:right w:val="single" w:color="auto" w:sz="6" w:space="0"/>
            </w:tcBorders>
          </w:tcPr>
          <w:p w14:paraId="3F36DDDF">
            <w:pPr>
              <w:spacing w:line="276" w:lineRule="auto"/>
              <w:rPr>
                <w:rFonts w:ascii="宋体" w:hAnsi="宋体"/>
                <w:color w:val="auto"/>
                <w:kern w:val="0"/>
                <w:sz w:val="24"/>
                <w:highlight w:val="none"/>
              </w:rPr>
            </w:pPr>
            <w:r>
              <w:rPr>
                <w:rFonts w:hint="eastAsia" w:ascii="宋体" w:hAnsi="宋体"/>
                <w:color w:val="auto"/>
                <w:kern w:val="0"/>
                <w:sz w:val="24"/>
                <w:highlight w:val="none"/>
              </w:rPr>
              <w:t>主营范围</w:t>
            </w:r>
            <w:r>
              <w:rPr>
                <w:rFonts w:ascii="宋体" w:hAnsi="宋体"/>
                <w:color w:val="auto"/>
                <w:kern w:val="0"/>
                <w:sz w:val="24"/>
                <w:highlight w:val="none"/>
              </w:rPr>
              <w:t>：</w:t>
            </w:r>
          </w:p>
        </w:tc>
      </w:tr>
      <w:tr w14:paraId="3B052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1" w:hRule="atLeast"/>
        </w:trPr>
        <w:tc>
          <w:tcPr>
            <w:tcW w:w="363" w:type="pct"/>
            <w:tcBorders>
              <w:top w:val="single" w:color="auto" w:sz="6" w:space="0"/>
              <w:left w:val="single" w:color="auto" w:sz="6" w:space="0"/>
              <w:bottom w:val="single" w:color="auto" w:sz="6" w:space="0"/>
              <w:right w:val="single" w:color="auto" w:sz="6" w:space="0"/>
            </w:tcBorders>
            <w:vAlign w:val="center"/>
          </w:tcPr>
          <w:p w14:paraId="60228C6D">
            <w:pPr>
              <w:spacing w:line="276" w:lineRule="auto"/>
              <w:ind w:firstLine="240" w:firstLineChars="100"/>
              <w:rPr>
                <w:rFonts w:ascii="宋体" w:hAnsi="宋体"/>
                <w:color w:val="auto"/>
                <w:kern w:val="0"/>
                <w:sz w:val="24"/>
                <w:highlight w:val="none"/>
              </w:rPr>
            </w:pPr>
            <w:r>
              <w:rPr>
                <w:rFonts w:hint="eastAsia" w:ascii="宋体" w:hAnsi="宋体"/>
                <w:color w:val="auto"/>
                <w:kern w:val="0"/>
                <w:sz w:val="24"/>
                <w:highlight w:val="none"/>
              </w:rPr>
              <w:t>9</w:t>
            </w:r>
          </w:p>
        </w:tc>
        <w:tc>
          <w:tcPr>
            <w:tcW w:w="4637" w:type="pct"/>
            <w:gridSpan w:val="2"/>
            <w:tcBorders>
              <w:top w:val="single" w:color="auto" w:sz="6" w:space="0"/>
              <w:left w:val="single" w:color="auto" w:sz="6" w:space="0"/>
              <w:bottom w:val="single" w:color="auto" w:sz="6" w:space="0"/>
            </w:tcBorders>
            <w:vAlign w:val="center"/>
          </w:tcPr>
          <w:p w14:paraId="2872110F">
            <w:pPr>
              <w:pStyle w:val="86"/>
              <w:widowControl/>
              <w:tabs>
                <w:tab w:val="left" w:pos="420"/>
                <w:tab w:val="clear" w:pos="0"/>
              </w:tabs>
              <w:autoSpaceDE/>
              <w:adjustRightInd/>
              <w:spacing w:line="276" w:lineRule="auto"/>
              <w:rPr>
                <w:rFonts w:ascii="宋体" w:hAnsi="宋体"/>
                <w:color w:val="auto"/>
                <w:sz w:val="24"/>
                <w:szCs w:val="24"/>
                <w:highlight w:val="none"/>
              </w:rPr>
            </w:pPr>
            <w:r>
              <w:rPr>
                <w:rFonts w:hint="eastAsia" w:ascii="宋体" w:hAnsi="宋体"/>
                <w:color w:val="auto"/>
                <w:sz w:val="24"/>
                <w:szCs w:val="24"/>
                <w:highlight w:val="none"/>
              </w:rPr>
              <w:t>其他需要说明的情况：</w:t>
            </w:r>
          </w:p>
        </w:tc>
      </w:tr>
    </w:tbl>
    <w:p w14:paraId="51023D9C">
      <w:pPr>
        <w:shd w:val="clear" w:color="auto" w:fill="FFFFFF"/>
        <w:spacing w:line="420" w:lineRule="exact"/>
        <w:rPr>
          <w:rFonts w:ascii="宋体" w:hAnsi="宋体"/>
          <w:b/>
          <w:color w:val="auto"/>
          <w:spacing w:val="10"/>
          <w:sz w:val="24"/>
          <w:highlight w:val="none"/>
        </w:rPr>
      </w:pPr>
    </w:p>
    <w:p w14:paraId="6A922FB6">
      <w:pPr>
        <w:widowControl/>
        <w:rPr>
          <w:rFonts w:ascii="宋体" w:hAnsi="宋体"/>
          <w:bCs/>
          <w:color w:val="auto"/>
          <w:sz w:val="56"/>
          <w:highlight w:val="none"/>
        </w:rPr>
      </w:pPr>
    </w:p>
    <w:p w14:paraId="053D4E29">
      <w:pPr>
        <w:widowControl/>
        <w:ind w:firstLine="3908" w:firstLineChars="698"/>
        <w:rPr>
          <w:rFonts w:ascii="宋体" w:hAnsi="宋体"/>
          <w:bCs/>
          <w:color w:val="auto"/>
          <w:sz w:val="56"/>
          <w:highlight w:val="none"/>
        </w:rPr>
      </w:pPr>
    </w:p>
    <w:p w14:paraId="1BEC23BC">
      <w:pPr>
        <w:widowControl/>
        <w:ind w:firstLine="3908" w:firstLineChars="698"/>
        <w:rPr>
          <w:rFonts w:ascii="宋体" w:hAnsi="宋体"/>
          <w:bCs/>
          <w:color w:val="auto"/>
          <w:sz w:val="56"/>
          <w:highlight w:val="none"/>
        </w:rPr>
      </w:pPr>
    </w:p>
    <w:p w14:paraId="249D9464">
      <w:pPr>
        <w:pStyle w:val="3"/>
        <w:numPr>
          <w:ilvl w:val="0"/>
          <w:numId w:val="0"/>
        </w:numPr>
        <w:tabs>
          <w:tab w:val="left" w:pos="360"/>
          <w:tab w:val="clear" w:pos="1021"/>
        </w:tabs>
        <w:spacing w:before="0"/>
        <w:jc w:val="center"/>
        <w:rPr>
          <w:rFonts w:hint="eastAsia" w:ascii="宋体" w:hAnsi="宋体" w:eastAsia="宋体" w:cs="宋体"/>
          <w:color w:val="auto"/>
          <w:sz w:val="30"/>
          <w:szCs w:val="28"/>
          <w:highlight w:val="none"/>
        </w:rPr>
      </w:pPr>
      <w:bookmarkStart w:id="108" w:name="_Toc28741"/>
      <w:bookmarkStart w:id="109" w:name="_Toc5321"/>
      <w:bookmarkStart w:id="110" w:name="_Toc3256"/>
      <w:r>
        <w:rPr>
          <w:rFonts w:hint="eastAsia" w:ascii="宋体" w:hAnsi="宋体" w:eastAsia="宋体" w:cs="宋体"/>
          <w:color w:val="auto"/>
          <w:sz w:val="30"/>
          <w:szCs w:val="28"/>
          <w:highlight w:val="none"/>
        </w:rPr>
        <w:t>资格审查相关材料</w:t>
      </w:r>
      <w:bookmarkEnd w:id="108"/>
      <w:bookmarkEnd w:id="109"/>
      <w:bookmarkEnd w:id="110"/>
    </w:p>
    <w:p w14:paraId="6DEFC65E">
      <w:pPr>
        <w:widowControl/>
        <w:ind w:firstLine="1675" w:firstLineChars="698"/>
        <w:rPr>
          <w:rFonts w:hint="eastAsia" w:ascii="宋体" w:hAnsi="宋体" w:eastAsia="宋体" w:cs="宋体"/>
          <w:color w:val="auto"/>
          <w:sz w:val="24"/>
          <w:highlight w:val="none"/>
        </w:rPr>
      </w:pPr>
    </w:p>
    <w:p w14:paraId="46920FAE">
      <w:pPr>
        <w:widowControl/>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（根据招标文件资格审查要求</w:t>
      </w:r>
      <w:r>
        <w:rPr>
          <w:rFonts w:hint="eastAsia" w:ascii="宋体" w:hAnsi="宋体" w:eastAsia="宋体" w:cs="宋体"/>
          <w:color w:val="auto"/>
          <w:sz w:val="24"/>
          <w:highlight w:val="none"/>
          <w:lang w:val="en-US" w:eastAsia="zh-CN"/>
        </w:rPr>
        <w:t>及政采云电子投标文件编制系统要求</w:t>
      </w:r>
      <w:r>
        <w:rPr>
          <w:rFonts w:hint="eastAsia" w:ascii="宋体" w:hAnsi="宋体" w:eastAsia="宋体" w:cs="宋体"/>
          <w:color w:val="auto"/>
          <w:sz w:val="24"/>
          <w:highlight w:val="none"/>
        </w:rPr>
        <w:t>提供相关证明材料，格式自拟）</w:t>
      </w:r>
    </w:p>
    <w:p w14:paraId="573F8921">
      <w:pPr>
        <w:widowControl/>
        <w:ind w:firstLine="3908" w:firstLineChars="698"/>
        <w:rPr>
          <w:rFonts w:ascii="宋体" w:hAnsi="宋体"/>
          <w:bCs/>
          <w:color w:val="auto"/>
          <w:sz w:val="56"/>
          <w:highlight w:val="none"/>
        </w:rPr>
      </w:pPr>
    </w:p>
    <w:p w14:paraId="69535BFD">
      <w:pPr>
        <w:widowControl/>
        <w:ind w:firstLine="3908" w:firstLineChars="698"/>
        <w:rPr>
          <w:rFonts w:ascii="宋体" w:hAnsi="宋体"/>
          <w:bCs/>
          <w:color w:val="auto"/>
          <w:sz w:val="56"/>
          <w:highlight w:val="none"/>
        </w:rPr>
      </w:pPr>
    </w:p>
    <w:p w14:paraId="088571C5">
      <w:pPr>
        <w:pStyle w:val="31"/>
        <w:ind w:firstLine="520"/>
        <w:rPr>
          <w:color w:val="auto"/>
          <w:highlight w:val="none"/>
        </w:rPr>
      </w:pPr>
    </w:p>
    <w:p w14:paraId="4491C8B3">
      <w:pPr>
        <w:pStyle w:val="31"/>
        <w:ind w:firstLine="520"/>
        <w:rPr>
          <w:color w:val="auto"/>
          <w:highlight w:val="none"/>
        </w:rPr>
      </w:pPr>
    </w:p>
    <w:p w14:paraId="0F80203F">
      <w:pPr>
        <w:pStyle w:val="31"/>
        <w:ind w:firstLine="520"/>
        <w:rPr>
          <w:color w:val="auto"/>
          <w:highlight w:val="none"/>
        </w:rPr>
      </w:pPr>
    </w:p>
    <w:p w14:paraId="6EFC11EC">
      <w:pPr>
        <w:rPr>
          <w:color w:val="auto"/>
          <w:highlight w:val="none"/>
        </w:rPr>
      </w:pPr>
      <w:r>
        <w:rPr>
          <w:color w:val="auto"/>
          <w:highlight w:val="none"/>
        </w:rPr>
        <w:br w:type="page"/>
      </w:r>
    </w:p>
    <w:p w14:paraId="0FC7E9C8">
      <w:pPr>
        <w:pStyle w:val="31"/>
        <w:ind w:firstLine="520"/>
        <w:rPr>
          <w:color w:val="auto"/>
          <w:highlight w:val="none"/>
        </w:rPr>
      </w:pPr>
    </w:p>
    <w:p w14:paraId="47F488C1">
      <w:pPr>
        <w:pStyle w:val="31"/>
        <w:ind w:firstLine="520"/>
        <w:rPr>
          <w:color w:val="auto"/>
          <w:highlight w:val="none"/>
        </w:rPr>
      </w:pPr>
    </w:p>
    <w:p w14:paraId="59C9951B">
      <w:pPr>
        <w:pStyle w:val="31"/>
        <w:ind w:firstLine="520"/>
        <w:rPr>
          <w:color w:val="auto"/>
          <w:highlight w:val="none"/>
        </w:rPr>
      </w:pPr>
    </w:p>
    <w:p w14:paraId="066E978D">
      <w:pPr>
        <w:pStyle w:val="31"/>
        <w:ind w:firstLine="520"/>
        <w:rPr>
          <w:color w:val="auto"/>
          <w:highlight w:val="none"/>
        </w:rPr>
      </w:pPr>
    </w:p>
    <w:p w14:paraId="074817BD">
      <w:pPr>
        <w:pStyle w:val="31"/>
        <w:ind w:firstLine="520"/>
        <w:rPr>
          <w:color w:val="auto"/>
          <w:highlight w:val="none"/>
        </w:rPr>
      </w:pPr>
    </w:p>
    <w:p w14:paraId="7A4C5A1C">
      <w:pPr>
        <w:pStyle w:val="31"/>
        <w:ind w:firstLine="520"/>
        <w:rPr>
          <w:color w:val="auto"/>
          <w:highlight w:val="none"/>
        </w:rPr>
      </w:pPr>
    </w:p>
    <w:p w14:paraId="13B41E98">
      <w:pPr>
        <w:pStyle w:val="31"/>
        <w:ind w:firstLine="520"/>
        <w:rPr>
          <w:color w:val="auto"/>
          <w:highlight w:val="none"/>
        </w:rPr>
      </w:pPr>
    </w:p>
    <w:p w14:paraId="20A610EE">
      <w:pPr>
        <w:pStyle w:val="31"/>
        <w:ind w:firstLine="520"/>
        <w:rPr>
          <w:color w:val="auto"/>
          <w:highlight w:val="none"/>
        </w:rPr>
      </w:pPr>
    </w:p>
    <w:p w14:paraId="433E890F">
      <w:pPr>
        <w:pStyle w:val="31"/>
        <w:ind w:firstLine="520"/>
        <w:rPr>
          <w:color w:val="auto"/>
          <w:highlight w:val="none"/>
        </w:rPr>
      </w:pPr>
    </w:p>
    <w:p w14:paraId="5B0EA8E0">
      <w:pPr>
        <w:pStyle w:val="31"/>
        <w:ind w:firstLine="520"/>
        <w:rPr>
          <w:color w:val="auto"/>
          <w:highlight w:val="none"/>
        </w:rPr>
      </w:pPr>
    </w:p>
    <w:p w14:paraId="6B534402">
      <w:pPr>
        <w:pStyle w:val="31"/>
        <w:ind w:firstLine="520"/>
        <w:rPr>
          <w:color w:val="auto"/>
          <w:highlight w:val="none"/>
        </w:rPr>
      </w:pPr>
    </w:p>
    <w:p w14:paraId="3DFCDEAA">
      <w:pPr>
        <w:pStyle w:val="2"/>
        <w:rPr>
          <w:color w:val="auto"/>
          <w:highlight w:val="none"/>
        </w:rPr>
      </w:pPr>
      <w:bookmarkStart w:id="111" w:name="_Toc27613"/>
      <w:r>
        <w:rPr>
          <w:rFonts w:hint="eastAsia"/>
          <w:color w:val="auto"/>
          <w:highlight w:val="none"/>
        </w:rPr>
        <w:t>二、技术部分</w:t>
      </w:r>
      <w:bookmarkEnd w:id="111"/>
    </w:p>
    <w:p w14:paraId="28F6ECDC">
      <w:pPr>
        <w:ind w:firstLine="522"/>
        <w:rPr>
          <w:color w:val="auto"/>
          <w:highlight w:val="none"/>
        </w:rPr>
      </w:pPr>
    </w:p>
    <w:p w14:paraId="23E98A3E">
      <w:pPr>
        <w:ind w:firstLine="522"/>
        <w:rPr>
          <w:color w:val="auto"/>
          <w:highlight w:val="none"/>
        </w:rPr>
      </w:pPr>
    </w:p>
    <w:p w14:paraId="51692997">
      <w:pPr>
        <w:ind w:firstLine="522"/>
        <w:rPr>
          <w:color w:val="auto"/>
          <w:highlight w:val="none"/>
        </w:rPr>
      </w:pPr>
    </w:p>
    <w:p w14:paraId="4A6D611E">
      <w:pPr>
        <w:ind w:firstLine="522"/>
        <w:rPr>
          <w:color w:val="auto"/>
          <w:highlight w:val="none"/>
        </w:rPr>
      </w:pPr>
    </w:p>
    <w:p w14:paraId="61339EE1">
      <w:pPr>
        <w:ind w:firstLine="522"/>
        <w:rPr>
          <w:color w:val="auto"/>
          <w:highlight w:val="none"/>
        </w:rPr>
      </w:pPr>
    </w:p>
    <w:p w14:paraId="1462F58F">
      <w:pPr>
        <w:ind w:firstLine="522"/>
        <w:rPr>
          <w:color w:val="auto"/>
          <w:highlight w:val="none"/>
        </w:rPr>
      </w:pPr>
    </w:p>
    <w:p w14:paraId="33731DEE">
      <w:pPr>
        <w:ind w:firstLine="522"/>
        <w:rPr>
          <w:color w:val="auto"/>
          <w:highlight w:val="none"/>
        </w:rPr>
      </w:pPr>
    </w:p>
    <w:p w14:paraId="62500907">
      <w:pPr>
        <w:ind w:firstLine="522"/>
        <w:rPr>
          <w:color w:val="auto"/>
          <w:highlight w:val="none"/>
        </w:rPr>
      </w:pPr>
    </w:p>
    <w:p w14:paraId="33773C04">
      <w:pPr>
        <w:ind w:firstLine="522"/>
        <w:rPr>
          <w:color w:val="auto"/>
          <w:highlight w:val="none"/>
        </w:rPr>
      </w:pPr>
    </w:p>
    <w:p w14:paraId="00464391">
      <w:pPr>
        <w:ind w:firstLine="522"/>
        <w:rPr>
          <w:color w:val="auto"/>
          <w:highlight w:val="none"/>
        </w:rPr>
      </w:pPr>
    </w:p>
    <w:p w14:paraId="229ACA8C">
      <w:pPr>
        <w:ind w:firstLine="522"/>
        <w:rPr>
          <w:color w:val="auto"/>
          <w:highlight w:val="none"/>
        </w:rPr>
      </w:pPr>
    </w:p>
    <w:p w14:paraId="27593188">
      <w:pPr>
        <w:ind w:firstLine="522"/>
        <w:rPr>
          <w:color w:val="auto"/>
          <w:highlight w:val="none"/>
        </w:rPr>
      </w:pPr>
    </w:p>
    <w:p w14:paraId="23CDFA03">
      <w:pPr>
        <w:ind w:firstLine="522"/>
        <w:rPr>
          <w:color w:val="auto"/>
          <w:highlight w:val="none"/>
        </w:rPr>
      </w:pPr>
    </w:p>
    <w:p w14:paraId="2FFD0322">
      <w:pPr>
        <w:ind w:firstLine="522"/>
        <w:rPr>
          <w:color w:val="auto"/>
          <w:highlight w:val="none"/>
        </w:rPr>
      </w:pPr>
    </w:p>
    <w:p w14:paraId="186DF21E">
      <w:pPr>
        <w:ind w:firstLine="522"/>
        <w:rPr>
          <w:color w:val="auto"/>
          <w:highlight w:val="none"/>
        </w:rPr>
      </w:pPr>
    </w:p>
    <w:p w14:paraId="4CEE164E">
      <w:pPr>
        <w:ind w:firstLine="522"/>
        <w:rPr>
          <w:color w:val="auto"/>
          <w:highlight w:val="none"/>
        </w:rPr>
      </w:pPr>
    </w:p>
    <w:p w14:paraId="64DA8B05">
      <w:pPr>
        <w:ind w:firstLine="522"/>
        <w:rPr>
          <w:color w:val="auto"/>
          <w:highlight w:val="none"/>
        </w:rPr>
      </w:pPr>
    </w:p>
    <w:p w14:paraId="2F14331B">
      <w:pPr>
        <w:ind w:firstLine="522"/>
        <w:rPr>
          <w:color w:val="auto"/>
          <w:highlight w:val="none"/>
        </w:rPr>
      </w:pPr>
    </w:p>
    <w:p w14:paraId="34F9690D">
      <w:pPr>
        <w:ind w:firstLine="522"/>
        <w:rPr>
          <w:color w:val="auto"/>
          <w:highlight w:val="none"/>
        </w:rPr>
      </w:pPr>
    </w:p>
    <w:p w14:paraId="5F3FF42F">
      <w:pPr>
        <w:ind w:firstLine="522"/>
        <w:rPr>
          <w:color w:val="auto"/>
          <w:highlight w:val="none"/>
        </w:rPr>
      </w:pPr>
    </w:p>
    <w:p w14:paraId="33878E76">
      <w:pPr>
        <w:ind w:firstLine="522"/>
        <w:rPr>
          <w:color w:val="auto"/>
          <w:highlight w:val="none"/>
        </w:rPr>
      </w:pPr>
    </w:p>
    <w:p w14:paraId="7271011B">
      <w:pPr>
        <w:rPr>
          <w:color w:val="auto"/>
          <w:highlight w:val="none"/>
        </w:rPr>
      </w:pPr>
      <w:r>
        <w:rPr>
          <w:color w:val="auto"/>
          <w:highlight w:val="none"/>
        </w:rPr>
        <w:br w:type="page"/>
      </w:r>
    </w:p>
    <w:p w14:paraId="1DDE3EF8">
      <w:pPr>
        <w:pStyle w:val="4"/>
        <w:spacing w:line="360" w:lineRule="auto"/>
        <w:rPr>
          <w:rFonts w:hint="eastAsia"/>
          <w:color w:val="auto"/>
          <w:sz w:val="28"/>
          <w:szCs w:val="28"/>
        </w:rPr>
        <w:sectPr>
          <w:headerReference r:id="rId10" w:type="default"/>
          <w:footerReference r:id="rId11" w:type="even"/>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pPr>
      <w:bookmarkStart w:id="112" w:name="_Toc30178"/>
      <w:bookmarkStart w:id="113" w:name="_Toc15554"/>
      <w:bookmarkStart w:id="114" w:name="_Toc28302"/>
      <w:bookmarkStart w:id="115" w:name="_Toc29852"/>
      <w:bookmarkStart w:id="116" w:name="_Toc13856"/>
    </w:p>
    <w:p w14:paraId="292F4679">
      <w:pPr>
        <w:pStyle w:val="3"/>
        <w:tabs>
          <w:tab w:val="left" w:pos="360"/>
          <w:tab w:val="left" w:pos="420"/>
          <w:tab w:val="left" w:pos="900"/>
          <w:tab w:val="left" w:pos="1588"/>
          <w:tab w:val="clear" w:pos="1021"/>
        </w:tabs>
        <w:spacing w:line="360" w:lineRule="auto"/>
        <w:jc w:val="center"/>
        <w:outlineLvl w:val="1"/>
        <w:rPr>
          <w:color w:val="auto"/>
          <w:sz w:val="28"/>
          <w:szCs w:val="28"/>
        </w:rPr>
      </w:pPr>
      <w:bookmarkStart w:id="117" w:name="_Toc15586"/>
      <w:r>
        <w:rPr>
          <w:rFonts w:hint="eastAsia"/>
          <w:color w:val="auto"/>
          <w:sz w:val="28"/>
          <w:szCs w:val="28"/>
        </w:rPr>
        <w:t>格式</w:t>
      </w:r>
      <w:r>
        <w:rPr>
          <w:rFonts w:hint="eastAsia"/>
          <w:color w:val="auto"/>
          <w:sz w:val="28"/>
          <w:szCs w:val="28"/>
          <w:lang w:val="en-US" w:eastAsia="zh-CN"/>
        </w:rPr>
        <w:t>2</w:t>
      </w:r>
      <w:r>
        <w:rPr>
          <w:rFonts w:hint="eastAsia"/>
          <w:color w:val="auto"/>
          <w:sz w:val="28"/>
          <w:szCs w:val="28"/>
          <w:lang w:eastAsia="zh-CN"/>
        </w:rPr>
        <w:t>：</w:t>
      </w:r>
      <w:bookmarkEnd w:id="112"/>
      <w:bookmarkEnd w:id="113"/>
      <w:bookmarkEnd w:id="114"/>
      <w:bookmarkEnd w:id="115"/>
      <w:bookmarkEnd w:id="116"/>
      <w:r>
        <w:rPr>
          <w:rFonts w:hint="eastAsia"/>
          <w:color w:val="auto"/>
          <w:sz w:val="28"/>
          <w:szCs w:val="28"/>
          <w:lang w:val="en-US" w:eastAsia="zh-CN"/>
        </w:rPr>
        <w:t>技术规格响应偏离表</w:t>
      </w:r>
      <w:bookmarkEnd w:id="117"/>
    </w:p>
    <w:p w14:paraId="39407479">
      <w:pPr>
        <w:spacing w:after="66" w:afterLines="20" w:line="420" w:lineRule="exact"/>
        <w:rPr>
          <w:rFonts w:hint="eastAsia" w:ascii="宋体" w:hAnsi="宋体"/>
          <w:color w:val="auto"/>
          <w:spacing w:val="10"/>
          <w:sz w:val="24"/>
          <w:highlight w:val="none"/>
        </w:rPr>
      </w:pP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1929"/>
        <w:gridCol w:w="3124"/>
        <w:gridCol w:w="3582"/>
        <w:gridCol w:w="2120"/>
        <w:gridCol w:w="2808"/>
      </w:tblGrid>
      <w:tr w14:paraId="4304F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324" w:type="pct"/>
            <w:tcBorders>
              <w:top w:val="single" w:color="auto" w:sz="4" w:space="0"/>
              <w:left w:val="single" w:color="auto" w:sz="4" w:space="0"/>
              <w:bottom w:val="single" w:color="auto" w:sz="4" w:space="0"/>
              <w:right w:val="single" w:color="auto" w:sz="4" w:space="0"/>
            </w:tcBorders>
            <w:shd w:val="clear" w:color="auto" w:fill="F1F1F1"/>
            <w:noWrap w:val="0"/>
            <w:vAlign w:val="center"/>
          </w:tcPr>
          <w:p w14:paraId="0A376E59">
            <w:pPr>
              <w:spacing w:line="280" w:lineRule="exact"/>
              <w:jc w:val="center"/>
              <w:rPr>
                <w:rFonts w:ascii="宋体" w:hAnsi="宋体"/>
                <w:bCs/>
                <w:color w:val="auto"/>
                <w:sz w:val="24"/>
              </w:rPr>
            </w:pPr>
            <w:r>
              <w:rPr>
                <w:rFonts w:hint="eastAsia" w:ascii="宋体" w:hAnsi="宋体"/>
                <w:bCs/>
                <w:color w:val="auto"/>
                <w:sz w:val="24"/>
              </w:rPr>
              <w:t>序号</w:t>
            </w:r>
          </w:p>
        </w:tc>
        <w:tc>
          <w:tcPr>
            <w:tcW w:w="665" w:type="pct"/>
            <w:tcBorders>
              <w:top w:val="single" w:color="auto" w:sz="4" w:space="0"/>
              <w:left w:val="single" w:color="auto" w:sz="4" w:space="0"/>
              <w:bottom w:val="single" w:color="auto" w:sz="4" w:space="0"/>
              <w:right w:val="single" w:color="auto" w:sz="4" w:space="0"/>
            </w:tcBorders>
            <w:shd w:val="clear" w:color="auto" w:fill="F1F1F1"/>
            <w:noWrap w:val="0"/>
            <w:vAlign w:val="center"/>
          </w:tcPr>
          <w:p w14:paraId="7AD2A4DD">
            <w:pPr>
              <w:spacing w:line="280" w:lineRule="exact"/>
              <w:jc w:val="center"/>
              <w:rPr>
                <w:rFonts w:ascii="宋体" w:hAnsi="宋体"/>
                <w:bCs/>
                <w:color w:val="auto"/>
                <w:sz w:val="24"/>
              </w:rPr>
            </w:pPr>
            <w:r>
              <w:rPr>
                <w:rFonts w:hint="eastAsia" w:ascii="宋体" w:hAnsi="宋体"/>
                <w:bCs/>
                <w:color w:val="auto"/>
                <w:sz w:val="24"/>
              </w:rPr>
              <w:t>标的</w:t>
            </w:r>
            <w:r>
              <w:rPr>
                <w:rFonts w:ascii="宋体" w:hAnsi="宋体"/>
                <w:bCs/>
                <w:color w:val="auto"/>
                <w:sz w:val="24"/>
              </w:rPr>
              <w:t>名称</w:t>
            </w:r>
          </w:p>
        </w:tc>
        <w:tc>
          <w:tcPr>
            <w:tcW w:w="1077" w:type="pct"/>
            <w:tcBorders>
              <w:top w:val="single" w:color="auto" w:sz="4" w:space="0"/>
              <w:left w:val="single" w:color="auto" w:sz="4" w:space="0"/>
              <w:bottom w:val="single" w:color="auto" w:sz="4" w:space="0"/>
              <w:right w:val="single" w:color="auto" w:sz="4" w:space="0"/>
            </w:tcBorders>
            <w:shd w:val="clear" w:color="auto" w:fill="F1F1F1"/>
            <w:noWrap w:val="0"/>
            <w:vAlign w:val="center"/>
          </w:tcPr>
          <w:p w14:paraId="7D42DE97">
            <w:pPr>
              <w:spacing w:line="280" w:lineRule="exact"/>
              <w:jc w:val="center"/>
              <w:rPr>
                <w:rFonts w:ascii="宋体" w:hAnsi="宋体"/>
                <w:bCs/>
                <w:color w:val="auto"/>
                <w:sz w:val="24"/>
              </w:rPr>
            </w:pPr>
            <w:r>
              <w:rPr>
                <w:rFonts w:hint="eastAsia" w:ascii="宋体" w:hAnsi="宋体"/>
                <w:bCs/>
                <w:color w:val="auto"/>
                <w:sz w:val="24"/>
              </w:rPr>
              <w:t>招标参数</w:t>
            </w:r>
          </w:p>
        </w:tc>
        <w:tc>
          <w:tcPr>
            <w:tcW w:w="1235" w:type="pct"/>
            <w:tcBorders>
              <w:top w:val="single" w:color="auto" w:sz="4" w:space="0"/>
              <w:left w:val="single" w:color="auto" w:sz="4" w:space="0"/>
              <w:bottom w:val="single" w:color="auto" w:sz="4" w:space="0"/>
              <w:right w:val="single" w:color="auto" w:sz="4" w:space="0"/>
            </w:tcBorders>
            <w:shd w:val="clear" w:color="auto" w:fill="F1F1F1"/>
            <w:noWrap w:val="0"/>
            <w:vAlign w:val="center"/>
          </w:tcPr>
          <w:p w14:paraId="2289B5E9">
            <w:pPr>
              <w:spacing w:line="280" w:lineRule="exact"/>
              <w:jc w:val="center"/>
              <w:rPr>
                <w:rFonts w:ascii="宋体" w:hAnsi="宋体"/>
                <w:bCs/>
                <w:color w:val="auto"/>
                <w:sz w:val="24"/>
              </w:rPr>
            </w:pPr>
            <w:r>
              <w:rPr>
                <w:rFonts w:hint="eastAsia" w:ascii="宋体" w:hAnsi="宋体"/>
                <w:bCs/>
                <w:color w:val="auto"/>
                <w:sz w:val="24"/>
              </w:rPr>
              <w:t>投标参数</w:t>
            </w:r>
          </w:p>
        </w:tc>
        <w:tc>
          <w:tcPr>
            <w:tcW w:w="731" w:type="pct"/>
            <w:tcBorders>
              <w:top w:val="single" w:color="auto" w:sz="4" w:space="0"/>
              <w:left w:val="single" w:color="auto" w:sz="4" w:space="0"/>
              <w:bottom w:val="single" w:color="auto" w:sz="4" w:space="0"/>
              <w:right w:val="single" w:color="auto" w:sz="4" w:space="0"/>
            </w:tcBorders>
            <w:shd w:val="clear" w:color="auto" w:fill="F1F1F1"/>
            <w:noWrap w:val="0"/>
            <w:vAlign w:val="center"/>
          </w:tcPr>
          <w:p w14:paraId="5302EAB1">
            <w:pPr>
              <w:spacing w:line="280" w:lineRule="exact"/>
              <w:jc w:val="center"/>
              <w:rPr>
                <w:rFonts w:ascii="宋体" w:hAnsi="宋体"/>
                <w:bCs/>
                <w:color w:val="auto"/>
                <w:sz w:val="24"/>
              </w:rPr>
            </w:pPr>
            <w:r>
              <w:rPr>
                <w:rFonts w:hint="eastAsia" w:ascii="宋体" w:hAnsi="宋体"/>
                <w:bCs/>
                <w:color w:val="auto"/>
                <w:sz w:val="24"/>
              </w:rPr>
              <w:t>偏离情况</w:t>
            </w:r>
          </w:p>
        </w:tc>
        <w:tc>
          <w:tcPr>
            <w:tcW w:w="968" w:type="pct"/>
            <w:tcBorders>
              <w:top w:val="single" w:color="auto" w:sz="4" w:space="0"/>
              <w:left w:val="single" w:color="auto" w:sz="4" w:space="0"/>
              <w:bottom w:val="single" w:color="auto" w:sz="4" w:space="0"/>
              <w:right w:val="single" w:color="auto" w:sz="4" w:space="0"/>
            </w:tcBorders>
            <w:shd w:val="clear" w:color="auto" w:fill="F1F1F1"/>
            <w:noWrap w:val="0"/>
            <w:vAlign w:val="center"/>
          </w:tcPr>
          <w:p w14:paraId="78D0D861">
            <w:pPr>
              <w:spacing w:line="280" w:lineRule="exact"/>
              <w:jc w:val="center"/>
              <w:rPr>
                <w:rFonts w:ascii="宋体" w:hAnsi="宋体"/>
                <w:bCs/>
                <w:color w:val="auto"/>
                <w:sz w:val="24"/>
              </w:rPr>
            </w:pPr>
            <w:r>
              <w:rPr>
                <w:rFonts w:hint="eastAsia" w:ascii="宋体" w:hAnsi="宋体"/>
                <w:bCs/>
                <w:color w:val="auto"/>
                <w:sz w:val="24"/>
              </w:rPr>
              <w:t>技术支持资料索引（页码及条目号等）</w:t>
            </w:r>
          </w:p>
        </w:tc>
      </w:tr>
      <w:tr w14:paraId="6410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exact"/>
          <w:jc w:val="center"/>
        </w:trPr>
        <w:tc>
          <w:tcPr>
            <w:tcW w:w="324" w:type="pct"/>
            <w:tcBorders>
              <w:top w:val="single" w:color="auto" w:sz="4" w:space="0"/>
              <w:left w:val="single" w:color="auto" w:sz="4" w:space="0"/>
              <w:bottom w:val="single" w:color="auto" w:sz="4" w:space="0"/>
              <w:right w:val="single" w:color="auto" w:sz="4" w:space="0"/>
            </w:tcBorders>
            <w:noWrap w:val="0"/>
            <w:vAlign w:val="top"/>
          </w:tcPr>
          <w:p w14:paraId="0B497F7F">
            <w:pPr>
              <w:spacing w:before="165" w:beforeLines="50" w:after="165" w:afterLines="50" w:line="400" w:lineRule="exact"/>
              <w:jc w:val="center"/>
              <w:rPr>
                <w:rFonts w:ascii="宋体" w:hAnsi="宋体"/>
                <w:color w:val="auto"/>
                <w:sz w:val="24"/>
              </w:rPr>
            </w:pPr>
            <w:r>
              <w:rPr>
                <w:rFonts w:hint="eastAsia" w:ascii="宋体" w:hAnsi="宋体"/>
                <w:color w:val="auto"/>
                <w:sz w:val="24"/>
              </w:rPr>
              <w:t>1</w:t>
            </w:r>
          </w:p>
        </w:tc>
        <w:tc>
          <w:tcPr>
            <w:tcW w:w="665" w:type="pct"/>
            <w:tcBorders>
              <w:top w:val="single" w:color="auto" w:sz="4" w:space="0"/>
              <w:left w:val="single" w:color="auto" w:sz="4" w:space="0"/>
              <w:bottom w:val="single" w:color="auto" w:sz="4" w:space="0"/>
              <w:right w:val="single" w:color="auto" w:sz="4" w:space="0"/>
            </w:tcBorders>
            <w:noWrap w:val="0"/>
            <w:vAlign w:val="center"/>
          </w:tcPr>
          <w:p w14:paraId="5BFA36B7">
            <w:pPr>
              <w:widowControl/>
              <w:jc w:val="center"/>
              <w:rPr>
                <w:rFonts w:ascii="宋体" w:hAnsi="宋体"/>
                <w:bCs/>
                <w:color w:val="auto"/>
                <w:sz w:val="24"/>
              </w:rPr>
            </w:pPr>
          </w:p>
        </w:tc>
        <w:tc>
          <w:tcPr>
            <w:tcW w:w="1077" w:type="pct"/>
            <w:tcBorders>
              <w:top w:val="single" w:color="auto" w:sz="4" w:space="0"/>
              <w:left w:val="single" w:color="auto" w:sz="4" w:space="0"/>
              <w:bottom w:val="single" w:color="auto" w:sz="4" w:space="0"/>
              <w:right w:val="single" w:color="auto" w:sz="4" w:space="0"/>
            </w:tcBorders>
            <w:noWrap w:val="0"/>
            <w:vAlign w:val="top"/>
          </w:tcPr>
          <w:p w14:paraId="088B9A1C">
            <w:pPr>
              <w:spacing w:before="165" w:beforeLines="50" w:after="165" w:afterLines="50" w:line="400" w:lineRule="exact"/>
              <w:jc w:val="center"/>
              <w:rPr>
                <w:rFonts w:ascii="宋体" w:hAnsi="宋体"/>
                <w:color w:val="auto"/>
                <w:sz w:val="24"/>
              </w:rPr>
            </w:pPr>
          </w:p>
        </w:tc>
        <w:tc>
          <w:tcPr>
            <w:tcW w:w="1235" w:type="pct"/>
            <w:tcBorders>
              <w:top w:val="single" w:color="auto" w:sz="4" w:space="0"/>
              <w:left w:val="single" w:color="auto" w:sz="4" w:space="0"/>
              <w:bottom w:val="single" w:color="auto" w:sz="4" w:space="0"/>
              <w:right w:val="single" w:color="auto" w:sz="4" w:space="0"/>
            </w:tcBorders>
            <w:noWrap w:val="0"/>
            <w:vAlign w:val="top"/>
          </w:tcPr>
          <w:p w14:paraId="2022AAC5">
            <w:pPr>
              <w:spacing w:before="165" w:beforeLines="50" w:after="165" w:afterLines="50" w:line="400" w:lineRule="exact"/>
              <w:jc w:val="center"/>
              <w:rPr>
                <w:rFonts w:ascii="宋体" w:hAnsi="宋体"/>
                <w:color w:val="auto"/>
                <w:sz w:val="24"/>
              </w:rPr>
            </w:pPr>
          </w:p>
        </w:tc>
        <w:tc>
          <w:tcPr>
            <w:tcW w:w="731" w:type="pct"/>
            <w:tcBorders>
              <w:top w:val="single" w:color="auto" w:sz="4" w:space="0"/>
              <w:left w:val="single" w:color="auto" w:sz="4" w:space="0"/>
              <w:bottom w:val="single" w:color="auto" w:sz="4" w:space="0"/>
              <w:right w:val="single" w:color="auto" w:sz="4" w:space="0"/>
            </w:tcBorders>
            <w:noWrap w:val="0"/>
            <w:vAlign w:val="top"/>
          </w:tcPr>
          <w:p w14:paraId="6EA2B832">
            <w:pPr>
              <w:spacing w:before="165" w:beforeLines="50" w:after="165" w:afterLines="50" w:line="400" w:lineRule="exact"/>
              <w:jc w:val="center"/>
              <w:rPr>
                <w:rFonts w:ascii="宋体" w:hAnsi="宋体"/>
                <w:color w:val="auto"/>
                <w:sz w:val="24"/>
              </w:rPr>
            </w:pPr>
          </w:p>
        </w:tc>
        <w:tc>
          <w:tcPr>
            <w:tcW w:w="968" w:type="pct"/>
            <w:tcBorders>
              <w:top w:val="single" w:color="auto" w:sz="4" w:space="0"/>
              <w:left w:val="single" w:color="auto" w:sz="4" w:space="0"/>
              <w:bottom w:val="single" w:color="auto" w:sz="4" w:space="0"/>
              <w:right w:val="single" w:color="auto" w:sz="4" w:space="0"/>
            </w:tcBorders>
            <w:noWrap w:val="0"/>
            <w:vAlign w:val="top"/>
          </w:tcPr>
          <w:p w14:paraId="359074D5">
            <w:pPr>
              <w:spacing w:before="165" w:beforeLines="50" w:after="165" w:afterLines="50" w:line="400" w:lineRule="exact"/>
              <w:jc w:val="center"/>
              <w:rPr>
                <w:rFonts w:ascii="宋体" w:hAnsi="宋体"/>
                <w:color w:val="auto"/>
                <w:sz w:val="24"/>
              </w:rPr>
            </w:pPr>
          </w:p>
        </w:tc>
      </w:tr>
      <w:tr w14:paraId="68609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exact"/>
          <w:jc w:val="center"/>
        </w:trPr>
        <w:tc>
          <w:tcPr>
            <w:tcW w:w="324" w:type="pct"/>
            <w:tcBorders>
              <w:top w:val="single" w:color="auto" w:sz="4" w:space="0"/>
              <w:left w:val="single" w:color="auto" w:sz="4" w:space="0"/>
              <w:bottom w:val="single" w:color="auto" w:sz="4" w:space="0"/>
              <w:right w:val="single" w:color="auto" w:sz="4" w:space="0"/>
            </w:tcBorders>
            <w:noWrap w:val="0"/>
            <w:vAlign w:val="top"/>
          </w:tcPr>
          <w:p w14:paraId="753C1FB5">
            <w:pPr>
              <w:spacing w:before="165" w:beforeLines="50" w:after="165" w:afterLines="50" w:line="400" w:lineRule="exact"/>
              <w:jc w:val="center"/>
              <w:rPr>
                <w:rFonts w:ascii="宋体" w:hAnsi="宋体"/>
                <w:color w:val="auto"/>
                <w:sz w:val="24"/>
              </w:rPr>
            </w:pPr>
            <w:r>
              <w:rPr>
                <w:rFonts w:hint="eastAsia" w:ascii="宋体" w:hAnsi="宋体"/>
                <w:color w:val="auto"/>
                <w:sz w:val="24"/>
              </w:rPr>
              <w:t>2</w:t>
            </w:r>
          </w:p>
        </w:tc>
        <w:tc>
          <w:tcPr>
            <w:tcW w:w="665" w:type="pct"/>
            <w:tcBorders>
              <w:top w:val="single" w:color="auto" w:sz="4" w:space="0"/>
              <w:left w:val="single" w:color="auto" w:sz="4" w:space="0"/>
              <w:bottom w:val="single" w:color="auto" w:sz="4" w:space="0"/>
              <w:right w:val="single" w:color="auto" w:sz="4" w:space="0"/>
            </w:tcBorders>
            <w:noWrap w:val="0"/>
            <w:vAlign w:val="center"/>
          </w:tcPr>
          <w:p w14:paraId="6835D179">
            <w:pPr>
              <w:jc w:val="center"/>
              <w:rPr>
                <w:rFonts w:ascii="宋体" w:hAnsi="宋体"/>
                <w:bCs/>
                <w:color w:val="auto"/>
                <w:sz w:val="24"/>
              </w:rPr>
            </w:pPr>
          </w:p>
        </w:tc>
        <w:tc>
          <w:tcPr>
            <w:tcW w:w="1077" w:type="pct"/>
            <w:tcBorders>
              <w:top w:val="single" w:color="auto" w:sz="4" w:space="0"/>
              <w:left w:val="single" w:color="auto" w:sz="4" w:space="0"/>
              <w:bottom w:val="single" w:color="auto" w:sz="4" w:space="0"/>
              <w:right w:val="single" w:color="auto" w:sz="4" w:space="0"/>
            </w:tcBorders>
            <w:noWrap w:val="0"/>
            <w:vAlign w:val="top"/>
          </w:tcPr>
          <w:p w14:paraId="0B55719C">
            <w:pPr>
              <w:spacing w:before="165" w:beforeLines="50" w:after="165" w:afterLines="50" w:line="400" w:lineRule="exact"/>
              <w:jc w:val="center"/>
              <w:rPr>
                <w:rFonts w:ascii="宋体" w:hAnsi="宋体"/>
                <w:color w:val="auto"/>
                <w:sz w:val="24"/>
              </w:rPr>
            </w:pPr>
          </w:p>
        </w:tc>
        <w:tc>
          <w:tcPr>
            <w:tcW w:w="1235" w:type="pct"/>
            <w:tcBorders>
              <w:top w:val="single" w:color="auto" w:sz="4" w:space="0"/>
              <w:left w:val="single" w:color="auto" w:sz="4" w:space="0"/>
              <w:bottom w:val="single" w:color="auto" w:sz="4" w:space="0"/>
              <w:right w:val="single" w:color="auto" w:sz="4" w:space="0"/>
            </w:tcBorders>
            <w:noWrap w:val="0"/>
            <w:vAlign w:val="top"/>
          </w:tcPr>
          <w:p w14:paraId="3986CFC6">
            <w:pPr>
              <w:spacing w:before="165" w:beforeLines="50" w:after="165" w:afterLines="50" w:line="400" w:lineRule="exact"/>
              <w:jc w:val="center"/>
              <w:rPr>
                <w:rFonts w:ascii="宋体" w:hAnsi="宋体"/>
                <w:color w:val="auto"/>
                <w:sz w:val="24"/>
              </w:rPr>
            </w:pPr>
          </w:p>
        </w:tc>
        <w:tc>
          <w:tcPr>
            <w:tcW w:w="731" w:type="pct"/>
            <w:tcBorders>
              <w:top w:val="single" w:color="auto" w:sz="4" w:space="0"/>
              <w:left w:val="single" w:color="auto" w:sz="4" w:space="0"/>
              <w:bottom w:val="single" w:color="auto" w:sz="4" w:space="0"/>
              <w:right w:val="single" w:color="auto" w:sz="4" w:space="0"/>
            </w:tcBorders>
            <w:noWrap w:val="0"/>
            <w:vAlign w:val="top"/>
          </w:tcPr>
          <w:p w14:paraId="7AE6349B">
            <w:pPr>
              <w:spacing w:before="165" w:beforeLines="50" w:after="165" w:afterLines="50" w:line="400" w:lineRule="exact"/>
              <w:jc w:val="center"/>
              <w:rPr>
                <w:rFonts w:ascii="宋体" w:hAnsi="宋体"/>
                <w:color w:val="auto"/>
                <w:sz w:val="24"/>
              </w:rPr>
            </w:pPr>
          </w:p>
        </w:tc>
        <w:tc>
          <w:tcPr>
            <w:tcW w:w="968" w:type="pct"/>
            <w:tcBorders>
              <w:top w:val="single" w:color="auto" w:sz="4" w:space="0"/>
              <w:left w:val="single" w:color="auto" w:sz="4" w:space="0"/>
              <w:bottom w:val="single" w:color="auto" w:sz="4" w:space="0"/>
              <w:right w:val="single" w:color="auto" w:sz="4" w:space="0"/>
            </w:tcBorders>
            <w:noWrap w:val="0"/>
            <w:vAlign w:val="top"/>
          </w:tcPr>
          <w:p w14:paraId="2404B149">
            <w:pPr>
              <w:spacing w:before="165" w:beforeLines="50" w:after="165" w:afterLines="50" w:line="400" w:lineRule="exact"/>
              <w:jc w:val="center"/>
              <w:rPr>
                <w:rFonts w:ascii="宋体" w:hAnsi="宋体"/>
                <w:color w:val="auto"/>
                <w:sz w:val="24"/>
              </w:rPr>
            </w:pPr>
          </w:p>
        </w:tc>
      </w:tr>
      <w:tr w14:paraId="19DC9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exact"/>
          <w:jc w:val="center"/>
        </w:trPr>
        <w:tc>
          <w:tcPr>
            <w:tcW w:w="324" w:type="pct"/>
            <w:tcBorders>
              <w:top w:val="single" w:color="auto" w:sz="4" w:space="0"/>
              <w:left w:val="single" w:color="auto" w:sz="4" w:space="0"/>
              <w:bottom w:val="single" w:color="auto" w:sz="4" w:space="0"/>
              <w:right w:val="single" w:color="auto" w:sz="4" w:space="0"/>
            </w:tcBorders>
            <w:noWrap w:val="0"/>
            <w:vAlign w:val="top"/>
          </w:tcPr>
          <w:p w14:paraId="1FCC607A">
            <w:pPr>
              <w:spacing w:before="165" w:beforeLines="50" w:after="165" w:afterLines="50" w:line="400" w:lineRule="exact"/>
              <w:jc w:val="center"/>
              <w:rPr>
                <w:rFonts w:ascii="宋体" w:hAnsi="宋体"/>
                <w:color w:val="auto"/>
                <w:sz w:val="24"/>
              </w:rPr>
            </w:pPr>
            <w:r>
              <w:rPr>
                <w:rFonts w:hint="eastAsia" w:ascii="宋体" w:hAnsi="宋体"/>
                <w:color w:val="auto"/>
                <w:sz w:val="24"/>
              </w:rPr>
              <w:t>……</w:t>
            </w:r>
          </w:p>
        </w:tc>
        <w:tc>
          <w:tcPr>
            <w:tcW w:w="665" w:type="pct"/>
            <w:tcBorders>
              <w:top w:val="single" w:color="auto" w:sz="4" w:space="0"/>
              <w:left w:val="single" w:color="auto" w:sz="4" w:space="0"/>
              <w:bottom w:val="single" w:color="auto" w:sz="4" w:space="0"/>
              <w:right w:val="single" w:color="auto" w:sz="4" w:space="0"/>
            </w:tcBorders>
            <w:noWrap w:val="0"/>
            <w:vAlign w:val="center"/>
          </w:tcPr>
          <w:p w14:paraId="690FEA44">
            <w:pPr>
              <w:jc w:val="center"/>
              <w:rPr>
                <w:rFonts w:ascii="宋体" w:hAnsi="宋体"/>
                <w:bCs/>
                <w:color w:val="auto"/>
                <w:sz w:val="24"/>
              </w:rPr>
            </w:pPr>
          </w:p>
        </w:tc>
        <w:tc>
          <w:tcPr>
            <w:tcW w:w="1077" w:type="pct"/>
            <w:tcBorders>
              <w:top w:val="single" w:color="auto" w:sz="4" w:space="0"/>
              <w:left w:val="single" w:color="auto" w:sz="4" w:space="0"/>
              <w:bottom w:val="single" w:color="auto" w:sz="4" w:space="0"/>
              <w:right w:val="single" w:color="auto" w:sz="4" w:space="0"/>
            </w:tcBorders>
            <w:noWrap w:val="0"/>
            <w:vAlign w:val="top"/>
          </w:tcPr>
          <w:p w14:paraId="1BB2BCA0">
            <w:pPr>
              <w:spacing w:before="165" w:beforeLines="50" w:after="165" w:afterLines="50" w:line="400" w:lineRule="exact"/>
              <w:jc w:val="center"/>
              <w:rPr>
                <w:rFonts w:ascii="宋体" w:hAnsi="宋体"/>
                <w:color w:val="auto"/>
                <w:sz w:val="24"/>
              </w:rPr>
            </w:pPr>
          </w:p>
        </w:tc>
        <w:tc>
          <w:tcPr>
            <w:tcW w:w="1235" w:type="pct"/>
            <w:tcBorders>
              <w:top w:val="single" w:color="auto" w:sz="4" w:space="0"/>
              <w:left w:val="single" w:color="auto" w:sz="4" w:space="0"/>
              <w:bottom w:val="single" w:color="auto" w:sz="4" w:space="0"/>
              <w:right w:val="single" w:color="auto" w:sz="4" w:space="0"/>
            </w:tcBorders>
            <w:noWrap w:val="0"/>
            <w:vAlign w:val="top"/>
          </w:tcPr>
          <w:p w14:paraId="5DE761C7">
            <w:pPr>
              <w:spacing w:before="165" w:beforeLines="50" w:after="165" w:afterLines="50" w:line="400" w:lineRule="exact"/>
              <w:jc w:val="center"/>
              <w:rPr>
                <w:rFonts w:ascii="宋体" w:hAnsi="宋体"/>
                <w:color w:val="auto"/>
                <w:sz w:val="24"/>
              </w:rPr>
            </w:pPr>
          </w:p>
        </w:tc>
        <w:tc>
          <w:tcPr>
            <w:tcW w:w="731" w:type="pct"/>
            <w:tcBorders>
              <w:top w:val="single" w:color="auto" w:sz="4" w:space="0"/>
              <w:left w:val="single" w:color="auto" w:sz="4" w:space="0"/>
              <w:bottom w:val="single" w:color="auto" w:sz="4" w:space="0"/>
              <w:right w:val="single" w:color="auto" w:sz="4" w:space="0"/>
            </w:tcBorders>
            <w:noWrap w:val="0"/>
            <w:vAlign w:val="top"/>
          </w:tcPr>
          <w:p w14:paraId="4DC2783F">
            <w:pPr>
              <w:spacing w:before="165" w:beforeLines="50" w:after="165" w:afterLines="50" w:line="400" w:lineRule="exact"/>
              <w:jc w:val="center"/>
              <w:rPr>
                <w:rFonts w:ascii="宋体" w:hAnsi="宋体"/>
                <w:color w:val="auto"/>
                <w:sz w:val="24"/>
              </w:rPr>
            </w:pPr>
          </w:p>
        </w:tc>
        <w:tc>
          <w:tcPr>
            <w:tcW w:w="968" w:type="pct"/>
            <w:tcBorders>
              <w:top w:val="single" w:color="auto" w:sz="4" w:space="0"/>
              <w:left w:val="single" w:color="auto" w:sz="4" w:space="0"/>
              <w:bottom w:val="single" w:color="auto" w:sz="4" w:space="0"/>
              <w:right w:val="single" w:color="auto" w:sz="4" w:space="0"/>
            </w:tcBorders>
            <w:noWrap w:val="0"/>
            <w:vAlign w:val="top"/>
          </w:tcPr>
          <w:p w14:paraId="31EBDB74">
            <w:pPr>
              <w:spacing w:before="165" w:beforeLines="50" w:after="165" w:afterLines="50" w:line="400" w:lineRule="exact"/>
              <w:jc w:val="center"/>
              <w:rPr>
                <w:rFonts w:ascii="宋体" w:hAnsi="宋体"/>
                <w:color w:val="auto"/>
                <w:sz w:val="24"/>
              </w:rPr>
            </w:pPr>
          </w:p>
        </w:tc>
      </w:tr>
    </w:tbl>
    <w:p w14:paraId="4DA464FB">
      <w:pPr>
        <w:pStyle w:val="21"/>
        <w:tabs>
          <w:tab w:val="left" w:pos="3990"/>
          <w:tab w:val="center" w:pos="4677"/>
        </w:tabs>
        <w:spacing w:line="300" w:lineRule="exact"/>
        <w:jc w:val="left"/>
        <w:rPr>
          <w:rFonts w:hint="eastAsia" w:ascii="宋体" w:hAnsi="宋体" w:eastAsia="宋体"/>
          <w:b w:val="0"/>
          <w:bCs/>
          <w:color w:val="auto"/>
          <w:sz w:val="24"/>
          <w:szCs w:val="24"/>
        </w:rPr>
      </w:pPr>
      <w:r>
        <w:rPr>
          <w:rFonts w:hint="eastAsia" w:ascii="宋体" w:hAnsi="宋体" w:eastAsia="宋体"/>
          <w:b w:val="0"/>
          <w:bCs/>
          <w:color w:val="auto"/>
          <w:sz w:val="24"/>
          <w:szCs w:val="24"/>
        </w:rPr>
        <w:t>备注：</w:t>
      </w:r>
      <w:r>
        <w:rPr>
          <w:rFonts w:hint="eastAsia" w:ascii="宋体" w:hAnsi="宋体" w:eastAsia="宋体"/>
          <w:b w:val="0"/>
          <w:bCs/>
          <w:color w:val="auto"/>
          <w:sz w:val="24"/>
          <w:szCs w:val="24"/>
          <w:lang w:eastAsia="zh-CN"/>
        </w:rPr>
        <w:t>1.</w:t>
      </w:r>
      <w:r>
        <w:rPr>
          <w:rFonts w:hint="eastAsia" w:ascii="宋体" w:hAnsi="宋体" w:eastAsia="宋体"/>
          <w:b w:val="0"/>
          <w:bCs/>
          <w:color w:val="auto"/>
          <w:sz w:val="24"/>
          <w:szCs w:val="24"/>
        </w:rPr>
        <w:t>表格中“偏离”一列，投标人只能如实填写“正偏离</w:t>
      </w:r>
      <w:r>
        <w:rPr>
          <w:rFonts w:hint="eastAsia" w:ascii="宋体" w:hAnsi="宋体" w:eastAsia="宋体"/>
          <w:b w:val="0"/>
          <w:bCs/>
          <w:color w:val="auto"/>
          <w:sz w:val="24"/>
          <w:szCs w:val="24"/>
          <w:lang w:eastAsia="zh-CN"/>
        </w:rPr>
        <w:t>”“</w:t>
      </w:r>
      <w:r>
        <w:rPr>
          <w:rFonts w:hint="eastAsia" w:ascii="宋体" w:hAnsi="宋体" w:eastAsia="宋体"/>
          <w:b w:val="0"/>
          <w:bCs/>
          <w:color w:val="auto"/>
          <w:sz w:val="24"/>
          <w:szCs w:val="24"/>
        </w:rPr>
        <w:t>负偏离”或“无偏离”。凡投标内容高于招标文件要求的，按“正偏离”填写；低于招标文件要求的，按“负偏离”填写；满足招标文件要求的，按“无偏离”填写。并在“投标参数”一列中写明投标具体技术响应情况。</w:t>
      </w:r>
    </w:p>
    <w:p w14:paraId="25C409C5">
      <w:pPr>
        <w:pStyle w:val="21"/>
        <w:tabs>
          <w:tab w:val="left" w:pos="3990"/>
          <w:tab w:val="center" w:pos="4677"/>
        </w:tabs>
        <w:spacing w:line="300" w:lineRule="exact"/>
        <w:jc w:val="left"/>
        <w:rPr>
          <w:rFonts w:hint="eastAsia" w:ascii="宋体" w:hAnsi="宋体" w:eastAsia="宋体"/>
          <w:b w:val="0"/>
          <w:bCs/>
          <w:color w:val="auto"/>
          <w:sz w:val="24"/>
          <w:szCs w:val="24"/>
        </w:rPr>
      </w:pPr>
      <w:r>
        <w:rPr>
          <w:rFonts w:hint="eastAsia" w:ascii="宋体" w:hAnsi="宋体" w:eastAsia="宋体"/>
          <w:b w:val="0"/>
          <w:bCs/>
          <w:color w:val="auto"/>
          <w:sz w:val="24"/>
          <w:szCs w:val="24"/>
          <w:lang w:eastAsia="zh-CN"/>
        </w:rPr>
        <w:t>2.</w:t>
      </w:r>
      <w:r>
        <w:rPr>
          <w:rFonts w:hint="eastAsia" w:ascii="宋体" w:hAnsi="宋体" w:eastAsia="宋体"/>
          <w:b w:val="0"/>
          <w:bCs/>
          <w:color w:val="auto"/>
          <w:sz w:val="24"/>
          <w:szCs w:val="24"/>
        </w:rPr>
        <w:t>投标人须对招标文件第五章中的技术</w:t>
      </w:r>
      <w:r>
        <w:rPr>
          <w:rFonts w:hint="eastAsia" w:ascii="宋体" w:hAnsi="宋体" w:eastAsia="宋体"/>
          <w:b w:val="0"/>
          <w:bCs/>
          <w:color w:val="auto"/>
          <w:sz w:val="24"/>
          <w:szCs w:val="24"/>
          <w:lang w:val="en-US" w:eastAsia="zh-CN"/>
        </w:rPr>
        <w:t>参数</w:t>
      </w:r>
      <w:r>
        <w:rPr>
          <w:rFonts w:hint="eastAsia" w:ascii="宋体" w:hAnsi="宋体" w:eastAsia="宋体"/>
          <w:b w:val="0"/>
          <w:bCs/>
          <w:color w:val="auto"/>
          <w:sz w:val="24"/>
          <w:szCs w:val="24"/>
        </w:rPr>
        <w:t>要求作出全面、真实的反映，投标人除如实填写技术规格偏离表外，投标文件中须提供最新技术支持资料支持参</w:t>
      </w:r>
      <w:r>
        <w:rPr>
          <w:rFonts w:hint="eastAsia" w:ascii="宋体" w:hAnsi="宋体" w:eastAsia="宋体"/>
          <w:b w:val="0"/>
          <w:bCs/>
          <w:color w:val="auto"/>
          <w:sz w:val="24"/>
          <w:szCs w:val="24"/>
          <w:lang w:eastAsia="zh-CN"/>
        </w:rPr>
        <w:t>数和</w:t>
      </w:r>
      <w:r>
        <w:rPr>
          <w:rFonts w:hint="eastAsia" w:ascii="宋体" w:hAnsi="宋体" w:eastAsia="宋体"/>
          <w:b w:val="0"/>
          <w:bCs/>
          <w:color w:val="auto"/>
          <w:sz w:val="24"/>
          <w:szCs w:val="24"/>
        </w:rPr>
        <w:t>技术规格偏离表应答（技术支持资料以制造商公开发布的原版印刷资料或检测机构出具的检测报告等为准。若制造商公开发布的印刷资料与检测机构出具的检测报告不一致，以检测机构出具的检测报告为准）。不接受非生产厂家投标人自行印刷、打印或者手写的技术支持资料。</w:t>
      </w:r>
    </w:p>
    <w:p w14:paraId="1451B3FA">
      <w:pPr>
        <w:spacing w:line="360" w:lineRule="auto"/>
        <w:ind w:firstLine="2" w:firstLineChars="1"/>
        <w:rPr>
          <w:rFonts w:ascii="仿宋" w:hAnsi="仿宋" w:eastAsia="仿宋" w:cs="仿宋"/>
          <w:color w:val="auto"/>
          <w:sz w:val="24"/>
          <w:szCs w:val="24"/>
        </w:rPr>
      </w:pPr>
      <w:r>
        <w:rPr>
          <w:rFonts w:hint="eastAsia" w:ascii="宋体" w:hAnsi="宋体" w:eastAsia="宋体"/>
          <w:b w:val="0"/>
          <w:bCs/>
          <w:color w:val="auto"/>
          <w:sz w:val="24"/>
          <w:szCs w:val="24"/>
        </w:rPr>
        <w:t>3.投标人应将支持该项技术要求响应的技术支持资料在投标文件中的索引（页码及条目号等）标注在“技术支持资料索引”一栏中。</w:t>
      </w:r>
    </w:p>
    <w:p w14:paraId="59FBEA74">
      <w:pPr>
        <w:spacing w:line="360" w:lineRule="auto"/>
        <w:jc w:val="left"/>
        <w:rPr>
          <w:rFonts w:hint="eastAsia" w:ascii="宋体"/>
          <w:color w:val="auto"/>
          <w:sz w:val="24"/>
          <w:highlight w:val="none"/>
        </w:rPr>
      </w:pPr>
    </w:p>
    <w:p w14:paraId="11B0075B">
      <w:pPr>
        <w:spacing w:line="360" w:lineRule="auto"/>
        <w:jc w:val="left"/>
        <w:rPr>
          <w:rFonts w:hint="eastAsia" w:ascii="宋体"/>
          <w:color w:val="auto"/>
          <w:sz w:val="24"/>
          <w:highlight w:val="none"/>
        </w:rPr>
      </w:pPr>
    </w:p>
    <w:p w14:paraId="0B572335">
      <w:pPr>
        <w:spacing w:line="360" w:lineRule="auto"/>
        <w:jc w:val="left"/>
        <w:rPr>
          <w:rFonts w:ascii="宋体"/>
          <w:color w:val="auto"/>
          <w:sz w:val="24"/>
          <w:highlight w:val="none"/>
        </w:rPr>
      </w:pPr>
      <w:r>
        <w:rPr>
          <w:rFonts w:hint="eastAsia" w:ascii="宋体"/>
          <w:color w:val="auto"/>
          <w:sz w:val="24"/>
          <w:highlight w:val="none"/>
        </w:rPr>
        <w:t>投标人</w:t>
      </w:r>
      <w:r>
        <w:rPr>
          <w:rFonts w:hint="eastAsia" w:ascii="宋体"/>
          <w:color w:val="auto"/>
          <w:sz w:val="24"/>
          <w:highlight w:val="none"/>
          <w:lang w:val="en-US" w:eastAsia="zh-CN"/>
        </w:rPr>
        <w:t>全称</w:t>
      </w:r>
      <w:r>
        <w:rPr>
          <w:rFonts w:hint="eastAsia" w:ascii="宋体"/>
          <w:color w:val="auto"/>
          <w:sz w:val="24"/>
          <w:highlight w:val="none"/>
        </w:rPr>
        <w:t>：</w:t>
      </w:r>
      <w:r>
        <w:rPr>
          <w:rFonts w:hint="eastAsia" w:ascii="宋体"/>
          <w:color w:val="auto"/>
          <w:sz w:val="24"/>
          <w:highlight w:val="none"/>
          <w:u w:val="single"/>
        </w:rPr>
        <w:t xml:space="preserve">                                </w:t>
      </w:r>
      <w:r>
        <w:rPr>
          <w:rFonts w:hint="eastAsia" w:ascii="宋体"/>
          <w:color w:val="auto"/>
          <w:sz w:val="24"/>
          <w:highlight w:val="none"/>
        </w:rPr>
        <w:t>（电子签章）</w:t>
      </w:r>
    </w:p>
    <w:p w14:paraId="0F6FB174">
      <w:pPr>
        <w:spacing w:line="360" w:lineRule="auto"/>
        <w:jc w:val="left"/>
        <w:rPr>
          <w:rFonts w:ascii="宋体"/>
          <w:color w:val="auto"/>
          <w:sz w:val="24"/>
          <w:highlight w:val="none"/>
        </w:rPr>
      </w:pPr>
      <w:r>
        <w:rPr>
          <w:rFonts w:hint="eastAsia" w:ascii="宋体"/>
          <w:color w:val="auto"/>
          <w:sz w:val="24"/>
          <w:highlight w:val="none"/>
        </w:rPr>
        <w:t>法定代表人或其委托代理人：</w:t>
      </w:r>
      <w:r>
        <w:rPr>
          <w:rFonts w:hint="eastAsia" w:ascii="宋体"/>
          <w:color w:val="auto"/>
          <w:sz w:val="24"/>
          <w:highlight w:val="none"/>
          <w:u w:val="single"/>
        </w:rPr>
        <w:t xml:space="preserve">             </w:t>
      </w:r>
      <w:r>
        <w:rPr>
          <w:rFonts w:hint="eastAsia" w:ascii="宋体"/>
          <w:color w:val="auto"/>
          <w:sz w:val="24"/>
          <w:highlight w:val="none"/>
        </w:rPr>
        <w:t xml:space="preserve"> （电子签章）</w:t>
      </w:r>
    </w:p>
    <w:p w14:paraId="266C6E3D">
      <w:pPr>
        <w:spacing w:line="360" w:lineRule="auto"/>
        <w:jc w:val="left"/>
        <w:rPr>
          <w:rFonts w:ascii="仿宋" w:hAnsi="仿宋" w:eastAsia="仿宋" w:cs="仿宋"/>
          <w:color w:val="auto"/>
          <w:sz w:val="24"/>
          <w:szCs w:val="24"/>
        </w:rPr>
      </w:pPr>
      <w:r>
        <w:rPr>
          <w:rFonts w:hint="eastAsia"/>
          <w:color w:val="auto"/>
          <w:sz w:val="24"/>
          <w:highlight w:val="none"/>
        </w:rPr>
        <w:t>日期：</w:t>
      </w:r>
      <w:r>
        <w:rPr>
          <w:rFonts w:hint="eastAsia"/>
          <w:color w:val="auto"/>
          <w:sz w:val="24"/>
          <w:highlight w:val="none"/>
          <w:u w:val="single"/>
        </w:rPr>
        <w:t xml:space="preserve">          </w:t>
      </w:r>
      <w:r>
        <w:rPr>
          <w:rFonts w:hint="eastAsia"/>
          <w:color w:val="auto"/>
          <w:sz w:val="24"/>
          <w:highlight w:val="none"/>
        </w:rPr>
        <w:t>年</w:t>
      </w:r>
      <w:r>
        <w:rPr>
          <w:rFonts w:hint="eastAsia"/>
          <w:color w:val="auto"/>
          <w:sz w:val="24"/>
          <w:highlight w:val="none"/>
          <w:u w:val="single"/>
        </w:rPr>
        <w:t xml:space="preserve">       </w:t>
      </w:r>
      <w:r>
        <w:rPr>
          <w:rFonts w:hint="eastAsia"/>
          <w:color w:val="auto"/>
          <w:sz w:val="24"/>
          <w:highlight w:val="none"/>
        </w:rPr>
        <w:t>月</w:t>
      </w:r>
      <w:r>
        <w:rPr>
          <w:rFonts w:hint="eastAsia"/>
          <w:color w:val="auto"/>
          <w:sz w:val="24"/>
          <w:highlight w:val="none"/>
          <w:u w:val="single"/>
        </w:rPr>
        <w:t xml:space="preserve">       </w:t>
      </w:r>
      <w:r>
        <w:rPr>
          <w:rFonts w:hint="eastAsia"/>
          <w:color w:val="auto"/>
          <w:sz w:val="24"/>
          <w:highlight w:val="none"/>
        </w:rPr>
        <w:t>日</w:t>
      </w:r>
    </w:p>
    <w:p w14:paraId="155AE32B">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7FC3AE95">
      <w:pPr>
        <w:pStyle w:val="2"/>
        <w:rPr>
          <w:rFonts w:hint="eastAsia"/>
          <w:color w:val="auto"/>
        </w:rPr>
        <w:sectPr>
          <w:pgSz w:w="16838" w:h="11906" w:orient="landscape"/>
          <w:pgMar w:top="1417" w:right="1418" w:bottom="1134" w:left="1134" w:header="935" w:footer="720" w:gutter="0"/>
          <w:pgBorders>
            <w:top w:val="none" w:sz="0" w:space="0"/>
            <w:left w:val="none" w:sz="0" w:space="0"/>
            <w:bottom w:val="none" w:sz="0" w:space="0"/>
            <w:right w:val="none" w:sz="0" w:space="0"/>
          </w:pgBorders>
          <w:cols w:space="0" w:num="1"/>
          <w:rtlGutter w:val="0"/>
          <w:docGrid w:type="linesAndChars" w:linePitch="334" w:charSpace="0"/>
        </w:sectPr>
      </w:pPr>
    </w:p>
    <w:p w14:paraId="64ECA4BB">
      <w:pPr>
        <w:bidi w:val="0"/>
        <w:jc w:val="center"/>
        <w:rPr>
          <w:rFonts w:hint="eastAsia" w:ascii="宋体" w:hAnsi="宋体" w:eastAsia="宋体" w:cs="宋体"/>
          <w:b/>
          <w:bCs/>
          <w:color w:val="auto"/>
          <w:kern w:val="0"/>
          <w:sz w:val="30"/>
          <w:szCs w:val="30"/>
          <w:highlight w:val="none"/>
          <w:lang w:val="en-US" w:eastAsia="zh-CN" w:bidi="ar-SA"/>
        </w:rPr>
      </w:pPr>
      <w:r>
        <w:rPr>
          <w:rFonts w:hint="eastAsia" w:ascii="宋体" w:hAnsi="宋体" w:eastAsia="宋体" w:cs="宋体"/>
          <w:b/>
          <w:bCs/>
          <w:color w:val="auto"/>
          <w:sz w:val="28"/>
          <w:szCs w:val="28"/>
          <w:highlight w:val="none"/>
          <w:lang w:val="en-US" w:eastAsia="zh-CN"/>
        </w:rPr>
        <w:t>投标产品的技术支持资料</w:t>
      </w:r>
    </w:p>
    <w:p w14:paraId="5A4CE4C0">
      <w:pPr>
        <w:pStyle w:val="21"/>
        <w:tabs>
          <w:tab w:val="left" w:pos="3990"/>
          <w:tab w:val="center" w:pos="4677"/>
        </w:tabs>
        <w:spacing w:line="60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包括但不限于以下内容：</w:t>
      </w:r>
    </w:p>
    <w:p w14:paraId="47352F7B">
      <w:pPr>
        <w:pStyle w:val="21"/>
        <w:tabs>
          <w:tab w:val="left" w:pos="3990"/>
          <w:tab w:val="center" w:pos="4677"/>
        </w:tabs>
        <w:spacing w:line="600" w:lineRule="exact"/>
        <w:ind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1.投标产品技术白皮书或检测报告或图纸或印刷宣传彩页或性能参数说明</w:t>
      </w:r>
      <w:r>
        <w:rPr>
          <w:rFonts w:hint="eastAsia" w:ascii="宋体" w:hAnsi="宋体" w:eastAsia="宋体" w:cs="宋体"/>
          <w:b w:val="0"/>
          <w:bCs/>
          <w:color w:val="auto"/>
          <w:sz w:val="24"/>
          <w:szCs w:val="24"/>
          <w:highlight w:val="none"/>
          <w:lang w:val="en-US" w:eastAsia="zh-CN"/>
        </w:rPr>
        <w:t>的关键页面（如签字盖章页、关键信息页、日期、编号信息页等）</w:t>
      </w:r>
      <w:r>
        <w:rPr>
          <w:rFonts w:hint="eastAsia" w:ascii="宋体" w:hAnsi="宋体" w:eastAsia="宋体" w:cs="宋体"/>
          <w:b w:val="0"/>
          <w:bCs/>
          <w:color w:val="auto"/>
          <w:sz w:val="24"/>
          <w:szCs w:val="24"/>
          <w:highlight w:val="none"/>
          <w:lang w:eastAsia="zh-CN"/>
        </w:rPr>
        <w:t>。</w:t>
      </w:r>
    </w:p>
    <w:p w14:paraId="31447AF5">
      <w:pPr>
        <w:pStyle w:val="21"/>
        <w:tabs>
          <w:tab w:val="left" w:pos="3990"/>
          <w:tab w:val="center" w:pos="4677"/>
        </w:tabs>
        <w:spacing w:line="600" w:lineRule="exact"/>
        <w:ind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2.投标产品主要技术指标、参数及性能的详细说明；原材料选择、设计（使用）寿命；外购/外协件制造厂、产地</w:t>
      </w:r>
      <w:r>
        <w:rPr>
          <w:rFonts w:hint="eastAsia" w:ascii="宋体" w:hAnsi="宋体" w:eastAsia="宋体" w:cs="宋体"/>
          <w:b w:val="0"/>
          <w:bCs/>
          <w:color w:val="auto"/>
          <w:sz w:val="24"/>
          <w:szCs w:val="24"/>
          <w:highlight w:val="none"/>
          <w:lang w:eastAsia="zh-CN"/>
        </w:rPr>
        <w:t>。</w:t>
      </w:r>
    </w:p>
    <w:p w14:paraId="02554EA7">
      <w:pPr>
        <w:pStyle w:val="21"/>
        <w:tabs>
          <w:tab w:val="left" w:pos="3990"/>
          <w:tab w:val="center" w:pos="4677"/>
        </w:tabs>
        <w:spacing w:line="600" w:lineRule="exact"/>
        <w:ind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3.投标产品设计、制造、检验（测）、试验、验收、包装、运输、储存及试车等拟采用的标准、规范和方式；产品相关鉴定资料、试验报告、检验报告等</w:t>
      </w:r>
      <w:r>
        <w:rPr>
          <w:rFonts w:hint="eastAsia" w:ascii="宋体" w:hAnsi="宋体" w:eastAsia="宋体" w:cs="宋体"/>
          <w:b w:val="0"/>
          <w:bCs/>
          <w:color w:val="auto"/>
          <w:sz w:val="24"/>
          <w:szCs w:val="24"/>
          <w:highlight w:val="none"/>
          <w:lang w:eastAsia="zh-CN"/>
        </w:rPr>
        <w:t>。</w:t>
      </w:r>
    </w:p>
    <w:p w14:paraId="5C6E6B23">
      <w:pPr>
        <w:ind w:firstLine="542"/>
        <w:jc w:val="center"/>
        <w:rPr>
          <w:color w:val="auto"/>
          <w:sz w:val="25"/>
          <w:highlight w:val="none"/>
        </w:rPr>
      </w:pPr>
    </w:p>
    <w:p w14:paraId="554D110B">
      <w:pPr>
        <w:rPr>
          <w:rFonts w:hint="eastAsia"/>
          <w:color w:val="auto"/>
          <w:highlight w:val="none"/>
        </w:rPr>
      </w:pPr>
      <w:r>
        <w:rPr>
          <w:rFonts w:hint="eastAsia"/>
          <w:color w:val="auto"/>
          <w:highlight w:val="none"/>
        </w:rPr>
        <w:br w:type="page"/>
      </w:r>
    </w:p>
    <w:p w14:paraId="5AE85542">
      <w:pPr>
        <w:pStyle w:val="3"/>
        <w:rPr>
          <w:color w:val="auto"/>
          <w:highlight w:val="none"/>
        </w:rPr>
      </w:pPr>
      <w:bookmarkStart w:id="118" w:name="_Toc2725"/>
      <w:r>
        <w:rPr>
          <w:rFonts w:hint="eastAsia"/>
          <w:color w:val="auto"/>
          <w:highlight w:val="none"/>
        </w:rPr>
        <w:t>格式</w:t>
      </w:r>
      <w:r>
        <w:rPr>
          <w:rFonts w:hint="eastAsia"/>
          <w:color w:val="auto"/>
          <w:highlight w:val="none"/>
          <w:lang w:val="en-US" w:eastAsia="zh-CN"/>
        </w:rPr>
        <w:t>3</w:t>
      </w:r>
      <w:r>
        <w:rPr>
          <w:rFonts w:hint="eastAsia"/>
          <w:color w:val="auto"/>
          <w:highlight w:val="none"/>
        </w:rPr>
        <w:t>：项目实施方案</w:t>
      </w:r>
      <w:bookmarkEnd w:id="118"/>
    </w:p>
    <w:p w14:paraId="60855B4B">
      <w:pPr>
        <w:ind w:firstLine="542"/>
        <w:jc w:val="center"/>
        <w:rPr>
          <w:rFonts w:hint="eastAsia" w:ascii="宋体" w:hAnsi="宋体" w:eastAsia="宋体" w:cs="宋体"/>
          <w:color w:val="auto"/>
          <w:sz w:val="24"/>
          <w:szCs w:val="24"/>
          <w:highlight w:val="none"/>
          <w:lang w:eastAsia="zh-CN"/>
        </w:rPr>
      </w:pPr>
    </w:p>
    <w:p w14:paraId="5FBFE43E">
      <w:pPr>
        <w:widowControl/>
        <w:jc w:val="center"/>
        <w:rPr>
          <w:color w:val="auto"/>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7E5AE6EB">
      <w:pPr>
        <w:ind w:firstLine="522"/>
        <w:rPr>
          <w:color w:val="auto"/>
          <w:highlight w:val="none"/>
        </w:rPr>
      </w:pPr>
    </w:p>
    <w:p w14:paraId="0059C834">
      <w:pPr>
        <w:pStyle w:val="15"/>
        <w:rPr>
          <w:color w:val="auto"/>
          <w:highlight w:val="none"/>
        </w:rPr>
      </w:pPr>
    </w:p>
    <w:p w14:paraId="40365A8D">
      <w:pPr>
        <w:widowControl/>
        <w:jc w:val="center"/>
        <w:rPr>
          <w:color w:val="auto"/>
          <w:highlight w:val="none"/>
        </w:rPr>
      </w:pPr>
    </w:p>
    <w:p w14:paraId="003CA81A">
      <w:pPr>
        <w:ind w:firstLine="522"/>
        <w:rPr>
          <w:color w:val="auto"/>
          <w:highlight w:val="none"/>
        </w:rPr>
      </w:pPr>
    </w:p>
    <w:p w14:paraId="3209A112">
      <w:pPr>
        <w:ind w:firstLine="522"/>
        <w:rPr>
          <w:color w:val="auto"/>
          <w:highlight w:val="none"/>
        </w:rPr>
      </w:pPr>
    </w:p>
    <w:p w14:paraId="36750F26">
      <w:pPr>
        <w:ind w:firstLine="522"/>
        <w:rPr>
          <w:color w:val="auto"/>
          <w:highlight w:val="none"/>
        </w:rPr>
      </w:pPr>
    </w:p>
    <w:p w14:paraId="43D30457">
      <w:pPr>
        <w:ind w:firstLine="522"/>
        <w:rPr>
          <w:color w:val="auto"/>
          <w:highlight w:val="none"/>
        </w:rPr>
      </w:pPr>
    </w:p>
    <w:p w14:paraId="115A47CA">
      <w:pPr>
        <w:ind w:firstLine="522"/>
        <w:rPr>
          <w:color w:val="auto"/>
          <w:highlight w:val="none"/>
        </w:rPr>
      </w:pPr>
    </w:p>
    <w:p w14:paraId="4F80BD1D">
      <w:pPr>
        <w:ind w:firstLine="522"/>
        <w:rPr>
          <w:color w:val="auto"/>
          <w:highlight w:val="none"/>
        </w:rPr>
      </w:pPr>
    </w:p>
    <w:p w14:paraId="18E3EC3C">
      <w:pPr>
        <w:ind w:firstLine="522"/>
        <w:rPr>
          <w:color w:val="auto"/>
          <w:highlight w:val="none"/>
        </w:rPr>
      </w:pPr>
    </w:p>
    <w:p w14:paraId="7AEA8672">
      <w:pPr>
        <w:ind w:firstLine="522"/>
        <w:rPr>
          <w:color w:val="auto"/>
          <w:highlight w:val="none"/>
        </w:rPr>
      </w:pPr>
    </w:p>
    <w:p w14:paraId="1234BCA7">
      <w:pPr>
        <w:ind w:firstLine="522"/>
        <w:rPr>
          <w:color w:val="auto"/>
          <w:highlight w:val="none"/>
        </w:rPr>
      </w:pPr>
    </w:p>
    <w:p w14:paraId="0C360240">
      <w:pPr>
        <w:ind w:firstLine="522"/>
        <w:rPr>
          <w:color w:val="auto"/>
          <w:highlight w:val="none"/>
        </w:rPr>
      </w:pPr>
    </w:p>
    <w:p w14:paraId="0F0111D7">
      <w:pPr>
        <w:ind w:firstLine="522"/>
        <w:rPr>
          <w:color w:val="auto"/>
          <w:highlight w:val="none"/>
        </w:rPr>
      </w:pPr>
    </w:p>
    <w:p w14:paraId="37162E9C">
      <w:pPr>
        <w:ind w:firstLine="522"/>
        <w:rPr>
          <w:color w:val="auto"/>
          <w:highlight w:val="none"/>
        </w:rPr>
      </w:pPr>
    </w:p>
    <w:p w14:paraId="6906F7C7">
      <w:pPr>
        <w:ind w:firstLine="522"/>
        <w:rPr>
          <w:color w:val="auto"/>
          <w:highlight w:val="none"/>
        </w:rPr>
      </w:pPr>
    </w:p>
    <w:p w14:paraId="4B5C76B7">
      <w:pPr>
        <w:rPr>
          <w:color w:val="auto"/>
          <w:highlight w:val="none"/>
        </w:rPr>
      </w:pPr>
    </w:p>
    <w:p w14:paraId="56C94EE2">
      <w:pPr>
        <w:bidi w:val="0"/>
        <w:rPr>
          <w:color w:val="auto"/>
        </w:rPr>
      </w:pPr>
    </w:p>
    <w:p w14:paraId="6E25B089">
      <w:pPr>
        <w:rPr>
          <w:color w:val="auto"/>
        </w:rPr>
      </w:pPr>
    </w:p>
    <w:p w14:paraId="35433A20">
      <w:pPr>
        <w:ind w:firstLine="522"/>
        <w:rPr>
          <w:color w:val="auto"/>
          <w:highlight w:val="none"/>
        </w:rPr>
      </w:pPr>
    </w:p>
    <w:p w14:paraId="6F19A9D3">
      <w:pPr>
        <w:ind w:firstLine="522"/>
        <w:rPr>
          <w:color w:val="auto"/>
          <w:highlight w:val="none"/>
        </w:rPr>
      </w:pPr>
    </w:p>
    <w:p w14:paraId="4694F971">
      <w:pPr>
        <w:ind w:firstLine="522"/>
        <w:rPr>
          <w:color w:val="auto"/>
          <w:highlight w:val="none"/>
        </w:rPr>
      </w:pPr>
    </w:p>
    <w:p w14:paraId="0BD6C406">
      <w:pPr>
        <w:ind w:firstLine="522"/>
        <w:rPr>
          <w:color w:val="auto"/>
          <w:highlight w:val="none"/>
        </w:rPr>
      </w:pPr>
    </w:p>
    <w:p w14:paraId="24A865B8">
      <w:pPr>
        <w:rPr>
          <w:color w:val="auto"/>
        </w:rPr>
      </w:pPr>
    </w:p>
    <w:p w14:paraId="492ADAB1">
      <w:pPr>
        <w:ind w:firstLine="522"/>
        <w:rPr>
          <w:color w:val="auto"/>
          <w:highlight w:val="none"/>
        </w:rPr>
      </w:pPr>
    </w:p>
    <w:p w14:paraId="0C14A134">
      <w:pPr>
        <w:ind w:firstLine="522"/>
        <w:rPr>
          <w:color w:val="auto"/>
          <w:highlight w:val="none"/>
        </w:rPr>
      </w:pPr>
    </w:p>
    <w:p w14:paraId="5F572F0F">
      <w:pPr>
        <w:rPr>
          <w:rFonts w:hint="eastAsia"/>
          <w:color w:val="auto"/>
          <w:sz w:val="24"/>
          <w:highlight w:val="none"/>
        </w:rPr>
      </w:pPr>
      <w:r>
        <w:rPr>
          <w:rFonts w:hint="eastAsia"/>
          <w:color w:val="auto"/>
          <w:sz w:val="24"/>
          <w:highlight w:val="none"/>
        </w:rPr>
        <w:br w:type="page"/>
      </w:r>
    </w:p>
    <w:p w14:paraId="5C735331">
      <w:pPr>
        <w:rPr>
          <w:color w:val="auto"/>
        </w:rPr>
      </w:pPr>
    </w:p>
    <w:p w14:paraId="5374EEAD">
      <w:pPr>
        <w:pStyle w:val="3"/>
        <w:rPr>
          <w:color w:val="auto"/>
          <w:highlight w:val="none"/>
        </w:rPr>
      </w:pPr>
      <w:bookmarkStart w:id="119" w:name="_Toc21579"/>
      <w:bookmarkStart w:id="120" w:name="_Toc31323"/>
      <w:r>
        <w:rPr>
          <w:rFonts w:hint="eastAsia"/>
          <w:color w:val="auto"/>
          <w:highlight w:val="none"/>
        </w:rPr>
        <w:t>格式</w:t>
      </w:r>
      <w:r>
        <w:rPr>
          <w:rFonts w:hint="eastAsia"/>
          <w:color w:val="auto"/>
          <w:highlight w:val="none"/>
          <w:lang w:val="en-US" w:eastAsia="zh-CN"/>
        </w:rPr>
        <w:t>4</w:t>
      </w:r>
      <w:r>
        <w:rPr>
          <w:rFonts w:hint="eastAsia"/>
          <w:color w:val="auto"/>
          <w:highlight w:val="none"/>
        </w:rPr>
        <w:t>：</w:t>
      </w:r>
      <w:bookmarkEnd w:id="119"/>
      <w:r>
        <w:rPr>
          <w:rFonts w:hint="eastAsia"/>
          <w:color w:val="auto"/>
          <w:highlight w:val="none"/>
        </w:rPr>
        <w:t>质量承诺及保障措施</w:t>
      </w:r>
      <w:bookmarkEnd w:id="120"/>
    </w:p>
    <w:p w14:paraId="3BDF62F7">
      <w:pPr>
        <w:ind w:firstLine="542"/>
        <w:jc w:val="center"/>
        <w:rPr>
          <w:rFonts w:hint="eastAsia" w:ascii="宋体" w:hAnsi="宋体" w:eastAsia="宋体" w:cs="宋体"/>
          <w:color w:val="auto"/>
          <w:sz w:val="24"/>
          <w:szCs w:val="24"/>
          <w:highlight w:val="none"/>
          <w:lang w:eastAsia="zh-CN"/>
        </w:rPr>
      </w:pPr>
    </w:p>
    <w:p w14:paraId="2EB53342">
      <w:pPr>
        <w:widowControl/>
        <w:jc w:val="center"/>
        <w:rPr>
          <w:rFonts w:ascii="宋体"/>
          <w:color w:val="auto"/>
          <w:sz w:val="24"/>
          <w:szCs w:val="20"/>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r>
        <w:rPr>
          <w:color w:val="auto"/>
          <w:sz w:val="24"/>
          <w:highlight w:val="none"/>
        </w:rPr>
        <w:br w:type="page"/>
      </w:r>
    </w:p>
    <w:p w14:paraId="787C3886">
      <w:pPr>
        <w:pStyle w:val="21"/>
        <w:spacing w:line="360" w:lineRule="auto"/>
        <w:ind w:firstLine="240" w:firstLineChars="100"/>
        <w:rPr>
          <w:color w:val="auto"/>
          <w:sz w:val="24"/>
          <w:szCs w:val="24"/>
          <w:highlight w:val="none"/>
          <w:u w:val="single"/>
        </w:rPr>
      </w:pPr>
    </w:p>
    <w:p w14:paraId="158BFF91">
      <w:pPr>
        <w:pStyle w:val="2"/>
        <w:rPr>
          <w:color w:val="auto"/>
          <w:highlight w:val="none"/>
        </w:rPr>
      </w:pPr>
      <w:bookmarkStart w:id="121" w:name="_Toc3560"/>
      <w:r>
        <w:rPr>
          <w:rFonts w:hint="eastAsia"/>
          <w:color w:val="auto"/>
          <w:highlight w:val="none"/>
        </w:rPr>
        <w:t>三、商务部分</w:t>
      </w:r>
      <w:bookmarkEnd w:id="121"/>
    </w:p>
    <w:p w14:paraId="36D809E2">
      <w:pPr>
        <w:widowControl/>
        <w:ind w:firstLine="522"/>
        <w:jc w:val="left"/>
        <w:rPr>
          <w:color w:val="auto"/>
          <w:highlight w:val="none"/>
        </w:rPr>
      </w:pPr>
      <w:r>
        <w:rPr>
          <w:color w:val="auto"/>
          <w:highlight w:val="none"/>
        </w:rPr>
        <w:br w:type="page"/>
      </w:r>
    </w:p>
    <w:p w14:paraId="4E32EDC6">
      <w:pPr>
        <w:pStyle w:val="4"/>
        <w:spacing w:line="360" w:lineRule="auto"/>
        <w:jc w:val="center"/>
        <w:rPr>
          <w:rFonts w:hint="eastAsia"/>
          <w:color w:val="auto"/>
          <w:sz w:val="28"/>
          <w:szCs w:val="28"/>
        </w:rPr>
        <w:sectPr>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pPr>
      <w:bookmarkStart w:id="122" w:name="_Toc23566"/>
      <w:bookmarkStart w:id="123" w:name="_Toc478"/>
      <w:bookmarkStart w:id="124" w:name="_Toc13945"/>
      <w:bookmarkStart w:id="125" w:name="_Toc10187"/>
      <w:bookmarkStart w:id="126" w:name="_Toc10310"/>
      <w:bookmarkStart w:id="127" w:name="_Toc10172"/>
      <w:bookmarkStart w:id="128" w:name="_Toc16094"/>
      <w:bookmarkStart w:id="129" w:name="_Toc28237"/>
      <w:bookmarkStart w:id="130" w:name="_Toc17480"/>
      <w:bookmarkStart w:id="131" w:name="_Toc25287"/>
    </w:p>
    <w:p w14:paraId="3F650E90">
      <w:pPr>
        <w:pStyle w:val="3"/>
        <w:tabs>
          <w:tab w:val="left" w:pos="360"/>
          <w:tab w:val="left" w:pos="420"/>
          <w:tab w:val="left" w:pos="900"/>
          <w:tab w:val="left" w:pos="1588"/>
          <w:tab w:val="clear" w:pos="1021"/>
        </w:tabs>
        <w:spacing w:line="360" w:lineRule="auto"/>
        <w:jc w:val="center"/>
        <w:outlineLvl w:val="1"/>
        <w:rPr>
          <w:color w:val="auto"/>
        </w:rPr>
      </w:pPr>
      <w:bookmarkStart w:id="132" w:name="_Toc8734"/>
      <w:r>
        <w:rPr>
          <w:rFonts w:hint="eastAsia"/>
          <w:color w:val="auto"/>
          <w:sz w:val="28"/>
          <w:szCs w:val="28"/>
        </w:rPr>
        <w:t>格式</w:t>
      </w:r>
      <w:r>
        <w:rPr>
          <w:rFonts w:hint="eastAsia"/>
          <w:color w:val="auto"/>
          <w:sz w:val="28"/>
          <w:szCs w:val="28"/>
          <w:lang w:val="en-US" w:eastAsia="zh-CN"/>
        </w:rPr>
        <w:t>5</w:t>
      </w:r>
      <w:r>
        <w:rPr>
          <w:rFonts w:hint="eastAsia"/>
          <w:color w:val="auto"/>
          <w:highlight w:val="none"/>
        </w:rPr>
        <w:t>：</w:t>
      </w:r>
      <w:r>
        <w:rPr>
          <w:rFonts w:hint="eastAsia"/>
          <w:color w:val="auto"/>
          <w:sz w:val="28"/>
          <w:szCs w:val="28"/>
        </w:rPr>
        <w:t>商务条款偏离表</w:t>
      </w:r>
      <w:bookmarkEnd w:id="122"/>
      <w:bookmarkEnd w:id="123"/>
      <w:bookmarkEnd w:id="124"/>
      <w:bookmarkEnd w:id="125"/>
      <w:bookmarkEnd w:id="126"/>
      <w:bookmarkEnd w:id="127"/>
      <w:bookmarkEnd w:id="128"/>
      <w:bookmarkEnd w:id="129"/>
      <w:bookmarkEnd w:id="130"/>
      <w:bookmarkEnd w:id="131"/>
      <w:bookmarkEnd w:id="132"/>
    </w:p>
    <w:p w14:paraId="71AB2F18">
      <w:pPr>
        <w:spacing w:after="66" w:afterLines="20" w:line="420" w:lineRule="exact"/>
        <w:rPr>
          <w:rFonts w:hint="eastAsia" w:ascii="宋体" w:hAnsi="宋体"/>
          <w:color w:val="auto"/>
          <w:spacing w:val="10"/>
          <w:sz w:val="24"/>
          <w:highlight w:val="none"/>
        </w:rPr>
      </w:pPr>
    </w:p>
    <w:p w14:paraId="65D5AABC">
      <w:pPr>
        <w:spacing w:after="66" w:afterLines="20" w:line="420" w:lineRule="exact"/>
        <w:rPr>
          <w:rFonts w:hint="eastAsia" w:ascii="宋体" w:hAnsi="宋体" w:eastAsia="宋体"/>
          <w:color w:val="auto"/>
          <w:spacing w:val="10"/>
          <w:sz w:val="24"/>
          <w:highlight w:val="none"/>
          <w:lang w:eastAsia="zh-CN"/>
        </w:rPr>
      </w:pPr>
      <w:r>
        <w:rPr>
          <w:rFonts w:hint="eastAsia" w:ascii="宋体" w:hAnsi="宋体"/>
          <w:color w:val="auto"/>
          <w:spacing w:val="10"/>
          <w:sz w:val="24"/>
          <w:highlight w:val="none"/>
        </w:rPr>
        <w:t>项目名称：</w:t>
      </w:r>
      <w:r>
        <w:rPr>
          <w:rFonts w:hint="eastAsia" w:ascii="宋体" w:hAnsi="宋体"/>
          <w:color w:val="auto"/>
          <w:spacing w:val="10"/>
          <w:sz w:val="24"/>
          <w:highlight w:val="none"/>
          <w:lang w:eastAsia="zh-CN"/>
        </w:rPr>
        <w:t>天敌昆虫资源及产品转化平台建设项目采购一批天敌昆虫扩繁设备</w:t>
      </w:r>
    </w:p>
    <w:p w14:paraId="2E702C7F">
      <w:pPr>
        <w:spacing w:after="66" w:afterLines="20" w:line="420" w:lineRule="exact"/>
        <w:rPr>
          <w:rFonts w:hint="eastAsia" w:ascii="宋体" w:hAnsi="宋体"/>
          <w:color w:val="auto"/>
          <w:spacing w:val="10"/>
          <w:sz w:val="24"/>
          <w:highlight w:val="none"/>
          <w:lang w:eastAsia="zh-CN"/>
        </w:rPr>
      </w:pPr>
      <w:r>
        <w:rPr>
          <w:rFonts w:hint="eastAsia" w:ascii="宋体" w:hAnsi="宋体"/>
          <w:color w:val="auto"/>
          <w:spacing w:val="10"/>
          <w:sz w:val="24"/>
          <w:highlight w:val="none"/>
        </w:rPr>
        <w:t>招标编号：</w:t>
      </w:r>
      <w:r>
        <w:rPr>
          <w:rFonts w:hint="eastAsia" w:ascii="宋体" w:hAnsi="宋体"/>
          <w:color w:val="auto"/>
          <w:spacing w:val="10"/>
          <w:sz w:val="24"/>
          <w:highlight w:val="none"/>
          <w:lang w:eastAsia="zh-CN"/>
        </w:rPr>
        <w:t>ZG-2026087</w:t>
      </w:r>
    </w:p>
    <w:p w14:paraId="13798CB4">
      <w:pPr>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A.□我公司已详细阅读招标文件中各项商务要求，所有商务要求均无偏离，中标后我公司将严格遵照执行。</w:t>
      </w:r>
    </w:p>
    <w:p w14:paraId="5EC3D81C">
      <w:pPr>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B.□我公司已详细阅读招标文件中各项商务要求，除下述条款有偏离外，其余条款我公司均予以认可，中标后将严格遵照执行。</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6"/>
        <w:gridCol w:w="7258"/>
        <w:gridCol w:w="5645"/>
      </w:tblGrid>
      <w:tr w14:paraId="1AA3C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550" w:type="pct"/>
            <w:shd w:val="pct5" w:color="auto" w:fill="auto"/>
            <w:noWrap w:val="0"/>
            <w:vAlign w:val="center"/>
          </w:tcPr>
          <w:p w14:paraId="72982827">
            <w:pPr>
              <w:spacing w:line="440" w:lineRule="exact"/>
              <w:jc w:val="cente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序号</w:t>
            </w:r>
          </w:p>
        </w:tc>
        <w:tc>
          <w:tcPr>
            <w:tcW w:w="2502" w:type="pct"/>
            <w:shd w:val="pct5" w:color="auto" w:fill="auto"/>
            <w:noWrap w:val="0"/>
            <w:vAlign w:val="center"/>
          </w:tcPr>
          <w:p w14:paraId="4BE12164">
            <w:pPr>
              <w:spacing w:line="440" w:lineRule="exact"/>
              <w:jc w:val="cente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 </w:t>
            </w:r>
            <w:r>
              <w:rPr>
                <w:rFonts w:hint="eastAsia" w:asciiTheme="majorEastAsia" w:hAnsiTheme="majorEastAsia" w:eastAsiaTheme="majorEastAsia" w:cstheme="majorEastAsia"/>
                <w:color w:val="auto"/>
                <w:sz w:val="24"/>
                <w:szCs w:val="24"/>
              </w:rPr>
              <w:t>招标文件的商务条款要求</w:t>
            </w:r>
          </w:p>
        </w:tc>
        <w:tc>
          <w:tcPr>
            <w:tcW w:w="1946" w:type="pct"/>
            <w:shd w:val="pct5" w:color="auto" w:fill="auto"/>
            <w:noWrap w:val="0"/>
            <w:vAlign w:val="center"/>
          </w:tcPr>
          <w:p w14:paraId="60B69759">
            <w:pPr>
              <w:spacing w:line="440" w:lineRule="exact"/>
              <w:jc w:val="cente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 </w:t>
            </w:r>
            <w:r>
              <w:rPr>
                <w:rFonts w:hint="eastAsia" w:asciiTheme="majorEastAsia" w:hAnsiTheme="majorEastAsia" w:eastAsiaTheme="majorEastAsia" w:cstheme="majorEastAsia"/>
                <w:color w:val="auto"/>
                <w:sz w:val="24"/>
                <w:szCs w:val="24"/>
              </w:rPr>
              <w:t>投标文件的商务条款</w:t>
            </w:r>
          </w:p>
        </w:tc>
      </w:tr>
      <w:tr w14:paraId="5C80A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jc w:val="center"/>
        </w:trPr>
        <w:tc>
          <w:tcPr>
            <w:tcW w:w="550" w:type="pct"/>
            <w:noWrap w:val="0"/>
            <w:vAlign w:val="center"/>
          </w:tcPr>
          <w:p w14:paraId="21A31435">
            <w:pPr>
              <w:spacing w:line="440" w:lineRule="exact"/>
              <w:jc w:val="center"/>
              <w:rPr>
                <w:rFonts w:hint="eastAsia" w:asciiTheme="majorEastAsia" w:hAnsiTheme="majorEastAsia" w:eastAsiaTheme="majorEastAsia" w:cstheme="majorEastAsia"/>
                <w:color w:val="auto"/>
                <w:sz w:val="24"/>
                <w:szCs w:val="24"/>
              </w:rPr>
            </w:pPr>
          </w:p>
        </w:tc>
        <w:tc>
          <w:tcPr>
            <w:tcW w:w="2502" w:type="pct"/>
            <w:noWrap w:val="0"/>
            <w:vAlign w:val="center"/>
          </w:tcPr>
          <w:p w14:paraId="4002FF91">
            <w:pPr>
              <w:spacing w:line="440" w:lineRule="exact"/>
              <w:jc w:val="center"/>
              <w:rPr>
                <w:rFonts w:hint="eastAsia" w:asciiTheme="majorEastAsia" w:hAnsiTheme="majorEastAsia" w:eastAsiaTheme="majorEastAsia" w:cstheme="majorEastAsia"/>
                <w:color w:val="auto"/>
                <w:sz w:val="24"/>
                <w:szCs w:val="24"/>
              </w:rPr>
            </w:pPr>
          </w:p>
        </w:tc>
        <w:tc>
          <w:tcPr>
            <w:tcW w:w="1946" w:type="pct"/>
            <w:noWrap w:val="0"/>
            <w:vAlign w:val="center"/>
          </w:tcPr>
          <w:p w14:paraId="7638FD87">
            <w:pPr>
              <w:spacing w:line="440" w:lineRule="exact"/>
              <w:jc w:val="center"/>
              <w:rPr>
                <w:rFonts w:hint="eastAsia" w:asciiTheme="majorEastAsia" w:hAnsiTheme="majorEastAsia" w:eastAsiaTheme="majorEastAsia" w:cstheme="majorEastAsia"/>
                <w:color w:val="auto"/>
                <w:sz w:val="24"/>
                <w:szCs w:val="24"/>
              </w:rPr>
            </w:pPr>
          </w:p>
        </w:tc>
      </w:tr>
      <w:tr w14:paraId="76D6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jc w:val="center"/>
        </w:trPr>
        <w:tc>
          <w:tcPr>
            <w:tcW w:w="550" w:type="pct"/>
            <w:noWrap w:val="0"/>
            <w:vAlign w:val="center"/>
          </w:tcPr>
          <w:p w14:paraId="1110C5EB">
            <w:pPr>
              <w:spacing w:line="440" w:lineRule="exact"/>
              <w:jc w:val="center"/>
              <w:rPr>
                <w:rFonts w:hint="eastAsia" w:asciiTheme="majorEastAsia" w:hAnsiTheme="majorEastAsia" w:eastAsiaTheme="majorEastAsia" w:cstheme="majorEastAsia"/>
                <w:color w:val="auto"/>
                <w:sz w:val="24"/>
                <w:szCs w:val="24"/>
              </w:rPr>
            </w:pPr>
          </w:p>
        </w:tc>
        <w:tc>
          <w:tcPr>
            <w:tcW w:w="2502" w:type="pct"/>
            <w:noWrap w:val="0"/>
            <w:vAlign w:val="center"/>
          </w:tcPr>
          <w:p w14:paraId="3474FD49">
            <w:pPr>
              <w:spacing w:line="440" w:lineRule="exact"/>
              <w:jc w:val="center"/>
              <w:rPr>
                <w:rFonts w:hint="eastAsia" w:asciiTheme="majorEastAsia" w:hAnsiTheme="majorEastAsia" w:eastAsiaTheme="majorEastAsia" w:cstheme="majorEastAsia"/>
                <w:color w:val="auto"/>
                <w:sz w:val="24"/>
                <w:szCs w:val="24"/>
              </w:rPr>
            </w:pPr>
          </w:p>
        </w:tc>
        <w:tc>
          <w:tcPr>
            <w:tcW w:w="1946" w:type="pct"/>
            <w:noWrap w:val="0"/>
            <w:vAlign w:val="center"/>
          </w:tcPr>
          <w:p w14:paraId="0F94D471">
            <w:pPr>
              <w:spacing w:line="440" w:lineRule="exact"/>
              <w:jc w:val="center"/>
              <w:rPr>
                <w:rFonts w:hint="eastAsia" w:asciiTheme="majorEastAsia" w:hAnsiTheme="majorEastAsia" w:eastAsiaTheme="majorEastAsia" w:cstheme="majorEastAsia"/>
                <w:color w:val="auto"/>
                <w:sz w:val="24"/>
                <w:szCs w:val="24"/>
              </w:rPr>
            </w:pPr>
          </w:p>
        </w:tc>
      </w:tr>
      <w:tr w14:paraId="77A45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550" w:type="pct"/>
            <w:noWrap w:val="0"/>
            <w:vAlign w:val="center"/>
          </w:tcPr>
          <w:p w14:paraId="0CA78EEF">
            <w:pPr>
              <w:spacing w:line="440" w:lineRule="exact"/>
              <w:jc w:val="center"/>
              <w:rPr>
                <w:rFonts w:hint="eastAsia" w:asciiTheme="majorEastAsia" w:hAnsiTheme="majorEastAsia" w:eastAsiaTheme="majorEastAsia" w:cstheme="majorEastAsia"/>
                <w:color w:val="auto"/>
                <w:sz w:val="24"/>
                <w:szCs w:val="24"/>
              </w:rPr>
            </w:pPr>
          </w:p>
        </w:tc>
        <w:tc>
          <w:tcPr>
            <w:tcW w:w="2502" w:type="pct"/>
            <w:noWrap w:val="0"/>
            <w:vAlign w:val="center"/>
          </w:tcPr>
          <w:p w14:paraId="5C5A3C83">
            <w:pPr>
              <w:spacing w:line="440" w:lineRule="exact"/>
              <w:jc w:val="center"/>
              <w:rPr>
                <w:rFonts w:hint="eastAsia" w:asciiTheme="majorEastAsia" w:hAnsiTheme="majorEastAsia" w:eastAsiaTheme="majorEastAsia" w:cstheme="majorEastAsia"/>
                <w:color w:val="auto"/>
                <w:sz w:val="24"/>
                <w:szCs w:val="24"/>
              </w:rPr>
            </w:pPr>
          </w:p>
        </w:tc>
        <w:tc>
          <w:tcPr>
            <w:tcW w:w="1946" w:type="pct"/>
            <w:noWrap w:val="0"/>
            <w:vAlign w:val="center"/>
          </w:tcPr>
          <w:p w14:paraId="0CB5B051">
            <w:pPr>
              <w:spacing w:line="440" w:lineRule="exact"/>
              <w:jc w:val="center"/>
              <w:rPr>
                <w:rFonts w:hint="eastAsia" w:asciiTheme="majorEastAsia" w:hAnsiTheme="majorEastAsia" w:eastAsiaTheme="majorEastAsia" w:cstheme="majorEastAsia"/>
                <w:color w:val="auto"/>
                <w:sz w:val="24"/>
                <w:szCs w:val="24"/>
              </w:rPr>
            </w:pPr>
          </w:p>
        </w:tc>
      </w:tr>
    </w:tbl>
    <w:p w14:paraId="119C0423">
      <w:pPr>
        <w:spacing w:line="240" w:lineRule="auto"/>
        <w:jc w:val="left"/>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备注：1.</w:t>
      </w:r>
      <w:r>
        <w:rPr>
          <w:rFonts w:hint="eastAsia" w:asciiTheme="majorEastAsia" w:hAnsiTheme="majorEastAsia" w:eastAsiaTheme="majorEastAsia" w:cstheme="majorEastAsia"/>
          <w:color w:val="auto"/>
          <w:sz w:val="24"/>
          <w:szCs w:val="24"/>
        </w:rPr>
        <w:t>投标人应对</w:t>
      </w:r>
      <w:r>
        <w:rPr>
          <w:rFonts w:hint="eastAsia" w:asciiTheme="majorEastAsia" w:hAnsiTheme="majorEastAsia" w:eastAsiaTheme="majorEastAsia" w:cstheme="majorEastAsia"/>
          <w:color w:val="auto"/>
          <w:sz w:val="24"/>
          <w:szCs w:val="24"/>
          <w:lang w:val="en-US" w:eastAsia="zh-CN"/>
        </w:rPr>
        <w:t>照</w:t>
      </w:r>
      <w:r>
        <w:rPr>
          <w:rFonts w:hint="eastAsia" w:asciiTheme="majorEastAsia" w:hAnsiTheme="majorEastAsia" w:eastAsiaTheme="majorEastAsia" w:cstheme="majorEastAsia"/>
          <w:color w:val="auto"/>
          <w:sz w:val="24"/>
          <w:szCs w:val="24"/>
        </w:rPr>
        <w:t>招标文件第五章《招标内容及要求》和第三章《合同书样式及主要条款》中要求的商务条件，包括</w:t>
      </w:r>
      <w:r>
        <w:rPr>
          <w:rFonts w:hint="eastAsia" w:asciiTheme="majorEastAsia" w:hAnsiTheme="majorEastAsia" w:eastAsiaTheme="majorEastAsia" w:cstheme="majorEastAsia"/>
          <w:color w:val="auto"/>
          <w:sz w:val="24"/>
          <w:szCs w:val="24"/>
          <w:lang w:val="en-US" w:eastAsia="zh-CN"/>
        </w:rPr>
        <w:t>但不限于合同履行期限</w:t>
      </w:r>
      <w:r>
        <w:rPr>
          <w:rFonts w:hint="eastAsia" w:asciiTheme="majorEastAsia" w:hAnsiTheme="majorEastAsia" w:eastAsiaTheme="majorEastAsia" w:cstheme="majorEastAsia"/>
          <w:color w:val="auto"/>
          <w:sz w:val="24"/>
          <w:szCs w:val="24"/>
        </w:rPr>
        <w:t>、付款方式、履约保证金</w:t>
      </w:r>
      <w:r>
        <w:rPr>
          <w:rFonts w:hint="eastAsia" w:asciiTheme="majorEastAsia" w:hAnsiTheme="majorEastAsia" w:eastAsiaTheme="majorEastAsia" w:cstheme="majorEastAsia"/>
          <w:color w:val="auto"/>
          <w:sz w:val="24"/>
          <w:szCs w:val="24"/>
          <w:lang w:eastAsia="zh-CN"/>
        </w:rPr>
        <w:t>（</w:t>
      </w:r>
      <w:r>
        <w:rPr>
          <w:rFonts w:hint="eastAsia" w:asciiTheme="majorEastAsia" w:hAnsiTheme="majorEastAsia" w:eastAsiaTheme="majorEastAsia" w:cstheme="majorEastAsia"/>
          <w:color w:val="auto"/>
          <w:sz w:val="24"/>
          <w:szCs w:val="24"/>
          <w:lang w:val="en-US" w:eastAsia="zh-CN"/>
        </w:rPr>
        <w:t>若有</w:t>
      </w:r>
      <w:r>
        <w:rPr>
          <w:rFonts w:hint="eastAsia" w:asciiTheme="majorEastAsia" w:hAnsiTheme="majorEastAsia" w:eastAsiaTheme="majorEastAsia" w:cstheme="majorEastAsia"/>
          <w:color w:val="auto"/>
          <w:sz w:val="24"/>
          <w:szCs w:val="24"/>
          <w:lang w:eastAsia="zh-CN"/>
        </w:rPr>
        <w:t>）</w:t>
      </w:r>
      <w:r>
        <w:rPr>
          <w:rFonts w:hint="eastAsia" w:asciiTheme="majorEastAsia" w:hAnsiTheme="majorEastAsia" w:eastAsiaTheme="majorEastAsia" w:cstheme="majorEastAsia"/>
          <w:color w:val="auto"/>
          <w:sz w:val="24"/>
          <w:szCs w:val="24"/>
        </w:rPr>
        <w:t>等内容，并</w:t>
      </w:r>
      <w:r>
        <w:rPr>
          <w:rFonts w:hint="eastAsia" w:asciiTheme="majorEastAsia" w:hAnsiTheme="majorEastAsia" w:eastAsiaTheme="majorEastAsia" w:cstheme="majorEastAsia"/>
          <w:color w:val="auto"/>
          <w:sz w:val="24"/>
          <w:szCs w:val="24"/>
          <w:lang w:val="en-US" w:eastAsia="zh-CN"/>
        </w:rPr>
        <w:t>结合</w:t>
      </w:r>
      <w:r>
        <w:rPr>
          <w:rFonts w:hint="eastAsia" w:asciiTheme="majorEastAsia" w:hAnsiTheme="majorEastAsia" w:eastAsiaTheme="majorEastAsia" w:cstheme="majorEastAsia"/>
          <w:color w:val="auto"/>
          <w:sz w:val="24"/>
          <w:szCs w:val="24"/>
        </w:rPr>
        <w:t>实际投标情况如实填写本表格。</w:t>
      </w:r>
      <w:r>
        <w:rPr>
          <w:rFonts w:hint="eastAsia" w:asciiTheme="majorEastAsia" w:hAnsiTheme="majorEastAsia" w:eastAsiaTheme="majorEastAsia" w:cstheme="majorEastAsia"/>
          <w:color w:val="auto"/>
          <w:sz w:val="24"/>
          <w:szCs w:val="24"/>
          <w:lang w:val="en-US" w:eastAsia="zh-CN"/>
        </w:rPr>
        <w:t>2.投标人应根据实际投标情况，填写本表格。若无偏离，则勾选A项，签章即可；若有偏离，则勾选B项，按表格要求及实际情况填写后签章。表格中只需填写有“偏离”部分，“无偏离”部分不用填写。</w:t>
      </w:r>
    </w:p>
    <w:p w14:paraId="791AAEDC">
      <w:pPr>
        <w:spacing w:line="360" w:lineRule="auto"/>
        <w:rPr>
          <w:rFonts w:ascii="仿宋" w:hAnsi="仿宋" w:eastAsia="仿宋" w:cs="仿宋"/>
          <w:color w:val="auto"/>
          <w:sz w:val="24"/>
          <w:szCs w:val="24"/>
        </w:rPr>
      </w:pPr>
    </w:p>
    <w:p w14:paraId="259399A8">
      <w:pPr>
        <w:spacing w:line="360" w:lineRule="auto"/>
        <w:rPr>
          <w:rFonts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lang w:val="en-US" w:eastAsia="zh-CN"/>
        </w:rPr>
        <w:t>全称</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4E56D065">
      <w:pPr>
        <w:spacing w:line="360" w:lineRule="auto"/>
        <w:rPr>
          <w:rFonts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308FC704">
      <w:pPr>
        <w:spacing w:line="360" w:lineRule="auto"/>
        <w:jc w:val="left"/>
        <w:rPr>
          <w:rFonts w:ascii="仿宋" w:hAnsi="仿宋" w:eastAsia="仿宋" w:cs="仿宋"/>
          <w:color w:val="auto"/>
          <w:sz w:val="24"/>
          <w:szCs w:val="24"/>
        </w:rPr>
      </w:pPr>
      <w:r>
        <w:rPr>
          <w:rFonts w:hint="eastAsia"/>
          <w:color w:val="auto"/>
          <w:sz w:val="24"/>
          <w:szCs w:val="24"/>
          <w:highlight w:val="none"/>
        </w:rPr>
        <w:t>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w:t>
      </w:r>
    </w:p>
    <w:p w14:paraId="2706D6DD">
      <w:pPr>
        <w:pStyle w:val="21"/>
        <w:spacing w:line="360" w:lineRule="auto"/>
        <w:rPr>
          <w:rFonts w:ascii="仿宋" w:hAnsi="仿宋" w:eastAsia="仿宋" w:cs="仿宋"/>
          <w:b/>
          <w:color w:val="auto"/>
          <w:sz w:val="24"/>
          <w:szCs w:val="24"/>
        </w:rPr>
      </w:pPr>
    </w:p>
    <w:p w14:paraId="2AB439CD">
      <w:pPr>
        <w:spacing w:line="360" w:lineRule="auto"/>
        <w:ind w:firstLine="480" w:firstLineChars="200"/>
        <w:rPr>
          <w:rFonts w:hint="eastAsia" w:ascii="仿宋" w:hAnsi="仿宋" w:eastAsia="仿宋" w:cs="仿宋"/>
          <w:color w:val="auto"/>
          <w:sz w:val="24"/>
          <w:szCs w:val="24"/>
        </w:rPr>
        <w:sectPr>
          <w:pgSz w:w="16838" w:h="11906" w:orient="landscape"/>
          <w:pgMar w:top="1417" w:right="1418" w:bottom="1134" w:left="1134" w:header="935" w:footer="720" w:gutter="0"/>
          <w:pgBorders>
            <w:top w:val="none" w:sz="0" w:space="0"/>
            <w:left w:val="none" w:sz="0" w:space="0"/>
            <w:bottom w:val="none" w:sz="0" w:space="0"/>
            <w:right w:val="none" w:sz="0" w:space="0"/>
          </w:pgBorders>
          <w:cols w:space="0" w:num="1"/>
          <w:rtlGutter w:val="0"/>
          <w:docGrid w:type="linesAndChars" w:linePitch="334" w:charSpace="0"/>
        </w:sectPr>
      </w:pPr>
    </w:p>
    <w:p w14:paraId="102FB4A9">
      <w:pPr>
        <w:widowControl/>
        <w:jc w:val="left"/>
        <w:rPr>
          <w:color w:val="auto"/>
          <w:highlight w:val="none"/>
        </w:rPr>
      </w:pPr>
    </w:p>
    <w:p w14:paraId="308EB01A">
      <w:pPr>
        <w:pStyle w:val="3"/>
        <w:rPr>
          <w:color w:val="auto"/>
          <w:highlight w:val="none"/>
        </w:rPr>
      </w:pPr>
      <w:bookmarkStart w:id="133" w:name="_Toc21526"/>
      <w:r>
        <w:rPr>
          <w:rFonts w:hint="eastAsia"/>
          <w:color w:val="auto"/>
          <w:highlight w:val="none"/>
        </w:rPr>
        <w:t>格式</w:t>
      </w:r>
      <w:r>
        <w:rPr>
          <w:rFonts w:hint="eastAsia"/>
          <w:color w:val="auto"/>
          <w:highlight w:val="none"/>
          <w:lang w:val="en-US" w:eastAsia="zh-CN"/>
        </w:rPr>
        <w:t>6</w:t>
      </w:r>
      <w:r>
        <w:rPr>
          <w:rFonts w:hint="eastAsia"/>
          <w:color w:val="auto"/>
          <w:highlight w:val="none"/>
        </w:rPr>
        <w:t>：开标（唱标）一览表</w:t>
      </w:r>
      <w:bookmarkEnd w:id="106"/>
      <w:bookmarkEnd w:id="107"/>
      <w:bookmarkEnd w:id="133"/>
    </w:p>
    <w:p w14:paraId="6D06A5B1">
      <w:pPr>
        <w:ind w:firstLine="522"/>
        <w:rPr>
          <w:color w:val="auto"/>
          <w:highlight w:val="none"/>
        </w:rPr>
      </w:pPr>
    </w:p>
    <w:p w14:paraId="330F65BF">
      <w:pPr>
        <w:spacing w:after="66" w:afterLines="20" w:line="420" w:lineRule="exact"/>
        <w:ind w:left="260" w:leftChars="124"/>
        <w:rPr>
          <w:rFonts w:hint="eastAsia" w:ascii="宋体" w:hAnsi="宋体" w:eastAsia="宋体"/>
          <w:bCs/>
          <w:color w:val="auto"/>
          <w:spacing w:val="10"/>
          <w:sz w:val="24"/>
          <w:highlight w:val="none"/>
          <w:lang w:eastAsia="zh-CN"/>
        </w:rPr>
      </w:pPr>
      <w:r>
        <w:rPr>
          <w:rFonts w:hint="eastAsia" w:ascii="宋体" w:hAnsi="宋体"/>
          <w:color w:val="auto"/>
          <w:spacing w:val="10"/>
          <w:sz w:val="24"/>
          <w:highlight w:val="none"/>
        </w:rPr>
        <w:t>项目名称：</w:t>
      </w:r>
      <w:r>
        <w:rPr>
          <w:rFonts w:hint="eastAsia" w:ascii="宋体" w:hAnsi="宋体"/>
          <w:bCs/>
          <w:color w:val="auto"/>
          <w:spacing w:val="10"/>
          <w:sz w:val="24"/>
          <w:highlight w:val="none"/>
          <w:lang w:eastAsia="zh-CN"/>
        </w:rPr>
        <w:t>天敌昆虫资源及产品转化平台建设项目采购一批天敌昆虫扩繁设备</w:t>
      </w:r>
    </w:p>
    <w:p w14:paraId="70BF2055">
      <w:pPr>
        <w:spacing w:after="66" w:afterLines="20" w:line="420" w:lineRule="exact"/>
        <w:ind w:firstLine="260" w:firstLineChars="100"/>
        <w:rPr>
          <w:rFonts w:hint="eastAsia" w:ascii="宋体" w:hAnsi="宋体" w:eastAsia="宋体"/>
          <w:bCs/>
          <w:color w:val="auto"/>
          <w:spacing w:val="6"/>
          <w:sz w:val="24"/>
          <w:highlight w:val="none"/>
          <w:lang w:eastAsia="zh-CN"/>
        </w:rPr>
      </w:pPr>
      <w:r>
        <w:rPr>
          <w:rFonts w:hint="eastAsia" w:ascii="宋体" w:hAnsi="宋体"/>
          <w:color w:val="auto"/>
          <w:spacing w:val="10"/>
          <w:sz w:val="24"/>
          <w:highlight w:val="none"/>
        </w:rPr>
        <w:t>招标编号：</w:t>
      </w:r>
      <w:r>
        <w:rPr>
          <w:rFonts w:hint="eastAsia" w:ascii="宋体" w:hAnsi="宋体"/>
          <w:bCs/>
          <w:color w:val="auto"/>
          <w:spacing w:val="6"/>
          <w:sz w:val="24"/>
          <w:highlight w:val="none"/>
          <w:lang w:eastAsia="zh-CN"/>
        </w:rPr>
        <w:t>ZG-2026087</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33"/>
        <w:gridCol w:w="2653"/>
        <w:gridCol w:w="1863"/>
        <w:gridCol w:w="1819"/>
      </w:tblGrid>
      <w:tr w14:paraId="184F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689" w:type="pct"/>
            <w:vMerge w:val="restart"/>
            <w:shd w:val="clear" w:color="auto" w:fill="auto"/>
            <w:vAlign w:val="center"/>
          </w:tcPr>
          <w:p w14:paraId="6EC5AED2">
            <w:pPr>
              <w:pStyle w:val="10"/>
              <w:ind w:firstLine="630" w:firstLineChars="300"/>
              <w:rPr>
                <w:color w:val="auto"/>
                <w:shd w:val="clear" w:color="FFFFFF" w:fill="D9D9D9"/>
              </w:rPr>
            </w:pPr>
            <w:bookmarkStart w:id="134" w:name="OLE_LINK9"/>
            <w:bookmarkStart w:id="135" w:name="OLE_LINK10"/>
            <w:r>
              <w:rPr>
                <w:rFonts w:hint="eastAsia"/>
                <w:color w:val="auto"/>
                <w:shd w:val="clear" w:color="FFFFFF"/>
              </w:rPr>
              <w:t>投标总价</w:t>
            </w:r>
            <w:bookmarkEnd w:id="134"/>
            <w:bookmarkEnd w:id="135"/>
            <w:r>
              <w:rPr>
                <w:rFonts w:hint="eastAsia"/>
                <w:color w:val="auto"/>
                <w:shd w:val="clear" w:color="FFFFFF"/>
              </w:rPr>
              <w:t>（元）</w:t>
            </w:r>
          </w:p>
        </w:tc>
        <w:tc>
          <w:tcPr>
            <w:tcW w:w="2359" w:type="pct"/>
            <w:gridSpan w:val="2"/>
            <w:shd w:val="clear" w:color="auto" w:fill="auto"/>
            <w:vAlign w:val="center"/>
          </w:tcPr>
          <w:p w14:paraId="1FD385B1">
            <w:pPr>
              <w:pStyle w:val="10"/>
              <w:ind w:firstLine="1260" w:firstLineChars="600"/>
              <w:rPr>
                <w:color w:val="auto"/>
                <w:shd w:val="clear" w:color="FFFFFF" w:fill="D9D9D9"/>
              </w:rPr>
            </w:pPr>
            <w:r>
              <w:rPr>
                <w:color w:val="auto"/>
                <w:shd w:val="clear" w:color="FFFFFF"/>
              </w:rPr>
              <w:t>合同履行期限</w:t>
            </w:r>
          </w:p>
        </w:tc>
        <w:tc>
          <w:tcPr>
            <w:tcW w:w="950" w:type="pct"/>
            <w:vMerge w:val="restart"/>
            <w:shd w:val="clear" w:color="auto" w:fill="auto"/>
            <w:vAlign w:val="center"/>
          </w:tcPr>
          <w:p w14:paraId="3C5087F3">
            <w:pPr>
              <w:pStyle w:val="10"/>
              <w:ind w:firstLine="420" w:firstLineChars="200"/>
              <w:rPr>
                <w:color w:val="auto"/>
                <w:shd w:val="clear" w:color="FFFFFF" w:fill="D9D9D9"/>
              </w:rPr>
            </w:pPr>
            <w:r>
              <w:rPr>
                <w:rFonts w:hint="eastAsia"/>
                <w:color w:val="auto"/>
                <w:shd w:val="clear" w:color="FFFFFF"/>
              </w:rPr>
              <w:t>备注</w:t>
            </w:r>
          </w:p>
        </w:tc>
      </w:tr>
      <w:tr w14:paraId="06401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1689" w:type="pct"/>
            <w:vMerge w:val="continue"/>
            <w:shd w:val="clear" w:color="auto" w:fill="D8D8D8" w:themeFill="background1" w:themeFillShade="D9"/>
            <w:vAlign w:val="center"/>
          </w:tcPr>
          <w:p w14:paraId="3C5D7553">
            <w:pPr>
              <w:pStyle w:val="10"/>
              <w:rPr>
                <w:color w:val="auto"/>
              </w:rPr>
            </w:pPr>
          </w:p>
        </w:tc>
        <w:tc>
          <w:tcPr>
            <w:tcW w:w="1386" w:type="pct"/>
            <w:shd w:val="clear" w:color="auto" w:fill="auto"/>
            <w:vAlign w:val="center"/>
          </w:tcPr>
          <w:p w14:paraId="5B4B005B">
            <w:pPr>
              <w:pStyle w:val="10"/>
              <w:ind w:firstLine="210" w:firstLineChars="100"/>
              <w:rPr>
                <w:color w:val="auto"/>
              </w:rPr>
            </w:pPr>
            <w:bookmarkStart w:id="136" w:name="OLE_LINK11"/>
            <w:bookmarkStart w:id="137" w:name="OLE_LINK12"/>
            <w:r>
              <w:rPr>
                <w:rFonts w:hint="eastAsia"/>
                <w:color w:val="auto"/>
              </w:rPr>
              <w:t>交货及安装调试期</w:t>
            </w:r>
            <w:bookmarkEnd w:id="136"/>
            <w:bookmarkEnd w:id="137"/>
          </w:p>
        </w:tc>
        <w:tc>
          <w:tcPr>
            <w:tcW w:w="973" w:type="pct"/>
            <w:shd w:val="clear" w:color="auto" w:fill="auto"/>
            <w:vAlign w:val="center"/>
          </w:tcPr>
          <w:p w14:paraId="21C35CD1">
            <w:pPr>
              <w:pStyle w:val="10"/>
              <w:ind w:firstLine="210" w:firstLineChars="100"/>
              <w:rPr>
                <w:color w:val="auto"/>
              </w:rPr>
            </w:pPr>
            <w:bookmarkStart w:id="138" w:name="OLE_LINK13"/>
            <w:bookmarkStart w:id="139" w:name="OLE_LINK14"/>
            <w:r>
              <w:rPr>
                <w:rFonts w:hint="eastAsia"/>
                <w:color w:val="auto"/>
              </w:rPr>
              <w:t>免费质保期</w:t>
            </w:r>
            <w:bookmarkEnd w:id="138"/>
            <w:bookmarkEnd w:id="139"/>
          </w:p>
        </w:tc>
        <w:tc>
          <w:tcPr>
            <w:tcW w:w="950" w:type="pct"/>
            <w:vMerge w:val="continue"/>
            <w:shd w:val="clear" w:color="auto" w:fill="D8D8D8" w:themeFill="background1" w:themeFillShade="D9"/>
            <w:vAlign w:val="center"/>
          </w:tcPr>
          <w:p w14:paraId="5E6A6104">
            <w:pPr>
              <w:pStyle w:val="10"/>
              <w:rPr>
                <w:color w:val="auto"/>
              </w:rPr>
            </w:pPr>
          </w:p>
        </w:tc>
      </w:tr>
      <w:tr w14:paraId="3BB30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jc w:val="center"/>
        </w:trPr>
        <w:tc>
          <w:tcPr>
            <w:tcW w:w="1689" w:type="pct"/>
            <w:tcBorders>
              <w:bottom w:val="single" w:color="auto" w:sz="4" w:space="0"/>
            </w:tcBorders>
          </w:tcPr>
          <w:p w14:paraId="135709D6">
            <w:pPr>
              <w:pStyle w:val="10"/>
              <w:rPr>
                <w:color w:val="auto"/>
              </w:rPr>
            </w:pPr>
          </w:p>
          <w:p w14:paraId="379DF53F">
            <w:pPr>
              <w:pStyle w:val="10"/>
              <w:rPr>
                <w:color w:val="auto"/>
              </w:rPr>
            </w:pPr>
            <w:r>
              <w:rPr>
                <w:rFonts w:hint="eastAsia"/>
                <w:color w:val="auto"/>
              </w:rPr>
              <w:t>小写：¥</w:t>
            </w:r>
            <w:r>
              <w:rPr>
                <w:color w:val="auto"/>
                <w:u w:val="single"/>
              </w:rPr>
              <w:t xml:space="preserve">      </w:t>
            </w:r>
            <w:r>
              <w:rPr>
                <w:rFonts w:hint="eastAsia"/>
                <w:color w:val="auto"/>
                <w:u w:val="single"/>
                <w:lang w:val="en-US" w:eastAsia="zh-CN"/>
              </w:rPr>
              <w:t xml:space="preserve">  </w:t>
            </w:r>
            <w:r>
              <w:rPr>
                <w:color w:val="auto"/>
                <w:u w:val="single"/>
              </w:rPr>
              <w:t xml:space="preserve">   </w:t>
            </w:r>
            <w:r>
              <w:rPr>
                <w:rFonts w:hint="eastAsia"/>
                <w:color w:val="auto"/>
                <w:u w:val="single"/>
                <w:lang w:val="en-US" w:eastAsia="zh-CN"/>
              </w:rPr>
              <w:t xml:space="preserve"> </w:t>
            </w:r>
            <w:r>
              <w:rPr>
                <w:color w:val="auto"/>
                <w:u w:val="single"/>
              </w:rPr>
              <w:t xml:space="preserve">  </w:t>
            </w:r>
            <w:r>
              <w:rPr>
                <w:color w:val="auto"/>
              </w:rPr>
              <w:t xml:space="preserve">元     </w:t>
            </w:r>
          </w:p>
          <w:p w14:paraId="0F3B1100">
            <w:pPr>
              <w:pStyle w:val="10"/>
              <w:rPr>
                <w:color w:val="auto"/>
              </w:rPr>
            </w:pPr>
            <w:r>
              <w:rPr>
                <w:rFonts w:hint="eastAsia"/>
                <w:color w:val="auto"/>
              </w:rPr>
              <w:t>大写：人民币</w:t>
            </w:r>
            <w:r>
              <w:rPr>
                <w:rFonts w:hint="eastAsia"/>
                <w:color w:val="auto"/>
                <w:u w:val="single"/>
              </w:rPr>
              <w:t xml:space="preserve"> </w:t>
            </w:r>
            <w:r>
              <w:rPr>
                <w:color w:val="auto"/>
                <w:u w:val="single"/>
              </w:rPr>
              <w:t xml:space="preserve">    </w:t>
            </w:r>
            <w:r>
              <w:rPr>
                <w:rFonts w:hint="eastAsia"/>
                <w:color w:val="auto"/>
                <w:u w:val="single"/>
                <w:lang w:val="en-US" w:eastAsia="zh-CN"/>
              </w:rPr>
              <w:t xml:space="preserve">  </w:t>
            </w:r>
            <w:r>
              <w:rPr>
                <w:color w:val="auto"/>
                <w:u w:val="single"/>
              </w:rPr>
              <w:t xml:space="preserve">  </w:t>
            </w:r>
            <w:r>
              <w:rPr>
                <w:color w:val="auto"/>
              </w:rPr>
              <w:t xml:space="preserve">      </w:t>
            </w:r>
          </w:p>
        </w:tc>
        <w:tc>
          <w:tcPr>
            <w:tcW w:w="1386" w:type="pct"/>
            <w:tcBorders>
              <w:bottom w:val="single" w:color="auto" w:sz="4" w:space="0"/>
            </w:tcBorders>
          </w:tcPr>
          <w:p w14:paraId="09C020EC">
            <w:pPr>
              <w:pStyle w:val="10"/>
              <w:rPr>
                <w:color w:val="auto"/>
              </w:rPr>
            </w:pPr>
          </w:p>
        </w:tc>
        <w:tc>
          <w:tcPr>
            <w:tcW w:w="973" w:type="pct"/>
            <w:tcBorders>
              <w:bottom w:val="single" w:color="auto" w:sz="4" w:space="0"/>
            </w:tcBorders>
          </w:tcPr>
          <w:p w14:paraId="3269C98F">
            <w:pPr>
              <w:pStyle w:val="10"/>
              <w:rPr>
                <w:color w:val="auto"/>
              </w:rPr>
            </w:pPr>
          </w:p>
        </w:tc>
        <w:tc>
          <w:tcPr>
            <w:tcW w:w="950" w:type="pct"/>
            <w:tcBorders>
              <w:bottom w:val="single" w:color="auto" w:sz="4" w:space="0"/>
            </w:tcBorders>
          </w:tcPr>
          <w:p w14:paraId="09189255">
            <w:pPr>
              <w:pStyle w:val="10"/>
              <w:rPr>
                <w:color w:val="auto"/>
              </w:rPr>
            </w:pPr>
          </w:p>
        </w:tc>
      </w:tr>
    </w:tbl>
    <w:p w14:paraId="0D51B5ED">
      <w:pPr>
        <w:spacing w:line="480" w:lineRule="exact"/>
        <w:ind w:firstLine="480" w:firstLineChars="200"/>
        <w:rPr>
          <w:rFonts w:ascii="宋体" w:hAnsi="宋体"/>
          <w:b/>
          <w:bCs/>
          <w:color w:val="auto"/>
          <w:sz w:val="24"/>
          <w:highlight w:val="none"/>
        </w:rPr>
      </w:pPr>
      <w:r>
        <w:rPr>
          <w:rFonts w:hint="eastAsia" w:ascii="宋体" w:hAnsi="宋体"/>
          <w:b/>
          <w:color w:val="auto"/>
          <w:sz w:val="24"/>
          <w:szCs w:val="20"/>
          <w:highlight w:val="none"/>
        </w:rPr>
        <w:t>备注：报价包括</w:t>
      </w:r>
      <w:r>
        <w:rPr>
          <w:rFonts w:hint="eastAsia" w:ascii="宋体" w:hAnsi="宋体"/>
          <w:b/>
          <w:color w:val="auto"/>
          <w:sz w:val="24"/>
          <w:szCs w:val="20"/>
          <w:highlight w:val="none"/>
          <w:lang w:val="en-US" w:eastAsia="zh-CN"/>
        </w:rPr>
        <w:t>但不限于</w:t>
      </w:r>
      <w:r>
        <w:rPr>
          <w:rFonts w:hint="eastAsia" w:ascii="宋体" w:hAnsi="宋体"/>
          <w:b/>
          <w:color w:val="auto"/>
          <w:sz w:val="24"/>
          <w:szCs w:val="20"/>
          <w:highlight w:val="none"/>
        </w:rPr>
        <w:t>货物价格、装卸运输费、安装费、调试费、差旅费、质保期内备品备件费</w:t>
      </w:r>
      <w:r>
        <w:rPr>
          <w:rFonts w:hint="eastAsia" w:ascii="宋体" w:hAnsi="宋体"/>
          <w:b/>
          <w:color w:val="auto"/>
          <w:sz w:val="24"/>
          <w:szCs w:val="20"/>
          <w:highlight w:val="none"/>
          <w:lang w:eastAsia="zh-CN"/>
        </w:rPr>
        <w:t>、</w:t>
      </w:r>
      <w:r>
        <w:rPr>
          <w:rFonts w:hint="eastAsia" w:ascii="宋体" w:hAnsi="宋体"/>
          <w:b/>
          <w:color w:val="auto"/>
          <w:sz w:val="24"/>
          <w:szCs w:val="20"/>
          <w:highlight w:val="none"/>
        </w:rPr>
        <w:t>售后服务费、保险费、税金、</w:t>
      </w:r>
      <w:r>
        <w:rPr>
          <w:rFonts w:hint="eastAsia" w:ascii="宋体" w:hAnsi="宋体"/>
          <w:b/>
          <w:color w:val="auto"/>
          <w:sz w:val="24"/>
          <w:szCs w:val="20"/>
          <w:highlight w:val="none"/>
          <w:lang w:eastAsia="zh-CN"/>
        </w:rPr>
        <w:t>中标服务费等完成本项目所需的所有费用</w:t>
      </w:r>
      <w:r>
        <w:rPr>
          <w:rFonts w:hint="eastAsia" w:ascii="宋体" w:hAnsi="宋体"/>
          <w:b/>
          <w:color w:val="auto"/>
          <w:sz w:val="24"/>
          <w:szCs w:val="20"/>
          <w:highlight w:val="none"/>
        </w:rPr>
        <w:t>。</w:t>
      </w:r>
      <w:r>
        <w:rPr>
          <w:rFonts w:hint="eastAsia" w:ascii="宋体" w:hAnsi="宋体"/>
          <w:b/>
          <w:bCs/>
          <w:color w:val="auto"/>
          <w:sz w:val="24"/>
          <w:highlight w:val="none"/>
        </w:rPr>
        <w:t>若中标，中标人不得再增加其它费用，否则甲方有权拒签合同或拒付合同价款。因此投标人在报价时应充分考虑各种成本、风险。</w:t>
      </w:r>
    </w:p>
    <w:p w14:paraId="12BCF714">
      <w:pPr>
        <w:pStyle w:val="15"/>
        <w:rPr>
          <w:color w:val="auto"/>
          <w:highlight w:val="none"/>
        </w:rPr>
      </w:pPr>
    </w:p>
    <w:p w14:paraId="212542AF">
      <w:pPr>
        <w:rPr>
          <w:color w:val="auto"/>
          <w:highlight w:val="none"/>
        </w:rPr>
      </w:pPr>
    </w:p>
    <w:p w14:paraId="765F73A8">
      <w:pPr>
        <w:spacing w:line="360" w:lineRule="auto"/>
        <w:ind w:firstLine="240" w:firstLineChars="100"/>
        <w:jc w:val="left"/>
        <w:rPr>
          <w:rFonts w:ascii="宋体"/>
          <w:color w:val="auto"/>
          <w:sz w:val="24"/>
          <w:highlight w:val="none"/>
        </w:rPr>
      </w:pPr>
      <w:r>
        <w:rPr>
          <w:rFonts w:hint="eastAsia" w:ascii="宋体"/>
          <w:color w:val="auto"/>
          <w:sz w:val="24"/>
          <w:highlight w:val="none"/>
        </w:rPr>
        <w:t>投标人</w:t>
      </w:r>
      <w:r>
        <w:rPr>
          <w:rFonts w:hint="eastAsia" w:ascii="宋体"/>
          <w:color w:val="auto"/>
          <w:sz w:val="24"/>
          <w:highlight w:val="none"/>
          <w:lang w:val="en-US" w:eastAsia="zh-CN"/>
        </w:rPr>
        <w:t>全称</w:t>
      </w:r>
      <w:r>
        <w:rPr>
          <w:rFonts w:hint="eastAsia" w:ascii="宋体"/>
          <w:color w:val="auto"/>
          <w:sz w:val="24"/>
          <w:highlight w:val="none"/>
        </w:rPr>
        <w:t>：</w:t>
      </w:r>
      <w:r>
        <w:rPr>
          <w:rFonts w:hint="eastAsia" w:ascii="宋体"/>
          <w:color w:val="auto"/>
          <w:sz w:val="24"/>
          <w:highlight w:val="none"/>
          <w:u w:val="single"/>
        </w:rPr>
        <w:t xml:space="preserve">                                </w:t>
      </w:r>
      <w:r>
        <w:rPr>
          <w:rFonts w:hint="eastAsia" w:ascii="宋体"/>
          <w:color w:val="auto"/>
          <w:sz w:val="24"/>
          <w:highlight w:val="none"/>
        </w:rPr>
        <w:t>（电子签章）</w:t>
      </w:r>
    </w:p>
    <w:p w14:paraId="46E4F97A">
      <w:pPr>
        <w:spacing w:line="360" w:lineRule="auto"/>
        <w:ind w:firstLine="240" w:firstLineChars="100"/>
        <w:jc w:val="left"/>
        <w:rPr>
          <w:rFonts w:ascii="宋体"/>
          <w:color w:val="auto"/>
          <w:sz w:val="24"/>
          <w:highlight w:val="none"/>
        </w:rPr>
      </w:pPr>
      <w:r>
        <w:rPr>
          <w:rFonts w:hint="eastAsia" w:ascii="宋体"/>
          <w:color w:val="auto"/>
          <w:sz w:val="24"/>
          <w:highlight w:val="none"/>
        </w:rPr>
        <w:t>法定代表人或其委托代理人：</w:t>
      </w:r>
      <w:r>
        <w:rPr>
          <w:rFonts w:hint="eastAsia" w:ascii="宋体"/>
          <w:color w:val="auto"/>
          <w:sz w:val="24"/>
          <w:highlight w:val="none"/>
          <w:u w:val="single"/>
        </w:rPr>
        <w:t xml:space="preserve">             </w:t>
      </w:r>
      <w:r>
        <w:rPr>
          <w:rFonts w:hint="eastAsia" w:ascii="宋体"/>
          <w:color w:val="auto"/>
          <w:sz w:val="24"/>
          <w:highlight w:val="none"/>
        </w:rPr>
        <w:t xml:space="preserve"> （电子签章）</w:t>
      </w:r>
    </w:p>
    <w:p w14:paraId="5943AA7D">
      <w:pPr>
        <w:pStyle w:val="21"/>
        <w:spacing w:line="360" w:lineRule="auto"/>
        <w:ind w:firstLine="240" w:firstLineChars="100"/>
        <w:rPr>
          <w:color w:val="auto"/>
          <w:sz w:val="24"/>
          <w:szCs w:val="24"/>
          <w:highlight w:val="none"/>
          <w:u w:val="single"/>
        </w:rPr>
      </w:pPr>
      <w:r>
        <w:rPr>
          <w:rFonts w:hint="eastAsia"/>
          <w:color w:val="auto"/>
          <w:sz w:val="24"/>
          <w:highlight w:val="none"/>
        </w:rPr>
        <w:t>日期：</w:t>
      </w:r>
      <w:r>
        <w:rPr>
          <w:rFonts w:hint="eastAsia"/>
          <w:color w:val="auto"/>
          <w:sz w:val="24"/>
          <w:highlight w:val="none"/>
          <w:u w:val="single"/>
        </w:rPr>
        <w:t xml:space="preserve">          </w:t>
      </w:r>
      <w:r>
        <w:rPr>
          <w:rFonts w:hint="eastAsia"/>
          <w:color w:val="auto"/>
          <w:sz w:val="24"/>
          <w:highlight w:val="none"/>
        </w:rPr>
        <w:t>年</w:t>
      </w:r>
      <w:r>
        <w:rPr>
          <w:rFonts w:hint="eastAsia"/>
          <w:color w:val="auto"/>
          <w:sz w:val="24"/>
          <w:highlight w:val="none"/>
          <w:u w:val="single"/>
        </w:rPr>
        <w:t xml:space="preserve">       </w:t>
      </w:r>
      <w:r>
        <w:rPr>
          <w:rFonts w:hint="eastAsia"/>
          <w:color w:val="auto"/>
          <w:sz w:val="24"/>
          <w:highlight w:val="none"/>
        </w:rPr>
        <w:t>月</w:t>
      </w:r>
      <w:r>
        <w:rPr>
          <w:rFonts w:hint="eastAsia"/>
          <w:color w:val="auto"/>
          <w:sz w:val="24"/>
          <w:highlight w:val="none"/>
          <w:u w:val="single"/>
        </w:rPr>
        <w:t xml:space="preserve">       </w:t>
      </w:r>
      <w:r>
        <w:rPr>
          <w:rFonts w:hint="eastAsia"/>
          <w:color w:val="auto"/>
          <w:sz w:val="24"/>
          <w:highlight w:val="none"/>
        </w:rPr>
        <w:t>日</w:t>
      </w:r>
    </w:p>
    <w:p w14:paraId="13F07034">
      <w:pPr>
        <w:pStyle w:val="21"/>
        <w:spacing w:line="360" w:lineRule="auto"/>
        <w:ind w:firstLine="522"/>
        <w:rPr>
          <w:color w:val="auto"/>
          <w:sz w:val="24"/>
          <w:szCs w:val="24"/>
          <w:highlight w:val="none"/>
          <w:u w:val="single"/>
        </w:rPr>
      </w:pPr>
    </w:p>
    <w:p w14:paraId="0A0D38DC">
      <w:pPr>
        <w:widowControl/>
        <w:ind w:firstLine="522"/>
        <w:jc w:val="left"/>
        <w:rPr>
          <w:color w:val="auto"/>
          <w:highlight w:val="none"/>
        </w:rPr>
      </w:pPr>
    </w:p>
    <w:p w14:paraId="384B0BB7">
      <w:pPr>
        <w:pStyle w:val="3"/>
        <w:rPr>
          <w:rFonts w:ascii="宋体" w:hAnsi="宋体" w:eastAsia="宋体"/>
          <w:color w:val="auto"/>
          <w:szCs w:val="28"/>
          <w:highlight w:val="none"/>
        </w:rPr>
        <w:sectPr>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pPr>
      <w:bookmarkStart w:id="140" w:name="_Toc134288076"/>
    </w:p>
    <w:bookmarkEnd w:id="140"/>
    <w:p w14:paraId="21065A73">
      <w:pPr>
        <w:pStyle w:val="3"/>
        <w:numPr>
          <w:ilvl w:val="0"/>
          <w:numId w:val="0"/>
        </w:numPr>
        <w:tabs>
          <w:tab w:val="clear" w:pos="1021"/>
        </w:tabs>
        <w:spacing w:before="0"/>
        <w:jc w:val="center"/>
        <w:rPr>
          <w:rFonts w:hint="eastAsia" w:ascii="宋体" w:hAnsi="宋体" w:eastAsia="宋体"/>
          <w:color w:val="auto"/>
          <w:szCs w:val="28"/>
        </w:rPr>
      </w:pPr>
      <w:bookmarkStart w:id="141" w:name="_Toc4347"/>
      <w:bookmarkStart w:id="142" w:name="_Toc8404"/>
      <w:bookmarkStart w:id="143" w:name="_Toc24496"/>
      <w:bookmarkStart w:id="144" w:name="_Toc150703260"/>
      <w:bookmarkStart w:id="145" w:name="_Toc525998715"/>
      <w:r>
        <w:rPr>
          <w:rFonts w:hint="eastAsia"/>
          <w:color w:val="auto"/>
          <w:highlight w:val="none"/>
        </w:rPr>
        <w:t>格式</w:t>
      </w:r>
      <w:r>
        <w:rPr>
          <w:rFonts w:hint="eastAsia"/>
          <w:color w:val="auto"/>
          <w:highlight w:val="none"/>
          <w:lang w:val="en-US" w:eastAsia="zh-CN"/>
        </w:rPr>
        <w:t>7</w:t>
      </w:r>
      <w:r>
        <w:rPr>
          <w:rFonts w:hint="eastAsia"/>
          <w:color w:val="auto"/>
          <w:highlight w:val="none"/>
        </w:rPr>
        <w:t>：投标分项报价一览表</w:t>
      </w:r>
      <w:bookmarkEnd w:id="141"/>
      <w:bookmarkEnd w:id="142"/>
      <w:bookmarkEnd w:id="143"/>
    </w:p>
    <w:p w14:paraId="7237C509">
      <w:pPr>
        <w:rPr>
          <w:rFonts w:hint="eastAsia"/>
          <w:color w:val="auto"/>
        </w:rPr>
      </w:pPr>
    </w:p>
    <w:p w14:paraId="1191A465">
      <w:pPr>
        <w:spacing w:after="66" w:afterLines="20" w:line="420" w:lineRule="exact"/>
        <w:ind w:firstLine="260" w:firstLineChars="100"/>
        <w:rPr>
          <w:rFonts w:hint="eastAsia" w:ascii="宋体" w:hAnsi="宋体"/>
          <w:bCs/>
          <w:color w:val="auto"/>
          <w:spacing w:val="10"/>
          <w:sz w:val="24"/>
          <w:lang w:eastAsia="zh-CN"/>
        </w:rPr>
      </w:pPr>
      <w:r>
        <w:rPr>
          <w:rFonts w:hint="eastAsia" w:ascii="宋体" w:hAnsi="宋体"/>
          <w:color w:val="auto"/>
          <w:spacing w:val="10"/>
          <w:sz w:val="24"/>
        </w:rPr>
        <w:t>项目名称：</w:t>
      </w:r>
      <w:r>
        <w:rPr>
          <w:rFonts w:hint="eastAsia" w:ascii="宋体" w:hAnsi="宋体"/>
          <w:bCs/>
          <w:color w:val="auto"/>
          <w:spacing w:val="10"/>
          <w:sz w:val="24"/>
          <w:lang w:eastAsia="zh-CN"/>
        </w:rPr>
        <w:t>云南省生态环境工程评估中心人工智能设备采购项目</w:t>
      </w:r>
    </w:p>
    <w:p w14:paraId="02083625">
      <w:pPr>
        <w:spacing w:after="66" w:afterLines="20" w:line="420" w:lineRule="exact"/>
        <w:ind w:firstLine="260" w:firstLineChars="100"/>
        <w:rPr>
          <w:rFonts w:hint="eastAsia" w:ascii="宋体" w:hAnsi="宋体" w:eastAsia="宋体"/>
          <w:color w:val="auto"/>
          <w:spacing w:val="10"/>
          <w:sz w:val="24"/>
          <w:lang w:eastAsia="zh-CN"/>
        </w:rPr>
      </w:pPr>
      <w:r>
        <w:rPr>
          <w:rFonts w:hint="eastAsia" w:ascii="宋体" w:hAnsi="宋体"/>
          <w:color w:val="auto"/>
          <w:spacing w:val="10"/>
          <w:sz w:val="24"/>
        </w:rPr>
        <w:t>招标编号：</w:t>
      </w:r>
      <w:r>
        <w:rPr>
          <w:rFonts w:hint="eastAsia" w:ascii="宋体" w:hAnsi="宋体"/>
          <w:bCs/>
          <w:color w:val="auto"/>
          <w:spacing w:val="6"/>
          <w:sz w:val="24"/>
          <w:lang w:eastAsia="zh-CN"/>
        </w:rPr>
        <w:t>ZG-2026081</w:t>
      </w:r>
    </w:p>
    <w:tbl>
      <w:tblPr>
        <w:tblStyle w:val="32"/>
        <w:tblW w:w="53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38"/>
        <w:gridCol w:w="1106"/>
        <w:gridCol w:w="1669"/>
        <w:gridCol w:w="788"/>
        <w:gridCol w:w="950"/>
        <w:gridCol w:w="1887"/>
        <w:gridCol w:w="1428"/>
      </w:tblGrid>
      <w:tr w14:paraId="7606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401" w:type="pct"/>
            <w:shd w:val="clear" w:color="000000" w:fill="D8D8D8"/>
            <w:noWrap/>
            <w:vAlign w:val="center"/>
          </w:tcPr>
          <w:p w14:paraId="1B418F4A">
            <w:pPr>
              <w:widowControl/>
              <w:jc w:val="center"/>
              <w:rPr>
                <w:rFonts w:ascii="宋体" w:hAnsi="宋体"/>
                <w:bCs/>
                <w:color w:val="auto"/>
                <w:spacing w:val="10"/>
                <w:sz w:val="24"/>
              </w:rPr>
            </w:pPr>
            <w:r>
              <w:rPr>
                <w:rFonts w:hint="eastAsia" w:ascii="宋体" w:hAnsi="宋体"/>
                <w:bCs/>
                <w:color w:val="auto"/>
                <w:spacing w:val="10"/>
                <w:sz w:val="24"/>
              </w:rPr>
              <w:t>序号</w:t>
            </w:r>
          </w:p>
        </w:tc>
        <w:tc>
          <w:tcPr>
            <w:tcW w:w="755" w:type="pct"/>
            <w:shd w:val="clear" w:color="000000" w:fill="D8D8D8"/>
            <w:noWrap/>
            <w:vAlign w:val="center"/>
          </w:tcPr>
          <w:p w14:paraId="538760B5">
            <w:pPr>
              <w:widowControl/>
              <w:jc w:val="center"/>
              <w:rPr>
                <w:rFonts w:ascii="宋体" w:hAnsi="宋体"/>
                <w:bCs/>
                <w:color w:val="auto"/>
                <w:spacing w:val="10"/>
                <w:sz w:val="24"/>
              </w:rPr>
            </w:pPr>
            <w:r>
              <w:rPr>
                <w:rFonts w:hint="eastAsia" w:ascii="宋体" w:hAnsi="宋体"/>
                <w:bCs/>
                <w:color w:val="auto"/>
                <w:spacing w:val="10"/>
                <w:sz w:val="24"/>
              </w:rPr>
              <w:t>标的名称</w:t>
            </w:r>
          </w:p>
        </w:tc>
        <w:tc>
          <w:tcPr>
            <w:tcW w:w="543" w:type="pct"/>
            <w:shd w:val="clear" w:color="000000" w:fill="D8D8D8"/>
            <w:noWrap w:val="0"/>
            <w:vAlign w:val="center"/>
          </w:tcPr>
          <w:p w14:paraId="2CAEEFFA">
            <w:pPr>
              <w:widowControl/>
              <w:jc w:val="center"/>
              <w:rPr>
                <w:rFonts w:ascii="宋体" w:hAnsi="宋体"/>
                <w:bCs/>
                <w:color w:val="auto"/>
                <w:spacing w:val="10"/>
                <w:sz w:val="24"/>
              </w:rPr>
            </w:pPr>
            <w:r>
              <w:rPr>
                <w:rFonts w:hint="eastAsia" w:ascii="宋体" w:hAnsi="宋体"/>
                <w:bCs/>
                <w:color w:val="auto"/>
                <w:spacing w:val="10"/>
                <w:sz w:val="24"/>
              </w:rPr>
              <w:t>品牌</w:t>
            </w:r>
          </w:p>
        </w:tc>
        <w:tc>
          <w:tcPr>
            <w:tcW w:w="819" w:type="pct"/>
            <w:shd w:val="clear" w:color="000000" w:fill="D8D8D8"/>
            <w:noWrap w:val="0"/>
            <w:vAlign w:val="center"/>
          </w:tcPr>
          <w:p w14:paraId="0DDF08DD">
            <w:pPr>
              <w:widowControl/>
              <w:jc w:val="center"/>
              <w:rPr>
                <w:rFonts w:ascii="宋体" w:hAnsi="宋体"/>
                <w:bCs/>
                <w:color w:val="auto"/>
                <w:spacing w:val="10"/>
                <w:sz w:val="24"/>
              </w:rPr>
            </w:pPr>
            <w:r>
              <w:rPr>
                <w:rFonts w:hint="eastAsia" w:ascii="宋体" w:hAnsi="宋体"/>
                <w:bCs/>
                <w:color w:val="auto"/>
                <w:spacing w:val="10"/>
                <w:sz w:val="24"/>
              </w:rPr>
              <w:t>规格、型号</w:t>
            </w:r>
          </w:p>
        </w:tc>
        <w:tc>
          <w:tcPr>
            <w:tcW w:w="386" w:type="pct"/>
            <w:shd w:val="clear" w:color="000000" w:fill="D8D8D8"/>
            <w:noWrap w:val="0"/>
            <w:vAlign w:val="center"/>
          </w:tcPr>
          <w:p w14:paraId="7B196B86">
            <w:pPr>
              <w:widowControl/>
              <w:jc w:val="center"/>
              <w:rPr>
                <w:rFonts w:ascii="宋体" w:hAnsi="宋体"/>
                <w:bCs/>
                <w:color w:val="auto"/>
                <w:spacing w:val="10"/>
                <w:sz w:val="24"/>
              </w:rPr>
            </w:pPr>
            <w:r>
              <w:rPr>
                <w:rFonts w:hint="eastAsia" w:ascii="宋体" w:hAnsi="宋体"/>
                <w:bCs/>
                <w:color w:val="auto"/>
                <w:spacing w:val="10"/>
                <w:sz w:val="24"/>
              </w:rPr>
              <w:t>数量</w:t>
            </w:r>
          </w:p>
        </w:tc>
        <w:tc>
          <w:tcPr>
            <w:tcW w:w="466" w:type="pct"/>
            <w:shd w:val="clear" w:color="000000" w:fill="D8D8D8"/>
            <w:noWrap w:val="0"/>
            <w:vAlign w:val="center"/>
          </w:tcPr>
          <w:p w14:paraId="6A5DB412">
            <w:pPr>
              <w:widowControl/>
              <w:jc w:val="center"/>
              <w:rPr>
                <w:rFonts w:ascii="宋体" w:hAnsi="宋体"/>
                <w:bCs/>
                <w:color w:val="auto"/>
                <w:spacing w:val="10"/>
                <w:sz w:val="24"/>
              </w:rPr>
            </w:pPr>
            <w:r>
              <w:rPr>
                <w:rFonts w:hint="eastAsia" w:ascii="宋体" w:hAnsi="宋体"/>
                <w:bCs/>
                <w:color w:val="auto"/>
                <w:spacing w:val="10"/>
                <w:sz w:val="24"/>
              </w:rPr>
              <w:t>单位</w:t>
            </w:r>
          </w:p>
        </w:tc>
        <w:tc>
          <w:tcPr>
            <w:tcW w:w="926" w:type="pct"/>
            <w:shd w:val="clear" w:color="000000" w:fill="D8D8D8"/>
            <w:noWrap w:val="0"/>
            <w:vAlign w:val="center"/>
          </w:tcPr>
          <w:p w14:paraId="18988220">
            <w:pPr>
              <w:widowControl/>
              <w:jc w:val="center"/>
              <w:rPr>
                <w:rFonts w:ascii="宋体" w:hAnsi="宋体"/>
                <w:bCs/>
                <w:color w:val="auto"/>
                <w:spacing w:val="10"/>
                <w:sz w:val="24"/>
              </w:rPr>
            </w:pPr>
            <w:r>
              <w:rPr>
                <w:rFonts w:hint="eastAsia" w:ascii="宋体" w:hAnsi="宋体"/>
                <w:bCs/>
                <w:color w:val="auto"/>
                <w:spacing w:val="10"/>
                <w:sz w:val="24"/>
              </w:rPr>
              <w:t>投标单价（元）</w:t>
            </w:r>
          </w:p>
        </w:tc>
        <w:tc>
          <w:tcPr>
            <w:tcW w:w="701" w:type="pct"/>
            <w:shd w:val="clear" w:color="000000" w:fill="D8D8D8"/>
            <w:noWrap w:val="0"/>
            <w:vAlign w:val="center"/>
          </w:tcPr>
          <w:p w14:paraId="27335627">
            <w:pPr>
              <w:widowControl/>
              <w:jc w:val="center"/>
              <w:rPr>
                <w:rFonts w:ascii="宋体" w:hAnsi="宋体"/>
                <w:bCs/>
                <w:color w:val="auto"/>
                <w:spacing w:val="10"/>
                <w:sz w:val="24"/>
              </w:rPr>
            </w:pPr>
            <w:r>
              <w:rPr>
                <w:rFonts w:hint="eastAsia" w:ascii="宋体" w:hAnsi="宋体"/>
                <w:bCs/>
                <w:color w:val="auto"/>
                <w:spacing w:val="10"/>
                <w:sz w:val="24"/>
                <w:lang w:val="en-US" w:eastAsia="zh-CN"/>
              </w:rPr>
              <w:t>合计</w:t>
            </w:r>
            <w:r>
              <w:rPr>
                <w:rFonts w:hint="eastAsia" w:ascii="宋体" w:hAnsi="宋体"/>
                <w:bCs/>
                <w:color w:val="auto"/>
                <w:spacing w:val="10"/>
                <w:sz w:val="24"/>
              </w:rPr>
              <w:t>（元）</w:t>
            </w:r>
          </w:p>
        </w:tc>
      </w:tr>
      <w:tr w14:paraId="5C73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401" w:type="pct"/>
            <w:shd w:val="clear" w:color="000000" w:fill="FFFFFF"/>
            <w:noWrap/>
            <w:vAlign w:val="center"/>
          </w:tcPr>
          <w:p w14:paraId="6F1F6904">
            <w:pPr>
              <w:widowControl/>
              <w:jc w:val="center"/>
              <w:rPr>
                <w:color w:val="auto"/>
                <w:kern w:val="0"/>
                <w:sz w:val="24"/>
              </w:rPr>
            </w:pPr>
            <w:r>
              <w:rPr>
                <w:rFonts w:hint="eastAsia"/>
                <w:color w:val="auto"/>
              </w:rPr>
              <w:t>1</w:t>
            </w:r>
          </w:p>
        </w:tc>
        <w:tc>
          <w:tcPr>
            <w:tcW w:w="755" w:type="pct"/>
            <w:noWrap w:val="0"/>
            <w:vAlign w:val="center"/>
          </w:tcPr>
          <w:p w14:paraId="6883ADC3">
            <w:pPr>
              <w:widowControl/>
              <w:jc w:val="center"/>
              <w:rPr>
                <w:rFonts w:ascii="宋体" w:hAnsi="宋体"/>
                <w:bCs/>
                <w:color w:val="auto"/>
                <w:sz w:val="24"/>
              </w:rPr>
            </w:pPr>
          </w:p>
        </w:tc>
        <w:tc>
          <w:tcPr>
            <w:tcW w:w="543" w:type="pct"/>
            <w:noWrap w:val="0"/>
            <w:vAlign w:val="top"/>
          </w:tcPr>
          <w:p w14:paraId="0BDEDAC8">
            <w:pPr>
              <w:widowControl/>
              <w:jc w:val="center"/>
              <w:rPr>
                <w:rFonts w:ascii="宋体" w:hAnsi="宋体"/>
                <w:bCs/>
                <w:color w:val="auto"/>
                <w:spacing w:val="10"/>
                <w:sz w:val="24"/>
              </w:rPr>
            </w:pPr>
          </w:p>
        </w:tc>
        <w:tc>
          <w:tcPr>
            <w:tcW w:w="819" w:type="pct"/>
            <w:noWrap w:val="0"/>
            <w:vAlign w:val="top"/>
          </w:tcPr>
          <w:p w14:paraId="082DEC97">
            <w:pPr>
              <w:widowControl/>
              <w:jc w:val="center"/>
              <w:rPr>
                <w:rFonts w:ascii="宋体" w:hAnsi="宋体"/>
                <w:bCs/>
                <w:color w:val="auto"/>
                <w:spacing w:val="10"/>
                <w:sz w:val="24"/>
              </w:rPr>
            </w:pPr>
          </w:p>
        </w:tc>
        <w:tc>
          <w:tcPr>
            <w:tcW w:w="386" w:type="pct"/>
            <w:noWrap w:val="0"/>
            <w:vAlign w:val="center"/>
          </w:tcPr>
          <w:p w14:paraId="243F2D45">
            <w:pPr>
              <w:widowControl/>
              <w:jc w:val="center"/>
              <w:rPr>
                <w:rFonts w:ascii="宋体" w:hAnsi="宋体"/>
                <w:bCs/>
                <w:color w:val="auto"/>
                <w:spacing w:val="10"/>
                <w:sz w:val="24"/>
              </w:rPr>
            </w:pPr>
          </w:p>
        </w:tc>
        <w:tc>
          <w:tcPr>
            <w:tcW w:w="466" w:type="pct"/>
            <w:noWrap w:val="0"/>
            <w:vAlign w:val="center"/>
          </w:tcPr>
          <w:p w14:paraId="731D5AE2">
            <w:pPr>
              <w:widowControl/>
              <w:jc w:val="center"/>
              <w:rPr>
                <w:rFonts w:ascii="宋体" w:hAnsi="宋体"/>
                <w:bCs/>
                <w:color w:val="auto"/>
                <w:spacing w:val="10"/>
                <w:sz w:val="24"/>
              </w:rPr>
            </w:pPr>
          </w:p>
        </w:tc>
        <w:tc>
          <w:tcPr>
            <w:tcW w:w="926" w:type="pct"/>
            <w:noWrap w:val="0"/>
            <w:vAlign w:val="center"/>
          </w:tcPr>
          <w:p w14:paraId="060E59D7">
            <w:pPr>
              <w:widowControl/>
              <w:jc w:val="center"/>
              <w:rPr>
                <w:rFonts w:ascii="宋体" w:hAnsi="宋体"/>
                <w:bCs/>
                <w:color w:val="auto"/>
                <w:spacing w:val="10"/>
                <w:sz w:val="24"/>
              </w:rPr>
            </w:pPr>
          </w:p>
        </w:tc>
        <w:tc>
          <w:tcPr>
            <w:tcW w:w="701" w:type="pct"/>
            <w:noWrap w:val="0"/>
            <w:vAlign w:val="center"/>
          </w:tcPr>
          <w:p w14:paraId="1E0BAAFF">
            <w:pPr>
              <w:widowControl/>
              <w:jc w:val="center"/>
              <w:rPr>
                <w:rFonts w:ascii="宋体" w:hAnsi="宋体"/>
                <w:bCs/>
                <w:color w:val="auto"/>
                <w:spacing w:val="10"/>
                <w:sz w:val="24"/>
              </w:rPr>
            </w:pPr>
          </w:p>
        </w:tc>
      </w:tr>
      <w:tr w14:paraId="09BED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401" w:type="pct"/>
            <w:shd w:val="clear" w:color="000000" w:fill="FFFFFF"/>
            <w:noWrap/>
            <w:vAlign w:val="center"/>
          </w:tcPr>
          <w:p w14:paraId="206965C0">
            <w:pPr>
              <w:jc w:val="center"/>
              <w:rPr>
                <w:color w:val="auto"/>
              </w:rPr>
            </w:pPr>
            <w:r>
              <w:rPr>
                <w:rFonts w:hint="eastAsia"/>
                <w:color w:val="auto"/>
              </w:rPr>
              <w:t>2</w:t>
            </w:r>
          </w:p>
        </w:tc>
        <w:tc>
          <w:tcPr>
            <w:tcW w:w="755" w:type="pct"/>
            <w:shd w:val="clear" w:color="000000" w:fill="FFFFFF"/>
            <w:noWrap w:val="0"/>
            <w:vAlign w:val="center"/>
          </w:tcPr>
          <w:p w14:paraId="0604542E">
            <w:pPr>
              <w:jc w:val="center"/>
              <w:rPr>
                <w:rFonts w:ascii="宋体" w:hAnsi="宋体"/>
                <w:bCs/>
                <w:color w:val="auto"/>
                <w:sz w:val="24"/>
              </w:rPr>
            </w:pPr>
          </w:p>
        </w:tc>
        <w:tc>
          <w:tcPr>
            <w:tcW w:w="543" w:type="pct"/>
            <w:noWrap w:val="0"/>
            <w:vAlign w:val="top"/>
          </w:tcPr>
          <w:p w14:paraId="2FAD49F9">
            <w:pPr>
              <w:widowControl/>
              <w:jc w:val="center"/>
              <w:rPr>
                <w:rFonts w:ascii="宋体" w:hAnsi="宋体"/>
                <w:bCs/>
                <w:color w:val="auto"/>
                <w:spacing w:val="10"/>
                <w:sz w:val="24"/>
              </w:rPr>
            </w:pPr>
          </w:p>
        </w:tc>
        <w:tc>
          <w:tcPr>
            <w:tcW w:w="819" w:type="pct"/>
            <w:noWrap w:val="0"/>
            <w:vAlign w:val="top"/>
          </w:tcPr>
          <w:p w14:paraId="4E900DF9">
            <w:pPr>
              <w:widowControl/>
              <w:jc w:val="center"/>
              <w:rPr>
                <w:rFonts w:ascii="宋体" w:hAnsi="宋体"/>
                <w:bCs/>
                <w:color w:val="auto"/>
                <w:spacing w:val="10"/>
                <w:sz w:val="24"/>
              </w:rPr>
            </w:pPr>
          </w:p>
        </w:tc>
        <w:tc>
          <w:tcPr>
            <w:tcW w:w="386" w:type="pct"/>
            <w:noWrap w:val="0"/>
            <w:vAlign w:val="center"/>
          </w:tcPr>
          <w:p w14:paraId="25CD4728">
            <w:pPr>
              <w:widowControl/>
              <w:jc w:val="center"/>
              <w:rPr>
                <w:rFonts w:ascii="宋体" w:hAnsi="宋体"/>
                <w:bCs/>
                <w:color w:val="auto"/>
                <w:spacing w:val="10"/>
                <w:sz w:val="24"/>
              </w:rPr>
            </w:pPr>
          </w:p>
        </w:tc>
        <w:tc>
          <w:tcPr>
            <w:tcW w:w="466" w:type="pct"/>
            <w:noWrap w:val="0"/>
            <w:vAlign w:val="center"/>
          </w:tcPr>
          <w:p w14:paraId="0812C203">
            <w:pPr>
              <w:widowControl/>
              <w:jc w:val="center"/>
              <w:rPr>
                <w:rFonts w:ascii="宋体" w:hAnsi="宋体"/>
                <w:bCs/>
                <w:color w:val="auto"/>
                <w:spacing w:val="10"/>
                <w:sz w:val="24"/>
              </w:rPr>
            </w:pPr>
          </w:p>
        </w:tc>
        <w:tc>
          <w:tcPr>
            <w:tcW w:w="926" w:type="pct"/>
            <w:noWrap w:val="0"/>
            <w:vAlign w:val="center"/>
          </w:tcPr>
          <w:p w14:paraId="258F2B89">
            <w:pPr>
              <w:widowControl/>
              <w:jc w:val="center"/>
              <w:rPr>
                <w:rFonts w:ascii="宋体" w:hAnsi="宋体"/>
                <w:bCs/>
                <w:color w:val="auto"/>
                <w:spacing w:val="10"/>
                <w:sz w:val="24"/>
              </w:rPr>
            </w:pPr>
          </w:p>
        </w:tc>
        <w:tc>
          <w:tcPr>
            <w:tcW w:w="701" w:type="pct"/>
            <w:noWrap w:val="0"/>
            <w:vAlign w:val="center"/>
          </w:tcPr>
          <w:p w14:paraId="5EB7DFF4">
            <w:pPr>
              <w:widowControl/>
              <w:jc w:val="center"/>
              <w:rPr>
                <w:rFonts w:ascii="宋体" w:hAnsi="宋体"/>
                <w:bCs/>
                <w:color w:val="auto"/>
                <w:spacing w:val="10"/>
                <w:sz w:val="24"/>
              </w:rPr>
            </w:pPr>
          </w:p>
        </w:tc>
      </w:tr>
      <w:tr w14:paraId="26A4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401" w:type="pct"/>
            <w:shd w:val="clear" w:color="000000" w:fill="FFFFFF"/>
            <w:noWrap/>
            <w:vAlign w:val="center"/>
          </w:tcPr>
          <w:p w14:paraId="3AB833A1">
            <w:pPr>
              <w:jc w:val="center"/>
              <w:rPr>
                <w:color w:val="auto"/>
              </w:rPr>
            </w:pPr>
            <w:r>
              <w:rPr>
                <w:rFonts w:hint="eastAsia"/>
                <w:color w:val="auto"/>
              </w:rPr>
              <w:t>3</w:t>
            </w:r>
          </w:p>
        </w:tc>
        <w:tc>
          <w:tcPr>
            <w:tcW w:w="755" w:type="pct"/>
            <w:shd w:val="clear" w:color="000000" w:fill="FFFFFF"/>
            <w:noWrap w:val="0"/>
            <w:vAlign w:val="center"/>
          </w:tcPr>
          <w:p w14:paraId="4B6EE3DF">
            <w:pPr>
              <w:jc w:val="center"/>
              <w:rPr>
                <w:rFonts w:ascii="宋体" w:hAnsi="宋体"/>
                <w:bCs/>
                <w:color w:val="auto"/>
                <w:sz w:val="24"/>
              </w:rPr>
            </w:pPr>
          </w:p>
        </w:tc>
        <w:tc>
          <w:tcPr>
            <w:tcW w:w="543" w:type="pct"/>
            <w:noWrap w:val="0"/>
            <w:vAlign w:val="top"/>
          </w:tcPr>
          <w:p w14:paraId="7ACAAD96">
            <w:pPr>
              <w:widowControl/>
              <w:jc w:val="center"/>
              <w:rPr>
                <w:rFonts w:ascii="宋体" w:hAnsi="宋体"/>
                <w:bCs/>
                <w:color w:val="auto"/>
                <w:spacing w:val="10"/>
                <w:sz w:val="24"/>
              </w:rPr>
            </w:pPr>
          </w:p>
        </w:tc>
        <w:tc>
          <w:tcPr>
            <w:tcW w:w="819" w:type="pct"/>
            <w:noWrap w:val="0"/>
            <w:vAlign w:val="top"/>
          </w:tcPr>
          <w:p w14:paraId="35292CC1">
            <w:pPr>
              <w:widowControl/>
              <w:jc w:val="center"/>
              <w:rPr>
                <w:rFonts w:ascii="宋体" w:hAnsi="宋体"/>
                <w:bCs/>
                <w:color w:val="auto"/>
                <w:spacing w:val="10"/>
                <w:sz w:val="24"/>
              </w:rPr>
            </w:pPr>
          </w:p>
        </w:tc>
        <w:tc>
          <w:tcPr>
            <w:tcW w:w="386" w:type="pct"/>
            <w:noWrap w:val="0"/>
            <w:vAlign w:val="center"/>
          </w:tcPr>
          <w:p w14:paraId="276D190B">
            <w:pPr>
              <w:widowControl/>
              <w:jc w:val="center"/>
              <w:rPr>
                <w:rFonts w:ascii="宋体" w:hAnsi="宋体"/>
                <w:bCs/>
                <w:color w:val="auto"/>
                <w:spacing w:val="10"/>
                <w:sz w:val="24"/>
              </w:rPr>
            </w:pPr>
          </w:p>
        </w:tc>
        <w:tc>
          <w:tcPr>
            <w:tcW w:w="466" w:type="pct"/>
            <w:noWrap w:val="0"/>
            <w:vAlign w:val="center"/>
          </w:tcPr>
          <w:p w14:paraId="3F27E3B6">
            <w:pPr>
              <w:widowControl/>
              <w:jc w:val="center"/>
              <w:rPr>
                <w:rFonts w:ascii="宋体" w:hAnsi="宋体"/>
                <w:bCs/>
                <w:color w:val="auto"/>
                <w:spacing w:val="10"/>
                <w:sz w:val="24"/>
              </w:rPr>
            </w:pPr>
          </w:p>
        </w:tc>
        <w:tc>
          <w:tcPr>
            <w:tcW w:w="926" w:type="pct"/>
            <w:noWrap w:val="0"/>
            <w:vAlign w:val="center"/>
          </w:tcPr>
          <w:p w14:paraId="13898776">
            <w:pPr>
              <w:widowControl/>
              <w:jc w:val="center"/>
              <w:rPr>
                <w:rFonts w:ascii="宋体" w:hAnsi="宋体"/>
                <w:bCs/>
                <w:color w:val="auto"/>
                <w:spacing w:val="10"/>
                <w:sz w:val="24"/>
              </w:rPr>
            </w:pPr>
          </w:p>
        </w:tc>
        <w:tc>
          <w:tcPr>
            <w:tcW w:w="701" w:type="pct"/>
            <w:noWrap w:val="0"/>
            <w:vAlign w:val="center"/>
          </w:tcPr>
          <w:p w14:paraId="005C384C">
            <w:pPr>
              <w:widowControl/>
              <w:jc w:val="center"/>
              <w:rPr>
                <w:rFonts w:ascii="宋体" w:hAnsi="宋体"/>
                <w:bCs/>
                <w:color w:val="auto"/>
                <w:spacing w:val="10"/>
                <w:sz w:val="24"/>
              </w:rPr>
            </w:pPr>
          </w:p>
        </w:tc>
      </w:tr>
      <w:tr w14:paraId="626A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01" w:type="pct"/>
            <w:shd w:val="clear" w:color="000000" w:fill="FFFFFF"/>
            <w:noWrap/>
            <w:vAlign w:val="center"/>
          </w:tcPr>
          <w:p w14:paraId="4DAFEBE3">
            <w:pPr>
              <w:jc w:val="center"/>
              <w:rPr>
                <w:rFonts w:hint="eastAsia"/>
                <w:color w:val="auto"/>
              </w:rPr>
            </w:pPr>
            <w:r>
              <w:rPr>
                <w:rFonts w:hint="eastAsia"/>
                <w:color w:val="auto"/>
              </w:rPr>
              <w:t>4</w:t>
            </w:r>
          </w:p>
        </w:tc>
        <w:tc>
          <w:tcPr>
            <w:tcW w:w="755" w:type="pct"/>
            <w:shd w:val="clear" w:color="000000" w:fill="FFFFFF"/>
            <w:noWrap w:val="0"/>
            <w:vAlign w:val="center"/>
          </w:tcPr>
          <w:p w14:paraId="1381CA38">
            <w:pPr>
              <w:jc w:val="center"/>
              <w:rPr>
                <w:rFonts w:ascii="宋体" w:hAnsi="宋体"/>
                <w:bCs/>
                <w:color w:val="auto"/>
                <w:sz w:val="24"/>
              </w:rPr>
            </w:pPr>
          </w:p>
        </w:tc>
        <w:tc>
          <w:tcPr>
            <w:tcW w:w="543" w:type="pct"/>
            <w:noWrap w:val="0"/>
            <w:vAlign w:val="top"/>
          </w:tcPr>
          <w:p w14:paraId="593D6F1C">
            <w:pPr>
              <w:widowControl/>
              <w:jc w:val="center"/>
              <w:rPr>
                <w:rFonts w:ascii="宋体" w:hAnsi="宋体"/>
                <w:bCs/>
                <w:color w:val="auto"/>
                <w:spacing w:val="10"/>
                <w:sz w:val="24"/>
              </w:rPr>
            </w:pPr>
          </w:p>
        </w:tc>
        <w:tc>
          <w:tcPr>
            <w:tcW w:w="819" w:type="pct"/>
            <w:noWrap w:val="0"/>
            <w:vAlign w:val="top"/>
          </w:tcPr>
          <w:p w14:paraId="79B7F7D3">
            <w:pPr>
              <w:widowControl/>
              <w:jc w:val="center"/>
              <w:rPr>
                <w:rFonts w:ascii="宋体" w:hAnsi="宋体"/>
                <w:bCs/>
                <w:color w:val="auto"/>
                <w:spacing w:val="10"/>
                <w:sz w:val="24"/>
              </w:rPr>
            </w:pPr>
          </w:p>
        </w:tc>
        <w:tc>
          <w:tcPr>
            <w:tcW w:w="386" w:type="pct"/>
            <w:noWrap w:val="0"/>
            <w:vAlign w:val="center"/>
          </w:tcPr>
          <w:p w14:paraId="4310C666">
            <w:pPr>
              <w:widowControl/>
              <w:jc w:val="center"/>
              <w:rPr>
                <w:rFonts w:ascii="宋体" w:hAnsi="宋体"/>
                <w:bCs/>
                <w:color w:val="auto"/>
                <w:spacing w:val="10"/>
                <w:sz w:val="24"/>
              </w:rPr>
            </w:pPr>
          </w:p>
        </w:tc>
        <w:tc>
          <w:tcPr>
            <w:tcW w:w="466" w:type="pct"/>
            <w:noWrap w:val="0"/>
            <w:vAlign w:val="center"/>
          </w:tcPr>
          <w:p w14:paraId="0F7521F1">
            <w:pPr>
              <w:widowControl/>
              <w:jc w:val="center"/>
              <w:rPr>
                <w:rFonts w:ascii="宋体" w:hAnsi="宋体"/>
                <w:bCs/>
                <w:color w:val="auto"/>
                <w:spacing w:val="10"/>
                <w:sz w:val="24"/>
              </w:rPr>
            </w:pPr>
          </w:p>
        </w:tc>
        <w:tc>
          <w:tcPr>
            <w:tcW w:w="926" w:type="pct"/>
            <w:noWrap w:val="0"/>
            <w:vAlign w:val="center"/>
          </w:tcPr>
          <w:p w14:paraId="68DB9098">
            <w:pPr>
              <w:widowControl/>
              <w:jc w:val="center"/>
              <w:rPr>
                <w:rFonts w:ascii="宋体" w:hAnsi="宋体"/>
                <w:bCs/>
                <w:color w:val="auto"/>
                <w:spacing w:val="10"/>
                <w:sz w:val="24"/>
              </w:rPr>
            </w:pPr>
          </w:p>
        </w:tc>
        <w:tc>
          <w:tcPr>
            <w:tcW w:w="701" w:type="pct"/>
            <w:noWrap w:val="0"/>
            <w:vAlign w:val="center"/>
          </w:tcPr>
          <w:p w14:paraId="16607AD9">
            <w:pPr>
              <w:widowControl/>
              <w:jc w:val="center"/>
              <w:rPr>
                <w:rFonts w:ascii="宋体" w:hAnsi="宋体"/>
                <w:bCs/>
                <w:color w:val="auto"/>
                <w:spacing w:val="10"/>
                <w:sz w:val="24"/>
              </w:rPr>
            </w:pPr>
          </w:p>
        </w:tc>
      </w:tr>
      <w:tr w14:paraId="1579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01" w:type="pct"/>
            <w:shd w:val="clear" w:color="000000" w:fill="FFFFFF"/>
            <w:noWrap/>
            <w:vAlign w:val="center"/>
          </w:tcPr>
          <w:p w14:paraId="7A3C06FC">
            <w:pPr>
              <w:jc w:val="center"/>
              <w:rPr>
                <w:rFonts w:hint="eastAsia" w:eastAsia="宋体"/>
                <w:color w:val="auto"/>
                <w:lang w:val="en-US" w:eastAsia="zh-CN"/>
              </w:rPr>
            </w:pPr>
            <w:r>
              <w:rPr>
                <w:rFonts w:hint="eastAsia"/>
                <w:color w:val="auto"/>
                <w:lang w:val="en-US" w:eastAsia="zh-CN"/>
              </w:rPr>
              <w:t>5</w:t>
            </w:r>
          </w:p>
        </w:tc>
        <w:tc>
          <w:tcPr>
            <w:tcW w:w="755" w:type="pct"/>
            <w:shd w:val="clear" w:color="000000" w:fill="FFFFFF"/>
            <w:noWrap w:val="0"/>
            <w:vAlign w:val="center"/>
          </w:tcPr>
          <w:p w14:paraId="04FCD222">
            <w:pPr>
              <w:jc w:val="center"/>
              <w:rPr>
                <w:rFonts w:ascii="宋体" w:hAnsi="宋体"/>
                <w:bCs/>
                <w:color w:val="auto"/>
                <w:sz w:val="24"/>
              </w:rPr>
            </w:pPr>
          </w:p>
        </w:tc>
        <w:tc>
          <w:tcPr>
            <w:tcW w:w="543" w:type="pct"/>
            <w:noWrap w:val="0"/>
            <w:vAlign w:val="top"/>
          </w:tcPr>
          <w:p w14:paraId="6BAC45D3">
            <w:pPr>
              <w:widowControl/>
              <w:jc w:val="center"/>
              <w:rPr>
                <w:rFonts w:ascii="宋体" w:hAnsi="宋体"/>
                <w:bCs/>
                <w:color w:val="auto"/>
                <w:spacing w:val="10"/>
                <w:sz w:val="24"/>
              </w:rPr>
            </w:pPr>
          </w:p>
        </w:tc>
        <w:tc>
          <w:tcPr>
            <w:tcW w:w="819" w:type="pct"/>
            <w:noWrap w:val="0"/>
            <w:vAlign w:val="top"/>
          </w:tcPr>
          <w:p w14:paraId="7A65FE99">
            <w:pPr>
              <w:widowControl/>
              <w:jc w:val="center"/>
              <w:rPr>
                <w:rFonts w:ascii="宋体" w:hAnsi="宋体"/>
                <w:bCs/>
                <w:color w:val="auto"/>
                <w:spacing w:val="10"/>
                <w:sz w:val="24"/>
              </w:rPr>
            </w:pPr>
          </w:p>
        </w:tc>
        <w:tc>
          <w:tcPr>
            <w:tcW w:w="386" w:type="pct"/>
            <w:noWrap w:val="0"/>
            <w:vAlign w:val="center"/>
          </w:tcPr>
          <w:p w14:paraId="36AE3D69">
            <w:pPr>
              <w:widowControl/>
              <w:jc w:val="center"/>
              <w:rPr>
                <w:rFonts w:ascii="宋体" w:hAnsi="宋体"/>
                <w:bCs/>
                <w:color w:val="auto"/>
                <w:spacing w:val="10"/>
                <w:sz w:val="24"/>
              </w:rPr>
            </w:pPr>
          </w:p>
        </w:tc>
        <w:tc>
          <w:tcPr>
            <w:tcW w:w="466" w:type="pct"/>
            <w:noWrap w:val="0"/>
            <w:vAlign w:val="center"/>
          </w:tcPr>
          <w:p w14:paraId="0242E0D8">
            <w:pPr>
              <w:widowControl/>
              <w:jc w:val="center"/>
              <w:rPr>
                <w:rFonts w:ascii="宋体" w:hAnsi="宋体"/>
                <w:bCs/>
                <w:color w:val="auto"/>
                <w:spacing w:val="10"/>
                <w:sz w:val="24"/>
              </w:rPr>
            </w:pPr>
          </w:p>
        </w:tc>
        <w:tc>
          <w:tcPr>
            <w:tcW w:w="926" w:type="pct"/>
            <w:noWrap w:val="0"/>
            <w:vAlign w:val="center"/>
          </w:tcPr>
          <w:p w14:paraId="0AF7BF38">
            <w:pPr>
              <w:widowControl/>
              <w:jc w:val="center"/>
              <w:rPr>
                <w:rFonts w:ascii="宋体" w:hAnsi="宋体"/>
                <w:bCs/>
                <w:color w:val="auto"/>
                <w:spacing w:val="10"/>
                <w:sz w:val="24"/>
              </w:rPr>
            </w:pPr>
          </w:p>
        </w:tc>
        <w:tc>
          <w:tcPr>
            <w:tcW w:w="701" w:type="pct"/>
            <w:noWrap w:val="0"/>
            <w:vAlign w:val="center"/>
          </w:tcPr>
          <w:p w14:paraId="2D203013">
            <w:pPr>
              <w:widowControl/>
              <w:jc w:val="center"/>
              <w:rPr>
                <w:rFonts w:ascii="宋体" w:hAnsi="宋体"/>
                <w:bCs/>
                <w:color w:val="auto"/>
                <w:spacing w:val="10"/>
                <w:sz w:val="24"/>
              </w:rPr>
            </w:pPr>
          </w:p>
        </w:tc>
      </w:tr>
      <w:tr w14:paraId="3E79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01" w:type="pct"/>
            <w:shd w:val="clear" w:color="000000" w:fill="FFFFFF"/>
            <w:noWrap/>
            <w:vAlign w:val="center"/>
          </w:tcPr>
          <w:p w14:paraId="74B66359">
            <w:pPr>
              <w:jc w:val="center"/>
              <w:rPr>
                <w:rFonts w:hint="eastAsia" w:eastAsia="宋体"/>
                <w:color w:val="auto"/>
                <w:lang w:val="en-US" w:eastAsia="zh-CN"/>
              </w:rPr>
            </w:pPr>
            <w:r>
              <w:rPr>
                <w:rFonts w:hint="eastAsia"/>
                <w:color w:val="auto"/>
                <w:lang w:val="en-US" w:eastAsia="zh-CN"/>
              </w:rPr>
              <w:t>6</w:t>
            </w:r>
          </w:p>
        </w:tc>
        <w:tc>
          <w:tcPr>
            <w:tcW w:w="755" w:type="pct"/>
            <w:shd w:val="clear" w:color="000000" w:fill="FFFFFF"/>
            <w:noWrap w:val="0"/>
            <w:vAlign w:val="center"/>
          </w:tcPr>
          <w:p w14:paraId="6494B714">
            <w:pPr>
              <w:jc w:val="center"/>
              <w:rPr>
                <w:rFonts w:ascii="宋体" w:hAnsi="宋体"/>
                <w:bCs/>
                <w:color w:val="auto"/>
                <w:sz w:val="24"/>
              </w:rPr>
            </w:pPr>
          </w:p>
        </w:tc>
        <w:tc>
          <w:tcPr>
            <w:tcW w:w="543" w:type="pct"/>
            <w:noWrap w:val="0"/>
            <w:vAlign w:val="top"/>
          </w:tcPr>
          <w:p w14:paraId="738FBE9D">
            <w:pPr>
              <w:widowControl/>
              <w:jc w:val="center"/>
              <w:rPr>
                <w:rFonts w:ascii="宋体" w:hAnsi="宋体"/>
                <w:bCs/>
                <w:color w:val="auto"/>
                <w:spacing w:val="10"/>
                <w:sz w:val="24"/>
              </w:rPr>
            </w:pPr>
          </w:p>
        </w:tc>
        <w:tc>
          <w:tcPr>
            <w:tcW w:w="819" w:type="pct"/>
            <w:noWrap w:val="0"/>
            <w:vAlign w:val="top"/>
          </w:tcPr>
          <w:p w14:paraId="27C6540D">
            <w:pPr>
              <w:widowControl/>
              <w:jc w:val="center"/>
              <w:rPr>
                <w:rFonts w:ascii="宋体" w:hAnsi="宋体"/>
                <w:bCs/>
                <w:color w:val="auto"/>
                <w:spacing w:val="10"/>
                <w:sz w:val="24"/>
              </w:rPr>
            </w:pPr>
          </w:p>
        </w:tc>
        <w:tc>
          <w:tcPr>
            <w:tcW w:w="386" w:type="pct"/>
            <w:noWrap w:val="0"/>
            <w:vAlign w:val="center"/>
          </w:tcPr>
          <w:p w14:paraId="2244F6F1">
            <w:pPr>
              <w:widowControl/>
              <w:jc w:val="center"/>
              <w:rPr>
                <w:rFonts w:ascii="宋体" w:hAnsi="宋体"/>
                <w:bCs/>
                <w:color w:val="auto"/>
                <w:spacing w:val="10"/>
                <w:sz w:val="24"/>
              </w:rPr>
            </w:pPr>
          </w:p>
        </w:tc>
        <w:tc>
          <w:tcPr>
            <w:tcW w:w="466" w:type="pct"/>
            <w:noWrap w:val="0"/>
            <w:vAlign w:val="center"/>
          </w:tcPr>
          <w:p w14:paraId="116C1A84">
            <w:pPr>
              <w:widowControl/>
              <w:jc w:val="center"/>
              <w:rPr>
                <w:rFonts w:ascii="宋体" w:hAnsi="宋体"/>
                <w:bCs/>
                <w:color w:val="auto"/>
                <w:spacing w:val="10"/>
                <w:sz w:val="24"/>
              </w:rPr>
            </w:pPr>
          </w:p>
        </w:tc>
        <w:tc>
          <w:tcPr>
            <w:tcW w:w="926" w:type="pct"/>
            <w:noWrap w:val="0"/>
            <w:vAlign w:val="center"/>
          </w:tcPr>
          <w:p w14:paraId="2CA42080">
            <w:pPr>
              <w:widowControl/>
              <w:jc w:val="center"/>
              <w:rPr>
                <w:rFonts w:ascii="宋体" w:hAnsi="宋体"/>
                <w:bCs/>
                <w:color w:val="auto"/>
                <w:spacing w:val="10"/>
                <w:sz w:val="24"/>
              </w:rPr>
            </w:pPr>
          </w:p>
        </w:tc>
        <w:tc>
          <w:tcPr>
            <w:tcW w:w="701" w:type="pct"/>
            <w:noWrap w:val="0"/>
            <w:vAlign w:val="center"/>
          </w:tcPr>
          <w:p w14:paraId="41921B1B">
            <w:pPr>
              <w:widowControl/>
              <w:jc w:val="center"/>
              <w:rPr>
                <w:rFonts w:ascii="宋体" w:hAnsi="宋体"/>
                <w:bCs/>
                <w:color w:val="auto"/>
                <w:spacing w:val="10"/>
                <w:sz w:val="24"/>
              </w:rPr>
            </w:pPr>
          </w:p>
        </w:tc>
      </w:tr>
      <w:tr w14:paraId="0664E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5000" w:type="pct"/>
            <w:gridSpan w:val="8"/>
            <w:shd w:val="clear" w:color="000000" w:fill="FFFFFF"/>
            <w:noWrap/>
            <w:vAlign w:val="center"/>
          </w:tcPr>
          <w:p w14:paraId="4FD7B26B">
            <w:pPr>
              <w:widowControl/>
              <w:jc w:val="left"/>
              <w:rPr>
                <w:rFonts w:ascii="宋体" w:hAnsi="宋体"/>
                <w:bCs/>
                <w:color w:val="auto"/>
                <w:spacing w:val="10"/>
                <w:sz w:val="24"/>
              </w:rPr>
            </w:pPr>
            <w:r>
              <w:rPr>
                <w:rFonts w:ascii="宋体" w:hAnsi="宋体"/>
                <w:bCs/>
                <w:color w:val="auto"/>
                <w:spacing w:val="10"/>
                <w:sz w:val="24"/>
              </w:rPr>
              <w:t>合计总价</w:t>
            </w:r>
            <w:r>
              <w:rPr>
                <w:rFonts w:hint="eastAsia" w:ascii="宋体" w:hAnsi="宋体"/>
                <w:bCs/>
                <w:color w:val="auto"/>
                <w:spacing w:val="10"/>
                <w:sz w:val="24"/>
                <w:lang w:eastAsia="zh-CN"/>
              </w:rPr>
              <w:t>（</w:t>
            </w:r>
            <w:r>
              <w:rPr>
                <w:rFonts w:hint="eastAsia" w:ascii="宋体" w:hAnsi="宋体"/>
                <w:bCs/>
                <w:color w:val="auto"/>
                <w:spacing w:val="10"/>
                <w:sz w:val="24"/>
                <w:lang w:val="en-US" w:eastAsia="zh-CN"/>
              </w:rPr>
              <w:t>元</w:t>
            </w:r>
            <w:r>
              <w:rPr>
                <w:rFonts w:hint="eastAsia" w:ascii="宋体" w:hAnsi="宋体"/>
                <w:bCs/>
                <w:color w:val="auto"/>
                <w:spacing w:val="10"/>
                <w:sz w:val="24"/>
                <w:lang w:eastAsia="zh-CN"/>
              </w:rPr>
              <w:t>）</w:t>
            </w:r>
            <w:r>
              <w:rPr>
                <w:rFonts w:ascii="宋体" w:hAnsi="宋体"/>
                <w:bCs/>
                <w:color w:val="auto"/>
                <w:spacing w:val="10"/>
                <w:sz w:val="24"/>
              </w:rPr>
              <w:t>：</w:t>
            </w:r>
          </w:p>
        </w:tc>
      </w:tr>
    </w:tbl>
    <w:p w14:paraId="5222B09C">
      <w:pPr>
        <w:spacing w:line="480" w:lineRule="exact"/>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lang w:val="en-US" w:eastAsia="zh-CN"/>
        </w:rPr>
        <w:t>备</w:t>
      </w:r>
      <w:r>
        <w:rPr>
          <w:rFonts w:hint="eastAsia" w:ascii="宋体" w:hAnsi="宋体" w:eastAsia="宋体" w:cs="Times New Roman"/>
          <w:b/>
          <w:color w:val="auto"/>
          <w:sz w:val="24"/>
          <w:szCs w:val="20"/>
          <w:highlight w:val="none"/>
        </w:rPr>
        <w:t>注：</w:t>
      </w:r>
    </w:p>
    <w:p w14:paraId="2ED94DE8">
      <w:pPr>
        <w:spacing w:line="480" w:lineRule="exact"/>
        <w:ind w:firstLine="480" w:firstLineChars="200"/>
        <w:rPr>
          <w:rFonts w:hint="eastAsia" w:ascii="宋体" w:hAnsi="宋体" w:eastAsia="宋体" w:cs="Times New Roman"/>
          <w:b/>
          <w:color w:val="auto"/>
          <w:sz w:val="24"/>
          <w:szCs w:val="20"/>
          <w:highlight w:val="none"/>
          <w:lang w:eastAsia="zh-CN"/>
        </w:rPr>
      </w:pPr>
      <w:r>
        <w:rPr>
          <w:rFonts w:hint="eastAsia" w:ascii="宋体" w:hAnsi="宋体" w:eastAsia="宋体" w:cs="Times New Roman"/>
          <w:b/>
          <w:color w:val="auto"/>
          <w:sz w:val="24"/>
          <w:szCs w:val="20"/>
          <w:highlight w:val="none"/>
        </w:rPr>
        <w:t>（1）以上报价</w:t>
      </w:r>
      <w:r>
        <w:rPr>
          <w:rFonts w:hint="eastAsia" w:ascii="宋体" w:hAnsi="宋体"/>
          <w:b/>
          <w:color w:val="auto"/>
          <w:sz w:val="24"/>
          <w:szCs w:val="20"/>
          <w:highlight w:val="none"/>
        </w:rPr>
        <w:t>包括</w:t>
      </w:r>
      <w:r>
        <w:rPr>
          <w:rFonts w:hint="eastAsia" w:ascii="宋体" w:hAnsi="宋体"/>
          <w:b/>
          <w:color w:val="auto"/>
          <w:sz w:val="24"/>
          <w:szCs w:val="20"/>
          <w:highlight w:val="none"/>
          <w:lang w:val="en-US" w:eastAsia="zh-CN"/>
        </w:rPr>
        <w:t>但不限于</w:t>
      </w:r>
      <w:r>
        <w:rPr>
          <w:rFonts w:hint="eastAsia" w:ascii="宋体" w:hAnsi="宋体"/>
          <w:b/>
          <w:color w:val="auto"/>
          <w:sz w:val="24"/>
          <w:szCs w:val="20"/>
          <w:highlight w:val="none"/>
        </w:rPr>
        <w:t>货物价格、装卸运输费、安装费、调试费、差旅费、质保期内备品备件费</w:t>
      </w:r>
      <w:r>
        <w:rPr>
          <w:rFonts w:hint="eastAsia" w:ascii="宋体" w:hAnsi="宋体"/>
          <w:b/>
          <w:color w:val="auto"/>
          <w:sz w:val="24"/>
          <w:szCs w:val="20"/>
          <w:highlight w:val="none"/>
          <w:lang w:eastAsia="zh-CN"/>
        </w:rPr>
        <w:t>、</w:t>
      </w:r>
      <w:r>
        <w:rPr>
          <w:rFonts w:hint="eastAsia" w:ascii="宋体" w:hAnsi="宋体"/>
          <w:b/>
          <w:color w:val="auto"/>
          <w:sz w:val="24"/>
          <w:szCs w:val="20"/>
          <w:highlight w:val="none"/>
        </w:rPr>
        <w:t>售后服务费、保险费、税金、</w:t>
      </w:r>
      <w:r>
        <w:rPr>
          <w:rFonts w:hint="eastAsia" w:ascii="宋体" w:hAnsi="宋体"/>
          <w:b/>
          <w:color w:val="auto"/>
          <w:sz w:val="24"/>
          <w:szCs w:val="20"/>
          <w:highlight w:val="none"/>
          <w:lang w:eastAsia="zh-CN"/>
        </w:rPr>
        <w:t>中标服务费等完成本项目所需的所有费用；</w:t>
      </w:r>
    </w:p>
    <w:p w14:paraId="02700B7A">
      <w:pPr>
        <w:spacing w:line="480" w:lineRule="exact"/>
        <w:ind w:firstLine="480" w:firstLineChars="200"/>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（2）“合计总价”金额应等于开标（唱标）一览表中“投标总价”；</w:t>
      </w:r>
    </w:p>
    <w:p w14:paraId="05C2D84A">
      <w:pPr>
        <w:spacing w:line="480" w:lineRule="exact"/>
        <w:ind w:firstLine="480" w:firstLineChars="200"/>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（3）本表投标人可根据需要进行适当扩展。</w:t>
      </w:r>
    </w:p>
    <w:p w14:paraId="03799D90">
      <w:pPr>
        <w:rPr>
          <w:rFonts w:hint="eastAsia"/>
          <w:color w:val="auto"/>
        </w:rPr>
      </w:pPr>
    </w:p>
    <w:p w14:paraId="7AED5EA8">
      <w:pPr>
        <w:rPr>
          <w:rFonts w:hint="eastAsia"/>
          <w:color w:val="auto"/>
          <w:highlight w:val="none"/>
        </w:rPr>
      </w:pPr>
    </w:p>
    <w:p w14:paraId="4403DBFA">
      <w:pPr>
        <w:rPr>
          <w:rFonts w:hint="eastAsia"/>
          <w:color w:val="auto"/>
          <w:highlight w:val="none"/>
        </w:rPr>
      </w:pPr>
    </w:p>
    <w:p w14:paraId="4550F683">
      <w:pPr>
        <w:rPr>
          <w:rFonts w:hint="eastAsia"/>
          <w:color w:val="auto"/>
          <w:highlight w:val="none"/>
        </w:rPr>
      </w:pPr>
    </w:p>
    <w:p w14:paraId="36BF3FE8">
      <w:pPr>
        <w:rPr>
          <w:rFonts w:hint="eastAsia"/>
          <w:color w:val="auto"/>
          <w:highlight w:val="none"/>
        </w:rPr>
      </w:pPr>
    </w:p>
    <w:p w14:paraId="7C6AC3DD">
      <w:pPr>
        <w:rPr>
          <w:rFonts w:hint="eastAsia"/>
          <w:color w:val="auto"/>
          <w:highlight w:val="none"/>
        </w:rPr>
      </w:pPr>
    </w:p>
    <w:p w14:paraId="2F0E3165">
      <w:pPr>
        <w:spacing w:line="360" w:lineRule="auto"/>
        <w:ind w:firstLine="480" w:firstLineChars="200"/>
        <w:jc w:val="left"/>
        <w:rPr>
          <w:rFonts w:ascii="宋体"/>
          <w:color w:val="auto"/>
          <w:sz w:val="24"/>
          <w:highlight w:val="none"/>
        </w:rPr>
      </w:pPr>
      <w:r>
        <w:rPr>
          <w:rFonts w:hint="eastAsia" w:ascii="宋体"/>
          <w:color w:val="auto"/>
          <w:sz w:val="24"/>
          <w:highlight w:val="none"/>
        </w:rPr>
        <w:t>投标人</w:t>
      </w:r>
      <w:r>
        <w:rPr>
          <w:rFonts w:hint="eastAsia" w:ascii="宋体"/>
          <w:color w:val="auto"/>
          <w:sz w:val="24"/>
          <w:highlight w:val="none"/>
          <w:lang w:val="en-US" w:eastAsia="zh-CN"/>
        </w:rPr>
        <w:t>全称</w:t>
      </w:r>
      <w:r>
        <w:rPr>
          <w:rFonts w:hint="eastAsia" w:ascii="宋体"/>
          <w:color w:val="auto"/>
          <w:sz w:val="24"/>
          <w:highlight w:val="none"/>
        </w:rPr>
        <w:t>：</w:t>
      </w:r>
      <w:r>
        <w:rPr>
          <w:rFonts w:hint="eastAsia" w:ascii="宋体"/>
          <w:color w:val="auto"/>
          <w:sz w:val="24"/>
          <w:highlight w:val="none"/>
          <w:u w:val="single"/>
        </w:rPr>
        <w:t xml:space="preserve">                               </w:t>
      </w:r>
      <w:r>
        <w:rPr>
          <w:rFonts w:hint="eastAsia" w:ascii="宋体"/>
          <w:color w:val="auto"/>
          <w:sz w:val="24"/>
          <w:highlight w:val="none"/>
        </w:rPr>
        <w:t>（</w:t>
      </w:r>
      <w:r>
        <w:rPr>
          <w:rFonts w:hint="eastAsia" w:ascii="宋体" w:hAnsi="宋体"/>
          <w:color w:val="auto"/>
          <w:sz w:val="24"/>
          <w:highlight w:val="none"/>
        </w:rPr>
        <w:t>电子签章</w:t>
      </w:r>
      <w:r>
        <w:rPr>
          <w:rFonts w:hint="eastAsia" w:ascii="宋体"/>
          <w:color w:val="auto"/>
          <w:sz w:val="24"/>
          <w:highlight w:val="none"/>
        </w:rPr>
        <w:t>）</w:t>
      </w:r>
    </w:p>
    <w:p w14:paraId="3DD62ECE">
      <w:pPr>
        <w:spacing w:line="360" w:lineRule="auto"/>
        <w:ind w:firstLine="480" w:firstLineChars="200"/>
        <w:jc w:val="left"/>
        <w:rPr>
          <w:rFonts w:ascii="宋体"/>
          <w:color w:val="auto"/>
          <w:sz w:val="24"/>
          <w:highlight w:val="none"/>
        </w:rPr>
      </w:pPr>
      <w:r>
        <w:rPr>
          <w:rFonts w:hint="eastAsia" w:ascii="宋体"/>
          <w:color w:val="auto"/>
          <w:sz w:val="24"/>
          <w:highlight w:val="none"/>
        </w:rPr>
        <w:t>法定代表人或其委托代理人：</w:t>
      </w:r>
      <w:r>
        <w:rPr>
          <w:rFonts w:hint="eastAsia" w:ascii="宋体"/>
          <w:color w:val="auto"/>
          <w:sz w:val="24"/>
          <w:highlight w:val="none"/>
          <w:u w:val="single"/>
        </w:rPr>
        <w:t xml:space="preserve">              </w:t>
      </w:r>
      <w:r>
        <w:rPr>
          <w:rFonts w:hint="eastAsia" w:ascii="宋体"/>
          <w:color w:val="auto"/>
          <w:sz w:val="24"/>
          <w:highlight w:val="none"/>
        </w:rPr>
        <w:t>（</w:t>
      </w:r>
      <w:r>
        <w:rPr>
          <w:rFonts w:hint="eastAsia" w:ascii="宋体" w:hAnsi="宋体"/>
          <w:color w:val="auto"/>
          <w:sz w:val="24"/>
          <w:highlight w:val="none"/>
        </w:rPr>
        <w:t>电子签章</w:t>
      </w:r>
      <w:r>
        <w:rPr>
          <w:rFonts w:hint="eastAsia" w:ascii="宋体"/>
          <w:color w:val="auto"/>
          <w:sz w:val="24"/>
          <w:highlight w:val="none"/>
        </w:rPr>
        <w:t>）</w:t>
      </w:r>
    </w:p>
    <w:p w14:paraId="2FE1F147">
      <w:pPr>
        <w:spacing w:line="360" w:lineRule="auto"/>
        <w:ind w:firstLine="480" w:firstLineChars="200"/>
        <w:jc w:val="left"/>
        <w:rPr>
          <w:rFonts w:ascii="宋体"/>
          <w:color w:val="auto"/>
          <w:sz w:val="24"/>
          <w:highlight w:val="none"/>
          <w:u w:val="single"/>
        </w:rPr>
      </w:pPr>
      <w:r>
        <w:rPr>
          <w:rFonts w:hint="eastAsia" w:ascii="宋体"/>
          <w:color w:val="auto"/>
          <w:sz w:val="24"/>
          <w:highlight w:val="none"/>
        </w:rPr>
        <w:t>日期：</w:t>
      </w:r>
      <w:r>
        <w:rPr>
          <w:rFonts w:hint="eastAsia" w:ascii="宋体"/>
          <w:color w:val="auto"/>
          <w:sz w:val="24"/>
          <w:highlight w:val="none"/>
          <w:u w:val="single"/>
        </w:rPr>
        <w:t xml:space="preserve">            </w:t>
      </w:r>
      <w:r>
        <w:rPr>
          <w:rFonts w:hint="eastAsia" w:ascii="宋体"/>
          <w:color w:val="auto"/>
          <w:sz w:val="24"/>
          <w:highlight w:val="none"/>
        </w:rPr>
        <w:t>年</w:t>
      </w:r>
      <w:r>
        <w:rPr>
          <w:rFonts w:hint="eastAsia" w:ascii="宋体"/>
          <w:color w:val="auto"/>
          <w:sz w:val="24"/>
          <w:highlight w:val="none"/>
          <w:u w:val="single"/>
        </w:rPr>
        <w:t xml:space="preserve">       </w:t>
      </w:r>
      <w:r>
        <w:rPr>
          <w:rFonts w:hint="eastAsia" w:ascii="宋体"/>
          <w:color w:val="auto"/>
          <w:sz w:val="24"/>
          <w:highlight w:val="none"/>
        </w:rPr>
        <w:t>月</w:t>
      </w:r>
      <w:r>
        <w:rPr>
          <w:rFonts w:hint="eastAsia" w:ascii="宋体"/>
          <w:color w:val="auto"/>
          <w:sz w:val="24"/>
          <w:highlight w:val="none"/>
          <w:u w:val="single"/>
        </w:rPr>
        <w:t xml:space="preserve">       </w:t>
      </w:r>
      <w:r>
        <w:rPr>
          <w:rFonts w:hint="eastAsia" w:ascii="宋体"/>
          <w:color w:val="auto"/>
          <w:sz w:val="24"/>
          <w:highlight w:val="none"/>
        </w:rPr>
        <w:t>日</w:t>
      </w:r>
    </w:p>
    <w:p w14:paraId="3A4CE372">
      <w:pPr>
        <w:rPr>
          <w:rFonts w:hint="eastAsia"/>
          <w:color w:val="auto"/>
          <w:highlight w:val="none"/>
        </w:rPr>
      </w:pPr>
      <w:r>
        <w:rPr>
          <w:rFonts w:hint="eastAsia"/>
          <w:color w:val="auto"/>
          <w:highlight w:val="none"/>
        </w:rPr>
        <w:br w:type="page"/>
      </w:r>
    </w:p>
    <w:p w14:paraId="2888FEC2">
      <w:pPr>
        <w:outlineLvl w:val="9"/>
        <w:rPr>
          <w:rFonts w:hint="eastAsia"/>
          <w:color w:val="auto"/>
        </w:rPr>
      </w:pPr>
    </w:p>
    <w:p w14:paraId="15ABA5C8">
      <w:pPr>
        <w:pStyle w:val="3"/>
        <w:rPr>
          <w:color w:val="auto"/>
          <w:highlight w:val="none"/>
        </w:rPr>
      </w:pPr>
      <w:bookmarkStart w:id="146" w:name="_Toc18265"/>
      <w:r>
        <w:rPr>
          <w:rFonts w:hint="eastAsia"/>
          <w:color w:val="auto"/>
          <w:highlight w:val="none"/>
        </w:rPr>
        <w:t>格式</w:t>
      </w:r>
      <w:r>
        <w:rPr>
          <w:rFonts w:hint="eastAsia"/>
          <w:color w:val="auto"/>
          <w:highlight w:val="none"/>
          <w:lang w:val="en-US" w:eastAsia="zh-CN"/>
        </w:rPr>
        <w:t>8</w:t>
      </w:r>
      <w:r>
        <w:rPr>
          <w:rFonts w:hint="eastAsia"/>
          <w:color w:val="auto"/>
          <w:highlight w:val="none"/>
        </w:rPr>
        <w:t>：投标函</w:t>
      </w:r>
      <w:bookmarkEnd w:id="144"/>
      <w:bookmarkEnd w:id="145"/>
      <w:bookmarkEnd w:id="146"/>
    </w:p>
    <w:p w14:paraId="7503AF90">
      <w:pPr>
        <w:ind w:firstLine="522"/>
        <w:rPr>
          <w:color w:val="auto"/>
          <w:highlight w:val="none"/>
        </w:rPr>
      </w:pPr>
    </w:p>
    <w:p w14:paraId="29731336">
      <w:pPr>
        <w:spacing w:line="480" w:lineRule="exact"/>
        <w:jc w:val="left"/>
        <w:rPr>
          <w:rFonts w:ascii="宋体"/>
          <w:color w:val="auto"/>
          <w:sz w:val="24"/>
          <w:highlight w:val="none"/>
        </w:rPr>
      </w:pPr>
      <w:r>
        <w:rPr>
          <w:rFonts w:hint="eastAsia" w:ascii="宋体"/>
          <w:color w:val="auto"/>
          <w:sz w:val="24"/>
          <w:highlight w:val="none"/>
        </w:rPr>
        <w:t>致</w:t>
      </w:r>
      <w:r>
        <w:rPr>
          <w:rFonts w:hint="eastAsia" w:ascii="宋体"/>
          <w:color w:val="auto"/>
          <w:sz w:val="24"/>
          <w:highlight w:val="none"/>
          <w:lang w:eastAsia="zh-CN"/>
        </w:rPr>
        <w:t>云南省农业科学院农业环境资源研究所</w:t>
      </w:r>
      <w:r>
        <w:rPr>
          <w:rFonts w:hint="eastAsia" w:ascii="宋体"/>
          <w:color w:val="auto"/>
          <w:sz w:val="24"/>
          <w:highlight w:val="none"/>
        </w:rPr>
        <w:t>：</w:t>
      </w:r>
    </w:p>
    <w:p w14:paraId="3EB4C7AC">
      <w:pPr>
        <w:keepNext w:val="0"/>
        <w:keepLines w:val="0"/>
        <w:pageBreakBefore w:val="0"/>
        <w:widowControl w:val="0"/>
        <w:kinsoku/>
        <w:wordWrap/>
        <w:overflowPunct/>
        <w:topLinePunct w:val="0"/>
        <w:autoSpaceDE/>
        <w:autoSpaceDN/>
        <w:bidi w:val="0"/>
        <w:adjustRightInd/>
        <w:snapToGrid/>
        <w:spacing w:before="167" w:beforeLines="50" w:line="480" w:lineRule="exact"/>
        <w:ind w:firstLine="480" w:firstLineChars="200"/>
        <w:jc w:val="left"/>
        <w:textAlignment w:val="auto"/>
        <w:rPr>
          <w:rFonts w:ascii="宋体"/>
          <w:color w:val="auto"/>
          <w:sz w:val="24"/>
          <w:highlight w:val="none"/>
        </w:rPr>
      </w:pPr>
      <w:r>
        <w:rPr>
          <w:rFonts w:hint="eastAsia" w:ascii="宋体"/>
          <w:color w:val="auto"/>
          <w:sz w:val="24"/>
          <w:highlight w:val="none"/>
        </w:rPr>
        <w:t>根据贵方为</w:t>
      </w:r>
      <w:r>
        <w:rPr>
          <w:rFonts w:hint="eastAsia" w:ascii="宋体"/>
          <w:color w:val="auto"/>
          <w:sz w:val="24"/>
          <w:highlight w:val="none"/>
          <w:u w:val="single"/>
        </w:rPr>
        <w:t xml:space="preserve">      （采购项目名称）       </w:t>
      </w:r>
      <w:r>
        <w:rPr>
          <w:rFonts w:hint="eastAsia" w:ascii="宋体"/>
          <w:color w:val="auto"/>
          <w:sz w:val="24"/>
          <w:highlight w:val="none"/>
        </w:rPr>
        <w:t>（招标编号：</w:t>
      </w:r>
      <w:r>
        <w:rPr>
          <w:rFonts w:hint="eastAsia" w:ascii="宋体"/>
          <w:color w:val="auto"/>
          <w:sz w:val="24"/>
          <w:highlight w:val="none"/>
          <w:u w:val="single"/>
        </w:rPr>
        <w:t xml:space="preserve">            </w:t>
      </w:r>
      <w:r>
        <w:rPr>
          <w:rFonts w:hint="eastAsia" w:ascii="宋体"/>
          <w:color w:val="auto"/>
          <w:sz w:val="24"/>
          <w:highlight w:val="none"/>
        </w:rPr>
        <w:t>）招标采购的投标邀请，正式授权下述签字人</w:t>
      </w:r>
      <w:r>
        <w:rPr>
          <w:rFonts w:hint="eastAsia" w:ascii="宋体"/>
          <w:color w:val="auto"/>
          <w:sz w:val="24"/>
          <w:highlight w:val="none"/>
          <w:u w:val="single"/>
        </w:rPr>
        <w:t xml:space="preserve">   （姓名和职务）     </w:t>
      </w:r>
      <w:r>
        <w:rPr>
          <w:rFonts w:hint="eastAsia" w:ascii="宋体"/>
          <w:color w:val="auto"/>
          <w:sz w:val="24"/>
          <w:highlight w:val="none"/>
        </w:rPr>
        <w:t>全权代表投标人</w:t>
      </w:r>
      <w:r>
        <w:rPr>
          <w:rFonts w:hint="eastAsia" w:ascii="宋体"/>
          <w:color w:val="auto"/>
          <w:sz w:val="24"/>
          <w:highlight w:val="none"/>
          <w:u w:val="single"/>
        </w:rPr>
        <w:t xml:space="preserve">  （投标人全称）   </w:t>
      </w:r>
      <w:r>
        <w:rPr>
          <w:rFonts w:hint="eastAsia" w:ascii="宋体"/>
          <w:color w:val="auto"/>
          <w:sz w:val="24"/>
          <w:highlight w:val="none"/>
        </w:rPr>
        <w:t>参加投标，并提交签章的电子投标文件。</w:t>
      </w:r>
    </w:p>
    <w:p w14:paraId="385CEF25">
      <w:pPr>
        <w:spacing w:line="480" w:lineRule="exact"/>
        <w:ind w:firstLine="480" w:firstLineChars="200"/>
        <w:jc w:val="left"/>
        <w:rPr>
          <w:rFonts w:ascii="宋体"/>
          <w:color w:val="auto"/>
          <w:sz w:val="24"/>
          <w:highlight w:val="none"/>
        </w:rPr>
      </w:pPr>
      <w:r>
        <w:rPr>
          <w:rFonts w:hint="eastAsia" w:ascii="宋体"/>
          <w:color w:val="auto"/>
          <w:sz w:val="24"/>
          <w:highlight w:val="none"/>
        </w:rPr>
        <w:t>据此函，签字人兹宣布同意如下：</w:t>
      </w:r>
    </w:p>
    <w:p w14:paraId="604F3A3A">
      <w:pPr>
        <w:spacing w:line="480" w:lineRule="exact"/>
        <w:ind w:firstLine="480" w:firstLineChars="200"/>
        <w:rPr>
          <w:rFonts w:ascii="宋体" w:hAnsi="宋体"/>
          <w:color w:val="auto"/>
          <w:sz w:val="24"/>
          <w:highlight w:val="none"/>
        </w:rPr>
      </w:pPr>
      <w:r>
        <w:rPr>
          <w:rFonts w:hint="eastAsia" w:ascii="宋体" w:hAnsi="宋体"/>
          <w:color w:val="auto"/>
          <w:sz w:val="24"/>
          <w:highlight w:val="none"/>
        </w:rPr>
        <w:t>1.本项目投标总价为：</w:t>
      </w:r>
      <w:r>
        <w:rPr>
          <w:rFonts w:hint="eastAsia" w:ascii="宋体" w:hAnsi="宋体"/>
          <w:color w:val="auto"/>
          <w:sz w:val="24"/>
          <w:highlight w:val="none"/>
          <w:u w:val="single"/>
        </w:rPr>
        <w:t xml:space="preserve"> 小写：       </w:t>
      </w:r>
      <w:r>
        <w:rPr>
          <w:rFonts w:hint="eastAsia" w:ascii="宋体" w:hAnsi="宋体"/>
          <w:color w:val="auto"/>
          <w:sz w:val="24"/>
          <w:highlight w:val="none"/>
        </w:rPr>
        <w:t>；</w:t>
      </w:r>
      <w:r>
        <w:rPr>
          <w:rFonts w:hint="eastAsia" w:ascii="宋体" w:hAnsi="宋体"/>
          <w:color w:val="auto"/>
          <w:sz w:val="24"/>
          <w:highlight w:val="none"/>
          <w:u w:val="single"/>
        </w:rPr>
        <w:t xml:space="preserve">大写：人民币       </w:t>
      </w:r>
      <w:r>
        <w:rPr>
          <w:rFonts w:hint="eastAsia" w:ascii="宋体" w:hAnsi="宋体"/>
          <w:color w:val="auto"/>
          <w:sz w:val="24"/>
          <w:highlight w:val="none"/>
        </w:rPr>
        <w:t>，</w:t>
      </w:r>
      <w:r>
        <w:rPr>
          <w:rFonts w:hint="eastAsia" w:ascii="宋体" w:hAnsi="宋体"/>
          <w:bCs/>
          <w:color w:val="auto"/>
          <w:sz w:val="24"/>
          <w:highlight w:val="none"/>
        </w:rPr>
        <w:t>如果我单位的投标文件中有漏项或者缺项或者没有填写单价和合价的项目，我单位承诺此项费用已包括在其它项目的单价和合价中；</w:t>
      </w:r>
    </w:p>
    <w:p w14:paraId="5A79B077">
      <w:pPr>
        <w:spacing w:line="480" w:lineRule="exact"/>
        <w:ind w:firstLine="510"/>
        <w:rPr>
          <w:rFonts w:ascii="宋体" w:hAnsi="宋体"/>
          <w:color w:val="auto"/>
          <w:sz w:val="24"/>
          <w:highlight w:val="none"/>
        </w:rPr>
      </w:pPr>
      <w:r>
        <w:rPr>
          <w:rFonts w:hint="eastAsia" w:ascii="宋体" w:hAnsi="宋体"/>
          <w:color w:val="auto"/>
          <w:sz w:val="24"/>
          <w:highlight w:val="none"/>
        </w:rPr>
        <w:t>2.向贵方提供所有与投标</w:t>
      </w:r>
      <w:r>
        <w:rPr>
          <w:rFonts w:hint="eastAsia" w:ascii="宋体" w:hAnsi="宋体"/>
          <w:color w:val="auto"/>
          <w:sz w:val="24"/>
          <w:highlight w:val="none"/>
          <w:lang w:eastAsia="zh-CN"/>
        </w:rPr>
        <w:t>项目</w:t>
      </w:r>
      <w:r>
        <w:rPr>
          <w:rFonts w:hint="eastAsia" w:ascii="宋体" w:hAnsi="宋体"/>
          <w:color w:val="auto"/>
          <w:sz w:val="24"/>
          <w:highlight w:val="none"/>
        </w:rPr>
        <w:t>有关的真实有效的数据、情况和技术资料；</w:t>
      </w:r>
    </w:p>
    <w:p w14:paraId="0973A691">
      <w:pPr>
        <w:spacing w:line="480" w:lineRule="exact"/>
        <w:ind w:firstLine="51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一旦我方中标，我方保证</w:t>
      </w:r>
      <w:r>
        <w:rPr>
          <w:rFonts w:hint="eastAsia" w:ascii="宋体" w:hAnsi="宋体"/>
          <w:color w:val="auto"/>
          <w:sz w:val="24"/>
          <w:highlight w:val="none"/>
        </w:rPr>
        <w:t>按时、按质、按量完成项目所有工作；</w:t>
      </w:r>
      <w:r>
        <w:rPr>
          <w:rFonts w:ascii="宋体" w:hAnsi="宋体"/>
          <w:color w:val="auto"/>
          <w:sz w:val="24"/>
          <w:highlight w:val="none"/>
        </w:rPr>
        <w:t xml:space="preserve"> </w:t>
      </w:r>
    </w:p>
    <w:p w14:paraId="34C9BA48">
      <w:pPr>
        <w:spacing w:line="480" w:lineRule="exact"/>
        <w:ind w:firstLine="510"/>
        <w:rPr>
          <w:rFonts w:ascii="宋体" w:hAnsi="宋体"/>
          <w:color w:val="auto"/>
          <w:sz w:val="24"/>
          <w:highlight w:val="none"/>
        </w:rPr>
      </w:pPr>
      <w:r>
        <w:rPr>
          <w:rFonts w:hint="eastAsia" w:ascii="宋体" w:hAnsi="宋体"/>
          <w:color w:val="auto"/>
          <w:sz w:val="24"/>
          <w:highlight w:val="none"/>
        </w:rPr>
        <w:t>4.本投标文件自贵方收到之</w:t>
      </w:r>
      <w:r>
        <w:rPr>
          <w:rFonts w:hint="eastAsia" w:ascii="宋体" w:hAnsi="宋体"/>
          <w:color w:val="auto"/>
          <w:sz w:val="24"/>
          <w:highlight w:val="none"/>
          <w:lang w:eastAsia="zh-CN"/>
        </w:rPr>
        <w:t>日起</w:t>
      </w:r>
      <w:r>
        <w:rPr>
          <w:rFonts w:hint="eastAsia" w:ascii="宋体" w:hAnsi="宋体"/>
          <w:color w:val="auto"/>
          <w:sz w:val="24"/>
          <w:highlight w:val="none"/>
        </w:rPr>
        <w:t>生效，有效期至开标后</w:t>
      </w:r>
      <w:r>
        <w:rPr>
          <w:rFonts w:hint="eastAsia" w:ascii="宋体" w:hAnsi="宋体"/>
          <w:color w:val="auto"/>
          <w:sz w:val="24"/>
          <w:highlight w:val="none"/>
          <w:u w:val="single"/>
        </w:rPr>
        <w:t xml:space="preserve">    </w:t>
      </w:r>
      <w:r>
        <w:rPr>
          <w:rFonts w:hint="eastAsia" w:ascii="宋体" w:hAnsi="宋体"/>
          <w:color w:val="auto"/>
          <w:sz w:val="24"/>
          <w:highlight w:val="none"/>
        </w:rPr>
        <w:t>天，在此期间本投标文件之规定对我方具有约束力；</w:t>
      </w:r>
    </w:p>
    <w:p w14:paraId="39FC1913">
      <w:pPr>
        <w:spacing w:line="480" w:lineRule="exact"/>
        <w:ind w:firstLine="510"/>
        <w:rPr>
          <w:rFonts w:ascii="宋体" w:hAnsi="宋体"/>
          <w:color w:val="auto"/>
          <w:sz w:val="24"/>
          <w:highlight w:val="none"/>
        </w:rPr>
      </w:pPr>
      <w:r>
        <w:rPr>
          <w:rFonts w:hint="eastAsia" w:ascii="宋体" w:hAnsi="宋体"/>
          <w:color w:val="auto"/>
          <w:sz w:val="24"/>
          <w:highlight w:val="none"/>
        </w:rPr>
        <w:t>5.如果我方中标，则至合同履行完成为止，本投标文件保持有效；</w:t>
      </w:r>
    </w:p>
    <w:p w14:paraId="175ABB3B">
      <w:pPr>
        <w:spacing w:line="480" w:lineRule="exact"/>
        <w:ind w:firstLine="510"/>
        <w:rPr>
          <w:rFonts w:ascii="宋体" w:hAnsi="宋体"/>
          <w:color w:val="auto"/>
          <w:sz w:val="24"/>
          <w:highlight w:val="none"/>
        </w:rPr>
      </w:pPr>
      <w:r>
        <w:rPr>
          <w:rFonts w:hint="eastAsia" w:ascii="宋体" w:hAnsi="宋体"/>
          <w:color w:val="auto"/>
          <w:sz w:val="24"/>
          <w:highlight w:val="none"/>
        </w:rPr>
        <w:t>6.除非另外达成协议并生效，你单位的中标通知书和本投标文件将构成约束我们双方的合同；</w:t>
      </w:r>
    </w:p>
    <w:p w14:paraId="0ECD8B4C">
      <w:pPr>
        <w:spacing w:line="480" w:lineRule="exact"/>
        <w:ind w:firstLine="510"/>
        <w:rPr>
          <w:rFonts w:ascii="宋体" w:hAnsi="宋体"/>
          <w:color w:val="auto"/>
          <w:sz w:val="24"/>
          <w:highlight w:val="none"/>
        </w:rPr>
      </w:pPr>
      <w:r>
        <w:rPr>
          <w:rFonts w:hint="eastAsia" w:ascii="宋体" w:hAnsi="宋体"/>
          <w:color w:val="auto"/>
          <w:sz w:val="24"/>
          <w:highlight w:val="none"/>
        </w:rPr>
        <w:t>7.保证甲方在项目使用期间不受第三方提出侵犯其专利权、商标权和工业设计权的起诉；</w:t>
      </w:r>
    </w:p>
    <w:p w14:paraId="7E65934F">
      <w:pPr>
        <w:spacing w:line="480" w:lineRule="exact"/>
        <w:ind w:firstLine="510"/>
        <w:rPr>
          <w:rFonts w:ascii="宋体" w:hAnsi="宋体"/>
          <w:color w:val="auto"/>
          <w:sz w:val="24"/>
          <w:highlight w:val="none"/>
        </w:rPr>
      </w:pPr>
      <w:r>
        <w:rPr>
          <w:rFonts w:hint="eastAsia" w:ascii="宋体" w:hAnsi="宋体"/>
          <w:color w:val="auto"/>
          <w:sz w:val="24"/>
          <w:highlight w:val="none"/>
        </w:rPr>
        <w:t>8.我单位保证：如果我单位的投标文件中出现实质性不响应招标文件的内容或要求，或者</w:t>
      </w:r>
      <w:r>
        <w:rPr>
          <w:rFonts w:hint="eastAsia" w:ascii="宋体" w:hAnsi="宋体"/>
          <w:color w:val="auto"/>
          <w:sz w:val="24"/>
          <w:highlight w:val="none"/>
          <w:lang w:eastAsia="zh-CN"/>
        </w:rPr>
        <w:t>采购人</w:t>
      </w:r>
      <w:r>
        <w:rPr>
          <w:rFonts w:hint="eastAsia" w:ascii="宋体" w:hAnsi="宋体"/>
          <w:color w:val="auto"/>
          <w:sz w:val="24"/>
          <w:highlight w:val="none"/>
        </w:rPr>
        <w:t>不能接受的条件，我单位愿意接受</w:t>
      </w:r>
      <w:r>
        <w:rPr>
          <w:rFonts w:hint="eastAsia" w:ascii="宋体" w:hAnsi="宋体"/>
          <w:color w:val="auto"/>
          <w:sz w:val="24"/>
          <w:highlight w:val="none"/>
          <w:lang w:eastAsia="zh-CN"/>
        </w:rPr>
        <w:t>采购人</w:t>
      </w:r>
      <w:r>
        <w:rPr>
          <w:rFonts w:hint="eastAsia" w:ascii="宋体" w:hAnsi="宋体"/>
          <w:color w:val="auto"/>
          <w:sz w:val="24"/>
          <w:highlight w:val="none"/>
        </w:rPr>
        <w:t>或评委将我单位的投标文件作不合格投标或者废标处理；</w:t>
      </w:r>
    </w:p>
    <w:p w14:paraId="19D14074">
      <w:pPr>
        <w:spacing w:line="480" w:lineRule="exact"/>
        <w:ind w:firstLine="510"/>
        <w:rPr>
          <w:rFonts w:ascii="宋体" w:hAnsi="宋体"/>
          <w:color w:val="auto"/>
          <w:sz w:val="24"/>
          <w:highlight w:val="none"/>
        </w:rPr>
      </w:pPr>
      <w:r>
        <w:rPr>
          <w:rFonts w:hint="eastAsia" w:ascii="宋体" w:hAnsi="宋体"/>
          <w:color w:val="auto"/>
          <w:sz w:val="24"/>
          <w:highlight w:val="none"/>
        </w:rPr>
        <w:t>9.我方已详细阅读并认可招标文件，我方对招标文件各项条款和评标办法无异议，知道必须放弃提出含糊不清或误解问题的权利。</w:t>
      </w:r>
    </w:p>
    <w:p w14:paraId="0BA25445">
      <w:pPr>
        <w:spacing w:line="360" w:lineRule="auto"/>
        <w:ind w:firstLine="420" w:firstLineChars="200"/>
        <w:jc w:val="left"/>
        <w:rPr>
          <w:rFonts w:ascii="宋体"/>
          <w:color w:val="auto"/>
          <w:szCs w:val="21"/>
          <w:highlight w:val="none"/>
        </w:rPr>
      </w:pPr>
    </w:p>
    <w:p w14:paraId="6D87A265">
      <w:pPr>
        <w:spacing w:line="360" w:lineRule="auto"/>
        <w:ind w:firstLine="480" w:firstLineChars="200"/>
        <w:jc w:val="left"/>
        <w:rPr>
          <w:rFonts w:ascii="宋体"/>
          <w:color w:val="auto"/>
          <w:sz w:val="24"/>
          <w:highlight w:val="none"/>
        </w:rPr>
      </w:pPr>
      <w:r>
        <w:rPr>
          <w:rFonts w:hint="eastAsia" w:ascii="宋体"/>
          <w:color w:val="auto"/>
          <w:sz w:val="24"/>
          <w:highlight w:val="none"/>
        </w:rPr>
        <w:t>与本投标有关的正式通讯地址为：</w:t>
      </w:r>
    </w:p>
    <w:p w14:paraId="076DF9E6">
      <w:pPr>
        <w:spacing w:line="360" w:lineRule="auto"/>
        <w:ind w:firstLine="480" w:firstLineChars="200"/>
        <w:jc w:val="left"/>
        <w:rPr>
          <w:rFonts w:ascii="宋体"/>
          <w:color w:val="auto"/>
          <w:sz w:val="24"/>
          <w:highlight w:val="none"/>
        </w:rPr>
      </w:pPr>
      <w:r>
        <w:rPr>
          <w:rFonts w:hint="eastAsia" w:ascii="宋体"/>
          <w:color w:val="auto"/>
          <w:sz w:val="24"/>
          <w:highlight w:val="none"/>
        </w:rPr>
        <w:t>地    址：</w:t>
      </w:r>
      <w:r>
        <w:rPr>
          <w:rFonts w:hint="eastAsia" w:ascii="宋体"/>
          <w:color w:val="auto"/>
          <w:sz w:val="24"/>
          <w:highlight w:val="none"/>
          <w:u w:val="single"/>
        </w:rPr>
        <w:t xml:space="preserve">                  </w:t>
      </w:r>
      <w:r>
        <w:rPr>
          <w:rFonts w:hint="eastAsia" w:ascii="宋体"/>
          <w:color w:val="auto"/>
          <w:sz w:val="24"/>
          <w:highlight w:val="none"/>
        </w:rPr>
        <w:t xml:space="preserve">           邮政编码：</w:t>
      </w:r>
      <w:r>
        <w:rPr>
          <w:rFonts w:hint="eastAsia" w:ascii="宋体"/>
          <w:color w:val="auto"/>
          <w:sz w:val="24"/>
          <w:highlight w:val="none"/>
          <w:u w:val="single"/>
        </w:rPr>
        <w:t xml:space="preserve">             </w:t>
      </w:r>
    </w:p>
    <w:p w14:paraId="2118B41D">
      <w:pPr>
        <w:spacing w:line="360" w:lineRule="auto"/>
        <w:ind w:firstLine="480" w:firstLineChars="200"/>
        <w:jc w:val="left"/>
        <w:rPr>
          <w:rFonts w:ascii="宋体"/>
          <w:color w:val="auto"/>
          <w:sz w:val="24"/>
          <w:highlight w:val="none"/>
          <w:u w:val="single"/>
        </w:rPr>
      </w:pPr>
      <w:r>
        <w:rPr>
          <w:rFonts w:hint="eastAsia" w:ascii="宋体"/>
          <w:color w:val="auto"/>
          <w:sz w:val="24"/>
          <w:highlight w:val="none"/>
        </w:rPr>
        <w:t>电    话：</w:t>
      </w:r>
      <w:r>
        <w:rPr>
          <w:rFonts w:hint="eastAsia" w:ascii="宋体"/>
          <w:color w:val="auto"/>
          <w:sz w:val="24"/>
          <w:highlight w:val="none"/>
          <w:u w:val="single"/>
        </w:rPr>
        <w:t xml:space="preserve">                                      　　　　　　　</w:t>
      </w:r>
    </w:p>
    <w:p w14:paraId="4BC281EB">
      <w:pPr>
        <w:spacing w:line="360" w:lineRule="auto"/>
        <w:ind w:firstLine="480" w:firstLineChars="200"/>
        <w:jc w:val="left"/>
        <w:rPr>
          <w:rFonts w:ascii="宋体"/>
          <w:color w:val="auto"/>
          <w:sz w:val="24"/>
          <w:highlight w:val="none"/>
        </w:rPr>
      </w:pPr>
      <w:r>
        <w:rPr>
          <w:rFonts w:hint="eastAsia" w:ascii="宋体"/>
          <w:color w:val="auto"/>
          <w:sz w:val="24"/>
          <w:highlight w:val="none"/>
        </w:rPr>
        <w:t>传    真：</w:t>
      </w:r>
      <w:r>
        <w:rPr>
          <w:rFonts w:hint="eastAsia" w:ascii="宋体"/>
          <w:color w:val="auto"/>
          <w:sz w:val="24"/>
          <w:highlight w:val="none"/>
          <w:u w:val="single"/>
        </w:rPr>
        <w:t>　　　　　　　　　　　　　　　　　　　　　　　　　　</w:t>
      </w:r>
    </w:p>
    <w:p w14:paraId="7FFEF5D9">
      <w:pPr>
        <w:spacing w:line="360" w:lineRule="auto"/>
        <w:ind w:firstLine="480" w:firstLineChars="200"/>
        <w:jc w:val="left"/>
        <w:rPr>
          <w:rFonts w:ascii="宋体"/>
          <w:color w:val="auto"/>
          <w:sz w:val="24"/>
          <w:highlight w:val="none"/>
          <w:u w:val="single"/>
        </w:rPr>
      </w:pPr>
      <w:r>
        <w:rPr>
          <w:rFonts w:hint="eastAsia" w:ascii="宋体"/>
          <w:color w:val="auto"/>
          <w:sz w:val="24"/>
          <w:highlight w:val="none"/>
        </w:rPr>
        <w:t>开户名称：</w:t>
      </w:r>
      <w:r>
        <w:rPr>
          <w:rFonts w:hint="eastAsia" w:ascii="宋体"/>
          <w:color w:val="auto"/>
          <w:sz w:val="24"/>
          <w:highlight w:val="none"/>
          <w:u w:val="single"/>
        </w:rPr>
        <w:t xml:space="preserve">                                                    </w:t>
      </w:r>
    </w:p>
    <w:p w14:paraId="732A9218">
      <w:pPr>
        <w:spacing w:line="360" w:lineRule="auto"/>
        <w:ind w:firstLine="480" w:firstLineChars="200"/>
        <w:jc w:val="left"/>
        <w:rPr>
          <w:rFonts w:ascii="宋体"/>
          <w:color w:val="auto"/>
          <w:sz w:val="24"/>
          <w:highlight w:val="none"/>
          <w:u w:val="single"/>
        </w:rPr>
      </w:pPr>
      <w:r>
        <w:rPr>
          <w:rFonts w:hint="eastAsia" w:ascii="宋体"/>
          <w:color w:val="auto"/>
          <w:sz w:val="24"/>
          <w:highlight w:val="none"/>
        </w:rPr>
        <w:t>开户银行：</w:t>
      </w:r>
      <w:r>
        <w:rPr>
          <w:rFonts w:hint="eastAsia" w:ascii="宋体"/>
          <w:color w:val="auto"/>
          <w:sz w:val="24"/>
          <w:highlight w:val="none"/>
          <w:u w:val="single"/>
        </w:rPr>
        <w:t xml:space="preserve">                                                    </w:t>
      </w:r>
    </w:p>
    <w:p w14:paraId="4333A41F">
      <w:pPr>
        <w:spacing w:line="360" w:lineRule="auto"/>
        <w:ind w:firstLine="480" w:firstLineChars="200"/>
        <w:jc w:val="left"/>
        <w:rPr>
          <w:rFonts w:ascii="宋体"/>
          <w:color w:val="auto"/>
          <w:sz w:val="24"/>
          <w:highlight w:val="none"/>
          <w:u w:val="single"/>
        </w:rPr>
      </w:pPr>
      <w:r>
        <w:rPr>
          <w:rFonts w:hint="eastAsia" w:ascii="宋体"/>
          <w:color w:val="auto"/>
          <w:sz w:val="24"/>
          <w:highlight w:val="none"/>
          <w:lang w:eastAsia="zh-CN"/>
        </w:rPr>
        <w:t>账</w:t>
      </w:r>
      <w:r>
        <w:rPr>
          <w:rFonts w:hint="eastAsia" w:ascii="宋体"/>
          <w:color w:val="auto"/>
          <w:sz w:val="24"/>
          <w:highlight w:val="none"/>
        </w:rPr>
        <w:t xml:space="preserve">    号：</w:t>
      </w:r>
      <w:r>
        <w:rPr>
          <w:rFonts w:hint="eastAsia" w:ascii="宋体"/>
          <w:color w:val="auto"/>
          <w:sz w:val="24"/>
          <w:highlight w:val="none"/>
          <w:u w:val="single"/>
        </w:rPr>
        <w:t xml:space="preserve">                                                    </w:t>
      </w:r>
    </w:p>
    <w:p w14:paraId="65DEE29F">
      <w:pPr>
        <w:spacing w:line="360" w:lineRule="auto"/>
        <w:ind w:firstLine="480" w:firstLineChars="200"/>
        <w:jc w:val="left"/>
        <w:rPr>
          <w:rFonts w:hint="eastAsia" w:ascii="宋体"/>
          <w:color w:val="auto"/>
          <w:sz w:val="24"/>
          <w:highlight w:val="none"/>
        </w:rPr>
      </w:pPr>
    </w:p>
    <w:p w14:paraId="2F2C076A">
      <w:pPr>
        <w:spacing w:line="360" w:lineRule="auto"/>
        <w:ind w:firstLine="480" w:firstLineChars="200"/>
        <w:jc w:val="left"/>
        <w:rPr>
          <w:rFonts w:ascii="宋体"/>
          <w:color w:val="auto"/>
          <w:sz w:val="24"/>
          <w:highlight w:val="none"/>
        </w:rPr>
      </w:pPr>
      <w:r>
        <w:rPr>
          <w:rFonts w:hint="eastAsia" w:ascii="宋体"/>
          <w:color w:val="auto"/>
          <w:sz w:val="24"/>
          <w:highlight w:val="none"/>
        </w:rPr>
        <w:t>投标人</w:t>
      </w:r>
      <w:r>
        <w:rPr>
          <w:rFonts w:hint="eastAsia" w:ascii="宋体"/>
          <w:color w:val="auto"/>
          <w:sz w:val="24"/>
          <w:highlight w:val="none"/>
          <w:lang w:val="en-US" w:eastAsia="zh-CN"/>
        </w:rPr>
        <w:t>全称</w:t>
      </w:r>
      <w:r>
        <w:rPr>
          <w:rFonts w:hint="eastAsia" w:ascii="宋体"/>
          <w:color w:val="auto"/>
          <w:sz w:val="24"/>
          <w:highlight w:val="none"/>
        </w:rPr>
        <w:t>：</w:t>
      </w:r>
      <w:r>
        <w:rPr>
          <w:rFonts w:hint="eastAsia" w:ascii="宋体"/>
          <w:color w:val="auto"/>
          <w:sz w:val="24"/>
          <w:highlight w:val="none"/>
          <w:u w:val="single"/>
        </w:rPr>
        <w:t xml:space="preserve">                               </w:t>
      </w:r>
      <w:r>
        <w:rPr>
          <w:rFonts w:hint="eastAsia" w:ascii="宋体"/>
          <w:color w:val="auto"/>
          <w:sz w:val="24"/>
          <w:highlight w:val="none"/>
        </w:rPr>
        <w:t>（</w:t>
      </w:r>
      <w:r>
        <w:rPr>
          <w:rFonts w:hint="eastAsia" w:ascii="宋体" w:hAnsi="宋体"/>
          <w:color w:val="auto"/>
          <w:sz w:val="24"/>
          <w:highlight w:val="none"/>
        </w:rPr>
        <w:t>电子签章</w:t>
      </w:r>
      <w:r>
        <w:rPr>
          <w:rFonts w:hint="eastAsia" w:ascii="宋体"/>
          <w:color w:val="auto"/>
          <w:sz w:val="24"/>
          <w:highlight w:val="none"/>
        </w:rPr>
        <w:t>）</w:t>
      </w:r>
    </w:p>
    <w:p w14:paraId="4725324B">
      <w:pPr>
        <w:spacing w:line="360" w:lineRule="auto"/>
        <w:ind w:firstLine="480" w:firstLineChars="200"/>
        <w:jc w:val="left"/>
        <w:rPr>
          <w:rFonts w:ascii="宋体"/>
          <w:color w:val="auto"/>
          <w:sz w:val="24"/>
          <w:highlight w:val="none"/>
        </w:rPr>
      </w:pPr>
      <w:r>
        <w:rPr>
          <w:rFonts w:hint="eastAsia" w:ascii="宋体"/>
          <w:color w:val="auto"/>
          <w:sz w:val="24"/>
          <w:highlight w:val="none"/>
        </w:rPr>
        <w:t>法定代表人或其委托代理人：</w:t>
      </w:r>
      <w:r>
        <w:rPr>
          <w:rFonts w:hint="eastAsia" w:ascii="宋体"/>
          <w:color w:val="auto"/>
          <w:sz w:val="24"/>
          <w:highlight w:val="none"/>
          <w:u w:val="single"/>
        </w:rPr>
        <w:t xml:space="preserve">              </w:t>
      </w:r>
      <w:r>
        <w:rPr>
          <w:rFonts w:hint="eastAsia" w:ascii="宋体"/>
          <w:color w:val="auto"/>
          <w:sz w:val="24"/>
          <w:highlight w:val="none"/>
        </w:rPr>
        <w:t>（</w:t>
      </w:r>
      <w:r>
        <w:rPr>
          <w:rFonts w:hint="eastAsia" w:ascii="宋体" w:hAnsi="宋体"/>
          <w:color w:val="auto"/>
          <w:sz w:val="24"/>
          <w:highlight w:val="none"/>
        </w:rPr>
        <w:t>电子签章</w:t>
      </w:r>
      <w:r>
        <w:rPr>
          <w:rFonts w:hint="eastAsia" w:ascii="宋体"/>
          <w:color w:val="auto"/>
          <w:sz w:val="24"/>
          <w:highlight w:val="none"/>
        </w:rPr>
        <w:t>）</w:t>
      </w:r>
    </w:p>
    <w:p w14:paraId="79073757">
      <w:pPr>
        <w:spacing w:line="360" w:lineRule="auto"/>
        <w:ind w:firstLine="480" w:firstLineChars="200"/>
        <w:jc w:val="left"/>
        <w:rPr>
          <w:rFonts w:ascii="宋体"/>
          <w:color w:val="auto"/>
          <w:sz w:val="24"/>
          <w:highlight w:val="none"/>
          <w:u w:val="single"/>
        </w:rPr>
      </w:pPr>
      <w:r>
        <w:rPr>
          <w:rFonts w:hint="eastAsia" w:ascii="宋体"/>
          <w:color w:val="auto"/>
          <w:sz w:val="24"/>
          <w:highlight w:val="none"/>
        </w:rPr>
        <w:t>日期：</w:t>
      </w:r>
      <w:r>
        <w:rPr>
          <w:rFonts w:hint="eastAsia" w:ascii="宋体"/>
          <w:color w:val="auto"/>
          <w:sz w:val="24"/>
          <w:highlight w:val="none"/>
          <w:u w:val="single"/>
        </w:rPr>
        <w:t xml:space="preserve">            </w:t>
      </w:r>
      <w:r>
        <w:rPr>
          <w:rFonts w:hint="eastAsia" w:ascii="宋体"/>
          <w:color w:val="auto"/>
          <w:sz w:val="24"/>
          <w:highlight w:val="none"/>
        </w:rPr>
        <w:t>年</w:t>
      </w:r>
      <w:r>
        <w:rPr>
          <w:rFonts w:hint="eastAsia" w:ascii="宋体"/>
          <w:color w:val="auto"/>
          <w:sz w:val="24"/>
          <w:highlight w:val="none"/>
          <w:u w:val="single"/>
        </w:rPr>
        <w:t xml:space="preserve">       </w:t>
      </w:r>
      <w:r>
        <w:rPr>
          <w:rFonts w:hint="eastAsia" w:ascii="宋体"/>
          <w:color w:val="auto"/>
          <w:sz w:val="24"/>
          <w:highlight w:val="none"/>
        </w:rPr>
        <w:t>月</w:t>
      </w:r>
      <w:r>
        <w:rPr>
          <w:rFonts w:hint="eastAsia" w:ascii="宋体"/>
          <w:color w:val="auto"/>
          <w:sz w:val="24"/>
          <w:highlight w:val="none"/>
          <w:u w:val="single"/>
        </w:rPr>
        <w:t xml:space="preserve">       </w:t>
      </w:r>
      <w:r>
        <w:rPr>
          <w:rFonts w:hint="eastAsia" w:ascii="宋体"/>
          <w:color w:val="auto"/>
          <w:sz w:val="24"/>
          <w:highlight w:val="none"/>
        </w:rPr>
        <w:t>日</w:t>
      </w:r>
    </w:p>
    <w:p w14:paraId="24E30B7A">
      <w:pPr>
        <w:ind w:firstLine="522"/>
        <w:rPr>
          <w:color w:val="auto"/>
          <w:highlight w:val="none"/>
        </w:rPr>
      </w:pPr>
      <w:r>
        <w:rPr>
          <w:rFonts w:hint="eastAsia"/>
          <w:color w:val="auto"/>
          <w:highlight w:val="none"/>
        </w:rPr>
        <w:br w:type="page"/>
      </w:r>
    </w:p>
    <w:p w14:paraId="353C1F5D">
      <w:pPr>
        <w:ind w:firstLine="522"/>
        <w:rPr>
          <w:color w:val="auto"/>
          <w:highlight w:val="none"/>
        </w:rPr>
      </w:pPr>
    </w:p>
    <w:p w14:paraId="7E60B487">
      <w:pPr>
        <w:pStyle w:val="3"/>
        <w:rPr>
          <w:color w:val="auto"/>
          <w:highlight w:val="none"/>
        </w:rPr>
      </w:pPr>
      <w:bookmarkStart w:id="147" w:name="_Toc150703262"/>
      <w:bookmarkStart w:id="148" w:name="_Toc525998716"/>
      <w:bookmarkStart w:id="149" w:name="_Toc20348"/>
      <w:r>
        <w:rPr>
          <w:rFonts w:hint="eastAsia"/>
          <w:color w:val="auto"/>
          <w:highlight w:val="none"/>
        </w:rPr>
        <w:t>格式</w:t>
      </w:r>
      <w:r>
        <w:rPr>
          <w:rFonts w:hint="eastAsia"/>
          <w:color w:val="auto"/>
          <w:highlight w:val="none"/>
          <w:lang w:val="en-US" w:eastAsia="zh-CN"/>
        </w:rPr>
        <w:t>9</w:t>
      </w:r>
      <w:r>
        <w:rPr>
          <w:rFonts w:hint="eastAsia"/>
          <w:color w:val="auto"/>
          <w:highlight w:val="none"/>
        </w:rPr>
        <w:t>：法定代表人身份证明书</w:t>
      </w:r>
      <w:bookmarkEnd w:id="147"/>
      <w:bookmarkEnd w:id="148"/>
      <w:bookmarkEnd w:id="149"/>
    </w:p>
    <w:p w14:paraId="5EFA908F">
      <w:pPr>
        <w:shd w:val="clear" w:color="auto" w:fill="FFFFFF"/>
        <w:ind w:firstLine="520"/>
        <w:rPr>
          <w:rFonts w:ascii="宋体" w:hAnsi="宋体"/>
          <w:b/>
          <w:bCs/>
          <w:color w:val="auto"/>
          <w:szCs w:val="28"/>
          <w:highlight w:val="none"/>
        </w:rPr>
      </w:pPr>
      <w:r>
        <w:rPr>
          <w:rFonts w:hint="eastAsia" w:ascii="宋体" w:hAnsi="宋体"/>
          <w:b/>
          <w:bCs/>
          <w:color w:val="auto"/>
          <w:szCs w:val="28"/>
          <w:highlight w:val="none"/>
        </w:rPr>
        <w:t> </w:t>
      </w:r>
    </w:p>
    <w:p w14:paraId="4D889EFB">
      <w:pPr>
        <w:shd w:val="clear" w:color="auto" w:fill="FFFFFF"/>
        <w:spacing w:line="360" w:lineRule="auto"/>
        <w:ind w:firstLine="522"/>
        <w:rPr>
          <w:rFonts w:ascii="宋体" w:hAnsi="宋体"/>
          <w:color w:val="auto"/>
          <w:sz w:val="24"/>
          <w:highlight w:val="none"/>
        </w:rPr>
      </w:pPr>
    </w:p>
    <w:p w14:paraId="0D47E5A5">
      <w:pPr>
        <w:shd w:val="clear" w:color="auto" w:fill="FFFFFF"/>
        <w:ind w:firstLine="522"/>
        <w:rPr>
          <w:rFonts w:ascii="宋体" w:hAnsi="宋体"/>
          <w:color w:val="auto"/>
          <w:sz w:val="24"/>
          <w:highlight w:val="none"/>
        </w:rPr>
      </w:pPr>
      <w:r>
        <w:rPr>
          <w:rFonts w:hint="eastAsia" w:ascii="宋体" w:hAnsi="宋体"/>
          <w:color w:val="auto"/>
          <w:sz w:val="24"/>
          <w:highlight w:val="none"/>
        </w:rPr>
        <w:t>单位名称：</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1A4191FB">
      <w:pPr>
        <w:shd w:val="clear" w:color="auto" w:fill="FFFFFF"/>
        <w:ind w:firstLine="522"/>
        <w:rPr>
          <w:rFonts w:ascii="宋体" w:hAnsi="宋体"/>
          <w:color w:val="auto"/>
          <w:sz w:val="24"/>
          <w:highlight w:val="none"/>
        </w:rPr>
      </w:pPr>
      <w:r>
        <w:rPr>
          <w:rFonts w:hint="eastAsia" w:ascii="宋体" w:hAnsi="宋体"/>
          <w:color w:val="auto"/>
          <w:sz w:val="24"/>
          <w:highlight w:val="none"/>
        </w:rPr>
        <w:t> </w:t>
      </w:r>
    </w:p>
    <w:p w14:paraId="608A1602">
      <w:pPr>
        <w:shd w:val="clear" w:color="auto" w:fill="FFFFFF"/>
        <w:ind w:firstLine="522"/>
        <w:rPr>
          <w:rFonts w:ascii="宋体" w:hAnsi="宋体"/>
          <w:color w:val="auto"/>
          <w:sz w:val="24"/>
          <w:highlight w:val="none"/>
          <w:u w:val="single"/>
        </w:rPr>
      </w:pPr>
      <w:r>
        <w:rPr>
          <w:rFonts w:hint="eastAsia" w:ascii="宋体" w:hAnsi="宋体"/>
          <w:color w:val="auto"/>
          <w:sz w:val="24"/>
          <w:highlight w:val="none"/>
        </w:rPr>
        <w:t>单位性质：</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2C7B4409">
      <w:pPr>
        <w:shd w:val="clear" w:color="auto" w:fill="FFFFFF"/>
        <w:ind w:firstLine="522"/>
        <w:rPr>
          <w:rFonts w:ascii="宋体" w:hAnsi="宋体"/>
          <w:color w:val="auto"/>
          <w:sz w:val="24"/>
          <w:highlight w:val="none"/>
        </w:rPr>
      </w:pPr>
      <w:r>
        <w:rPr>
          <w:rFonts w:hint="eastAsia" w:ascii="宋体" w:hAnsi="宋体"/>
          <w:color w:val="auto"/>
          <w:sz w:val="24"/>
          <w:highlight w:val="none"/>
        </w:rPr>
        <w:t> </w:t>
      </w:r>
    </w:p>
    <w:p w14:paraId="0FEDEA09">
      <w:pPr>
        <w:shd w:val="clear" w:color="auto" w:fill="FFFFFF"/>
        <w:ind w:firstLine="522"/>
        <w:rPr>
          <w:rFonts w:ascii="宋体" w:hAnsi="宋体"/>
          <w:color w:val="auto"/>
          <w:sz w:val="24"/>
          <w:highlight w:val="none"/>
          <w:u w:val="single"/>
        </w:rPr>
      </w:pPr>
      <w:r>
        <w:rPr>
          <w:rFonts w:hint="eastAsia" w:ascii="宋体" w:hAnsi="宋体"/>
          <w:color w:val="auto"/>
          <w:sz w:val="24"/>
          <w:highlight w:val="none"/>
        </w:rPr>
        <w:t>地    址：</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 xml:space="preserve">  </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 xml:space="preserve">       </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353809CD">
      <w:pPr>
        <w:shd w:val="clear" w:color="auto" w:fill="FFFFFF"/>
        <w:ind w:firstLine="522"/>
        <w:rPr>
          <w:rFonts w:ascii="宋体" w:hAnsi="宋体"/>
          <w:color w:val="auto"/>
          <w:sz w:val="24"/>
          <w:highlight w:val="none"/>
        </w:rPr>
      </w:pPr>
      <w:r>
        <w:rPr>
          <w:rFonts w:hint="eastAsia" w:ascii="宋体" w:hAnsi="宋体"/>
          <w:color w:val="auto"/>
          <w:sz w:val="24"/>
          <w:highlight w:val="none"/>
        </w:rPr>
        <w:t> </w:t>
      </w:r>
    </w:p>
    <w:p w14:paraId="41DCCF98">
      <w:pPr>
        <w:shd w:val="clear" w:color="auto" w:fill="FFFFFF"/>
        <w:ind w:firstLine="522"/>
        <w:rPr>
          <w:rFonts w:ascii="宋体" w:hAnsi="宋体"/>
          <w:color w:val="auto"/>
          <w:sz w:val="24"/>
          <w:highlight w:val="none"/>
        </w:rPr>
      </w:pPr>
      <w:r>
        <w:rPr>
          <w:rFonts w:hint="eastAsia" w:ascii="宋体" w:hAnsi="宋体"/>
          <w:color w:val="auto"/>
          <w:sz w:val="24"/>
          <w:highlight w:val="none"/>
        </w:rPr>
        <w:t>成立时间：</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4F14D70E">
      <w:pPr>
        <w:shd w:val="clear" w:color="auto" w:fill="FFFFFF"/>
        <w:ind w:firstLine="522"/>
        <w:rPr>
          <w:rFonts w:ascii="宋体" w:hAnsi="宋体"/>
          <w:color w:val="auto"/>
          <w:sz w:val="24"/>
          <w:highlight w:val="none"/>
        </w:rPr>
      </w:pPr>
      <w:r>
        <w:rPr>
          <w:rFonts w:hint="eastAsia" w:ascii="宋体" w:hAnsi="宋体"/>
          <w:color w:val="auto"/>
          <w:sz w:val="24"/>
          <w:highlight w:val="none"/>
        </w:rPr>
        <w:t> </w:t>
      </w:r>
    </w:p>
    <w:p w14:paraId="6D8B0FF2">
      <w:pPr>
        <w:shd w:val="clear" w:color="auto" w:fill="FFFFFF"/>
        <w:ind w:firstLine="522"/>
        <w:rPr>
          <w:rFonts w:ascii="宋体" w:hAnsi="宋体"/>
          <w:color w:val="auto"/>
          <w:sz w:val="24"/>
          <w:highlight w:val="none"/>
          <w:u w:val="single"/>
        </w:rPr>
      </w:pPr>
      <w:r>
        <w:rPr>
          <w:rFonts w:hint="eastAsia" w:ascii="宋体" w:hAnsi="宋体"/>
          <w:color w:val="auto"/>
          <w:sz w:val="24"/>
          <w:highlight w:val="none"/>
        </w:rPr>
        <w:t>经营期限：</w:t>
      </w:r>
      <w:r>
        <w:rPr>
          <w:rFonts w:hint="eastAsia" w:ascii="宋体" w:hAnsi="宋体"/>
          <w:color w:val="auto"/>
          <w:sz w:val="24"/>
          <w:highlight w:val="none"/>
          <w:u w:val="single"/>
        </w:rPr>
        <w:tab/>
      </w:r>
      <w:r>
        <w:rPr>
          <w:rFonts w:hint="eastAsia" w:ascii="宋体" w:hAnsi="宋体"/>
          <w:color w:val="auto"/>
          <w:sz w:val="24"/>
          <w:highlight w:val="none"/>
          <w:u w:val="single"/>
        </w:rPr>
        <w:t xml:space="preserve">                            </w:t>
      </w:r>
      <w:r>
        <w:rPr>
          <w:rFonts w:hint="eastAsia" w:ascii="宋体" w:hAnsi="宋体"/>
          <w:color w:val="auto"/>
          <w:sz w:val="24"/>
          <w:highlight w:val="none"/>
          <w:u w:val="single"/>
        </w:rPr>
        <w:tab/>
      </w:r>
    </w:p>
    <w:p w14:paraId="0AEFAB48">
      <w:pPr>
        <w:shd w:val="clear" w:color="auto" w:fill="FFFFFF"/>
        <w:ind w:firstLine="522"/>
        <w:rPr>
          <w:rFonts w:ascii="宋体" w:hAnsi="宋体"/>
          <w:color w:val="auto"/>
          <w:sz w:val="24"/>
          <w:highlight w:val="none"/>
        </w:rPr>
      </w:pPr>
      <w:r>
        <w:rPr>
          <w:rFonts w:hint="eastAsia" w:ascii="宋体" w:hAnsi="宋体"/>
          <w:color w:val="auto"/>
          <w:sz w:val="24"/>
          <w:highlight w:val="none"/>
        </w:rPr>
        <w:t> </w:t>
      </w:r>
    </w:p>
    <w:p w14:paraId="278AA015">
      <w:pPr>
        <w:shd w:val="clear" w:color="auto" w:fill="FFFFFF"/>
        <w:ind w:firstLine="522"/>
        <w:rPr>
          <w:rFonts w:ascii="宋体" w:hAnsi="宋体"/>
          <w:color w:val="auto"/>
          <w:sz w:val="24"/>
          <w:highlight w:val="none"/>
          <w:u w:val="single"/>
        </w:rPr>
      </w:pPr>
      <w:r>
        <w:rPr>
          <w:rFonts w:hint="eastAsia" w:ascii="宋体" w:hAnsi="宋体"/>
          <w:color w:val="auto"/>
          <w:sz w:val="24"/>
          <w:highlight w:val="none"/>
        </w:rPr>
        <w:t>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年龄：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职务：</w:t>
      </w:r>
      <w:r>
        <w:rPr>
          <w:rFonts w:hint="eastAsia" w:ascii="宋体" w:hAnsi="宋体"/>
          <w:color w:val="auto"/>
          <w:sz w:val="24"/>
          <w:highlight w:val="none"/>
          <w:u w:val="single"/>
        </w:rPr>
        <w:tab/>
      </w:r>
      <w:r>
        <w:rPr>
          <w:rFonts w:hint="eastAsia" w:ascii="宋体" w:hAnsi="宋体"/>
          <w:color w:val="auto"/>
          <w:sz w:val="24"/>
          <w:highlight w:val="none"/>
          <w:u w:val="single"/>
        </w:rPr>
        <w:tab/>
      </w:r>
    </w:p>
    <w:p w14:paraId="0C2BFE94">
      <w:pPr>
        <w:shd w:val="clear" w:color="auto" w:fill="FFFFFF"/>
        <w:ind w:firstLine="522"/>
        <w:rPr>
          <w:rFonts w:ascii="宋体" w:hAnsi="宋体"/>
          <w:color w:val="auto"/>
          <w:sz w:val="24"/>
          <w:highlight w:val="none"/>
        </w:rPr>
      </w:pPr>
      <w:r>
        <w:rPr>
          <w:rFonts w:hint="eastAsia" w:ascii="宋体" w:hAnsi="宋体"/>
          <w:color w:val="auto"/>
          <w:sz w:val="24"/>
          <w:highlight w:val="none"/>
        </w:rPr>
        <w:t> </w:t>
      </w:r>
    </w:p>
    <w:p w14:paraId="0ED2290B">
      <w:pPr>
        <w:shd w:val="clear" w:color="auto" w:fill="FFFFFF"/>
        <w:ind w:firstLine="522"/>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 xml:space="preserve">     （投标人名称）        </w:t>
      </w:r>
      <w:r>
        <w:rPr>
          <w:rFonts w:hint="eastAsia" w:ascii="宋体" w:hAnsi="宋体"/>
          <w:color w:val="auto"/>
          <w:sz w:val="24"/>
          <w:highlight w:val="none"/>
        </w:rPr>
        <w:t>的法定代表人。</w:t>
      </w:r>
    </w:p>
    <w:p w14:paraId="2F7D4418">
      <w:pPr>
        <w:shd w:val="clear" w:color="auto" w:fill="FFFFFF"/>
        <w:spacing w:line="360" w:lineRule="auto"/>
        <w:ind w:firstLine="522"/>
        <w:rPr>
          <w:rFonts w:ascii="宋体" w:hAnsi="宋体"/>
          <w:color w:val="auto"/>
          <w:sz w:val="24"/>
          <w:highlight w:val="none"/>
        </w:rPr>
      </w:pPr>
      <w:r>
        <w:rPr>
          <w:rFonts w:hint="eastAsia" w:ascii="宋体" w:hAnsi="宋体"/>
          <w:color w:val="auto"/>
          <w:sz w:val="24"/>
          <w:highlight w:val="none"/>
        </w:rPr>
        <w:t> </w:t>
      </w:r>
    </w:p>
    <w:p w14:paraId="73AA0FED">
      <w:pPr>
        <w:shd w:val="clear" w:color="auto" w:fill="FFFFFF"/>
        <w:spacing w:line="360" w:lineRule="auto"/>
        <w:ind w:firstLine="522"/>
        <w:rPr>
          <w:rFonts w:ascii="宋体" w:hAnsi="宋体"/>
          <w:color w:val="auto"/>
          <w:sz w:val="24"/>
          <w:highlight w:val="none"/>
        </w:rPr>
      </w:pPr>
      <w:r>
        <w:rPr>
          <w:rFonts w:hint="eastAsia" w:ascii="宋体" w:hAnsi="宋体"/>
          <w:color w:val="auto"/>
          <w:sz w:val="24"/>
          <w:highlight w:val="none"/>
        </w:rPr>
        <w:t>特此证明。</w:t>
      </w:r>
    </w:p>
    <w:p w14:paraId="5E31F4AD">
      <w:pPr>
        <w:shd w:val="clear" w:color="auto" w:fill="FFFFFF"/>
        <w:tabs>
          <w:tab w:val="left" w:pos="720"/>
          <w:tab w:val="left" w:pos="900"/>
        </w:tabs>
        <w:spacing w:line="360" w:lineRule="auto"/>
        <w:ind w:firstLine="480" w:firstLineChars="200"/>
        <w:rPr>
          <w:rFonts w:ascii="宋体" w:hAnsi="宋体"/>
          <w:color w:val="auto"/>
          <w:sz w:val="24"/>
          <w:highlight w:val="none"/>
        </w:rPr>
      </w:pPr>
      <w:r>
        <w:rPr>
          <w:rFonts w:hint="eastAsia" w:ascii="宋体" w:hAnsi="宋体"/>
          <w:color w:val="auto"/>
          <w:sz w:val="24"/>
          <w:highlight w:val="none"/>
        </w:rPr>
        <w:t> </w:t>
      </w:r>
    </w:p>
    <w:p w14:paraId="3D847B2C">
      <w:pPr>
        <w:shd w:val="clear" w:color="auto" w:fill="FFFFFF"/>
        <w:tabs>
          <w:tab w:val="left" w:pos="720"/>
          <w:tab w:val="left" w:pos="900"/>
        </w:tabs>
        <w:spacing w:line="360" w:lineRule="auto"/>
        <w:ind w:firstLine="480" w:firstLineChars="200"/>
        <w:rPr>
          <w:rFonts w:ascii="宋体" w:hAnsi="宋体"/>
          <w:color w:val="auto"/>
          <w:sz w:val="24"/>
          <w:highlight w:val="none"/>
        </w:rPr>
      </w:pPr>
      <w:r>
        <w:rPr>
          <w:rFonts w:hint="eastAsia" w:ascii="宋体" w:hAnsi="宋体"/>
          <w:color w:val="auto"/>
          <w:sz w:val="24"/>
          <w:highlight w:val="none"/>
        </w:rPr>
        <w:t> </w:t>
      </w:r>
    </w:p>
    <w:p w14:paraId="1E761729">
      <w:pPr>
        <w:shd w:val="clear" w:color="auto" w:fill="FFFFFF"/>
        <w:tabs>
          <w:tab w:val="left" w:pos="720"/>
          <w:tab w:val="left" w:pos="900"/>
        </w:tabs>
        <w:spacing w:line="360" w:lineRule="auto"/>
        <w:ind w:firstLine="5040" w:firstLineChars="2100"/>
        <w:rPr>
          <w:rFonts w:ascii="宋体" w:hAnsi="宋体"/>
          <w:color w:val="auto"/>
          <w:sz w:val="24"/>
          <w:highlight w:val="none"/>
        </w:rPr>
      </w:pPr>
      <w:r>
        <w:rPr>
          <w:rFonts w:hint="eastAsia" w:ascii="宋体" w:hAnsi="宋体"/>
          <w:color w:val="auto"/>
          <w:sz w:val="24"/>
          <w:highlight w:val="none"/>
        </w:rPr>
        <w:t>投标人全称：</w:t>
      </w:r>
      <w:r>
        <w:rPr>
          <w:rFonts w:hint="eastAsia" w:ascii="宋体" w:hAnsi="宋体"/>
          <w:color w:val="auto"/>
          <w:sz w:val="24"/>
          <w:highlight w:val="none"/>
          <w:u w:val="single"/>
        </w:rPr>
        <w:t xml:space="preserve">      （电子签章）</w:t>
      </w:r>
    </w:p>
    <w:p w14:paraId="33634102">
      <w:pPr>
        <w:shd w:val="clear" w:color="auto" w:fill="FFFFFF"/>
        <w:tabs>
          <w:tab w:val="left" w:pos="720"/>
          <w:tab w:val="left" w:pos="900"/>
        </w:tabs>
        <w:spacing w:line="360" w:lineRule="auto"/>
        <w:ind w:firstLine="5040" w:firstLineChars="2100"/>
        <w:rPr>
          <w:rFonts w:ascii="宋体" w:hAnsi="宋体"/>
          <w:color w:val="auto"/>
          <w:sz w:val="24"/>
          <w:highlight w:val="none"/>
        </w:rPr>
      </w:pPr>
      <w:r>
        <w:rPr>
          <w:rFonts w:hint="eastAsia" w:ascii="宋体" w:hAnsi="宋体"/>
          <w:color w:val="auto"/>
          <w:sz w:val="24"/>
          <w:highlight w:val="none"/>
        </w:rPr>
        <w:t> </w:t>
      </w:r>
    </w:p>
    <w:p w14:paraId="01C1BDA6">
      <w:pPr>
        <w:shd w:val="clear" w:color="auto" w:fill="FFFFFF"/>
        <w:tabs>
          <w:tab w:val="left" w:pos="720"/>
          <w:tab w:val="left" w:pos="900"/>
        </w:tabs>
        <w:spacing w:line="360" w:lineRule="auto"/>
        <w:ind w:firstLine="5040" w:firstLineChars="2100"/>
        <w:rPr>
          <w:rFonts w:ascii="宋体" w:hAnsi="宋体"/>
          <w:color w:val="auto"/>
          <w:sz w:val="24"/>
          <w:highlight w:val="none"/>
        </w:rPr>
      </w:pPr>
      <w:r>
        <w:rPr>
          <w:rFonts w:hint="eastAsia" w:ascii="宋体" w:hAnsi="宋体"/>
          <w:color w:val="auto"/>
          <w:sz w:val="24"/>
          <w:highlight w:val="none"/>
        </w:rPr>
        <w:t>日      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00954D92">
      <w:pPr>
        <w:pStyle w:val="15"/>
        <w:rPr>
          <w:color w:val="auto"/>
          <w:highlight w:val="none"/>
        </w:rPr>
      </w:pPr>
    </w:p>
    <w:p w14:paraId="7ACD795C">
      <w:pPr>
        <w:shd w:val="clear" w:color="auto" w:fill="FFFFFF"/>
        <w:tabs>
          <w:tab w:val="left" w:pos="720"/>
          <w:tab w:val="left" w:pos="900"/>
        </w:tabs>
        <w:spacing w:line="360" w:lineRule="auto"/>
        <w:ind w:firstLine="720" w:firstLineChars="300"/>
        <w:rPr>
          <w:rFonts w:ascii="宋体" w:hAnsi="宋体"/>
          <w:bCs/>
          <w:color w:val="auto"/>
          <w:sz w:val="24"/>
          <w:highlight w:val="none"/>
        </w:rPr>
      </w:pPr>
    </w:p>
    <w:p w14:paraId="37B5AC69">
      <w:pPr>
        <w:shd w:val="clear" w:color="auto" w:fill="FFFFFF"/>
        <w:tabs>
          <w:tab w:val="left" w:pos="720"/>
          <w:tab w:val="left" w:pos="900"/>
        </w:tabs>
        <w:spacing w:line="360" w:lineRule="auto"/>
        <w:ind w:firstLine="720" w:firstLineChars="300"/>
        <w:rPr>
          <w:rFonts w:ascii="宋体" w:hAnsi="宋体"/>
          <w:bCs/>
          <w:color w:val="auto"/>
          <w:sz w:val="24"/>
          <w:highlight w:val="none"/>
        </w:rPr>
      </w:pPr>
    </w:p>
    <w:p w14:paraId="4FA417D4">
      <w:pPr>
        <w:shd w:val="clear" w:color="auto" w:fill="FFFFFF"/>
        <w:tabs>
          <w:tab w:val="left" w:pos="720"/>
          <w:tab w:val="left" w:pos="900"/>
        </w:tabs>
        <w:spacing w:line="360" w:lineRule="auto"/>
        <w:ind w:firstLine="720" w:firstLineChars="300"/>
        <w:rPr>
          <w:rFonts w:ascii="宋体" w:hAnsi="宋体"/>
          <w:b/>
          <w:bCs/>
          <w:color w:val="auto"/>
          <w:sz w:val="24"/>
          <w:highlight w:val="none"/>
        </w:rPr>
      </w:pPr>
      <w:r>
        <w:rPr>
          <w:rFonts w:hint="eastAsia" w:ascii="宋体" w:hAnsi="宋体"/>
          <w:b/>
          <w:bCs/>
          <w:color w:val="auto"/>
          <w:sz w:val="24"/>
          <w:highlight w:val="none"/>
        </w:rPr>
        <w:t>附：法定代表人身份证原件正、反面扫描件。</w:t>
      </w:r>
    </w:p>
    <w:p w14:paraId="6F65FB34">
      <w:pPr>
        <w:shd w:val="clear" w:color="auto" w:fill="FFFFFF"/>
        <w:tabs>
          <w:tab w:val="left" w:pos="720"/>
          <w:tab w:val="left" w:pos="900"/>
        </w:tabs>
        <w:spacing w:before="331" w:beforeLines="100" w:line="360" w:lineRule="auto"/>
        <w:ind w:firstLine="630" w:firstLineChars="300"/>
        <w:rPr>
          <w:b/>
          <w:color w:val="auto"/>
          <w:sz w:val="22"/>
          <w:highlight w:val="none"/>
        </w:rPr>
        <w:sectPr>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pPr>
      <w:r>
        <w:rPr>
          <w:rFonts w:hint="eastAsia"/>
          <w:b/>
          <w:bCs/>
          <w:color w:val="auto"/>
          <w:highlight w:val="none"/>
        </w:rPr>
        <w:t> </w:t>
      </w:r>
    </w:p>
    <w:p w14:paraId="3662E557">
      <w:pPr>
        <w:pStyle w:val="3"/>
        <w:rPr>
          <w:color w:val="auto"/>
          <w:szCs w:val="21"/>
          <w:highlight w:val="none"/>
        </w:rPr>
      </w:pPr>
      <w:bookmarkStart w:id="150" w:name="_Toc327178019"/>
      <w:bookmarkStart w:id="151" w:name="_Toc326740410"/>
      <w:bookmarkStart w:id="152" w:name="_Toc525998717"/>
      <w:bookmarkStart w:id="153" w:name="_Toc7729"/>
      <w:bookmarkStart w:id="154" w:name="_Toc430197656"/>
      <w:bookmarkStart w:id="155" w:name="_Toc150703263"/>
      <w:r>
        <w:rPr>
          <w:rFonts w:hint="eastAsia"/>
          <w:color w:val="auto"/>
          <w:highlight w:val="none"/>
        </w:rPr>
        <w:t>格式1</w:t>
      </w:r>
      <w:r>
        <w:rPr>
          <w:rFonts w:hint="eastAsia"/>
          <w:color w:val="auto"/>
          <w:highlight w:val="none"/>
          <w:lang w:val="en-US" w:eastAsia="zh-CN"/>
        </w:rPr>
        <w:t>0</w:t>
      </w:r>
      <w:r>
        <w:rPr>
          <w:rFonts w:hint="eastAsia"/>
          <w:color w:val="auto"/>
          <w:highlight w:val="none"/>
        </w:rPr>
        <w:t>：</w:t>
      </w:r>
      <w:bookmarkEnd w:id="150"/>
      <w:bookmarkEnd w:id="151"/>
      <w:r>
        <w:rPr>
          <w:color w:val="auto"/>
          <w:highlight w:val="none"/>
        </w:rPr>
        <w:t>法定代表人签署的授权委托书</w:t>
      </w:r>
      <w:bookmarkEnd w:id="152"/>
      <w:bookmarkEnd w:id="153"/>
      <w:bookmarkEnd w:id="154"/>
      <w:bookmarkEnd w:id="155"/>
    </w:p>
    <w:p w14:paraId="0B05005E">
      <w:pPr>
        <w:shd w:val="clear" w:color="auto" w:fill="FFFFFF"/>
        <w:spacing w:after="165" w:line="500" w:lineRule="exact"/>
        <w:ind w:firstLine="522"/>
        <w:rPr>
          <w:color w:val="auto"/>
          <w:sz w:val="24"/>
          <w:highlight w:val="none"/>
        </w:rPr>
      </w:pPr>
    </w:p>
    <w:p w14:paraId="59EBCDBE">
      <w:pPr>
        <w:shd w:val="clear" w:color="auto" w:fill="FFFFFF"/>
        <w:spacing w:after="165" w:line="500" w:lineRule="exact"/>
        <w:ind w:firstLine="480" w:firstLineChars="200"/>
        <w:rPr>
          <w:rFonts w:hAnsi="宋体"/>
          <w:color w:val="auto"/>
          <w:sz w:val="24"/>
          <w:highlight w:val="none"/>
        </w:rPr>
      </w:pPr>
      <w:r>
        <w:rPr>
          <w:rFonts w:hint="eastAsia" w:hAnsi="宋体"/>
          <w:color w:val="auto"/>
          <w:sz w:val="24"/>
          <w:highlight w:val="none"/>
        </w:rPr>
        <w:t>本授权委托书声明：我</w:t>
      </w:r>
      <w:r>
        <w:rPr>
          <w:color w:val="auto"/>
          <w:sz w:val="24"/>
          <w:highlight w:val="none"/>
          <w:u w:val="single"/>
        </w:rPr>
        <w:t xml:space="preserve">        </w:t>
      </w:r>
      <w:r>
        <w:rPr>
          <w:rFonts w:hint="eastAsia" w:hAnsi="宋体"/>
          <w:color w:val="auto"/>
          <w:sz w:val="24"/>
          <w:highlight w:val="none"/>
        </w:rPr>
        <w:t>（姓名）系</w:t>
      </w:r>
      <w:r>
        <w:rPr>
          <w:color w:val="auto"/>
          <w:sz w:val="24"/>
          <w:highlight w:val="none"/>
          <w:u w:val="single"/>
        </w:rPr>
        <w:t xml:space="preserve">                    </w:t>
      </w:r>
      <w:r>
        <w:rPr>
          <w:rFonts w:hint="eastAsia" w:hAnsi="宋体"/>
          <w:color w:val="auto"/>
          <w:sz w:val="24"/>
          <w:highlight w:val="none"/>
        </w:rPr>
        <w:t>（投标人名称）的法定代表人，现授权委托</w:t>
      </w:r>
      <w:r>
        <w:rPr>
          <w:color w:val="auto"/>
          <w:sz w:val="24"/>
          <w:highlight w:val="none"/>
          <w:u w:val="single"/>
        </w:rPr>
        <w:t xml:space="preserve">            </w:t>
      </w:r>
      <w:r>
        <w:rPr>
          <w:rFonts w:hint="eastAsia" w:hAnsi="宋体"/>
          <w:color w:val="auto"/>
          <w:sz w:val="24"/>
          <w:highlight w:val="none"/>
        </w:rPr>
        <w:t>（姓名）为我单位代理人，以单位名义参加云南众高工程咨询有限公司组织的</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w:t>
      </w:r>
      <w:r>
        <w:rPr>
          <w:rFonts w:hint="eastAsia"/>
          <w:color w:val="auto"/>
          <w:sz w:val="24"/>
          <w:highlight w:val="none"/>
        </w:rPr>
        <w:t>项目名称）</w:t>
      </w:r>
      <w:r>
        <w:rPr>
          <w:color w:val="auto"/>
          <w:sz w:val="24"/>
          <w:highlight w:val="none"/>
          <w:u w:val="single"/>
        </w:rPr>
        <w:t xml:space="preserve">             </w:t>
      </w:r>
      <w:r>
        <w:rPr>
          <w:rFonts w:hint="eastAsia"/>
          <w:color w:val="auto"/>
          <w:sz w:val="24"/>
          <w:highlight w:val="none"/>
          <w:u w:val="single"/>
        </w:rPr>
        <w:t>（</w:t>
      </w:r>
      <w:r>
        <w:rPr>
          <w:rFonts w:hint="eastAsia" w:hAnsi="宋体"/>
          <w:color w:val="auto"/>
          <w:sz w:val="24"/>
          <w:highlight w:val="none"/>
        </w:rPr>
        <w:t>招标编号）的投标活动。</w:t>
      </w:r>
    </w:p>
    <w:p w14:paraId="4640E9AF">
      <w:pPr>
        <w:shd w:val="clear" w:color="auto" w:fill="FFFFFF"/>
        <w:spacing w:after="165" w:line="500" w:lineRule="exact"/>
        <w:ind w:firstLine="522"/>
        <w:rPr>
          <w:color w:val="auto"/>
          <w:sz w:val="24"/>
          <w:highlight w:val="none"/>
        </w:rPr>
      </w:pPr>
      <w:r>
        <w:rPr>
          <w:rFonts w:hint="eastAsia" w:hAnsi="宋体"/>
          <w:color w:val="auto"/>
          <w:sz w:val="24"/>
          <w:highlight w:val="none"/>
        </w:rPr>
        <w:t>代理人在参加本项目过程中所签署的一切文件和处理与之有关的一切事务，我均予以承认。</w:t>
      </w:r>
    </w:p>
    <w:p w14:paraId="4351BB7C">
      <w:pPr>
        <w:shd w:val="clear" w:color="auto" w:fill="FFFFFF"/>
        <w:spacing w:after="165" w:line="500" w:lineRule="exact"/>
        <w:ind w:firstLine="522"/>
        <w:rPr>
          <w:color w:val="auto"/>
          <w:sz w:val="24"/>
          <w:highlight w:val="none"/>
          <w:u w:val="single"/>
        </w:rPr>
      </w:pPr>
      <w:r>
        <w:rPr>
          <w:color w:val="auto"/>
          <w:sz w:val="24"/>
          <w:highlight w:val="none"/>
        </w:rPr>
        <w:t>委托期限：</w:t>
      </w:r>
      <w:r>
        <w:rPr>
          <w:rFonts w:hint="eastAsia"/>
          <w:color w:val="auto"/>
          <w:sz w:val="24"/>
          <w:highlight w:val="none"/>
          <w:u w:val="single"/>
        </w:rPr>
        <w:t xml:space="preserve">                    </w:t>
      </w:r>
    </w:p>
    <w:p w14:paraId="319266E1">
      <w:pPr>
        <w:shd w:val="clear" w:color="auto" w:fill="FFFFFF"/>
        <w:spacing w:after="165" w:line="500" w:lineRule="exact"/>
        <w:ind w:firstLine="522"/>
        <w:rPr>
          <w:color w:val="auto"/>
          <w:sz w:val="24"/>
          <w:highlight w:val="none"/>
        </w:rPr>
      </w:pPr>
    </w:p>
    <w:p w14:paraId="58818F9E">
      <w:pPr>
        <w:shd w:val="clear" w:color="auto" w:fill="FFFFFF"/>
        <w:spacing w:after="165" w:line="500" w:lineRule="exact"/>
        <w:ind w:firstLine="522"/>
        <w:rPr>
          <w:color w:val="auto"/>
          <w:sz w:val="24"/>
          <w:highlight w:val="none"/>
        </w:rPr>
      </w:pPr>
    </w:p>
    <w:p w14:paraId="7D6F7DFB">
      <w:pPr>
        <w:shd w:val="clear" w:color="auto" w:fill="FFFFFF"/>
        <w:spacing w:after="165" w:line="480" w:lineRule="auto"/>
        <w:ind w:firstLine="522"/>
        <w:rPr>
          <w:color w:val="auto"/>
          <w:sz w:val="24"/>
          <w:highlight w:val="none"/>
        </w:rPr>
      </w:pPr>
      <w:r>
        <w:rPr>
          <w:rFonts w:hint="eastAsia" w:hAnsi="宋体"/>
          <w:color w:val="auto"/>
          <w:sz w:val="24"/>
          <w:highlight w:val="none"/>
        </w:rPr>
        <w:t>代理人：</w:t>
      </w:r>
      <w:r>
        <w:rPr>
          <w:color w:val="auto"/>
          <w:sz w:val="24"/>
          <w:highlight w:val="none"/>
        </w:rPr>
        <w:t xml:space="preserve">                 </w:t>
      </w:r>
      <w:r>
        <w:rPr>
          <w:rFonts w:hint="eastAsia"/>
          <w:color w:val="auto"/>
          <w:sz w:val="24"/>
          <w:highlight w:val="none"/>
          <w:lang w:val="en-US" w:eastAsia="zh-CN"/>
        </w:rPr>
        <w:t xml:space="preserve">    </w:t>
      </w:r>
      <w:r>
        <w:rPr>
          <w:rFonts w:hint="eastAsia"/>
          <w:color w:val="auto"/>
          <w:sz w:val="24"/>
          <w:highlight w:val="none"/>
        </w:rPr>
        <w:t xml:space="preserve">  </w:t>
      </w:r>
      <w:r>
        <w:rPr>
          <w:rFonts w:hint="eastAsia" w:hAnsi="宋体"/>
          <w:color w:val="auto"/>
          <w:sz w:val="24"/>
          <w:highlight w:val="none"/>
        </w:rPr>
        <w:t>性别：</w:t>
      </w:r>
      <w:r>
        <w:rPr>
          <w:color w:val="auto"/>
          <w:sz w:val="24"/>
          <w:highlight w:val="none"/>
        </w:rPr>
        <w:t xml:space="preserve">                年龄：</w:t>
      </w:r>
    </w:p>
    <w:p w14:paraId="3941015E">
      <w:pPr>
        <w:shd w:val="clear" w:color="auto" w:fill="FFFFFF"/>
        <w:spacing w:after="165" w:line="480" w:lineRule="auto"/>
        <w:ind w:firstLine="522"/>
        <w:rPr>
          <w:color w:val="auto"/>
          <w:sz w:val="24"/>
          <w:highlight w:val="none"/>
        </w:rPr>
      </w:pPr>
      <w:r>
        <w:rPr>
          <w:rFonts w:hint="eastAsia" w:hAnsi="宋体"/>
          <w:color w:val="auto"/>
          <w:sz w:val="24"/>
          <w:highlight w:val="none"/>
        </w:rPr>
        <w:t>部    门：</w:t>
      </w:r>
      <w:r>
        <w:rPr>
          <w:color w:val="auto"/>
          <w:sz w:val="24"/>
          <w:highlight w:val="none"/>
        </w:rPr>
        <w:t xml:space="preserve">                    </w:t>
      </w:r>
      <w:r>
        <w:rPr>
          <w:rFonts w:hint="eastAsia"/>
          <w:color w:val="auto"/>
          <w:sz w:val="24"/>
          <w:highlight w:val="none"/>
        </w:rPr>
        <w:t xml:space="preserve"> </w:t>
      </w:r>
      <w:r>
        <w:rPr>
          <w:color w:val="auto"/>
          <w:sz w:val="24"/>
          <w:highlight w:val="none"/>
        </w:rPr>
        <w:t>职务：</w:t>
      </w:r>
    </w:p>
    <w:p w14:paraId="0DDE3E4E">
      <w:pPr>
        <w:shd w:val="clear" w:color="auto" w:fill="FFFFFF"/>
        <w:spacing w:after="165" w:line="480" w:lineRule="auto"/>
        <w:ind w:firstLine="522"/>
        <w:rPr>
          <w:rFonts w:hAnsi="宋体"/>
          <w:color w:val="auto"/>
          <w:sz w:val="24"/>
          <w:highlight w:val="none"/>
        </w:rPr>
      </w:pPr>
      <w:r>
        <w:rPr>
          <w:rFonts w:hint="eastAsia" w:hAnsi="宋体"/>
          <w:color w:val="auto"/>
          <w:sz w:val="24"/>
          <w:highlight w:val="none"/>
        </w:rPr>
        <w:t>代理人无转委权，特此委托。</w:t>
      </w:r>
    </w:p>
    <w:p w14:paraId="2208F0EF">
      <w:pPr>
        <w:shd w:val="clear" w:color="auto" w:fill="FFFFFF"/>
        <w:spacing w:after="165" w:line="480" w:lineRule="auto"/>
        <w:ind w:firstLine="522"/>
        <w:rPr>
          <w:rFonts w:hAnsi="宋体"/>
          <w:color w:val="auto"/>
          <w:sz w:val="24"/>
          <w:highlight w:val="none"/>
        </w:rPr>
      </w:pPr>
    </w:p>
    <w:p w14:paraId="4C0FB5F3">
      <w:pPr>
        <w:shd w:val="clear" w:color="auto" w:fill="FFFFFF"/>
        <w:spacing w:after="165" w:line="480" w:lineRule="auto"/>
        <w:ind w:firstLine="522"/>
        <w:rPr>
          <w:rFonts w:ascii="宋体" w:hAnsi="宋体"/>
          <w:color w:val="auto"/>
          <w:sz w:val="24"/>
          <w:highlight w:val="none"/>
          <w:u w:val="single"/>
        </w:rPr>
      </w:pPr>
      <w:r>
        <w:rPr>
          <w:rFonts w:hint="eastAsia" w:ascii="宋体" w:hAnsi="宋体"/>
          <w:color w:val="auto"/>
          <w:sz w:val="24"/>
          <w:highlight w:val="none"/>
        </w:rPr>
        <w:t>投标人全称：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（电子签章）</w:t>
      </w:r>
    </w:p>
    <w:p w14:paraId="11C3FCCD">
      <w:pPr>
        <w:shd w:val="clear" w:color="auto" w:fill="FFFFFF"/>
        <w:spacing w:after="165" w:line="480" w:lineRule="auto"/>
        <w:ind w:firstLine="522"/>
        <w:rPr>
          <w:rFonts w:hAnsi="宋体"/>
          <w:color w:val="auto"/>
          <w:sz w:val="24"/>
          <w:highlight w:val="none"/>
          <w:u w:val="single"/>
        </w:rPr>
      </w:pPr>
      <w:r>
        <w:rPr>
          <w:rFonts w:hint="eastAsia" w:hAnsi="宋体"/>
          <w:color w:val="auto"/>
          <w:sz w:val="24"/>
          <w:highlight w:val="none"/>
        </w:rPr>
        <w:t>法定代表人：</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u w:val="single"/>
        </w:rPr>
        <w:t xml:space="preserve"> </w:t>
      </w:r>
      <w:r>
        <w:rPr>
          <w:rFonts w:hint="eastAsia" w:hAnsi="宋体"/>
          <w:color w:val="auto"/>
          <w:sz w:val="24"/>
          <w:highlight w:val="none"/>
        </w:rPr>
        <w:t>（</w:t>
      </w:r>
      <w:r>
        <w:rPr>
          <w:rFonts w:hint="eastAsia" w:ascii="宋体" w:hAnsi="宋体"/>
          <w:color w:val="auto"/>
          <w:sz w:val="24"/>
          <w:highlight w:val="none"/>
        </w:rPr>
        <w:t>电子签章</w:t>
      </w:r>
      <w:r>
        <w:rPr>
          <w:rFonts w:hint="eastAsia" w:hAnsi="宋体"/>
          <w:color w:val="auto"/>
          <w:sz w:val="24"/>
          <w:highlight w:val="none"/>
        </w:rPr>
        <w:t>）</w:t>
      </w:r>
    </w:p>
    <w:p w14:paraId="26C60FED">
      <w:pPr>
        <w:shd w:val="clear" w:color="auto" w:fill="FFFFFF"/>
        <w:spacing w:after="165" w:line="480" w:lineRule="auto"/>
        <w:ind w:firstLine="522"/>
        <w:rPr>
          <w:rFonts w:hAnsi="宋体"/>
          <w:color w:val="auto"/>
          <w:sz w:val="24"/>
          <w:highlight w:val="none"/>
        </w:rPr>
      </w:pPr>
      <w:r>
        <w:rPr>
          <w:rFonts w:hint="eastAsia" w:hAnsi="宋体"/>
          <w:color w:val="auto"/>
          <w:sz w:val="24"/>
          <w:highlight w:val="none"/>
        </w:rPr>
        <w:t>日期：</w:t>
      </w:r>
      <w:r>
        <w:rPr>
          <w:color w:val="auto"/>
          <w:sz w:val="24"/>
          <w:highlight w:val="none"/>
          <w:u w:val="single"/>
        </w:rPr>
        <w:t xml:space="preserve">     </w:t>
      </w:r>
      <w:r>
        <w:rPr>
          <w:rFonts w:hint="eastAsia" w:hAnsi="宋体"/>
          <w:color w:val="auto"/>
          <w:sz w:val="24"/>
          <w:highlight w:val="none"/>
        </w:rPr>
        <w:t>年</w:t>
      </w:r>
      <w:r>
        <w:rPr>
          <w:color w:val="auto"/>
          <w:sz w:val="24"/>
          <w:highlight w:val="none"/>
          <w:u w:val="single"/>
        </w:rPr>
        <w:t xml:space="preserve">    </w:t>
      </w:r>
      <w:r>
        <w:rPr>
          <w:rFonts w:hint="eastAsia" w:hAnsi="宋体"/>
          <w:color w:val="auto"/>
          <w:sz w:val="24"/>
          <w:highlight w:val="none"/>
        </w:rPr>
        <w:t>月</w:t>
      </w:r>
      <w:r>
        <w:rPr>
          <w:color w:val="auto"/>
          <w:sz w:val="24"/>
          <w:highlight w:val="none"/>
          <w:u w:val="single"/>
        </w:rPr>
        <w:t xml:space="preserve">    </w:t>
      </w:r>
      <w:r>
        <w:rPr>
          <w:rFonts w:hint="eastAsia" w:hAnsi="宋体"/>
          <w:color w:val="auto"/>
          <w:sz w:val="24"/>
          <w:highlight w:val="none"/>
        </w:rPr>
        <w:t>日</w:t>
      </w:r>
    </w:p>
    <w:p w14:paraId="175DCD91">
      <w:pPr>
        <w:spacing w:after="165"/>
        <w:ind w:firstLine="520"/>
        <w:rPr>
          <w:b/>
          <w:color w:val="auto"/>
          <w:highlight w:val="none"/>
        </w:rPr>
      </w:pPr>
    </w:p>
    <w:p w14:paraId="04A3FEAF">
      <w:pPr>
        <w:spacing w:after="165"/>
        <w:ind w:firstLine="520"/>
        <w:rPr>
          <w:rFonts w:hint="eastAsia" w:ascii="宋体" w:hAnsi="宋体"/>
          <w:b/>
          <w:bCs/>
          <w:color w:val="auto"/>
          <w:sz w:val="24"/>
          <w:highlight w:val="none"/>
        </w:rPr>
        <w:sectPr>
          <w:pgSz w:w="11906" w:h="16838"/>
          <w:pgMar w:top="1440" w:right="1069" w:bottom="1440" w:left="1797" w:header="851" w:footer="992" w:gutter="0"/>
          <w:pgBorders>
            <w:top w:val="none" w:sz="0" w:space="0"/>
            <w:left w:val="none" w:sz="0" w:space="0"/>
            <w:bottom w:val="none" w:sz="0" w:space="0"/>
            <w:right w:val="none" w:sz="0" w:space="0"/>
          </w:pgBorders>
          <w:cols w:space="720" w:num="1"/>
          <w:titlePg/>
          <w:docGrid w:type="linesAndChars" w:linePitch="312" w:charSpace="0"/>
        </w:sectPr>
      </w:pPr>
      <w:r>
        <w:rPr>
          <w:rFonts w:hint="eastAsia" w:ascii="宋体" w:hAnsi="宋体"/>
          <w:b/>
          <w:bCs/>
          <w:color w:val="auto"/>
          <w:sz w:val="24"/>
          <w:highlight w:val="none"/>
        </w:rPr>
        <w:t>附：委托代理人身份证原件正、反面扫描件。</w:t>
      </w:r>
    </w:p>
    <w:p w14:paraId="32289F20">
      <w:pPr>
        <w:pStyle w:val="3"/>
        <w:rPr>
          <w:color w:val="auto"/>
          <w:highlight w:val="none"/>
        </w:rPr>
      </w:pPr>
      <w:bookmarkStart w:id="156" w:name="_Toc11815"/>
      <w:r>
        <w:rPr>
          <w:rFonts w:hint="eastAsia"/>
          <w:color w:val="auto"/>
          <w:highlight w:val="none"/>
        </w:rPr>
        <w:t>格式</w:t>
      </w:r>
      <w:r>
        <w:rPr>
          <w:rFonts w:hint="eastAsia"/>
          <w:color w:val="auto"/>
          <w:highlight w:val="none"/>
          <w:lang w:val="en-US" w:eastAsia="zh-CN"/>
        </w:rPr>
        <w:t>11</w:t>
      </w:r>
      <w:r>
        <w:rPr>
          <w:rFonts w:hint="eastAsia"/>
          <w:color w:val="auto"/>
          <w:highlight w:val="none"/>
        </w:rPr>
        <w:t>：售后服务方案</w:t>
      </w:r>
      <w:bookmarkEnd w:id="156"/>
    </w:p>
    <w:p w14:paraId="0F8C3534">
      <w:pPr>
        <w:ind w:firstLine="542"/>
        <w:jc w:val="center"/>
        <w:rPr>
          <w:color w:val="auto"/>
          <w:sz w:val="25"/>
          <w:highlight w:val="none"/>
        </w:rPr>
      </w:pPr>
    </w:p>
    <w:p w14:paraId="1DC3670B">
      <w:pPr>
        <w:ind w:firstLine="2032" w:firstLineChars="847"/>
        <w:rPr>
          <w:color w:val="auto"/>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6C28AD08">
      <w:pPr>
        <w:pStyle w:val="15"/>
        <w:rPr>
          <w:color w:val="auto"/>
          <w:highlight w:val="none"/>
        </w:rPr>
      </w:pPr>
    </w:p>
    <w:p w14:paraId="559B4612">
      <w:pPr>
        <w:ind w:firstLine="522"/>
        <w:rPr>
          <w:color w:val="auto"/>
          <w:highlight w:val="none"/>
        </w:rPr>
      </w:pPr>
    </w:p>
    <w:p w14:paraId="67256055">
      <w:pPr>
        <w:pStyle w:val="15"/>
        <w:rPr>
          <w:color w:val="auto"/>
          <w:highlight w:val="none"/>
        </w:rPr>
      </w:pPr>
    </w:p>
    <w:p w14:paraId="26747358">
      <w:pPr>
        <w:ind w:firstLine="522"/>
        <w:rPr>
          <w:color w:val="auto"/>
          <w:highlight w:val="none"/>
        </w:rPr>
      </w:pPr>
    </w:p>
    <w:p w14:paraId="0067C6B9">
      <w:pPr>
        <w:pStyle w:val="15"/>
        <w:rPr>
          <w:color w:val="auto"/>
          <w:highlight w:val="none"/>
        </w:rPr>
      </w:pPr>
    </w:p>
    <w:p w14:paraId="681C9298">
      <w:pPr>
        <w:ind w:firstLine="522"/>
        <w:rPr>
          <w:color w:val="auto"/>
          <w:highlight w:val="none"/>
        </w:rPr>
      </w:pPr>
    </w:p>
    <w:p w14:paraId="0CC615D8">
      <w:pPr>
        <w:ind w:firstLine="522"/>
        <w:rPr>
          <w:color w:val="auto"/>
          <w:highlight w:val="none"/>
        </w:rPr>
      </w:pPr>
    </w:p>
    <w:p w14:paraId="346BB986">
      <w:pPr>
        <w:ind w:firstLine="522"/>
        <w:rPr>
          <w:color w:val="auto"/>
          <w:highlight w:val="none"/>
        </w:rPr>
      </w:pPr>
    </w:p>
    <w:p w14:paraId="7DBF97D2">
      <w:pPr>
        <w:ind w:firstLine="522"/>
        <w:rPr>
          <w:color w:val="auto"/>
          <w:highlight w:val="none"/>
        </w:rPr>
      </w:pPr>
    </w:p>
    <w:p w14:paraId="2153DC7C">
      <w:pPr>
        <w:ind w:firstLine="522"/>
        <w:rPr>
          <w:color w:val="auto"/>
          <w:highlight w:val="none"/>
        </w:rPr>
      </w:pPr>
    </w:p>
    <w:p w14:paraId="0CB92775">
      <w:pPr>
        <w:ind w:firstLine="522"/>
        <w:rPr>
          <w:color w:val="auto"/>
          <w:highlight w:val="none"/>
        </w:rPr>
      </w:pPr>
    </w:p>
    <w:p w14:paraId="7FEC734B">
      <w:pPr>
        <w:ind w:firstLine="522"/>
        <w:rPr>
          <w:color w:val="auto"/>
          <w:highlight w:val="none"/>
        </w:rPr>
      </w:pPr>
    </w:p>
    <w:p w14:paraId="264041BE">
      <w:pPr>
        <w:ind w:firstLine="522"/>
        <w:rPr>
          <w:color w:val="auto"/>
          <w:highlight w:val="none"/>
        </w:rPr>
      </w:pPr>
    </w:p>
    <w:p w14:paraId="002A6C65">
      <w:pPr>
        <w:ind w:firstLine="522"/>
        <w:rPr>
          <w:color w:val="auto"/>
          <w:highlight w:val="none"/>
        </w:rPr>
      </w:pPr>
    </w:p>
    <w:p w14:paraId="07C8B592">
      <w:pPr>
        <w:ind w:firstLine="522"/>
        <w:rPr>
          <w:color w:val="auto"/>
          <w:highlight w:val="none"/>
        </w:rPr>
      </w:pPr>
    </w:p>
    <w:p w14:paraId="598441A5">
      <w:pPr>
        <w:ind w:firstLine="522"/>
        <w:rPr>
          <w:color w:val="auto"/>
          <w:highlight w:val="none"/>
        </w:rPr>
      </w:pPr>
    </w:p>
    <w:p w14:paraId="0647FEC4">
      <w:pPr>
        <w:ind w:firstLine="522"/>
        <w:rPr>
          <w:color w:val="auto"/>
          <w:highlight w:val="none"/>
        </w:rPr>
      </w:pPr>
    </w:p>
    <w:p w14:paraId="40776FC5">
      <w:pPr>
        <w:ind w:firstLine="522"/>
        <w:rPr>
          <w:color w:val="auto"/>
          <w:highlight w:val="none"/>
        </w:rPr>
      </w:pPr>
    </w:p>
    <w:p w14:paraId="10F7D232">
      <w:pPr>
        <w:ind w:firstLine="522"/>
        <w:rPr>
          <w:color w:val="auto"/>
          <w:highlight w:val="none"/>
        </w:rPr>
      </w:pPr>
    </w:p>
    <w:p w14:paraId="6312C7E4">
      <w:pPr>
        <w:ind w:firstLine="522"/>
        <w:rPr>
          <w:color w:val="auto"/>
          <w:highlight w:val="none"/>
        </w:rPr>
      </w:pPr>
    </w:p>
    <w:p w14:paraId="68BA07B7">
      <w:pPr>
        <w:ind w:firstLine="522"/>
        <w:rPr>
          <w:color w:val="auto"/>
          <w:highlight w:val="none"/>
        </w:rPr>
      </w:pPr>
    </w:p>
    <w:p w14:paraId="64BABB1C">
      <w:pPr>
        <w:ind w:firstLine="522"/>
        <w:rPr>
          <w:color w:val="auto"/>
          <w:highlight w:val="none"/>
        </w:rPr>
      </w:pPr>
    </w:p>
    <w:p w14:paraId="0E807BE5">
      <w:pPr>
        <w:ind w:firstLine="522"/>
        <w:rPr>
          <w:color w:val="auto"/>
          <w:highlight w:val="none"/>
        </w:rPr>
      </w:pPr>
    </w:p>
    <w:p w14:paraId="1A8AB20C">
      <w:pPr>
        <w:ind w:firstLine="522"/>
        <w:rPr>
          <w:color w:val="auto"/>
          <w:highlight w:val="none"/>
        </w:rPr>
      </w:pPr>
    </w:p>
    <w:p w14:paraId="378E4601">
      <w:pPr>
        <w:ind w:firstLine="522"/>
        <w:rPr>
          <w:color w:val="auto"/>
          <w:highlight w:val="none"/>
        </w:rPr>
      </w:pPr>
    </w:p>
    <w:p w14:paraId="4F6F3A3F">
      <w:pPr>
        <w:ind w:firstLine="522"/>
        <w:rPr>
          <w:color w:val="auto"/>
          <w:highlight w:val="none"/>
        </w:rPr>
      </w:pPr>
    </w:p>
    <w:p w14:paraId="48473CC6">
      <w:pPr>
        <w:spacing w:after="165"/>
        <w:ind w:firstLine="520"/>
        <w:rPr>
          <w:rFonts w:hint="eastAsia" w:ascii="宋体" w:hAnsi="宋体"/>
          <w:b/>
          <w:bCs/>
          <w:color w:val="auto"/>
          <w:sz w:val="24"/>
          <w:highlight w:val="none"/>
        </w:rPr>
        <w:sectPr>
          <w:pgSz w:w="11906" w:h="16838"/>
          <w:pgMar w:top="1440" w:right="1069" w:bottom="1440" w:left="1797" w:header="851" w:footer="992" w:gutter="0"/>
          <w:pgBorders>
            <w:top w:val="none" w:sz="0" w:space="0"/>
            <w:left w:val="none" w:sz="0" w:space="0"/>
            <w:bottom w:val="none" w:sz="0" w:space="0"/>
            <w:right w:val="none" w:sz="0" w:space="0"/>
          </w:pgBorders>
          <w:cols w:space="720" w:num="1"/>
          <w:titlePg/>
          <w:docGrid w:type="linesAndChars" w:linePitch="312" w:charSpace="0"/>
        </w:sectPr>
      </w:pPr>
    </w:p>
    <w:p w14:paraId="1DAF3EC5">
      <w:pPr>
        <w:pStyle w:val="3"/>
        <w:numPr>
          <w:ilvl w:val="0"/>
          <w:numId w:val="0"/>
        </w:numPr>
        <w:tabs>
          <w:tab w:val="clear" w:pos="1021"/>
        </w:tabs>
        <w:spacing w:before="0"/>
        <w:jc w:val="center"/>
        <w:rPr>
          <w:rFonts w:ascii="宋体" w:hAnsi="宋体" w:eastAsia="宋体"/>
          <w:color w:val="auto"/>
          <w:szCs w:val="28"/>
        </w:rPr>
      </w:pPr>
      <w:bookmarkStart w:id="157" w:name="_Toc13745"/>
      <w:r>
        <w:rPr>
          <w:rFonts w:hint="eastAsia"/>
          <w:color w:val="auto"/>
          <w:highlight w:val="none"/>
        </w:rPr>
        <w:t>格式</w:t>
      </w:r>
      <w:r>
        <w:rPr>
          <w:rFonts w:hint="eastAsia"/>
          <w:color w:val="auto"/>
          <w:highlight w:val="none"/>
          <w:lang w:val="en-US" w:eastAsia="zh-CN"/>
        </w:rPr>
        <w:t>12</w:t>
      </w:r>
      <w:r>
        <w:rPr>
          <w:rFonts w:hint="eastAsia"/>
          <w:color w:val="auto"/>
          <w:highlight w:val="none"/>
        </w:rPr>
        <w:t>：</w:t>
      </w:r>
      <w:r>
        <w:rPr>
          <w:rFonts w:hint="eastAsia" w:ascii="宋体" w:hAnsi="宋体" w:eastAsia="宋体"/>
          <w:color w:val="auto"/>
          <w:szCs w:val="28"/>
        </w:rPr>
        <w:t>近</w:t>
      </w:r>
      <w:r>
        <w:rPr>
          <w:rFonts w:hint="eastAsia" w:ascii="宋体" w:hAnsi="宋体" w:eastAsia="宋体"/>
          <w:color w:val="auto"/>
          <w:szCs w:val="28"/>
          <w:lang w:eastAsia="zh-CN"/>
        </w:rPr>
        <w:t>年来</w:t>
      </w:r>
      <w:r>
        <w:rPr>
          <w:rFonts w:hint="eastAsia" w:ascii="宋体" w:hAnsi="宋体" w:eastAsia="宋体"/>
          <w:color w:val="auto"/>
          <w:szCs w:val="28"/>
          <w:lang w:val="en-US" w:eastAsia="zh-CN"/>
        </w:rPr>
        <w:t>承接</w:t>
      </w:r>
      <w:r>
        <w:rPr>
          <w:rFonts w:hint="eastAsia" w:ascii="宋体" w:hAnsi="宋体" w:eastAsia="宋体"/>
          <w:color w:val="auto"/>
          <w:szCs w:val="28"/>
        </w:rPr>
        <w:t>类似项目业绩表</w:t>
      </w:r>
      <w:bookmarkEnd w:id="157"/>
    </w:p>
    <w:p w14:paraId="4719225A">
      <w:pPr>
        <w:rPr>
          <w:color w:val="auto"/>
        </w:rPr>
      </w:pPr>
    </w:p>
    <w:p w14:paraId="518076EA">
      <w:pPr>
        <w:widowControl/>
        <w:spacing w:line="276" w:lineRule="auto"/>
        <w:jc w:val="left"/>
        <w:rPr>
          <w:rFonts w:hint="eastAsia" w:ascii="宋体" w:hAnsi="宋体" w:eastAsia="宋体" w:cs="Times New Roman"/>
          <w:color w:val="auto"/>
          <w:spacing w:val="10"/>
          <w:sz w:val="24"/>
          <w:lang w:eastAsia="zh-CN"/>
        </w:rPr>
      </w:pPr>
      <w:r>
        <w:rPr>
          <w:rFonts w:hint="eastAsia" w:ascii="宋体" w:hAnsi="宋体" w:eastAsia="宋体" w:cs="Times New Roman"/>
          <w:color w:val="auto"/>
          <w:spacing w:val="10"/>
          <w:sz w:val="24"/>
        </w:rPr>
        <w:t>项目名称：</w:t>
      </w:r>
      <w:r>
        <w:rPr>
          <w:rFonts w:hint="eastAsia" w:ascii="宋体" w:hAnsi="宋体" w:cs="Times New Roman"/>
          <w:color w:val="auto"/>
          <w:spacing w:val="10"/>
          <w:sz w:val="24"/>
          <w:lang w:eastAsia="zh-CN"/>
        </w:rPr>
        <w:t>天敌昆虫资源及产品转化平台建设项目采购一批天敌昆虫扩繁设备</w:t>
      </w:r>
    </w:p>
    <w:p w14:paraId="2C6E91F4">
      <w:pPr>
        <w:widowControl/>
        <w:spacing w:line="276" w:lineRule="auto"/>
        <w:jc w:val="left"/>
        <w:rPr>
          <w:rFonts w:hint="default" w:ascii="宋体" w:hAnsi="宋体" w:eastAsia="宋体" w:cs="Times New Roman"/>
          <w:color w:val="auto"/>
          <w:spacing w:val="10"/>
          <w:sz w:val="24"/>
          <w:lang w:val="en-US" w:eastAsia="zh-CN"/>
        </w:rPr>
      </w:pPr>
      <w:r>
        <w:rPr>
          <w:rFonts w:hint="eastAsia" w:ascii="宋体" w:hAnsi="宋体" w:eastAsia="宋体" w:cs="Times New Roman"/>
          <w:color w:val="auto"/>
          <w:spacing w:val="10"/>
          <w:sz w:val="24"/>
        </w:rPr>
        <w:t>招标编号：</w:t>
      </w:r>
      <w:r>
        <w:rPr>
          <w:rFonts w:hint="eastAsia" w:ascii="宋体" w:hAnsi="宋体" w:eastAsia="宋体" w:cs="Times New Roman"/>
          <w:color w:val="auto"/>
          <w:spacing w:val="10"/>
          <w:sz w:val="24"/>
          <w:lang w:eastAsia="zh-CN"/>
        </w:rPr>
        <w:t>ZG-20260</w:t>
      </w:r>
      <w:r>
        <w:rPr>
          <w:rFonts w:hint="eastAsia" w:ascii="宋体" w:hAnsi="宋体" w:cs="Times New Roman"/>
          <w:color w:val="auto"/>
          <w:spacing w:val="10"/>
          <w:sz w:val="24"/>
          <w:lang w:val="en-US" w:eastAsia="zh-CN"/>
        </w:rPr>
        <w:t>87</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4"/>
        <w:gridCol w:w="2036"/>
        <w:gridCol w:w="2036"/>
        <w:gridCol w:w="2036"/>
        <w:gridCol w:w="2034"/>
      </w:tblGrid>
      <w:tr w14:paraId="25091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C492A10">
            <w:pPr>
              <w:pStyle w:val="21"/>
              <w:tabs>
                <w:tab w:val="left" w:pos="3990"/>
                <w:tab w:val="center" w:pos="4677"/>
              </w:tabs>
              <w:rPr>
                <w:rFonts w:ascii="宋体" w:hAnsi="宋体" w:eastAsia="宋体"/>
                <w:b w:val="0"/>
                <w:color w:val="auto"/>
                <w:spacing w:val="10"/>
                <w:sz w:val="24"/>
                <w:szCs w:val="24"/>
              </w:rPr>
            </w:pPr>
            <w:r>
              <w:rPr>
                <w:rFonts w:hint="eastAsia" w:ascii="宋体" w:hAnsi="宋体" w:eastAsia="宋体"/>
                <w:b w:val="0"/>
                <w:color w:val="auto"/>
                <w:spacing w:val="10"/>
                <w:sz w:val="24"/>
                <w:szCs w:val="24"/>
              </w:rPr>
              <w:t>序号</w:t>
            </w:r>
          </w:p>
        </w:tc>
        <w:tc>
          <w:tcPr>
            <w:tcW w:w="1100"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B76E99D">
            <w:pPr>
              <w:pStyle w:val="21"/>
              <w:tabs>
                <w:tab w:val="left" w:pos="3990"/>
                <w:tab w:val="center" w:pos="4677"/>
              </w:tabs>
              <w:rPr>
                <w:rFonts w:ascii="宋体" w:hAnsi="宋体" w:eastAsia="宋体"/>
                <w:b w:val="0"/>
                <w:color w:val="auto"/>
                <w:spacing w:val="10"/>
                <w:sz w:val="24"/>
                <w:szCs w:val="24"/>
              </w:rPr>
            </w:pPr>
            <w:r>
              <w:rPr>
                <w:rFonts w:hint="eastAsia" w:ascii="宋体" w:hAnsi="宋体" w:eastAsia="宋体"/>
                <w:b w:val="0"/>
                <w:color w:val="auto"/>
                <w:spacing w:val="10"/>
                <w:sz w:val="24"/>
                <w:szCs w:val="24"/>
              </w:rPr>
              <w:t>业主名称</w:t>
            </w:r>
          </w:p>
        </w:tc>
        <w:tc>
          <w:tcPr>
            <w:tcW w:w="1100"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2580E93">
            <w:pPr>
              <w:pStyle w:val="21"/>
              <w:tabs>
                <w:tab w:val="left" w:pos="3990"/>
                <w:tab w:val="center" w:pos="4677"/>
              </w:tabs>
              <w:rPr>
                <w:rFonts w:ascii="宋体" w:hAnsi="宋体" w:eastAsia="宋体"/>
                <w:b w:val="0"/>
                <w:color w:val="auto"/>
                <w:spacing w:val="10"/>
                <w:sz w:val="24"/>
                <w:szCs w:val="24"/>
              </w:rPr>
            </w:pPr>
            <w:r>
              <w:rPr>
                <w:rFonts w:hint="eastAsia" w:ascii="宋体" w:hAnsi="宋体" w:eastAsia="宋体"/>
                <w:b w:val="0"/>
                <w:color w:val="auto"/>
                <w:spacing w:val="10"/>
                <w:sz w:val="24"/>
                <w:szCs w:val="24"/>
              </w:rPr>
              <w:t>项目名称</w:t>
            </w:r>
          </w:p>
        </w:tc>
        <w:tc>
          <w:tcPr>
            <w:tcW w:w="1100"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2FEDB37">
            <w:pPr>
              <w:pStyle w:val="21"/>
              <w:tabs>
                <w:tab w:val="left" w:pos="3990"/>
                <w:tab w:val="center" w:pos="4677"/>
              </w:tabs>
              <w:rPr>
                <w:rFonts w:ascii="宋体" w:hAnsi="宋体" w:eastAsia="宋体"/>
                <w:b w:val="0"/>
                <w:color w:val="auto"/>
                <w:spacing w:val="10"/>
                <w:sz w:val="24"/>
                <w:szCs w:val="24"/>
              </w:rPr>
            </w:pPr>
            <w:r>
              <w:rPr>
                <w:rFonts w:hint="eastAsia" w:ascii="宋体" w:hAnsi="宋体" w:eastAsia="宋体"/>
                <w:b w:val="0"/>
                <w:color w:val="auto"/>
                <w:spacing w:val="10"/>
                <w:sz w:val="24"/>
                <w:szCs w:val="24"/>
              </w:rPr>
              <w:t>合同金额</w:t>
            </w:r>
          </w:p>
          <w:p w14:paraId="7DE14216">
            <w:pPr>
              <w:pStyle w:val="21"/>
              <w:tabs>
                <w:tab w:val="left" w:pos="3990"/>
                <w:tab w:val="center" w:pos="4677"/>
              </w:tabs>
              <w:rPr>
                <w:rFonts w:ascii="宋体" w:hAnsi="宋体" w:eastAsia="宋体"/>
                <w:b w:val="0"/>
                <w:color w:val="auto"/>
                <w:spacing w:val="10"/>
                <w:sz w:val="24"/>
                <w:szCs w:val="24"/>
              </w:rPr>
            </w:pPr>
            <w:r>
              <w:rPr>
                <w:rFonts w:hint="eastAsia" w:ascii="宋体" w:hAnsi="宋体" w:eastAsia="宋体"/>
                <w:b w:val="0"/>
                <w:color w:val="auto"/>
                <w:spacing w:val="10"/>
                <w:sz w:val="24"/>
                <w:szCs w:val="24"/>
              </w:rPr>
              <w:t>（万元）</w:t>
            </w:r>
          </w:p>
        </w:tc>
        <w:tc>
          <w:tcPr>
            <w:tcW w:w="1099"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45B33A4">
            <w:pPr>
              <w:pStyle w:val="21"/>
              <w:tabs>
                <w:tab w:val="left" w:pos="3990"/>
                <w:tab w:val="center" w:pos="4677"/>
              </w:tabs>
              <w:rPr>
                <w:rFonts w:ascii="宋体" w:hAnsi="宋体" w:eastAsia="宋体"/>
                <w:b w:val="0"/>
                <w:color w:val="auto"/>
                <w:spacing w:val="10"/>
                <w:sz w:val="24"/>
                <w:szCs w:val="24"/>
              </w:rPr>
            </w:pPr>
            <w:r>
              <w:rPr>
                <w:rFonts w:hint="eastAsia" w:ascii="宋体" w:hAnsi="宋体" w:eastAsia="宋体"/>
                <w:b w:val="0"/>
                <w:color w:val="auto"/>
                <w:spacing w:val="10"/>
                <w:sz w:val="24"/>
                <w:szCs w:val="24"/>
                <w:lang w:val="en-US" w:eastAsia="zh-CN"/>
              </w:rPr>
              <w:t>承接</w:t>
            </w:r>
            <w:r>
              <w:rPr>
                <w:rFonts w:hint="eastAsia" w:ascii="宋体" w:hAnsi="宋体" w:eastAsia="宋体"/>
                <w:b w:val="0"/>
                <w:color w:val="auto"/>
                <w:spacing w:val="10"/>
                <w:sz w:val="24"/>
                <w:szCs w:val="24"/>
              </w:rPr>
              <w:t>时间</w:t>
            </w:r>
          </w:p>
        </w:tc>
      </w:tr>
      <w:tr w14:paraId="2A67A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02" w:type="pct"/>
            <w:tcBorders>
              <w:top w:val="single" w:color="auto" w:sz="4" w:space="0"/>
              <w:left w:val="single" w:color="auto" w:sz="4" w:space="0"/>
              <w:bottom w:val="single" w:color="auto" w:sz="4" w:space="0"/>
              <w:right w:val="single" w:color="auto" w:sz="4" w:space="0"/>
            </w:tcBorders>
          </w:tcPr>
          <w:p w14:paraId="5D39EBC2">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29B9FAD2">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3D9B2C3A">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42F8E82A">
            <w:pPr>
              <w:pStyle w:val="21"/>
              <w:tabs>
                <w:tab w:val="left" w:pos="3990"/>
                <w:tab w:val="center" w:pos="4677"/>
              </w:tabs>
              <w:rPr>
                <w:color w:val="auto"/>
              </w:rPr>
            </w:pPr>
          </w:p>
        </w:tc>
        <w:tc>
          <w:tcPr>
            <w:tcW w:w="1099" w:type="pct"/>
            <w:tcBorders>
              <w:top w:val="single" w:color="auto" w:sz="4" w:space="0"/>
              <w:left w:val="single" w:color="auto" w:sz="4" w:space="0"/>
              <w:bottom w:val="single" w:color="auto" w:sz="4" w:space="0"/>
              <w:right w:val="single" w:color="auto" w:sz="4" w:space="0"/>
            </w:tcBorders>
          </w:tcPr>
          <w:p w14:paraId="5576A0AD">
            <w:pPr>
              <w:pStyle w:val="21"/>
              <w:tabs>
                <w:tab w:val="left" w:pos="3990"/>
                <w:tab w:val="center" w:pos="4677"/>
              </w:tabs>
              <w:rPr>
                <w:color w:val="auto"/>
              </w:rPr>
            </w:pPr>
          </w:p>
        </w:tc>
      </w:tr>
      <w:tr w14:paraId="055F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02" w:type="pct"/>
            <w:tcBorders>
              <w:top w:val="single" w:color="auto" w:sz="4" w:space="0"/>
              <w:left w:val="single" w:color="auto" w:sz="4" w:space="0"/>
              <w:bottom w:val="single" w:color="auto" w:sz="4" w:space="0"/>
              <w:right w:val="single" w:color="auto" w:sz="4" w:space="0"/>
            </w:tcBorders>
          </w:tcPr>
          <w:p w14:paraId="6FB9A578">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78AFD029">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21910BB4">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55F150E8">
            <w:pPr>
              <w:pStyle w:val="21"/>
              <w:tabs>
                <w:tab w:val="left" w:pos="3990"/>
                <w:tab w:val="center" w:pos="4677"/>
              </w:tabs>
              <w:rPr>
                <w:color w:val="auto"/>
              </w:rPr>
            </w:pPr>
          </w:p>
        </w:tc>
        <w:tc>
          <w:tcPr>
            <w:tcW w:w="1099" w:type="pct"/>
            <w:tcBorders>
              <w:top w:val="single" w:color="auto" w:sz="4" w:space="0"/>
              <w:left w:val="single" w:color="auto" w:sz="4" w:space="0"/>
              <w:bottom w:val="single" w:color="auto" w:sz="4" w:space="0"/>
              <w:right w:val="single" w:color="auto" w:sz="4" w:space="0"/>
            </w:tcBorders>
          </w:tcPr>
          <w:p w14:paraId="4D7FBE77">
            <w:pPr>
              <w:pStyle w:val="21"/>
              <w:tabs>
                <w:tab w:val="left" w:pos="3990"/>
                <w:tab w:val="center" w:pos="4677"/>
              </w:tabs>
              <w:rPr>
                <w:color w:val="auto"/>
              </w:rPr>
            </w:pPr>
          </w:p>
        </w:tc>
      </w:tr>
      <w:tr w14:paraId="0B4A6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02" w:type="pct"/>
            <w:tcBorders>
              <w:top w:val="single" w:color="auto" w:sz="4" w:space="0"/>
              <w:left w:val="single" w:color="auto" w:sz="4" w:space="0"/>
              <w:bottom w:val="single" w:color="auto" w:sz="4" w:space="0"/>
              <w:right w:val="single" w:color="auto" w:sz="4" w:space="0"/>
            </w:tcBorders>
          </w:tcPr>
          <w:p w14:paraId="0DA98881">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4C2D9BBF">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3BF05DEF">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1C8630D6">
            <w:pPr>
              <w:pStyle w:val="21"/>
              <w:tabs>
                <w:tab w:val="left" w:pos="3990"/>
                <w:tab w:val="center" w:pos="4677"/>
              </w:tabs>
              <w:rPr>
                <w:color w:val="auto"/>
              </w:rPr>
            </w:pPr>
          </w:p>
        </w:tc>
        <w:tc>
          <w:tcPr>
            <w:tcW w:w="1099" w:type="pct"/>
            <w:tcBorders>
              <w:top w:val="single" w:color="auto" w:sz="4" w:space="0"/>
              <w:left w:val="single" w:color="auto" w:sz="4" w:space="0"/>
              <w:bottom w:val="single" w:color="auto" w:sz="4" w:space="0"/>
              <w:right w:val="single" w:color="auto" w:sz="4" w:space="0"/>
            </w:tcBorders>
          </w:tcPr>
          <w:p w14:paraId="093FEFB1">
            <w:pPr>
              <w:pStyle w:val="21"/>
              <w:tabs>
                <w:tab w:val="left" w:pos="3990"/>
                <w:tab w:val="center" w:pos="4677"/>
              </w:tabs>
              <w:rPr>
                <w:color w:val="auto"/>
              </w:rPr>
            </w:pPr>
          </w:p>
        </w:tc>
      </w:tr>
      <w:tr w14:paraId="4EAD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02" w:type="pct"/>
            <w:tcBorders>
              <w:top w:val="single" w:color="auto" w:sz="4" w:space="0"/>
              <w:left w:val="single" w:color="auto" w:sz="4" w:space="0"/>
              <w:bottom w:val="single" w:color="auto" w:sz="4" w:space="0"/>
              <w:right w:val="single" w:color="auto" w:sz="4" w:space="0"/>
            </w:tcBorders>
          </w:tcPr>
          <w:p w14:paraId="5751A9D2">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08454D8E">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5AC5CAAE">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39E63AC3">
            <w:pPr>
              <w:pStyle w:val="21"/>
              <w:tabs>
                <w:tab w:val="left" w:pos="3990"/>
                <w:tab w:val="center" w:pos="4677"/>
              </w:tabs>
              <w:rPr>
                <w:color w:val="auto"/>
              </w:rPr>
            </w:pPr>
          </w:p>
        </w:tc>
        <w:tc>
          <w:tcPr>
            <w:tcW w:w="1099" w:type="pct"/>
            <w:tcBorders>
              <w:top w:val="single" w:color="auto" w:sz="4" w:space="0"/>
              <w:left w:val="single" w:color="auto" w:sz="4" w:space="0"/>
              <w:bottom w:val="single" w:color="auto" w:sz="4" w:space="0"/>
              <w:right w:val="single" w:color="auto" w:sz="4" w:space="0"/>
            </w:tcBorders>
          </w:tcPr>
          <w:p w14:paraId="0C4A558E">
            <w:pPr>
              <w:pStyle w:val="21"/>
              <w:tabs>
                <w:tab w:val="left" w:pos="3990"/>
                <w:tab w:val="center" w:pos="4677"/>
              </w:tabs>
              <w:rPr>
                <w:color w:val="auto"/>
              </w:rPr>
            </w:pPr>
          </w:p>
        </w:tc>
      </w:tr>
      <w:tr w14:paraId="2DAE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602" w:type="pct"/>
            <w:tcBorders>
              <w:top w:val="single" w:color="auto" w:sz="4" w:space="0"/>
              <w:left w:val="single" w:color="auto" w:sz="4" w:space="0"/>
              <w:bottom w:val="single" w:color="auto" w:sz="4" w:space="0"/>
              <w:right w:val="single" w:color="auto" w:sz="4" w:space="0"/>
            </w:tcBorders>
          </w:tcPr>
          <w:p w14:paraId="25486170">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00C91437">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07278EA1">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0BAB13B9">
            <w:pPr>
              <w:pStyle w:val="21"/>
              <w:tabs>
                <w:tab w:val="left" w:pos="3990"/>
                <w:tab w:val="center" w:pos="4677"/>
              </w:tabs>
              <w:rPr>
                <w:color w:val="auto"/>
              </w:rPr>
            </w:pPr>
          </w:p>
        </w:tc>
        <w:tc>
          <w:tcPr>
            <w:tcW w:w="1099" w:type="pct"/>
            <w:tcBorders>
              <w:top w:val="single" w:color="auto" w:sz="4" w:space="0"/>
              <w:left w:val="single" w:color="auto" w:sz="4" w:space="0"/>
              <w:bottom w:val="single" w:color="auto" w:sz="4" w:space="0"/>
              <w:right w:val="single" w:color="auto" w:sz="4" w:space="0"/>
            </w:tcBorders>
          </w:tcPr>
          <w:p w14:paraId="0D2D8699">
            <w:pPr>
              <w:pStyle w:val="21"/>
              <w:tabs>
                <w:tab w:val="left" w:pos="3990"/>
                <w:tab w:val="center" w:pos="4677"/>
              </w:tabs>
              <w:rPr>
                <w:color w:val="auto"/>
              </w:rPr>
            </w:pPr>
          </w:p>
        </w:tc>
      </w:tr>
      <w:tr w14:paraId="3A5F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02" w:type="pct"/>
            <w:tcBorders>
              <w:top w:val="single" w:color="auto" w:sz="4" w:space="0"/>
              <w:left w:val="single" w:color="auto" w:sz="4" w:space="0"/>
              <w:bottom w:val="single" w:color="auto" w:sz="4" w:space="0"/>
              <w:right w:val="single" w:color="auto" w:sz="4" w:space="0"/>
            </w:tcBorders>
          </w:tcPr>
          <w:p w14:paraId="7FB2ABC5">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26999621">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3ACC8752">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68E70281">
            <w:pPr>
              <w:pStyle w:val="21"/>
              <w:tabs>
                <w:tab w:val="left" w:pos="3990"/>
                <w:tab w:val="center" w:pos="4677"/>
              </w:tabs>
              <w:rPr>
                <w:color w:val="auto"/>
              </w:rPr>
            </w:pPr>
          </w:p>
        </w:tc>
        <w:tc>
          <w:tcPr>
            <w:tcW w:w="1099" w:type="pct"/>
            <w:tcBorders>
              <w:top w:val="single" w:color="auto" w:sz="4" w:space="0"/>
              <w:left w:val="single" w:color="auto" w:sz="4" w:space="0"/>
              <w:bottom w:val="single" w:color="auto" w:sz="4" w:space="0"/>
              <w:right w:val="single" w:color="auto" w:sz="4" w:space="0"/>
            </w:tcBorders>
          </w:tcPr>
          <w:p w14:paraId="66F91B9F">
            <w:pPr>
              <w:pStyle w:val="21"/>
              <w:tabs>
                <w:tab w:val="left" w:pos="3990"/>
                <w:tab w:val="center" w:pos="4677"/>
              </w:tabs>
              <w:rPr>
                <w:color w:val="auto"/>
              </w:rPr>
            </w:pPr>
          </w:p>
        </w:tc>
      </w:tr>
      <w:tr w14:paraId="26FD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02" w:type="pct"/>
            <w:tcBorders>
              <w:top w:val="single" w:color="auto" w:sz="4" w:space="0"/>
              <w:left w:val="single" w:color="auto" w:sz="4" w:space="0"/>
              <w:bottom w:val="single" w:color="auto" w:sz="4" w:space="0"/>
              <w:right w:val="single" w:color="auto" w:sz="4" w:space="0"/>
            </w:tcBorders>
          </w:tcPr>
          <w:p w14:paraId="181FEB23">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4B16A06A">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25428B9B">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0A674E81">
            <w:pPr>
              <w:pStyle w:val="21"/>
              <w:tabs>
                <w:tab w:val="left" w:pos="3990"/>
                <w:tab w:val="center" w:pos="4677"/>
              </w:tabs>
              <w:rPr>
                <w:color w:val="auto"/>
              </w:rPr>
            </w:pPr>
          </w:p>
        </w:tc>
        <w:tc>
          <w:tcPr>
            <w:tcW w:w="1099" w:type="pct"/>
            <w:tcBorders>
              <w:top w:val="single" w:color="auto" w:sz="4" w:space="0"/>
              <w:left w:val="single" w:color="auto" w:sz="4" w:space="0"/>
              <w:bottom w:val="single" w:color="auto" w:sz="4" w:space="0"/>
              <w:right w:val="single" w:color="auto" w:sz="4" w:space="0"/>
            </w:tcBorders>
          </w:tcPr>
          <w:p w14:paraId="1D8E76DD">
            <w:pPr>
              <w:pStyle w:val="21"/>
              <w:tabs>
                <w:tab w:val="left" w:pos="3990"/>
                <w:tab w:val="center" w:pos="4677"/>
              </w:tabs>
              <w:rPr>
                <w:color w:val="auto"/>
              </w:rPr>
            </w:pPr>
          </w:p>
        </w:tc>
      </w:tr>
      <w:tr w14:paraId="22596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02" w:type="pct"/>
            <w:tcBorders>
              <w:top w:val="single" w:color="auto" w:sz="4" w:space="0"/>
              <w:left w:val="single" w:color="auto" w:sz="4" w:space="0"/>
              <w:bottom w:val="single" w:color="auto" w:sz="4" w:space="0"/>
              <w:right w:val="single" w:color="auto" w:sz="4" w:space="0"/>
            </w:tcBorders>
          </w:tcPr>
          <w:p w14:paraId="6FBE4893">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1DE3F2B9">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1F222758">
            <w:pPr>
              <w:pStyle w:val="21"/>
              <w:tabs>
                <w:tab w:val="left" w:pos="3990"/>
                <w:tab w:val="center" w:pos="4677"/>
              </w:tabs>
              <w:rPr>
                <w:color w:val="auto"/>
              </w:rPr>
            </w:pPr>
          </w:p>
        </w:tc>
        <w:tc>
          <w:tcPr>
            <w:tcW w:w="1100" w:type="pct"/>
            <w:tcBorders>
              <w:top w:val="single" w:color="auto" w:sz="4" w:space="0"/>
              <w:left w:val="single" w:color="auto" w:sz="4" w:space="0"/>
              <w:bottom w:val="single" w:color="auto" w:sz="4" w:space="0"/>
              <w:right w:val="single" w:color="auto" w:sz="4" w:space="0"/>
            </w:tcBorders>
          </w:tcPr>
          <w:p w14:paraId="48DCD295">
            <w:pPr>
              <w:pStyle w:val="21"/>
              <w:tabs>
                <w:tab w:val="left" w:pos="3990"/>
                <w:tab w:val="center" w:pos="4677"/>
              </w:tabs>
              <w:rPr>
                <w:color w:val="auto"/>
              </w:rPr>
            </w:pPr>
          </w:p>
        </w:tc>
        <w:tc>
          <w:tcPr>
            <w:tcW w:w="1099" w:type="pct"/>
            <w:tcBorders>
              <w:top w:val="single" w:color="auto" w:sz="4" w:space="0"/>
              <w:left w:val="single" w:color="auto" w:sz="4" w:space="0"/>
              <w:bottom w:val="single" w:color="auto" w:sz="4" w:space="0"/>
              <w:right w:val="single" w:color="auto" w:sz="4" w:space="0"/>
            </w:tcBorders>
          </w:tcPr>
          <w:p w14:paraId="2630A544">
            <w:pPr>
              <w:pStyle w:val="21"/>
              <w:tabs>
                <w:tab w:val="left" w:pos="3990"/>
                <w:tab w:val="center" w:pos="4677"/>
              </w:tabs>
              <w:rPr>
                <w:color w:val="auto"/>
              </w:rPr>
            </w:pPr>
          </w:p>
        </w:tc>
      </w:tr>
    </w:tbl>
    <w:p w14:paraId="0B3D66AE">
      <w:pPr>
        <w:widowControl/>
        <w:spacing w:line="276" w:lineRule="auto"/>
        <w:jc w:val="left"/>
        <w:rPr>
          <w:rFonts w:hint="eastAsia" w:ascii="宋体" w:hAnsi="宋体" w:eastAsia="宋体" w:cs="Times New Roman"/>
          <w:color w:val="auto"/>
          <w:spacing w:val="10"/>
          <w:sz w:val="24"/>
        </w:rPr>
      </w:pPr>
      <w:r>
        <w:rPr>
          <w:rFonts w:hint="eastAsia" w:ascii="宋体" w:hAnsi="宋体" w:eastAsia="宋体" w:cs="Times New Roman"/>
          <w:color w:val="auto"/>
          <w:spacing w:val="10"/>
          <w:sz w:val="24"/>
        </w:rPr>
        <w:t>备注：</w:t>
      </w:r>
    </w:p>
    <w:p w14:paraId="2018E791">
      <w:pPr>
        <w:widowControl/>
        <w:spacing w:line="276" w:lineRule="auto"/>
        <w:jc w:val="left"/>
        <w:rPr>
          <w:rFonts w:hint="eastAsia" w:ascii="宋体" w:hAnsi="宋体" w:eastAsia="宋体" w:cs="Times New Roman"/>
          <w:color w:val="auto"/>
          <w:spacing w:val="10"/>
          <w:sz w:val="24"/>
        </w:rPr>
      </w:pPr>
      <w:r>
        <w:rPr>
          <w:rFonts w:hint="eastAsia" w:ascii="宋体" w:hAnsi="宋体" w:eastAsia="宋体" w:cs="Times New Roman"/>
          <w:color w:val="auto"/>
          <w:spacing w:val="10"/>
          <w:sz w:val="24"/>
        </w:rPr>
        <w:t>①近年指202</w:t>
      </w:r>
      <w:r>
        <w:rPr>
          <w:rFonts w:hint="eastAsia" w:ascii="宋体" w:hAnsi="宋体" w:eastAsia="宋体" w:cs="Times New Roman"/>
          <w:color w:val="auto"/>
          <w:spacing w:val="10"/>
          <w:sz w:val="24"/>
          <w:lang w:val="en-US" w:eastAsia="zh-CN"/>
        </w:rPr>
        <w:t>3</w:t>
      </w:r>
      <w:r>
        <w:rPr>
          <w:rFonts w:hint="eastAsia" w:ascii="宋体" w:hAnsi="宋体" w:eastAsia="宋体" w:cs="Times New Roman"/>
          <w:color w:val="auto"/>
          <w:spacing w:val="10"/>
          <w:sz w:val="24"/>
        </w:rPr>
        <w:t>年1月1日至投标截止时间前（以中标</w:t>
      </w:r>
      <w:r>
        <w:rPr>
          <w:rFonts w:hint="eastAsia" w:ascii="宋体" w:hAnsi="宋体" w:eastAsia="宋体" w:cs="Times New Roman"/>
          <w:color w:val="auto"/>
          <w:spacing w:val="10"/>
          <w:sz w:val="24"/>
          <w:lang w:val="en-US" w:eastAsia="zh-CN"/>
        </w:rPr>
        <w:t>/成交</w:t>
      </w:r>
      <w:r>
        <w:rPr>
          <w:rFonts w:hint="eastAsia" w:ascii="宋体" w:hAnsi="宋体" w:eastAsia="宋体" w:cs="Times New Roman"/>
          <w:color w:val="auto"/>
          <w:spacing w:val="10"/>
          <w:sz w:val="24"/>
        </w:rPr>
        <w:t>通知书时间或合同签订时间为准）；</w:t>
      </w:r>
    </w:p>
    <w:p w14:paraId="2D15E6AE">
      <w:pPr>
        <w:widowControl/>
        <w:spacing w:line="276" w:lineRule="auto"/>
        <w:jc w:val="left"/>
        <w:rPr>
          <w:rFonts w:hint="eastAsia" w:ascii="宋体" w:hAnsi="宋体" w:eastAsia="宋体" w:cs="Times New Roman"/>
          <w:color w:val="auto"/>
          <w:spacing w:val="10"/>
          <w:sz w:val="24"/>
        </w:rPr>
      </w:pPr>
      <w:r>
        <w:rPr>
          <w:rFonts w:hint="eastAsia" w:ascii="宋体" w:hAnsi="宋体" w:eastAsia="宋体" w:cs="Times New Roman"/>
          <w:color w:val="auto"/>
          <w:spacing w:val="10"/>
          <w:sz w:val="24"/>
        </w:rPr>
        <w:t>②类似业绩指仪器</w:t>
      </w:r>
      <w:r>
        <w:rPr>
          <w:rFonts w:hint="eastAsia" w:ascii="宋体" w:hAnsi="宋体" w:eastAsia="宋体" w:cs="Times New Roman"/>
          <w:color w:val="auto"/>
          <w:spacing w:val="10"/>
          <w:sz w:val="24"/>
          <w:lang w:val="en-US" w:eastAsia="zh-CN"/>
        </w:rPr>
        <w:t>或</w:t>
      </w:r>
      <w:r>
        <w:rPr>
          <w:rFonts w:hint="eastAsia" w:ascii="宋体" w:hAnsi="宋体" w:eastAsia="宋体" w:cs="Times New Roman"/>
          <w:color w:val="auto"/>
          <w:spacing w:val="10"/>
          <w:sz w:val="24"/>
        </w:rPr>
        <w:t>设备类供货业绩，金额不限；</w:t>
      </w:r>
    </w:p>
    <w:p w14:paraId="1DC3EDA3">
      <w:pPr>
        <w:widowControl/>
        <w:spacing w:line="276" w:lineRule="auto"/>
        <w:jc w:val="left"/>
        <w:rPr>
          <w:rFonts w:hint="eastAsia" w:ascii="宋体" w:hAnsi="宋体" w:eastAsia="宋体" w:cs="Times New Roman"/>
          <w:color w:val="auto"/>
          <w:spacing w:val="10"/>
          <w:sz w:val="24"/>
        </w:rPr>
      </w:pPr>
      <w:r>
        <w:rPr>
          <w:rFonts w:hint="eastAsia" w:ascii="宋体" w:hAnsi="宋体" w:eastAsia="宋体" w:cs="Times New Roman"/>
          <w:color w:val="auto"/>
          <w:spacing w:val="10"/>
          <w:sz w:val="24"/>
        </w:rPr>
        <w:t>③业绩证明材料为中标通知书或合同</w:t>
      </w:r>
      <w:r>
        <w:rPr>
          <w:rFonts w:hint="eastAsia" w:ascii="宋体" w:hAnsi="宋体" w:eastAsia="宋体" w:cs="Times New Roman"/>
          <w:color w:val="auto"/>
          <w:spacing w:val="10"/>
          <w:sz w:val="24"/>
          <w:lang w:eastAsia="zh-CN"/>
        </w:rPr>
        <w:t>（</w:t>
      </w:r>
      <w:r>
        <w:rPr>
          <w:rFonts w:hint="eastAsia" w:ascii="宋体" w:hAnsi="宋体" w:eastAsia="宋体" w:cs="Times New Roman"/>
          <w:color w:val="auto"/>
          <w:spacing w:val="10"/>
          <w:sz w:val="24"/>
        </w:rPr>
        <w:t>合同首页、关键信息页、标的及金额所在页及合同签字盖章页</w:t>
      </w:r>
      <w:r>
        <w:rPr>
          <w:rFonts w:hint="eastAsia" w:ascii="宋体" w:hAnsi="宋体" w:eastAsia="宋体" w:cs="Times New Roman"/>
          <w:color w:val="auto"/>
          <w:spacing w:val="10"/>
          <w:sz w:val="24"/>
          <w:lang w:eastAsia="zh-CN"/>
        </w:rPr>
        <w:t>）</w:t>
      </w:r>
      <w:r>
        <w:rPr>
          <w:rFonts w:hint="eastAsia" w:ascii="宋体" w:hAnsi="宋体" w:eastAsia="宋体" w:cs="Times New Roman"/>
          <w:color w:val="auto"/>
          <w:spacing w:val="10"/>
          <w:sz w:val="24"/>
        </w:rPr>
        <w:t>扫描件加盖电子签章。</w:t>
      </w:r>
    </w:p>
    <w:p w14:paraId="0BE17B8C">
      <w:pPr>
        <w:pStyle w:val="21"/>
        <w:tabs>
          <w:tab w:val="left" w:pos="3990"/>
          <w:tab w:val="center" w:pos="4677"/>
        </w:tabs>
        <w:spacing w:line="240" w:lineRule="auto"/>
        <w:jc w:val="left"/>
        <w:rPr>
          <w:b w:val="0"/>
          <w:bCs/>
          <w:color w:val="auto"/>
        </w:rPr>
      </w:pPr>
    </w:p>
    <w:p w14:paraId="7C39A535">
      <w:pPr>
        <w:pStyle w:val="21"/>
        <w:tabs>
          <w:tab w:val="left" w:pos="3990"/>
          <w:tab w:val="center" w:pos="4677"/>
        </w:tabs>
        <w:rPr>
          <w:color w:val="auto"/>
        </w:rPr>
      </w:pPr>
    </w:p>
    <w:p w14:paraId="040477E9">
      <w:pPr>
        <w:widowControl/>
        <w:spacing w:line="276" w:lineRule="auto"/>
        <w:jc w:val="left"/>
        <w:rPr>
          <w:rFonts w:hint="eastAsia" w:ascii="宋体" w:hAnsi="宋体" w:eastAsia="宋体" w:cs="Times New Roman"/>
          <w:color w:val="auto"/>
          <w:spacing w:val="10"/>
          <w:sz w:val="24"/>
        </w:rPr>
      </w:pPr>
      <w:r>
        <w:rPr>
          <w:rFonts w:hint="eastAsia" w:ascii="宋体" w:hAnsi="宋体" w:eastAsia="宋体" w:cs="Times New Roman"/>
          <w:color w:val="auto"/>
          <w:spacing w:val="10"/>
          <w:sz w:val="24"/>
        </w:rPr>
        <w:t>投标人全称：</w:t>
      </w:r>
      <w:r>
        <w:rPr>
          <w:rFonts w:hint="eastAsia" w:ascii="宋体" w:hAnsi="宋体" w:eastAsia="宋体" w:cs="Times New Roman"/>
          <w:color w:val="auto"/>
          <w:spacing w:val="10"/>
          <w:sz w:val="24"/>
          <w:u w:val="single"/>
        </w:rPr>
        <w:t xml:space="preserve">                     </w:t>
      </w:r>
      <w:r>
        <w:rPr>
          <w:rFonts w:hint="eastAsia" w:ascii="宋体" w:hAnsi="宋体" w:eastAsia="宋体" w:cs="Times New Roman"/>
          <w:color w:val="auto"/>
          <w:spacing w:val="10"/>
          <w:sz w:val="24"/>
        </w:rPr>
        <w:t>（电子签章）</w:t>
      </w:r>
    </w:p>
    <w:p w14:paraId="056524E1">
      <w:pPr>
        <w:widowControl/>
        <w:spacing w:line="276" w:lineRule="auto"/>
        <w:jc w:val="left"/>
        <w:rPr>
          <w:rFonts w:hint="eastAsia" w:ascii="宋体" w:hAnsi="宋体" w:eastAsia="宋体" w:cs="Times New Roman"/>
          <w:color w:val="auto"/>
          <w:spacing w:val="10"/>
          <w:sz w:val="24"/>
          <w:u w:val="none"/>
        </w:rPr>
      </w:pPr>
      <w:r>
        <w:rPr>
          <w:rFonts w:hint="eastAsia" w:ascii="宋体" w:hAnsi="宋体" w:eastAsia="宋体" w:cs="Times New Roman"/>
          <w:color w:val="auto"/>
          <w:spacing w:val="10"/>
          <w:sz w:val="24"/>
        </w:rPr>
        <w:t>法定代表人或委托代理人：</w:t>
      </w:r>
      <w:r>
        <w:rPr>
          <w:rFonts w:hint="eastAsia" w:ascii="宋体" w:hAnsi="宋体" w:eastAsia="宋体" w:cs="Times New Roman"/>
          <w:color w:val="auto"/>
          <w:spacing w:val="10"/>
          <w:sz w:val="24"/>
          <w:u w:val="single"/>
        </w:rPr>
        <w:t xml:space="preserve">                  </w:t>
      </w:r>
      <w:r>
        <w:rPr>
          <w:rFonts w:hint="eastAsia" w:ascii="宋体" w:hAnsi="宋体" w:eastAsia="宋体" w:cs="Times New Roman"/>
          <w:color w:val="auto"/>
          <w:spacing w:val="10"/>
          <w:sz w:val="24"/>
          <w:u w:val="none"/>
        </w:rPr>
        <w:t>（电子签章）</w:t>
      </w:r>
    </w:p>
    <w:p w14:paraId="46BB7EB6">
      <w:pPr>
        <w:widowControl/>
        <w:spacing w:line="276" w:lineRule="auto"/>
        <w:jc w:val="left"/>
        <w:rPr>
          <w:rFonts w:hint="eastAsia" w:ascii="宋体" w:hAnsi="宋体" w:eastAsia="宋体" w:cs="Times New Roman"/>
          <w:color w:val="auto"/>
          <w:spacing w:val="10"/>
          <w:sz w:val="24"/>
        </w:rPr>
        <w:sectPr>
          <w:pgSz w:w="11906" w:h="16838"/>
          <w:pgMar w:top="1440" w:right="1069" w:bottom="1440" w:left="1797" w:header="851" w:footer="992" w:gutter="0"/>
          <w:pgBorders>
            <w:top w:val="none" w:sz="0" w:space="0"/>
            <w:left w:val="none" w:sz="0" w:space="0"/>
            <w:bottom w:val="none" w:sz="0" w:space="0"/>
            <w:right w:val="none" w:sz="0" w:space="0"/>
          </w:pgBorders>
          <w:cols w:space="720" w:num="1"/>
          <w:titlePg/>
          <w:docGrid w:type="linesAndChars" w:linePitch="312" w:charSpace="0"/>
        </w:sectPr>
      </w:pPr>
      <w:r>
        <w:rPr>
          <w:rFonts w:hint="eastAsia" w:ascii="宋体" w:hAnsi="宋体" w:eastAsia="宋体" w:cs="Times New Roman"/>
          <w:color w:val="auto"/>
          <w:spacing w:val="10"/>
          <w:sz w:val="24"/>
        </w:rPr>
        <w:t>日期：</w:t>
      </w:r>
      <w:r>
        <w:rPr>
          <w:rFonts w:hint="eastAsia" w:ascii="宋体" w:hAnsi="宋体" w:eastAsia="宋体" w:cs="Times New Roman"/>
          <w:color w:val="auto"/>
          <w:spacing w:val="10"/>
          <w:sz w:val="24"/>
          <w:u w:val="single"/>
        </w:rPr>
        <w:t xml:space="preserve">     </w:t>
      </w:r>
      <w:r>
        <w:rPr>
          <w:rFonts w:hint="eastAsia" w:ascii="宋体" w:hAnsi="宋体" w:eastAsia="宋体" w:cs="Times New Roman"/>
          <w:color w:val="auto"/>
          <w:spacing w:val="10"/>
          <w:sz w:val="24"/>
        </w:rPr>
        <w:t>年</w:t>
      </w:r>
      <w:r>
        <w:rPr>
          <w:rFonts w:hint="eastAsia" w:ascii="宋体" w:hAnsi="宋体" w:eastAsia="宋体" w:cs="Times New Roman"/>
          <w:color w:val="auto"/>
          <w:spacing w:val="10"/>
          <w:sz w:val="24"/>
          <w:u w:val="single"/>
        </w:rPr>
        <w:t xml:space="preserve">    </w:t>
      </w:r>
      <w:r>
        <w:rPr>
          <w:rFonts w:hint="eastAsia" w:ascii="宋体" w:hAnsi="宋体" w:eastAsia="宋体" w:cs="Times New Roman"/>
          <w:color w:val="auto"/>
          <w:spacing w:val="10"/>
          <w:sz w:val="24"/>
        </w:rPr>
        <w:t>月</w:t>
      </w:r>
      <w:r>
        <w:rPr>
          <w:rFonts w:hint="eastAsia" w:ascii="宋体" w:hAnsi="宋体" w:eastAsia="宋体" w:cs="Times New Roman"/>
          <w:color w:val="auto"/>
          <w:spacing w:val="10"/>
          <w:sz w:val="24"/>
          <w:u w:val="single"/>
        </w:rPr>
        <w:t xml:space="preserve">    </w:t>
      </w:r>
      <w:r>
        <w:rPr>
          <w:rFonts w:hint="eastAsia" w:ascii="宋体" w:hAnsi="宋体" w:eastAsia="宋体" w:cs="Times New Roman"/>
          <w:color w:val="auto"/>
          <w:spacing w:val="10"/>
          <w:sz w:val="24"/>
        </w:rPr>
        <w:t>日</w:t>
      </w:r>
    </w:p>
    <w:p w14:paraId="3655A0A4">
      <w:pPr>
        <w:widowControl/>
        <w:ind w:firstLine="520"/>
        <w:jc w:val="left"/>
        <w:rPr>
          <w:rFonts w:ascii="宋体" w:hAnsi="宋体"/>
          <w:b/>
          <w:bCs/>
          <w:color w:val="auto"/>
          <w:sz w:val="24"/>
          <w:highlight w:val="none"/>
        </w:rPr>
      </w:pPr>
    </w:p>
    <w:p w14:paraId="3A0394CD">
      <w:pPr>
        <w:pStyle w:val="3"/>
        <w:numPr>
          <w:ilvl w:val="0"/>
          <w:numId w:val="0"/>
        </w:numPr>
        <w:tabs>
          <w:tab w:val="left" w:pos="360"/>
          <w:tab w:val="clear" w:pos="1021"/>
        </w:tabs>
        <w:spacing w:before="0"/>
        <w:jc w:val="center"/>
        <w:rPr>
          <w:rFonts w:ascii="宋体" w:hAnsi="宋体" w:eastAsia="宋体"/>
          <w:color w:val="auto"/>
          <w:szCs w:val="28"/>
        </w:rPr>
      </w:pPr>
      <w:bookmarkStart w:id="158" w:name="_Toc13969"/>
      <w:bookmarkStart w:id="159" w:name="_Toc28319"/>
      <w:bookmarkStart w:id="160" w:name="_Toc12547"/>
      <w:bookmarkStart w:id="161" w:name="_Toc15340"/>
      <w:bookmarkStart w:id="162" w:name="_Toc13764"/>
      <w:bookmarkStart w:id="163" w:name="_Toc29687"/>
      <w:bookmarkStart w:id="164" w:name="_Toc3501"/>
      <w:bookmarkStart w:id="165" w:name="_Toc6114"/>
      <w:r>
        <w:rPr>
          <w:rFonts w:hint="eastAsia" w:ascii="宋体" w:hAnsi="宋体" w:eastAsia="宋体"/>
          <w:color w:val="auto"/>
          <w:szCs w:val="28"/>
        </w:rPr>
        <w:t>格式</w:t>
      </w:r>
      <w:r>
        <w:rPr>
          <w:rFonts w:ascii="宋体" w:hAnsi="宋体" w:eastAsia="宋体"/>
          <w:color w:val="auto"/>
          <w:szCs w:val="28"/>
        </w:rPr>
        <w:t>1</w:t>
      </w:r>
      <w:r>
        <w:rPr>
          <w:rFonts w:hint="eastAsia" w:ascii="宋体" w:hAnsi="宋体" w:eastAsia="宋体"/>
          <w:color w:val="auto"/>
          <w:szCs w:val="28"/>
          <w:lang w:val="en-US" w:eastAsia="zh-CN"/>
        </w:rPr>
        <w:t>3</w:t>
      </w:r>
      <w:r>
        <w:rPr>
          <w:rFonts w:hint="eastAsia" w:ascii="宋体" w:hAnsi="宋体" w:eastAsia="宋体"/>
          <w:color w:val="auto"/>
          <w:szCs w:val="28"/>
        </w:rPr>
        <w:t>：中小企业声明函</w:t>
      </w:r>
      <w:bookmarkEnd w:id="158"/>
      <w:r>
        <w:rPr>
          <w:rFonts w:hint="eastAsia" w:ascii="宋体" w:hAnsi="宋体" w:eastAsia="宋体"/>
          <w:color w:val="auto"/>
          <w:szCs w:val="28"/>
        </w:rPr>
        <w:t>（货物）</w:t>
      </w:r>
      <w:bookmarkEnd w:id="159"/>
      <w:bookmarkEnd w:id="160"/>
      <w:bookmarkEnd w:id="161"/>
      <w:bookmarkEnd w:id="162"/>
    </w:p>
    <w:p w14:paraId="69881674">
      <w:pPr>
        <w:rPr>
          <w:color w:val="auto"/>
          <w:szCs w:val="20"/>
        </w:rPr>
      </w:pPr>
    </w:p>
    <w:p w14:paraId="4500D7FC">
      <w:pPr>
        <w:rPr>
          <w:color w:val="auto"/>
          <w:szCs w:val="20"/>
        </w:rPr>
      </w:pPr>
    </w:p>
    <w:p w14:paraId="5E19A2D4">
      <w:pPr>
        <w:spacing w:line="360" w:lineRule="auto"/>
        <w:ind w:firstLine="480" w:firstLineChars="200"/>
        <w:rPr>
          <w:rFonts w:ascii="宋体" w:hAnsi="宋体" w:cs="宋体"/>
          <w:color w:val="auto"/>
          <w:sz w:val="24"/>
          <w:lang w:val="zh-TW" w:eastAsia="zh-TW" w:bidi="zh-TW"/>
        </w:rPr>
      </w:pPr>
      <w:r>
        <w:rPr>
          <w:rFonts w:ascii="宋体" w:hAnsi="宋体" w:cs="宋体"/>
          <w:color w:val="auto"/>
          <w:sz w:val="24"/>
          <w:lang w:val="zh-TW" w:eastAsia="zh-TW" w:bidi="zh-TW"/>
        </w:rPr>
        <w:t>本公司郑重声明，根据《政府釆购促进中小企业发展管理办法》（财库</w:t>
      </w:r>
      <w:r>
        <w:rPr>
          <w:rFonts w:hint="eastAsia" w:ascii="宋体" w:hAnsi="宋体" w:cs="宋体"/>
          <w:color w:val="auto"/>
          <w:sz w:val="24"/>
          <w:lang w:val="zh-TW" w:eastAsia="zh-CN" w:bidi="zh-TW"/>
        </w:rPr>
        <w:t>〔2020〕46号</w:t>
      </w:r>
      <w:r>
        <w:rPr>
          <w:rFonts w:ascii="宋体" w:hAnsi="宋体" w:cs="宋体"/>
          <w:color w:val="auto"/>
          <w:sz w:val="24"/>
          <w:lang w:val="zh-TW" w:eastAsia="zh-TW" w:bidi="zh-TW"/>
        </w:rPr>
        <w:t>）的规定，本公司参加</w:t>
      </w:r>
      <w:r>
        <w:rPr>
          <w:rFonts w:ascii="宋体" w:hAnsi="宋体" w:cs="宋体"/>
          <w:color w:val="auto"/>
          <w:sz w:val="24"/>
          <w:u w:val="single"/>
          <w:lang w:val="zh-TW" w:eastAsia="zh-TW" w:bidi="zh-TW"/>
        </w:rPr>
        <w:t>（单位名称）</w:t>
      </w:r>
      <w:r>
        <w:rPr>
          <w:rFonts w:ascii="宋体" w:hAnsi="宋体" w:cs="宋体"/>
          <w:color w:val="auto"/>
          <w:sz w:val="24"/>
          <w:lang w:val="zh-TW" w:eastAsia="zh-TW" w:bidi="zh-TW"/>
        </w:rPr>
        <w:t>的</w:t>
      </w:r>
      <w:r>
        <w:rPr>
          <w:rFonts w:ascii="宋体" w:hAnsi="宋体" w:cs="宋体"/>
          <w:color w:val="auto"/>
          <w:sz w:val="24"/>
          <w:u w:val="single"/>
          <w:lang w:val="zh-TW" w:eastAsia="zh-TW" w:bidi="zh-TW"/>
        </w:rPr>
        <w:t>（项目名称）</w:t>
      </w:r>
      <w:r>
        <w:rPr>
          <w:rFonts w:ascii="宋体" w:hAnsi="宋体" w:cs="宋体"/>
          <w:color w:val="auto"/>
          <w:sz w:val="24"/>
          <w:lang w:val="zh-TW" w:eastAsia="zh-TW" w:bidi="zh-TW"/>
        </w:rPr>
        <w:t>采购活动</w:t>
      </w:r>
      <w:r>
        <w:rPr>
          <w:rFonts w:hint="eastAsia" w:ascii="宋体" w:hAnsi="宋体" w:cs="宋体"/>
          <w:color w:val="auto"/>
          <w:sz w:val="24"/>
          <w:lang w:val="zh-TW" w:bidi="zh-TW"/>
        </w:rPr>
        <w:t>，</w:t>
      </w:r>
      <w:r>
        <w:rPr>
          <w:rFonts w:ascii="宋体" w:hAnsi="宋体" w:cs="宋体"/>
          <w:color w:val="auto"/>
          <w:sz w:val="24"/>
          <w:lang w:val="zh-TW" w:eastAsia="zh-TW" w:bidi="zh-TW"/>
        </w:rPr>
        <w:t>提供的货物全部由符合政策要求的中小企业制造。相关企业（含联合体中的中小企业、签订分包意向协议的中小企业）的具体情况如下：</w:t>
      </w:r>
    </w:p>
    <w:p w14:paraId="3D1F4419">
      <w:pPr>
        <w:numPr>
          <w:ilvl w:val="0"/>
          <w:numId w:val="3"/>
        </w:numPr>
        <w:tabs>
          <w:tab w:val="left" w:pos="830"/>
          <w:tab w:val="left" w:pos="4408"/>
        </w:tabs>
        <w:spacing w:line="360" w:lineRule="auto"/>
        <w:ind w:firstLine="440"/>
        <w:rPr>
          <w:rFonts w:ascii="宋体" w:hAnsi="宋体" w:cs="宋体"/>
          <w:color w:val="auto"/>
          <w:sz w:val="24"/>
          <w:lang w:val="zh-TW" w:eastAsia="zh-TW" w:bidi="zh-TW"/>
        </w:rPr>
      </w:pPr>
      <w:bookmarkStart w:id="166" w:name="bookmark24"/>
      <w:bookmarkEnd w:id="166"/>
      <w:r>
        <w:rPr>
          <w:rFonts w:ascii="宋体" w:hAnsi="宋体" w:cs="宋体"/>
          <w:color w:val="auto"/>
          <w:sz w:val="24"/>
          <w:u w:val="single"/>
          <w:lang w:val="zh-TW" w:eastAsia="zh-TW" w:bidi="zh-TW"/>
        </w:rPr>
        <w:t>（标的名称）</w:t>
      </w:r>
      <w:r>
        <w:rPr>
          <w:rFonts w:hint="eastAsia" w:ascii="宋体" w:hAnsi="宋体" w:cs="宋体"/>
          <w:color w:val="auto"/>
          <w:sz w:val="24"/>
          <w:u w:val="single"/>
          <w:lang w:val="zh-TW" w:eastAsia="zh-CN" w:bidi="zh-TW"/>
        </w:rPr>
        <w:t>，</w:t>
      </w:r>
      <w:r>
        <w:rPr>
          <w:rFonts w:ascii="宋体" w:hAnsi="宋体" w:cs="宋体"/>
          <w:color w:val="auto"/>
          <w:sz w:val="24"/>
          <w:lang w:val="zh-TW" w:eastAsia="zh-TW" w:bidi="zh-TW"/>
        </w:rPr>
        <w:t>属于</w:t>
      </w:r>
      <w:r>
        <w:rPr>
          <w:rFonts w:hint="eastAsia" w:ascii="宋体" w:hAnsi="宋体" w:cs="宋体"/>
          <w:color w:val="auto"/>
          <w:sz w:val="24"/>
          <w:u w:val="single"/>
          <w:lang w:val="zh-TW" w:bidi="zh-TW"/>
        </w:rPr>
        <w:t xml:space="preserve"> </w:t>
      </w:r>
      <w:r>
        <w:rPr>
          <w:rFonts w:hint="eastAsia" w:ascii="宋体" w:hAnsi="宋体" w:cs="宋体"/>
          <w:b/>
          <w:color w:val="auto"/>
          <w:sz w:val="24"/>
          <w:u w:val="single"/>
          <w:lang w:bidi="zh-TW"/>
        </w:rPr>
        <w:t xml:space="preserve">     </w:t>
      </w:r>
      <w:r>
        <w:rPr>
          <w:rFonts w:hint="eastAsia" w:ascii="宋体" w:hAnsi="宋体" w:cs="宋体"/>
          <w:color w:val="auto"/>
          <w:sz w:val="24"/>
          <w:u w:val="single"/>
          <w:lang w:val="zh-TW" w:bidi="zh-TW"/>
        </w:rPr>
        <w:t xml:space="preserve"> </w:t>
      </w:r>
      <w:r>
        <w:rPr>
          <w:rFonts w:ascii="宋体" w:hAnsi="宋体" w:cs="宋体"/>
          <w:color w:val="auto"/>
          <w:sz w:val="24"/>
          <w:lang w:val="zh-TW" w:eastAsia="zh-TW" w:bidi="zh-TW"/>
        </w:rPr>
        <w:t>行业</w:t>
      </w:r>
      <w:r>
        <w:rPr>
          <w:rFonts w:hint="eastAsia" w:ascii="宋体" w:hAnsi="宋体" w:cs="宋体"/>
          <w:color w:val="auto"/>
          <w:sz w:val="24"/>
          <w:lang w:val="zh-TW" w:bidi="zh-TW"/>
        </w:rPr>
        <w:t>；</w:t>
      </w:r>
      <w:r>
        <w:rPr>
          <w:rFonts w:ascii="宋体" w:hAnsi="宋体" w:cs="宋体"/>
          <w:color w:val="auto"/>
          <w:sz w:val="24"/>
          <w:lang w:val="zh-TW" w:eastAsia="zh-TW" w:bidi="zh-TW"/>
        </w:rPr>
        <w:t>制造商为</w:t>
      </w:r>
      <w:r>
        <w:rPr>
          <w:rFonts w:ascii="宋体" w:hAnsi="宋体" w:cs="宋体"/>
          <w:color w:val="auto"/>
          <w:sz w:val="24"/>
          <w:u w:val="single"/>
          <w:lang w:val="zh-TW" w:eastAsia="zh-TW" w:bidi="zh-TW"/>
        </w:rPr>
        <w:t>（企业名称）</w:t>
      </w:r>
      <w:r>
        <w:rPr>
          <w:rFonts w:hint="eastAsia" w:ascii="宋体" w:hAnsi="宋体" w:cs="宋体"/>
          <w:color w:val="auto"/>
          <w:sz w:val="24"/>
          <w:lang w:val="zh-TW" w:bidi="zh-TW"/>
        </w:rPr>
        <w:t>，</w:t>
      </w:r>
      <w:r>
        <w:rPr>
          <w:rFonts w:ascii="宋体" w:hAnsi="宋体" w:cs="宋体"/>
          <w:color w:val="auto"/>
          <w:sz w:val="24"/>
          <w:lang w:val="zh-TW" w:eastAsia="zh-TW" w:bidi="zh-TW"/>
        </w:rPr>
        <w:t>从业人员</w:t>
      </w:r>
      <w:r>
        <w:rPr>
          <w:rFonts w:ascii="宋体" w:hAnsi="宋体" w:cs="宋体"/>
          <w:color w:val="auto"/>
          <w:sz w:val="24"/>
          <w:u w:val="single"/>
          <w:lang w:val="zh-TW" w:eastAsia="zh-TW" w:bidi="zh-TW"/>
        </w:rPr>
        <w:tab/>
      </w:r>
      <w:r>
        <w:rPr>
          <w:rFonts w:ascii="宋体" w:hAnsi="宋体" w:eastAsia="PMingLiU" w:cs="宋体"/>
          <w:color w:val="auto"/>
          <w:sz w:val="24"/>
          <w:u w:val="single"/>
          <w:lang w:val="zh-TW" w:eastAsia="zh-TW" w:bidi="zh-TW"/>
        </w:rPr>
        <w:t xml:space="preserve">  </w:t>
      </w:r>
      <w:r>
        <w:rPr>
          <w:rFonts w:ascii="宋体" w:hAnsi="宋体" w:cs="宋体"/>
          <w:color w:val="auto"/>
          <w:sz w:val="24"/>
          <w:lang w:val="zh-TW" w:eastAsia="zh-TW" w:bidi="zh-TW"/>
        </w:rPr>
        <w:t>人，营业收入为</w:t>
      </w:r>
      <w:r>
        <w:rPr>
          <w:rFonts w:hint="eastAsia" w:ascii="宋体" w:hAnsi="宋体" w:cs="宋体"/>
          <w:color w:val="auto"/>
          <w:sz w:val="24"/>
          <w:u w:val="single"/>
          <w:lang w:val="zh-TW" w:bidi="zh-TW"/>
        </w:rPr>
        <w:t xml:space="preserve">   </w:t>
      </w:r>
      <w:r>
        <w:rPr>
          <w:rFonts w:ascii="宋体" w:hAnsi="宋体" w:cs="宋体"/>
          <w:color w:val="auto"/>
          <w:sz w:val="24"/>
          <w:lang w:val="zh-TW" w:eastAsia="zh-TW" w:bidi="zh-TW"/>
        </w:rPr>
        <w:t>万元，资产总额为</w:t>
      </w:r>
      <w:r>
        <w:rPr>
          <w:rFonts w:hint="eastAsia" w:ascii="宋体" w:hAnsi="宋体" w:cs="宋体"/>
          <w:color w:val="auto"/>
          <w:sz w:val="24"/>
          <w:u w:val="single"/>
          <w:lang w:val="zh-TW" w:bidi="zh-TW"/>
        </w:rPr>
        <w:t xml:space="preserve">   </w:t>
      </w:r>
      <w:r>
        <w:rPr>
          <w:rFonts w:ascii="宋体" w:hAnsi="宋体" w:cs="宋体"/>
          <w:color w:val="auto"/>
          <w:sz w:val="24"/>
          <w:lang w:val="zh-TW" w:eastAsia="zh-TW" w:bidi="zh-TW"/>
        </w:rPr>
        <w:t>万元</w:t>
      </w:r>
      <w:r>
        <w:rPr>
          <w:rFonts w:ascii="宋体" w:hAnsi="宋体" w:cs="宋体"/>
          <w:color w:val="auto"/>
          <w:sz w:val="24"/>
          <w:lang w:bidi="en-US"/>
        </w:rPr>
        <w:t>，</w:t>
      </w:r>
      <w:r>
        <w:rPr>
          <w:rFonts w:ascii="宋体" w:hAnsi="宋体" w:cs="宋体"/>
          <w:color w:val="auto"/>
          <w:sz w:val="24"/>
          <w:lang w:val="zh-TW" w:eastAsia="zh-TW" w:bidi="zh-TW"/>
        </w:rPr>
        <w:t>属于</w:t>
      </w:r>
      <w:r>
        <w:rPr>
          <w:rFonts w:ascii="宋体" w:hAnsi="宋体" w:cs="宋体"/>
          <w:color w:val="auto"/>
          <w:sz w:val="24"/>
          <w:u w:val="single"/>
          <w:lang w:val="zh-TW" w:eastAsia="zh-TW" w:bidi="zh-TW"/>
        </w:rPr>
        <w:t>（中型企业、小型企业、微型企业）</w:t>
      </w:r>
      <w:r>
        <w:rPr>
          <w:rFonts w:hint="eastAsia" w:ascii="宋体" w:hAnsi="宋体" w:cs="宋体"/>
          <w:color w:val="auto"/>
          <w:sz w:val="24"/>
          <w:lang w:val="zh-TW" w:bidi="zh-TW"/>
        </w:rPr>
        <w:t>；</w:t>
      </w:r>
    </w:p>
    <w:p w14:paraId="410836D8">
      <w:pPr>
        <w:numPr>
          <w:ilvl w:val="0"/>
          <w:numId w:val="3"/>
        </w:numPr>
        <w:tabs>
          <w:tab w:val="left" w:pos="830"/>
          <w:tab w:val="left" w:pos="4188"/>
        </w:tabs>
        <w:spacing w:line="360" w:lineRule="auto"/>
        <w:ind w:firstLine="440"/>
        <w:rPr>
          <w:rFonts w:ascii="宋体" w:hAnsi="宋体" w:cs="宋体"/>
          <w:color w:val="auto"/>
          <w:sz w:val="24"/>
          <w:lang w:val="zh-TW" w:bidi="zh-TW"/>
        </w:rPr>
      </w:pPr>
      <w:bookmarkStart w:id="167" w:name="bookmark25"/>
      <w:bookmarkEnd w:id="167"/>
      <w:r>
        <w:rPr>
          <w:rFonts w:ascii="宋体" w:hAnsi="宋体" w:cs="宋体"/>
          <w:color w:val="auto"/>
          <w:sz w:val="24"/>
          <w:u w:val="single"/>
          <w:lang w:val="zh-TW" w:eastAsia="zh-TW" w:bidi="zh-TW"/>
        </w:rPr>
        <w:t>（标的名称）</w:t>
      </w:r>
      <w:r>
        <w:rPr>
          <w:rFonts w:hint="eastAsia" w:ascii="宋体" w:hAnsi="宋体" w:cs="宋体"/>
          <w:color w:val="auto"/>
          <w:sz w:val="24"/>
          <w:u w:val="single"/>
          <w:lang w:val="zh-TW" w:eastAsia="zh-CN" w:bidi="zh-TW"/>
        </w:rPr>
        <w:t>，</w:t>
      </w:r>
      <w:r>
        <w:rPr>
          <w:rFonts w:ascii="宋体" w:hAnsi="宋体" w:cs="宋体"/>
          <w:color w:val="auto"/>
          <w:sz w:val="24"/>
          <w:lang w:val="zh-TW" w:eastAsia="zh-TW" w:bidi="zh-TW"/>
        </w:rPr>
        <w:t>属于</w:t>
      </w:r>
      <w:r>
        <w:rPr>
          <w:rFonts w:hint="eastAsia" w:ascii="宋体" w:hAnsi="宋体" w:cs="宋体"/>
          <w:color w:val="auto"/>
          <w:sz w:val="24"/>
          <w:u w:val="single"/>
          <w:lang w:val="zh-TW" w:bidi="zh-TW"/>
        </w:rPr>
        <w:t xml:space="preserve"> </w:t>
      </w:r>
      <w:r>
        <w:rPr>
          <w:rFonts w:hint="eastAsia" w:ascii="宋体" w:hAnsi="宋体" w:cs="宋体"/>
          <w:b/>
          <w:color w:val="auto"/>
          <w:sz w:val="24"/>
          <w:u w:val="single"/>
          <w:lang w:bidi="zh-TW"/>
        </w:rPr>
        <w:t xml:space="preserve">    </w:t>
      </w:r>
      <w:r>
        <w:rPr>
          <w:rFonts w:hint="eastAsia" w:ascii="宋体" w:hAnsi="宋体" w:cs="宋体"/>
          <w:color w:val="auto"/>
          <w:sz w:val="24"/>
          <w:u w:val="single"/>
          <w:lang w:val="zh-TW" w:bidi="zh-TW"/>
        </w:rPr>
        <w:t xml:space="preserve"> </w:t>
      </w:r>
      <w:r>
        <w:rPr>
          <w:rFonts w:ascii="宋体" w:hAnsi="宋体" w:cs="宋体"/>
          <w:color w:val="auto"/>
          <w:sz w:val="24"/>
          <w:lang w:val="zh-TW" w:eastAsia="zh-TW" w:bidi="zh-TW"/>
        </w:rPr>
        <w:t>行业</w:t>
      </w:r>
      <w:r>
        <w:rPr>
          <w:rFonts w:hint="eastAsia" w:ascii="宋体" w:hAnsi="宋体" w:cs="宋体"/>
          <w:color w:val="auto"/>
          <w:sz w:val="24"/>
          <w:lang w:val="zh-CN" w:bidi="zh-CN"/>
        </w:rPr>
        <w:t>；</w:t>
      </w:r>
      <w:r>
        <w:rPr>
          <w:rFonts w:ascii="宋体" w:hAnsi="宋体" w:cs="宋体"/>
          <w:color w:val="auto"/>
          <w:sz w:val="24"/>
          <w:lang w:val="zh-TW" w:eastAsia="zh-TW" w:bidi="zh-TW"/>
        </w:rPr>
        <w:t>制造商为</w:t>
      </w:r>
      <w:r>
        <w:rPr>
          <w:rFonts w:ascii="宋体" w:hAnsi="宋体" w:cs="宋体"/>
          <w:color w:val="auto"/>
          <w:sz w:val="24"/>
          <w:u w:val="single"/>
          <w:lang w:val="zh-TW" w:eastAsia="zh-TW" w:bidi="zh-TW"/>
        </w:rPr>
        <w:t>（企业名称）</w:t>
      </w:r>
      <w:r>
        <w:rPr>
          <w:rFonts w:hint="eastAsia" w:ascii="宋体" w:hAnsi="宋体" w:cs="宋体"/>
          <w:color w:val="auto"/>
          <w:sz w:val="24"/>
          <w:lang w:val="zh-TW" w:bidi="zh-TW"/>
        </w:rPr>
        <w:t>，</w:t>
      </w:r>
      <w:r>
        <w:rPr>
          <w:rFonts w:ascii="宋体" w:hAnsi="宋体" w:cs="宋体"/>
          <w:color w:val="auto"/>
          <w:sz w:val="24"/>
          <w:lang w:val="zh-TW" w:eastAsia="zh-TW" w:bidi="zh-TW"/>
        </w:rPr>
        <w:t>从业人员</w:t>
      </w:r>
      <w:r>
        <w:rPr>
          <w:rFonts w:hint="eastAsia" w:ascii="宋体" w:hAnsi="宋体" w:cs="宋体"/>
          <w:color w:val="auto"/>
          <w:sz w:val="24"/>
          <w:u w:val="single"/>
          <w:lang w:val="zh-TW" w:bidi="zh-TW"/>
        </w:rPr>
        <w:t xml:space="preserve"> </w:t>
      </w:r>
      <w:r>
        <w:rPr>
          <w:rFonts w:ascii="宋体" w:hAnsi="宋体" w:eastAsia="PMingLiU" w:cs="宋体"/>
          <w:color w:val="auto"/>
          <w:sz w:val="24"/>
          <w:u w:val="single"/>
          <w:lang w:val="zh-TW" w:eastAsia="zh-TW" w:bidi="zh-TW"/>
        </w:rPr>
        <w:t xml:space="preserve">   </w:t>
      </w:r>
      <w:r>
        <w:rPr>
          <w:rFonts w:ascii="宋体" w:hAnsi="宋体" w:cs="宋体"/>
          <w:color w:val="auto"/>
          <w:sz w:val="24"/>
          <w:lang w:val="zh-TW" w:eastAsia="zh-TW" w:bidi="zh-TW"/>
        </w:rPr>
        <w:t>人，营业收入为</w:t>
      </w:r>
      <w:r>
        <w:rPr>
          <w:rFonts w:hint="eastAsia" w:ascii="宋体" w:hAnsi="宋体" w:cs="宋体"/>
          <w:color w:val="auto"/>
          <w:sz w:val="24"/>
          <w:u w:val="single"/>
          <w:lang w:val="zh-TW" w:bidi="zh-TW"/>
        </w:rPr>
        <w:t xml:space="preserve">   </w:t>
      </w:r>
      <w:r>
        <w:rPr>
          <w:rFonts w:ascii="宋体" w:hAnsi="宋体" w:cs="宋体"/>
          <w:color w:val="auto"/>
          <w:sz w:val="24"/>
          <w:lang w:val="zh-TW" w:eastAsia="zh-TW" w:bidi="zh-TW"/>
        </w:rPr>
        <w:t>万元，资产总额为</w:t>
      </w:r>
      <w:r>
        <w:rPr>
          <w:rFonts w:hint="eastAsia" w:ascii="宋体" w:hAnsi="宋体" w:cs="宋体"/>
          <w:color w:val="auto"/>
          <w:sz w:val="24"/>
          <w:u w:val="single"/>
          <w:lang w:val="zh-TW" w:bidi="zh-TW"/>
        </w:rPr>
        <w:t xml:space="preserve">   </w:t>
      </w:r>
      <w:r>
        <w:rPr>
          <w:rFonts w:ascii="宋体" w:hAnsi="宋体" w:cs="宋体"/>
          <w:color w:val="auto"/>
          <w:sz w:val="24"/>
          <w:lang w:val="zh-TW" w:eastAsia="zh-TW" w:bidi="zh-TW"/>
        </w:rPr>
        <w:t>万元，属于</w:t>
      </w:r>
      <w:r>
        <w:rPr>
          <w:rFonts w:ascii="宋体" w:hAnsi="宋体" w:cs="宋体"/>
          <w:color w:val="auto"/>
          <w:sz w:val="24"/>
          <w:u w:val="single"/>
          <w:lang w:val="zh-TW" w:eastAsia="zh-TW" w:bidi="zh-TW"/>
        </w:rPr>
        <w:t>（中型企业、小型企业、微型企业）</w:t>
      </w:r>
      <w:r>
        <w:rPr>
          <w:rFonts w:hint="eastAsia" w:ascii="宋体" w:hAnsi="宋体" w:cs="宋体"/>
          <w:color w:val="auto"/>
          <w:sz w:val="24"/>
          <w:lang w:val="zh-TW" w:bidi="zh-TW"/>
        </w:rPr>
        <w:t>；</w:t>
      </w:r>
    </w:p>
    <w:p w14:paraId="734AB4CB">
      <w:pPr>
        <w:pStyle w:val="31"/>
        <w:rPr>
          <w:rFonts w:eastAsia="PMingLiU"/>
          <w:color w:val="auto"/>
          <w:lang w:val="zh-TW" w:bidi="zh-TW"/>
        </w:rPr>
      </w:pPr>
      <w:r>
        <w:rPr>
          <w:rFonts w:hint="eastAsia"/>
          <w:color w:val="auto"/>
        </w:rPr>
        <w:t>……</w:t>
      </w:r>
    </w:p>
    <w:p w14:paraId="60CFD34E">
      <w:pPr>
        <w:spacing w:line="360" w:lineRule="auto"/>
        <w:ind w:firstLine="480" w:firstLineChars="200"/>
        <w:rPr>
          <w:rFonts w:ascii="宋体" w:hAnsi="宋体" w:cs="宋体"/>
          <w:color w:val="auto"/>
          <w:sz w:val="24"/>
          <w:lang w:val="zh-TW" w:eastAsia="zh-TW" w:bidi="zh-TW"/>
        </w:rPr>
      </w:pPr>
      <w:r>
        <w:rPr>
          <w:rFonts w:ascii="宋体" w:hAnsi="宋体" w:cs="宋体"/>
          <w:color w:val="auto"/>
          <w:sz w:val="24"/>
          <w:lang w:val="zh-TW" w:eastAsia="zh-TW" w:bidi="zh-TW"/>
        </w:rPr>
        <w:t>以上企业，不属于大企业的分支机构，不存在控股股东为大企业的情形，也不存在与大企业的负责人为同一人的情形。</w:t>
      </w:r>
    </w:p>
    <w:p w14:paraId="434B4CEF">
      <w:pPr>
        <w:spacing w:line="360" w:lineRule="auto"/>
        <w:ind w:firstLine="480" w:firstLineChars="200"/>
        <w:rPr>
          <w:rFonts w:ascii="宋体" w:hAnsi="宋体" w:cs="仿宋"/>
          <w:color w:val="auto"/>
          <w:spacing w:val="6"/>
          <w:sz w:val="24"/>
        </w:rPr>
      </w:pPr>
      <w:r>
        <w:rPr>
          <w:color w:val="auto"/>
          <w:sz w:val="24"/>
        </w:rPr>
        <w:t>本企业对上述声明内容的真实性负责。如有虚假，将依法承担相应责任。</w:t>
      </w:r>
    </w:p>
    <w:p w14:paraId="4304D2AE">
      <w:pPr>
        <w:widowControl/>
        <w:spacing w:line="300" w:lineRule="auto"/>
        <w:jc w:val="left"/>
        <w:rPr>
          <w:rFonts w:ascii="宋体" w:hAnsi="宋体" w:cs="仿宋"/>
          <w:color w:val="auto"/>
          <w:kern w:val="0"/>
          <w:sz w:val="24"/>
        </w:rPr>
      </w:pPr>
    </w:p>
    <w:p w14:paraId="56EDC051">
      <w:pPr>
        <w:widowControl/>
        <w:spacing w:line="300" w:lineRule="auto"/>
        <w:jc w:val="left"/>
        <w:rPr>
          <w:rFonts w:ascii="宋体" w:hAnsi="宋体" w:cs="仿宋"/>
          <w:color w:val="auto"/>
          <w:kern w:val="0"/>
          <w:sz w:val="24"/>
        </w:rPr>
      </w:pPr>
    </w:p>
    <w:p w14:paraId="3F3B2DDE">
      <w:pPr>
        <w:shd w:val="clear" w:color="auto" w:fill="FFFFFF"/>
        <w:spacing w:line="480" w:lineRule="auto"/>
        <w:ind w:right="1440"/>
        <w:jc w:val="right"/>
        <w:rPr>
          <w:rFonts w:ascii="宋体" w:hAnsi="宋体"/>
          <w:color w:val="auto"/>
          <w:sz w:val="24"/>
        </w:rPr>
      </w:pPr>
      <w:r>
        <w:rPr>
          <w:rFonts w:hint="eastAsia" w:ascii="宋体" w:hAnsi="宋体"/>
          <w:color w:val="auto"/>
          <w:sz w:val="24"/>
        </w:rPr>
        <w:t>企业名称（</w:t>
      </w:r>
      <w:r>
        <w:rPr>
          <w:rFonts w:hint="eastAsia" w:ascii="宋体" w:hAnsi="宋体"/>
          <w:color w:val="auto"/>
          <w:sz w:val="24"/>
          <w:lang w:val="en-US" w:eastAsia="zh-CN"/>
        </w:rPr>
        <w:t>盖</w:t>
      </w:r>
      <w:r>
        <w:rPr>
          <w:rFonts w:hint="eastAsia" w:ascii="宋体" w:hAnsi="宋体"/>
          <w:color w:val="auto"/>
          <w:sz w:val="24"/>
        </w:rPr>
        <w:t>章）：</w:t>
      </w:r>
    </w:p>
    <w:p w14:paraId="6C0C4526">
      <w:pPr>
        <w:shd w:val="clear" w:color="auto" w:fill="FFFFFF"/>
        <w:spacing w:line="480" w:lineRule="auto"/>
        <w:ind w:right="960"/>
        <w:jc w:val="center"/>
        <w:rPr>
          <w:rFonts w:hint="eastAsia" w:ascii="宋体" w:hAnsi="宋体" w:eastAsia="宋体" w:cs="宋体"/>
          <w:bCs/>
          <w:color w:val="auto"/>
          <w:sz w:val="24"/>
          <w:highlight w:val="none"/>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日 </w:t>
      </w:r>
      <w:r>
        <w:rPr>
          <w:rFonts w:ascii="宋体" w:hAnsi="宋体"/>
          <w:color w:val="auto"/>
          <w:sz w:val="24"/>
        </w:rPr>
        <w:t xml:space="preserve">  </w:t>
      </w:r>
      <w:r>
        <w:rPr>
          <w:rFonts w:hint="eastAsia" w:ascii="宋体" w:hAnsi="宋体"/>
          <w:color w:val="auto"/>
          <w:sz w:val="24"/>
        </w:rPr>
        <w:t xml:space="preserve">期： </w:t>
      </w:r>
    </w:p>
    <w:p w14:paraId="4EBD76F9">
      <w:pPr>
        <w:tabs>
          <w:tab w:val="left" w:pos="3261"/>
        </w:tabs>
        <w:spacing w:line="360" w:lineRule="auto"/>
        <w:ind w:right="566"/>
        <w:rPr>
          <w:rFonts w:hint="eastAsia" w:ascii="宋体" w:hAnsi="宋体" w:eastAsia="宋体" w:cs="宋体"/>
          <w:bCs/>
          <w:color w:val="auto"/>
          <w:sz w:val="24"/>
          <w:highlight w:val="none"/>
        </w:rPr>
      </w:pPr>
    </w:p>
    <w:p w14:paraId="2A334DE2">
      <w:pPr>
        <w:tabs>
          <w:tab w:val="left" w:pos="3261"/>
        </w:tabs>
        <w:spacing w:line="360" w:lineRule="auto"/>
        <w:ind w:right="56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p w14:paraId="0F0EC72A">
      <w:pPr>
        <w:keepNext w:val="0"/>
        <w:keepLines w:val="0"/>
        <w:pageBreakBefore w:val="0"/>
        <w:widowControl w:val="0"/>
        <w:numPr>
          <w:ilvl w:val="0"/>
          <w:numId w:val="4"/>
        </w:numPr>
        <w:tabs>
          <w:tab w:val="left" w:pos="3261"/>
        </w:tabs>
        <w:kinsoku/>
        <w:wordWrap/>
        <w:overflowPunct/>
        <w:topLinePunct w:val="0"/>
        <w:autoSpaceDE/>
        <w:autoSpaceDN/>
        <w:bidi w:val="0"/>
        <w:adjustRightInd/>
        <w:snapToGrid/>
        <w:spacing w:line="400" w:lineRule="exact"/>
        <w:ind w:right="114" w:rightChars="0" w:firstLine="505"/>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从业人员、营业收入、资产总额填报上一年度数据，无上一年度数据的新成立企业可不填报。</w:t>
      </w:r>
    </w:p>
    <w:p w14:paraId="6DE8802B">
      <w:pPr>
        <w:keepNext w:val="0"/>
        <w:keepLines w:val="0"/>
        <w:pageBreakBefore w:val="0"/>
        <w:widowControl w:val="0"/>
        <w:numPr>
          <w:ilvl w:val="0"/>
          <w:numId w:val="4"/>
        </w:numPr>
        <w:tabs>
          <w:tab w:val="left" w:pos="3261"/>
        </w:tabs>
        <w:kinsoku/>
        <w:wordWrap/>
        <w:overflowPunct/>
        <w:topLinePunct w:val="0"/>
        <w:autoSpaceDE/>
        <w:autoSpaceDN/>
        <w:bidi w:val="0"/>
        <w:adjustRightInd/>
        <w:snapToGrid/>
        <w:spacing w:line="400" w:lineRule="exact"/>
        <w:ind w:right="114" w:rightChars="0" w:firstLine="505"/>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投标人应依据本公司（或单位）的财务报表、社保缴纳情况或劳动合同或工资支付记录等证明材料真实填写此表。</w:t>
      </w:r>
    </w:p>
    <w:p w14:paraId="1DB9EC55">
      <w:pPr>
        <w:keepNext w:val="0"/>
        <w:keepLines w:val="0"/>
        <w:pageBreakBefore w:val="0"/>
        <w:widowControl w:val="0"/>
        <w:numPr>
          <w:ilvl w:val="0"/>
          <w:numId w:val="4"/>
        </w:numPr>
        <w:tabs>
          <w:tab w:val="left" w:pos="3261"/>
        </w:tabs>
        <w:kinsoku/>
        <w:wordWrap/>
        <w:overflowPunct/>
        <w:topLinePunct w:val="0"/>
        <w:autoSpaceDE/>
        <w:autoSpaceDN/>
        <w:bidi w:val="0"/>
        <w:adjustRightInd/>
        <w:snapToGrid/>
        <w:spacing w:line="400" w:lineRule="exact"/>
        <w:ind w:left="0" w:leftChars="0" w:right="114" w:rightChars="0" w:firstLine="505" w:firstLineChars="0"/>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投标人应对承诺内容的真实性负责，如内容填写虚假，采购人有权扣除投标人缴纳的投标保证金（若缴纳）并承担给采购人及代理机构造成的一切损失。</w:t>
      </w:r>
    </w:p>
    <w:p w14:paraId="7DC31F7C">
      <w:pPr>
        <w:keepNext w:val="0"/>
        <w:keepLines w:val="0"/>
        <w:pageBreakBefore w:val="0"/>
        <w:widowControl w:val="0"/>
        <w:numPr>
          <w:ilvl w:val="0"/>
          <w:numId w:val="4"/>
        </w:numPr>
        <w:tabs>
          <w:tab w:val="left" w:pos="3261"/>
        </w:tabs>
        <w:kinsoku/>
        <w:wordWrap/>
        <w:overflowPunct/>
        <w:topLinePunct w:val="0"/>
        <w:autoSpaceDE/>
        <w:autoSpaceDN/>
        <w:bidi w:val="0"/>
        <w:adjustRightInd/>
        <w:snapToGrid/>
        <w:spacing w:line="400" w:lineRule="exact"/>
        <w:ind w:right="114" w:rightChars="0" w:firstLine="505"/>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投标人如未提供此声明函的，则投标人不能享受招标文件规定的价格扣除，但不影响投标人投标文件的有效性。</w:t>
      </w:r>
    </w:p>
    <w:p w14:paraId="1008016E">
      <w:pPr>
        <w:rPr>
          <w:color w:val="auto"/>
        </w:rPr>
      </w:pPr>
      <w:r>
        <w:rPr>
          <w:color w:val="auto"/>
        </w:rPr>
        <w:br w:type="page"/>
      </w:r>
    </w:p>
    <w:p w14:paraId="56EFBEB2">
      <w:pPr>
        <w:widowControl/>
        <w:spacing w:line="600" w:lineRule="exact"/>
        <w:jc w:val="left"/>
        <w:rPr>
          <w:rFonts w:ascii="黑体" w:hAnsi="黑体" w:eastAsia="黑体" w:cs="宋体"/>
          <w:color w:val="auto"/>
          <w:kern w:val="0"/>
          <w:sz w:val="32"/>
          <w:szCs w:val="32"/>
        </w:rPr>
      </w:pPr>
      <w:r>
        <w:rPr>
          <w:rFonts w:hint="eastAsia" w:ascii="黑体" w:hAnsi="黑体" w:eastAsia="黑体" w:cs="宋体"/>
          <w:color w:val="auto"/>
          <w:kern w:val="0"/>
          <w:sz w:val="32"/>
          <w:szCs w:val="32"/>
        </w:rPr>
        <w:t>附表</w:t>
      </w:r>
    </w:p>
    <w:p w14:paraId="3A899138">
      <w:pPr>
        <w:widowControl/>
        <w:spacing w:line="330" w:lineRule="atLeast"/>
        <w:jc w:val="center"/>
        <w:rPr>
          <w:rFonts w:ascii="方正小标宋_GBK" w:hAnsi="宋体" w:eastAsia="方正小标宋_GBK" w:cs="宋体"/>
          <w:color w:val="auto"/>
          <w:kern w:val="0"/>
          <w:sz w:val="36"/>
          <w:szCs w:val="32"/>
        </w:rPr>
      </w:pPr>
      <w:r>
        <w:rPr>
          <w:rFonts w:hint="eastAsia" w:ascii="方正小标宋_GBK" w:hAnsi="宋体" w:eastAsia="方正小标宋_GBK" w:cs="宋体"/>
          <w:color w:val="auto"/>
          <w:kern w:val="0"/>
          <w:sz w:val="36"/>
          <w:szCs w:val="32"/>
        </w:rPr>
        <w:t>统计上大中小微型企业划分标准</w:t>
      </w:r>
    </w:p>
    <w:tbl>
      <w:tblPr>
        <w:tblStyle w:val="32"/>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369"/>
        <w:gridCol w:w="709"/>
        <w:gridCol w:w="1125"/>
        <w:gridCol w:w="1701"/>
        <w:gridCol w:w="1426"/>
        <w:gridCol w:w="992"/>
      </w:tblGrid>
      <w:tr w14:paraId="67805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1838" w:type="dxa"/>
            <w:vAlign w:val="center"/>
          </w:tcPr>
          <w:p w14:paraId="0EFC5E20">
            <w:pPr>
              <w:widowControl/>
              <w:spacing w:line="240" w:lineRule="exact"/>
              <w:jc w:val="center"/>
              <w:rPr>
                <w:rFonts w:ascii="宋体" w:hAnsi="宋体" w:cs="宋体"/>
                <w:b/>
                <w:bCs/>
                <w:color w:val="auto"/>
                <w:kern w:val="0"/>
                <w:sz w:val="18"/>
                <w:szCs w:val="21"/>
              </w:rPr>
            </w:pPr>
            <w:r>
              <w:rPr>
                <w:rFonts w:hint="eastAsia" w:ascii="宋体" w:hAnsi="宋体" w:cs="宋体"/>
                <w:b/>
                <w:bCs/>
                <w:color w:val="auto"/>
                <w:kern w:val="0"/>
                <w:sz w:val="18"/>
                <w:szCs w:val="21"/>
              </w:rPr>
              <w:t>行业名称</w:t>
            </w:r>
          </w:p>
        </w:tc>
        <w:tc>
          <w:tcPr>
            <w:tcW w:w="1369" w:type="dxa"/>
            <w:vAlign w:val="center"/>
          </w:tcPr>
          <w:p w14:paraId="77E50B38">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指标名称</w:t>
            </w:r>
          </w:p>
        </w:tc>
        <w:tc>
          <w:tcPr>
            <w:tcW w:w="709" w:type="dxa"/>
            <w:vAlign w:val="center"/>
          </w:tcPr>
          <w:p w14:paraId="2F980C7F">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计量</w:t>
            </w:r>
          </w:p>
          <w:p w14:paraId="4B75A4DD">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单位</w:t>
            </w:r>
          </w:p>
        </w:tc>
        <w:tc>
          <w:tcPr>
            <w:tcW w:w="1125" w:type="dxa"/>
            <w:vAlign w:val="center"/>
          </w:tcPr>
          <w:p w14:paraId="2CFFC313">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大型</w:t>
            </w:r>
          </w:p>
        </w:tc>
        <w:tc>
          <w:tcPr>
            <w:tcW w:w="1701" w:type="dxa"/>
            <w:vAlign w:val="center"/>
          </w:tcPr>
          <w:p w14:paraId="2485F374">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中型</w:t>
            </w:r>
          </w:p>
        </w:tc>
        <w:tc>
          <w:tcPr>
            <w:tcW w:w="1426" w:type="dxa"/>
            <w:vAlign w:val="center"/>
          </w:tcPr>
          <w:p w14:paraId="517BBA42">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小型</w:t>
            </w:r>
          </w:p>
        </w:tc>
        <w:tc>
          <w:tcPr>
            <w:tcW w:w="992" w:type="dxa"/>
            <w:vAlign w:val="center"/>
          </w:tcPr>
          <w:p w14:paraId="06F538F5">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微型</w:t>
            </w:r>
          </w:p>
        </w:tc>
      </w:tr>
      <w:tr w14:paraId="7654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1838" w:type="dxa"/>
            <w:vAlign w:val="center"/>
          </w:tcPr>
          <w:p w14:paraId="54230689">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农、林、牧、渔业</w:t>
            </w:r>
          </w:p>
        </w:tc>
        <w:tc>
          <w:tcPr>
            <w:tcW w:w="1369" w:type="dxa"/>
            <w:vAlign w:val="center"/>
          </w:tcPr>
          <w:p w14:paraId="08194634">
            <w:pPr>
              <w:widowControl/>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0EC9F3C7">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0D648340">
            <w:pPr>
              <w:widowControl/>
              <w:jc w:val="center"/>
              <w:rPr>
                <w:rFonts w:ascii="宋体" w:hAnsi="宋体" w:cs="宋体"/>
                <w:color w:val="auto"/>
                <w:kern w:val="0"/>
                <w:sz w:val="18"/>
                <w:szCs w:val="18"/>
              </w:rPr>
            </w:pPr>
            <w:r>
              <w:rPr>
                <w:rFonts w:hint="eastAsia" w:ascii="宋体" w:hAnsi="宋体" w:cs="宋体"/>
                <w:color w:val="auto"/>
                <w:kern w:val="0"/>
                <w:sz w:val="18"/>
                <w:szCs w:val="18"/>
              </w:rPr>
              <w:t>Y≥20000</w:t>
            </w:r>
          </w:p>
        </w:tc>
        <w:tc>
          <w:tcPr>
            <w:tcW w:w="1701" w:type="dxa"/>
            <w:vAlign w:val="center"/>
          </w:tcPr>
          <w:p w14:paraId="438FA125">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500≤Y＜20000</w:t>
            </w:r>
          </w:p>
        </w:tc>
        <w:tc>
          <w:tcPr>
            <w:tcW w:w="1426" w:type="dxa"/>
            <w:vAlign w:val="center"/>
          </w:tcPr>
          <w:p w14:paraId="245EF37A">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50≤Y＜500</w:t>
            </w:r>
          </w:p>
        </w:tc>
        <w:tc>
          <w:tcPr>
            <w:tcW w:w="992" w:type="dxa"/>
            <w:vAlign w:val="center"/>
          </w:tcPr>
          <w:p w14:paraId="0EA6EB3E">
            <w:pPr>
              <w:widowControl/>
              <w:jc w:val="center"/>
              <w:rPr>
                <w:rFonts w:ascii="宋体" w:hAnsi="宋体" w:cs="宋体"/>
                <w:color w:val="auto"/>
                <w:kern w:val="0"/>
                <w:sz w:val="18"/>
                <w:szCs w:val="18"/>
              </w:rPr>
            </w:pPr>
            <w:r>
              <w:rPr>
                <w:rFonts w:hint="eastAsia" w:ascii="宋体" w:hAnsi="宋体" w:cs="宋体"/>
                <w:color w:val="auto"/>
                <w:kern w:val="0"/>
                <w:sz w:val="18"/>
                <w:szCs w:val="18"/>
              </w:rPr>
              <w:t>Y＜50</w:t>
            </w:r>
          </w:p>
        </w:tc>
      </w:tr>
      <w:tr w14:paraId="16862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7CA6115C">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工业 *</w:t>
            </w:r>
          </w:p>
        </w:tc>
        <w:tc>
          <w:tcPr>
            <w:tcW w:w="1369" w:type="dxa"/>
            <w:vAlign w:val="center"/>
          </w:tcPr>
          <w:p w14:paraId="6DC1CA53">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307277AF">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793788F2">
            <w:pPr>
              <w:widowControl/>
              <w:jc w:val="center"/>
              <w:rPr>
                <w:rFonts w:ascii="宋体" w:hAnsi="宋体" w:cs="宋体"/>
                <w:color w:val="auto"/>
                <w:kern w:val="0"/>
                <w:sz w:val="18"/>
                <w:szCs w:val="18"/>
              </w:rPr>
            </w:pPr>
            <w:r>
              <w:rPr>
                <w:rFonts w:hint="eastAsia" w:ascii="宋体" w:hAnsi="宋体" w:cs="宋体"/>
                <w:color w:val="auto"/>
                <w:kern w:val="0"/>
                <w:sz w:val="18"/>
                <w:szCs w:val="18"/>
              </w:rPr>
              <w:t>X≥1000</w:t>
            </w:r>
          </w:p>
        </w:tc>
        <w:tc>
          <w:tcPr>
            <w:tcW w:w="1701" w:type="dxa"/>
            <w:vAlign w:val="center"/>
          </w:tcPr>
          <w:p w14:paraId="659606F4">
            <w:pPr>
              <w:widowControl/>
              <w:jc w:val="center"/>
              <w:rPr>
                <w:rFonts w:ascii="宋体" w:hAnsi="宋体" w:cs="宋体"/>
                <w:color w:val="auto"/>
                <w:kern w:val="0"/>
                <w:sz w:val="18"/>
                <w:szCs w:val="18"/>
              </w:rPr>
            </w:pPr>
            <w:r>
              <w:rPr>
                <w:rFonts w:hint="eastAsia" w:ascii="宋体" w:hAnsi="宋体" w:cs="宋体"/>
                <w:color w:val="auto"/>
                <w:kern w:val="0"/>
                <w:sz w:val="18"/>
                <w:szCs w:val="18"/>
              </w:rPr>
              <w:t>300≤X＜1000</w:t>
            </w:r>
          </w:p>
        </w:tc>
        <w:tc>
          <w:tcPr>
            <w:tcW w:w="1426" w:type="dxa"/>
            <w:vAlign w:val="center"/>
          </w:tcPr>
          <w:p w14:paraId="38112961">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20≤X＜300</w:t>
            </w:r>
          </w:p>
        </w:tc>
        <w:tc>
          <w:tcPr>
            <w:tcW w:w="992" w:type="dxa"/>
            <w:vAlign w:val="center"/>
          </w:tcPr>
          <w:p w14:paraId="37146F24">
            <w:pPr>
              <w:widowControl/>
              <w:jc w:val="center"/>
              <w:rPr>
                <w:rFonts w:ascii="宋体" w:hAnsi="宋体" w:cs="宋体"/>
                <w:color w:val="auto"/>
                <w:kern w:val="0"/>
                <w:sz w:val="18"/>
                <w:szCs w:val="18"/>
              </w:rPr>
            </w:pPr>
            <w:r>
              <w:rPr>
                <w:rFonts w:hint="eastAsia" w:ascii="宋体" w:hAnsi="宋体" w:cs="宋体"/>
                <w:color w:val="auto"/>
                <w:kern w:val="0"/>
                <w:sz w:val="18"/>
                <w:szCs w:val="18"/>
              </w:rPr>
              <w:t>X＜20</w:t>
            </w:r>
          </w:p>
        </w:tc>
      </w:tr>
      <w:tr w14:paraId="3A8C4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6C0567F0">
            <w:pPr>
              <w:widowControl/>
              <w:jc w:val="left"/>
              <w:rPr>
                <w:rFonts w:ascii="宋体" w:hAnsi="宋体" w:cs="宋体"/>
                <w:color w:val="auto"/>
                <w:kern w:val="0"/>
                <w:sz w:val="18"/>
                <w:szCs w:val="18"/>
              </w:rPr>
            </w:pPr>
          </w:p>
        </w:tc>
        <w:tc>
          <w:tcPr>
            <w:tcW w:w="1369" w:type="dxa"/>
            <w:vAlign w:val="center"/>
          </w:tcPr>
          <w:p w14:paraId="6213A21A">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42905028">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61BD9C6A">
            <w:pPr>
              <w:widowControl/>
              <w:jc w:val="center"/>
              <w:rPr>
                <w:rFonts w:ascii="宋体" w:hAnsi="宋体" w:cs="宋体"/>
                <w:color w:val="auto"/>
                <w:kern w:val="0"/>
                <w:sz w:val="18"/>
                <w:szCs w:val="18"/>
              </w:rPr>
            </w:pPr>
            <w:r>
              <w:rPr>
                <w:rFonts w:hint="eastAsia" w:ascii="宋体" w:hAnsi="宋体" w:cs="宋体"/>
                <w:color w:val="auto"/>
                <w:kern w:val="0"/>
                <w:sz w:val="18"/>
                <w:szCs w:val="18"/>
              </w:rPr>
              <w:t>Y≥40000</w:t>
            </w:r>
          </w:p>
        </w:tc>
        <w:tc>
          <w:tcPr>
            <w:tcW w:w="1701" w:type="dxa"/>
            <w:vAlign w:val="center"/>
          </w:tcPr>
          <w:p w14:paraId="2E14319E">
            <w:pPr>
              <w:widowControl/>
              <w:jc w:val="center"/>
              <w:rPr>
                <w:rFonts w:ascii="宋体" w:hAnsi="宋体" w:cs="宋体"/>
                <w:color w:val="auto"/>
                <w:kern w:val="0"/>
                <w:sz w:val="18"/>
                <w:szCs w:val="18"/>
              </w:rPr>
            </w:pPr>
            <w:r>
              <w:rPr>
                <w:rFonts w:hint="eastAsia" w:ascii="宋体" w:hAnsi="宋体" w:cs="宋体"/>
                <w:color w:val="auto"/>
                <w:kern w:val="0"/>
                <w:sz w:val="18"/>
                <w:szCs w:val="18"/>
              </w:rPr>
              <w:t>2000≤Y＜40000</w:t>
            </w:r>
          </w:p>
        </w:tc>
        <w:tc>
          <w:tcPr>
            <w:tcW w:w="1426" w:type="dxa"/>
            <w:vAlign w:val="center"/>
          </w:tcPr>
          <w:p w14:paraId="0972C380">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300≤Y＜2000</w:t>
            </w:r>
          </w:p>
        </w:tc>
        <w:tc>
          <w:tcPr>
            <w:tcW w:w="992" w:type="dxa"/>
            <w:vAlign w:val="center"/>
          </w:tcPr>
          <w:p w14:paraId="733CF383">
            <w:pPr>
              <w:widowControl/>
              <w:jc w:val="center"/>
              <w:rPr>
                <w:rFonts w:ascii="宋体" w:hAnsi="宋体" w:cs="宋体"/>
                <w:color w:val="auto"/>
                <w:kern w:val="0"/>
                <w:sz w:val="18"/>
                <w:szCs w:val="18"/>
              </w:rPr>
            </w:pPr>
            <w:r>
              <w:rPr>
                <w:rFonts w:hint="eastAsia" w:ascii="宋体" w:hAnsi="宋体" w:cs="宋体"/>
                <w:color w:val="auto"/>
                <w:kern w:val="0"/>
                <w:sz w:val="18"/>
                <w:szCs w:val="18"/>
              </w:rPr>
              <w:t>Y＜300</w:t>
            </w:r>
          </w:p>
        </w:tc>
      </w:tr>
      <w:tr w14:paraId="6C1E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27D2B840">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建筑业</w:t>
            </w:r>
          </w:p>
        </w:tc>
        <w:tc>
          <w:tcPr>
            <w:tcW w:w="1369" w:type="dxa"/>
            <w:vAlign w:val="center"/>
          </w:tcPr>
          <w:p w14:paraId="3CCDA86D">
            <w:pPr>
              <w:widowControl/>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6778B22C">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1BD776F6">
            <w:pPr>
              <w:widowControl/>
              <w:jc w:val="center"/>
              <w:rPr>
                <w:rFonts w:ascii="宋体" w:hAnsi="宋体" w:cs="宋体"/>
                <w:color w:val="auto"/>
                <w:kern w:val="0"/>
                <w:sz w:val="18"/>
                <w:szCs w:val="18"/>
              </w:rPr>
            </w:pPr>
            <w:r>
              <w:rPr>
                <w:rFonts w:hint="eastAsia" w:ascii="宋体" w:hAnsi="宋体" w:cs="宋体"/>
                <w:color w:val="auto"/>
                <w:kern w:val="0"/>
                <w:sz w:val="18"/>
                <w:szCs w:val="18"/>
              </w:rPr>
              <w:t>Y≥80000</w:t>
            </w:r>
          </w:p>
        </w:tc>
        <w:tc>
          <w:tcPr>
            <w:tcW w:w="1701" w:type="dxa"/>
            <w:vAlign w:val="center"/>
          </w:tcPr>
          <w:p w14:paraId="071F8145">
            <w:pPr>
              <w:widowControl/>
              <w:jc w:val="center"/>
              <w:rPr>
                <w:rFonts w:ascii="宋体" w:hAnsi="宋体" w:cs="宋体"/>
                <w:color w:val="auto"/>
                <w:kern w:val="0"/>
                <w:sz w:val="18"/>
                <w:szCs w:val="18"/>
              </w:rPr>
            </w:pPr>
            <w:r>
              <w:rPr>
                <w:rFonts w:hint="eastAsia" w:ascii="宋体" w:hAnsi="宋体" w:cs="宋体"/>
                <w:color w:val="auto"/>
                <w:kern w:val="0"/>
                <w:sz w:val="18"/>
                <w:szCs w:val="18"/>
              </w:rPr>
              <w:t>6000≤Y＜80000</w:t>
            </w:r>
          </w:p>
        </w:tc>
        <w:tc>
          <w:tcPr>
            <w:tcW w:w="1426" w:type="dxa"/>
            <w:vAlign w:val="center"/>
          </w:tcPr>
          <w:p w14:paraId="14B65E20">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300≤Y＜6000</w:t>
            </w:r>
          </w:p>
        </w:tc>
        <w:tc>
          <w:tcPr>
            <w:tcW w:w="992" w:type="dxa"/>
            <w:vAlign w:val="center"/>
          </w:tcPr>
          <w:p w14:paraId="18C1D00D">
            <w:pPr>
              <w:widowControl/>
              <w:jc w:val="center"/>
              <w:rPr>
                <w:rFonts w:ascii="宋体" w:hAnsi="宋体" w:cs="宋体"/>
                <w:color w:val="auto"/>
                <w:kern w:val="0"/>
                <w:sz w:val="18"/>
                <w:szCs w:val="18"/>
              </w:rPr>
            </w:pPr>
            <w:r>
              <w:rPr>
                <w:rFonts w:hint="eastAsia" w:ascii="宋体" w:hAnsi="宋体" w:cs="宋体"/>
                <w:color w:val="auto"/>
                <w:kern w:val="0"/>
                <w:sz w:val="18"/>
                <w:szCs w:val="18"/>
              </w:rPr>
              <w:t>Y＜300</w:t>
            </w:r>
          </w:p>
        </w:tc>
      </w:tr>
      <w:tr w14:paraId="6135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28B488C0">
            <w:pPr>
              <w:widowControl/>
              <w:jc w:val="left"/>
              <w:rPr>
                <w:rFonts w:ascii="宋体" w:hAnsi="宋体" w:cs="宋体"/>
                <w:color w:val="auto"/>
                <w:kern w:val="0"/>
                <w:sz w:val="18"/>
                <w:szCs w:val="18"/>
              </w:rPr>
            </w:pPr>
          </w:p>
        </w:tc>
        <w:tc>
          <w:tcPr>
            <w:tcW w:w="1369" w:type="dxa"/>
            <w:vAlign w:val="center"/>
          </w:tcPr>
          <w:p w14:paraId="5E7F47D3">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资产总额</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Z</w:t>
            </w:r>
            <w:r>
              <w:rPr>
                <w:rFonts w:hint="eastAsia" w:ascii="宋体" w:hAnsi="宋体" w:cs="宋体"/>
                <w:color w:val="auto"/>
                <w:kern w:val="0"/>
                <w:sz w:val="18"/>
                <w:szCs w:val="18"/>
                <w:lang w:eastAsia="zh-CN"/>
              </w:rPr>
              <w:t>）</w:t>
            </w:r>
          </w:p>
        </w:tc>
        <w:tc>
          <w:tcPr>
            <w:tcW w:w="709" w:type="dxa"/>
            <w:vAlign w:val="center"/>
          </w:tcPr>
          <w:p w14:paraId="6B221B5F">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0B8C2EFD">
            <w:pPr>
              <w:widowControl/>
              <w:jc w:val="center"/>
              <w:rPr>
                <w:rFonts w:ascii="宋体" w:hAnsi="宋体" w:cs="宋体"/>
                <w:color w:val="auto"/>
                <w:kern w:val="0"/>
                <w:sz w:val="18"/>
                <w:szCs w:val="18"/>
              </w:rPr>
            </w:pPr>
            <w:r>
              <w:rPr>
                <w:rFonts w:hint="eastAsia" w:ascii="宋体" w:hAnsi="宋体" w:cs="宋体"/>
                <w:color w:val="auto"/>
                <w:kern w:val="0"/>
                <w:sz w:val="18"/>
                <w:szCs w:val="18"/>
              </w:rPr>
              <w:t>Z≥80000</w:t>
            </w:r>
          </w:p>
        </w:tc>
        <w:tc>
          <w:tcPr>
            <w:tcW w:w="1701" w:type="dxa"/>
            <w:vAlign w:val="center"/>
          </w:tcPr>
          <w:p w14:paraId="76E99C96">
            <w:pPr>
              <w:widowControl/>
              <w:jc w:val="center"/>
              <w:rPr>
                <w:rFonts w:ascii="宋体" w:hAnsi="宋体" w:cs="宋体"/>
                <w:color w:val="auto"/>
                <w:kern w:val="0"/>
                <w:sz w:val="18"/>
                <w:szCs w:val="18"/>
              </w:rPr>
            </w:pPr>
            <w:r>
              <w:rPr>
                <w:rFonts w:hint="eastAsia" w:ascii="宋体" w:hAnsi="宋体" w:cs="宋体"/>
                <w:color w:val="auto"/>
                <w:kern w:val="0"/>
                <w:sz w:val="18"/>
                <w:szCs w:val="18"/>
              </w:rPr>
              <w:t>5000≤Z＜80000</w:t>
            </w:r>
          </w:p>
        </w:tc>
        <w:tc>
          <w:tcPr>
            <w:tcW w:w="1426" w:type="dxa"/>
            <w:vAlign w:val="center"/>
          </w:tcPr>
          <w:p w14:paraId="6600F581">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300≤Z＜5000</w:t>
            </w:r>
          </w:p>
        </w:tc>
        <w:tc>
          <w:tcPr>
            <w:tcW w:w="992" w:type="dxa"/>
            <w:vAlign w:val="center"/>
          </w:tcPr>
          <w:p w14:paraId="733EDB3E">
            <w:pPr>
              <w:widowControl/>
              <w:jc w:val="center"/>
              <w:rPr>
                <w:rFonts w:ascii="宋体" w:hAnsi="宋体" w:cs="宋体"/>
                <w:color w:val="auto"/>
                <w:kern w:val="0"/>
                <w:sz w:val="18"/>
                <w:szCs w:val="18"/>
              </w:rPr>
            </w:pPr>
            <w:r>
              <w:rPr>
                <w:rFonts w:hint="eastAsia" w:ascii="宋体" w:hAnsi="宋体" w:cs="宋体"/>
                <w:color w:val="auto"/>
                <w:kern w:val="0"/>
                <w:sz w:val="18"/>
                <w:szCs w:val="18"/>
              </w:rPr>
              <w:t>Z＜300</w:t>
            </w:r>
          </w:p>
        </w:tc>
      </w:tr>
      <w:tr w14:paraId="37C8D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6A5F21CF">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批发业</w:t>
            </w:r>
          </w:p>
        </w:tc>
        <w:tc>
          <w:tcPr>
            <w:tcW w:w="1369" w:type="dxa"/>
            <w:vAlign w:val="center"/>
          </w:tcPr>
          <w:p w14:paraId="12B21B42">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386DF685">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0F985554">
            <w:pPr>
              <w:widowControl/>
              <w:jc w:val="center"/>
              <w:rPr>
                <w:rFonts w:ascii="宋体" w:hAnsi="宋体" w:cs="宋体"/>
                <w:color w:val="auto"/>
                <w:kern w:val="0"/>
                <w:sz w:val="18"/>
                <w:szCs w:val="18"/>
              </w:rPr>
            </w:pPr>
            <w:r>
              <w:rPr>
                <w:rFonts w:hint="eastAsia" w:ascii="宋体" w:hAnsi="宋体" w:cs="宋体"/>
                <w:color w:val="auto"/>
                <w:kern w:val="0"/>
                <w:sz w:val="18"/>
                <w:szCs w:val="18"/>
              </w:rPr>
              <w:t>X≥200</w:t>
            </w:r>
          </w:p>
        </w:tc>
        <w:tc>
          <w:tcPr>
            <w:tcW w:w="1701" w:type="dxa"/>
            <w:vAlign w:val="center"/>
          </w:tcPr>
          <w:p w14:paraId="761741C6">
            <w:pPr>
              <w:widowControl/>
              <w:jc w:val="center"/>
              <w:rPr>
                <w:rFonts w:ascii="宋体" w:hAnsi="宋体" w:cs="宋体"/>
                <w:color w:val="auto"/>
                <w:kern w:val="0"/>
                <w:sz w:val="18"/>
                <w:szCs w:val="18"/>
              </w:rPr>
            </w:pPr>
            <w:r>
              <w:rPr>
                <w:rFonts w:hint="eastAsia" w:ascii="宋体" w:hAnsi="宋体" w:cs="宋体"/>
                <w:color w:val="auto"/>
                <w:kern w:val="0"/>
                <w:sz w:val="18"/>
                <w:szCs w:val="18"/>
              </w:rPr>
              <w:t>20≤X＜200</w:t>
            </w:r>
          </w:p>
        </w:tc>
        <w:tc>
          <w:tcPr>
            <w:tcW w:w="1426" w:type="dxa"/>
            <w:vAlign w:val="center"/>
          </w:tcPr>
          <w:p w14:paraId="253F38DC">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5≤X＜20</w:t>
            </w:r>
          </w:p>
        </w:tc>
        <w:tc>
          <w:tcPr>
            <w:tcW w:w="992" w:type="dxa"/>
            <w:vAlign w:val="center"/>
          </w:tcPr>
          <w:p w14:paraId="0473534C">
            <w:pPr>
              <w:widowControl/>
              <w:jc w:val="center"/>
              <w:rPr>
                <w:rFonts w:ascii="宋体" w:hAnsi="宋体" w:cs="宋体"/>
                <w:color w:val="auto"/>
                <w:kern w:val="0"/>
                <w:sz w:val="18"/>
                <w:szCs w:val="18"/>
              </w:rPr>
            </w:pPr>
            <w:r>
              <w:rPr>
                <w:rFonts w:hint="eastAsia" w:ascii="宋体" w:hAnsi="宋体" w:cs="宋体"/>
                <w:color w:val="auto"/>
                <w:kern w:val="0"/>
                <w:sz w:val="18"/>
                <w:szCs w:val="18"/>
              </w:rPr>
              <w:t>X＜5</w:t>
            </w:r>
          </w:p>
        </w:tc>
      </w:tr>
      <w:tr w14:paraId="5E096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46B435FB">
            <w:pPr>
              <w:widowControl/>
              <w:jc w:val="left"/>
              <w:rPr>
                <w:rFonts w:ascii="宋体" w:hAnsi="宋体" w:cs="宋体"/>
                <w:color w:val="auto"/>
                <w:kern w:val="0"/>
                <w:sz w:val="18"/>
                <w:szCs w:val="18"/>
              </w:rPr>
            </w:pPr>
          </w:p>
        </w:tc>
        <w:tc>
          <w:tcPr>
            <w:tcW w:w="1369" w:type="dxa"/>
            <w:vAlign w:val="center"/>
          </w:tcPr>
          <w:p w14:paraId="680EE140">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4958594A">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656B64BB">
            <w:pPr>
              <w:widowControl/>
              <w:jc w:val="center"/>
              <w:rPr>
                <w:rFonts w:ascii="宋体" w:hAnsi="宋体" w:cs="宋体"/>
                <w:color w:val="auto"/>
                <w:kern w:val="0"/>
                <w:sz w:val="18"/>
                <w:szCs w:val="18"/>
              </w:rPr>
            </w:pPr>
            <w:r>
              <w:rPr>
                <w:rFonts w:hint="eastAsia" w:ascii="宋体" w:hAnsi="宋体" w:cs="宋体"/>
                <w:color w:val="auto"/>
                <w:kern w:val="0"/>
                <w:sz w:val="18"/>
                <w:szCs w:val="18"/>
              </w:rPr>
              <w:t>Y≥40000</w:t>
            </w:r>
          </w:p>
        </w:tc>
        <w:tc>
          <w:tcPr>
            <w:tcW w:w="1701" w:type="dxa"/>
            <w:vAlign w:val="center"/>
          </w:tcPr>
          <w:p w14:paraId="3A92D82A">
            <w:pPr>
              <w:widowControl/>
              <w:jc w:val="center"/>
              <w:rPr>
                <w:rFonts w:ascii="宋体" w:hAnsi="宋体" w:cs="宋体"/>
                <w:color w:val="auto"/>
                <w:kern w:val="0"/>
                <w:sz w:val="18"/>
                <w:szCs w:val="18"/>
              </w:rPr>
            </w:pPr>
            <w:r>
              <w:rPr>
                <w:rFonts w:hint="eastAsia" w:ascii="宋体" w:hAnsi="宋体" w:cs="宋体"/>
                <w:color w:val="auto"/>
                <w:kern w:val="0"/>
                <w:sz w:val="18"/>
                <w:szCs w:val="18"/>
              </w:rPr>
              <w:t>5000≤Y＜40000</w:t>
            </w:r>
          </w:p>
        </w:tc>
        <w:tc>
          <w:tcPr>
            <w:tcW w:w="1426" w:type="dxa"/>
            <w:vAlign w:val="center"/>
          </w:tcPr>
          <w:p w14:paraId="6E048EF2">
            <w:pPr>
              <w:widowControl/>
              <w:ind w:left="-1" w:leftChars="-1" w:hanging="1"/>
              <w:jc w:val="center"/>
              <w:rPr>
                <w:rFonts w:ascii="宋体" w:hAnsi="宋体" w:cs="宋体"/>
                <w:color w:val="auto"/>
                <w:kern w:val="0"/>
                <w:sz w:val="18"/>
                <w:szCs w:val="18"/>
              </w:rPr>
            </w:pPr>
            <w:r>
              <w:rPr>
                <w:rFonts w:hint="eastAsia" w:ascii="宋体" w:hAnsi="宋体" w:cs="宋体"/>
                <w:color w:val="auto"/>
                <w:kern w:val="0"/>
                <w:sz w:val="18"/>
                <w:szCs w:val="18"/>
              </w:rPr>
              <w:t>1000≤Y＜5000</w:t>
            </w:r>
          </w:p>
        </w:tc>
        <w:tc>
          <w:tcPr>
            <w:tcW w:w="992" w:type="dxa"/>
            <w:vAlign w:val="center"/>
          </w:tcPr>
          <w:p w14:paraId="0DCA10D6">
            <w:pPr>
              <w:widowControl/>
              <w:jc w:val="center"/>
              <w:rPr>
                <w:rFonts w:ascii="宋体" w:hAnsi="宋体" w:cs="宋体"/>
                <w:color w:val="auto"/>
                <w:kern w:val="0"/>
                <w:sz w:val="18"/>
                <w:szCs w:val="18"/>
              </w:rPr>
            </w:pPr>
            <w:r>
              <w:rPr>
                <w:rFonts w:hint="eastAsia" w:ascii="宋体" w:hAnsi="宋体" w:cs="宋体"/>
                <w:color w:val="auto"/>
                <w:kern w:val="0"/>
                <w:sz w:val="18"/>
                <w:szCs w:val="18"/>
              </w:rPr>
              <w:t>Y＜1000</w:t>
            </w:r>
          </w:p>
        </w:tc>
      </w:tr>
      <w:tr w14:paraId="5BDD2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2444F469">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零售业</w:t>
            </w:r>
          </w:p>
        </w:tc>
        <w:tc>
          <w:tcPr>
            <w:tcW w:w="1369" w:type="dxa"/>
            <w:vAlign w:val="center"/>
          </w:tcPr>
          <w:p w14:paraId="3571F58F">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59B8F78E">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6C4E0FA0">
            <w:pPr>
              <w:widowControl/>
              <w:jc w:val="center"/>
              <w:rPr>
                <w:rFonts w:ascii="宋体" w:hAnsi="宋体" w:cs="宋体"/>
                <w:color w:val="auto"/>
                <w:kern w:val="0"/>
                <w:sz w:val="18"/>
                <w:szCs w:val="18"/>
              </w:rPr>
            </w:pPr>
            <w:r>
              <w:rPr>
                <w:rFonts w:hint="eastAsia" w:ascii="宋体" w:hAnsi="宋体" w:cs="宋体"/>
                <w:color w:val="auto"/>
                <w:kern w:val="0"/>
                <w:sz w:val="18"/>
                <w:szCs w:val="18"/>
              </w:rPr>
              <w:t>X≥300</w:t>
            </w:r>
          </w:p>
        </w:tc>
        <w:tc>
          <w:tcPr>
            <w:tcW w:w="1701" w:type="dxa"/>
            <w:vAlign w:val="center"/>
          </w:tcPr>
          <w:p w14:paraId="3B1E14C2">
            <w:pPr>
              <w:widowControl/>
              <w:jc w:val="center"/>
              <w:rPr>
                <w:rFonts w:ascii="宋体" w:hAnsi="宋体" w:cs="宋体"/>
                <w:color w:val="auto"/>
                <w:kern w:val="0"/>
                <w:sz w:val="18"/>
                <w:szCs w:val="18"/>
              </w:rPr>
            </w:pPr>
            <w:r>
              <w:rPr>
                <w:rFonts w:hint="eastAsia" w:ascii="宋体" w:hAnsi="宋体" w:cs="宋体"/>
                <w:color w:val="auto"/>
                <w:kern w:val="0"/>
                <w:sz w:val="18"/>
                <w:szCs w:val="18"/>
              </w:rPr>
              <w:t>50≤X＜300</w:t>
            </w:r>
          </w:p>
        </w:tc>
        <w:tc>
          <w:tcPr>
            <w:tcW w:w="1426" w:type="dxa"/>
            <w:vAlign w:val="center"/>
          </w:tcPr>
          <w:p w14:paraId="67747AA6">
            <w:pPr>
              <w:widowControl/>
              <w:ind w:left="-1" w:leftChars="-1" w:hanging="1"/>
              <w:jc w:val="center"/>
              <w:rPr>
                <w:rFonts w:ascii="宋体" w:hAnsi="宋体" w:cs="宋体"/>
                <w:color w:val="auto"/>
                <w:kern w:val="0"/>
                <w:sz w:val="18"/>
                <w:szCs w:val="18"/>
              </w:rPr>
            </w:pPr>
            <w:r>
              <w:rPr>
                <w:rFonts w:hint="eastAsia" w:ascii="宋体" w:hAnsi="宋体" w:cs="宋体"/>
                <w:color w:val="auto"/>
                <w:kern w:val="0"/>
                <w:sz w:val="18"/>
                <w:szCs w:val="18"/>
              </w:rPr>
              <w:t xml:space="preserve">10≤X＜50 </w:t>
            </w:r>
          </w:p>
        </w:tc>
        <w:tc>
          <w:tcPr>
            <w:tcW w:w="992" w:type="dxa"/>
            <w:vAlign w:val="center"/>
          </w:tcPr>
          <w:p w14:paraId="029C1C87">
            <w:pPr>
              <w:widowControl/>
              <w:jc w:val="center"/>
              <w:rPr>
                <w:rFonts w:ascii="宋体" w:hAnsi="宋体" w:cs="宋体"/>
                <w:color w:val="auto"/>
                <w:kern w:val="0"/>
                <w:sz w:val="18"/>
                <w:szCs w:val="18"/>
              </w:rPr>
            </w:pPr>
            <w:r>
              <w:rPr>
                <w:rFonts w:hint="eastAsia" w:ascii="宋体" w:hAnsi="宋体" w:cs="宋体"/>
                <w:color w:val="auto"/>
                <w:kern w:val="0"/>
                <w:sz w:val="18"/>
                <w:szCs w:val="18"/>
              </w:rPr>
              <w:t>X＜10</w:t>
            </w:r>
          </w:p>
        </w:tc>
      </w:tr>
      <w:tr w14:paraId="698EA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6A350596">
            <w:pPr>
              <w:widowControl/>
              <w:jc w:val="left"/>
              <w:rPr>
                <w:rFonts w:ascii="宋体" w:hAnsi="宋体" w:cs="宋体"/>
                <w:color w:val="auto"/>
                <w:kern w:val="0"/>
                <w:sz w:val="18"/>
                <w:szCs w:val="18"/>
              </w:rPr>
            </w:pPr>
          </w:p>
        </w:tc>
        <w:tc>
          <w:tcPr>
            <w:tcW w:w="1369" w:type="dxa"/>
            <w:vAlign w:val="center"/>
          </w:tcPr>
          <w:p w14:paraId="14E9BFDB">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61ACE91B">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12DF9382">
            <w:pPr>
              <w:widowControl/>
              <w:jc w:val="center"/>
              <w:rPr>
                <w:rFonts w:ascii="宋体" w:hAnsi="宋体" w:cs="宋体"/>
                <w:color w:val="auto"/>
                <w:kern w:val="0"/>
                <w:sz w:val="18"/>
                <w:szCs w:val="18"/>
              </w:rPr>
            </w:pPr>
            <w:r>
              <w:rPr>
                <w:rFonts w:hint="eastAsia" w:ascii="宋体" w:hAnsi="宋体" w:cs="宋体"/>
                <w:color w:val="auto"/>
                <w:kern w:val="0"/>
                <w:sz w:val="18"/>
                <w:szCs w:val="18"/>
              </w:rPr>
              <w:t>Y≥20000</w:t>
            </w:r>
          </w:p>
        </w:tc>
        <w:tc>
          <w:tcPr>
            <w:tcW w:w="1701" w:type="dxa"/>
            <w:vAlign w:val="center"/>
          </w:tcPr>
          <w:p w14:paraId="7728BC6E">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500≤Y＜20000</w:t>
            </w:r>
          </w:p>
        </w:tc>
        <w:tc>
          <w:tcPr>
            <w:tcW w:w="1426" w:type="dxa"/>
            <w:vAlign w:val="center"/>
          </w:tcPr>
          <w:p w14:paraId="05C839D7">
            <w:pPr>
              <w:widowControl/>
              <w:ind w:left="-1" w:leftChars="-1" w:hanging="1"/>
              <w:jc w:val="center"/>
              <w:rPr>
                <w:rFonts w:ascii="宋体" w:hAnsi="宋体" w:cs="宋体"/>
                <w:color w:val="auto"/>
                <w:kern w:val="0"/>
                <w:sz w:val="18"/>
                <w:szCs w:val="18"/>
              </w:rPr>
            </w:pPr>
            <w:r>
              <w:rPr>
                <w:rFonts w:hint="eastAsia" w:ascii="宋体" w:hAnsi="宋体" w:cs="宋体"/>
                <w:color w:val="auto"/>
                <w:kern w:val="0"/>
                <w:sz w:val="18"/>
                <w:szCs w:val="18"/>
              </w:rPr>
              <w:t xml:space="preserve">100≤Y＜500 </w:t>
            </w:r>
          </w:p>
        </w:tc>
        <w:tc>
          <w:tcPr>
            <w:tcW w:w="992" w:type="dxa"/>
            <w:vAlign w:val="center"/>
          </w:tcPr>
          <w:p w14:paraId="04F61089">
            <w:pPr>
              <w:widowControl/>
              <w:jc w:val="center"/>
              <w:rPr>
                <w:rFonts w:ascii="宋体" w:hAnsi="宋体" w:cs="宋体"/>
                <w:color w:val="auto"/>
                <w:kern w:val="0"/>
                <w:sz w:val="18"/>
                <w:szCs w:val="18"/>
              </w:rPr>
            </w:pPr>
            <w:r>
              <w:rPr>
                <w:rFonts w:hint="eastAsia" w:ascii="宋体" w:hAnsi="宋体" w:cs="宋体"/>
                <w:color w:val="auto"/>
                <w:kern w:val="0"/>
                <w:sz w:val="18"/>
                <w:szCs w:val="18"/>
              </w:rPr>
              <w:t>Y＜100</w:t>
            </w:r>
          </w:p>
        </w:tc>
      </w:tr>
      <w:tr w14:paraId="0B61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6AA695E8">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交通运输业 *</w:t>
            </w:r>
          </w:p>
        </w:tc>
        <w:tc>
          <w:tcPr>
            <w:tcW w:w="1369" w:type="dxa"/>
            <w:vAlign w:val="center"/>
          </w:tcPr>
          <w:p w14:paraId="69391E4D">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5B1B4FA1">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6A1BE0AA">
            <w:pPr>
              <w:widowControl/>
              <w:jc w:val="center"/>
              <w:rPr>
                <w:rFonts w:ascii="宋体" w:hAnsi="宋体" w:cs="宋体"/>
                <w:color w:val="auto"/>
                <w:kern w:val="0"/>
                <w:sz w:val="18"/>
                <w:szCs w:val="18"/>
              </w:rPr>
            </w:pPr>
            <w:r>
              <w:rPr>
                <w:rFonts w:hint="eastAsia" w:ascii="宋体" w:hAnsi="宋体" w:cs="宋体"/>
                <w:color w:val="auto"/>
                <w:kern w:val="0"/>
                <w:sz w:val="18"/>
                <w:szCs w:val="18"/>
              </w:rPr>
              <w:t>X≥1000</w:t>
            </w:r>
          </w:p>
        </w:tc>
        <w:tc>
          <w:tcPr>
            <w:tcW w:w="1701" w:type="dxa"/>
            <w:vAlign w:val="center"/>
          </w:tcPr>
          <w:p w14:paraId="4B1CF66B">
            <w:pPr>
              <w:widowControl/>
              <w:jc w:val="center"/>
              <w:rPr>
                <w:rFonts w:ascii="宋体" w:hAnsi="宋体" w:cs="宋体"/>
                <w:color w:val="auto"/>
                <w:kern w:val="0"/>
                <w:sz w:val="18"/>
                <w:szCs w:val="18"/>
              </w:rPr>
            </w:pPr>
            <w:r>
              <w:rPr>
                <w:rFonts w:hint="eastAsia" w:ascii="宋体" w:hAnsi="宋体" w:cs="宋体"/>
                <w:color w:val="auto"/>
                <w:kern w:val="0"/>
                <w:sz w:val="18"/>
                <w:szCs w:val="18"/>
              </w:rPr>
              <w:t>300≤X＜1000</w:t>
            </w:r>
          </w:p>
        </w:tc>
        <w:tc>
          <w:tcPr>
            <w:tcW w:w="1426" w:type="dxa"/>
            <w:vAlign w:val="center"/>
          </w:tcPr>
          <w:p w14:paraId="62A2D0F2">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20≤X＜300</w:t>
            </w:r>
          </w:p>
        </w:tc>
        <w:tc>
          <w:tcPr>
            <w:tcW w:w="992" w:type="dxa"/>
            <w:vAlign w:val="center"/>
          </w:tcPr>
          <w:p w14:paraId="27679C58">
            <w:pPr>
              <w:widowControl/>
              <w:jc w:val="center"/>
              <w:rPr>
                <w:rFonts w:ascii="宋体" w:hAnsi="宋体" w:cs="宋体"/>
                <w:color w:val="auto"/>
                <w:kern w:val="0"/>
                <w:sz w:val="18"/>
                <w:szCs w:val="18"/>
              </w:rPr>
            </w:pPr>
            <w:r>
              <w:rPr>
                <w:rFonts w:hint="eastAsia" w:ascii="宋体" w:hAnsi="宋体" w:cs="宋体"/>
                <w:color w:val="auto"/>
                <w:kern w:val="0"/>
                <w:sz w:val="18"/>
                <w:szCs w:val="18"/>
              </w:rPr>
              <w:t>X＜20</w:t>
            </w:r>
          </w:p>
        </w:tc>
      </w:tr>
      <w:tr w14:paraId="79F9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2582150A">
            <w:pPr>
              <w:widowControl/>
              <w:jc w:val="left"/>
              <w:rPr>
                <w:rFonts w:ascii="宋体" w:hAnsi="宋体" w:cs="宋体"/>
                <w:color w:val="auto"/>
                <w:kern w:val="0"/>
                <w:sz w:val="18"/>
                <w:szCs w:val="18"/>
              </w:rPr>
            </w:pPr>
          </w:p>
        </w:tc>
        <w:tc>
          <w:tcPr>
            <w:tcW w:w="1369" w:type="dxa"/>
            <w:vAlign w:val="center"/>
          </w:tcPr>
          <w:p w14:paraId="5C5875B3">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148D6F06">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316C80FD">
            <w:pPr>
              <w:widowControl/>
              <w:jc w:val="center"/>
              <w:rPr>
                <w:rFonts w:ascii="宋体" w:hAnsi="宋体" w:cs="宋体"/>
                <w:color w:val="auto"/>
                <w:kern w:val="0"/>
                <w:sz w:val="18"/>
                <w:szCs w:val="18"/>
              </w:rPr>
            </w:pPr>
            <w:r>
              <w:rPr>
                <w:rFonts w:hint="eastAsia" w:ascii="宋体" w:hAnsi="宋体" w:cs="宋体"/>
                <w:color w:val="auto"/>
                <w:kern w:val="0"/>
                <w:sz w:val="18"/>
                <w:szCs w:val="18"/>
              </w:rPr>
              <w:t>Y≥30000</w:t>
            </w:r>
          </w:p>
        </w:tc>
        <w:tc>
          <w:tcPr>
            <w:tcW w:w="1701" w:type="dxa"/>
            <w:vAlign w:val="center"/>
          </w:tcPr>
          <w:p w14:paraId="3CACBC7C">
            <w:pPr>
              <w:widowControl/>
              <w:jc w:val="center"/>
              <w:rPr>
                <w:rFonts w:ascii="宋体" w:hAnsi="宋体" w:cs="宋体"/>
                <w:color w:val="auto"/>
                <w:kern w:val="0"/>
                <w:sz w:val="18"/>
                <w:szCs w:val="18"/>
              </w:rPr>
            </w:pPr>
            <w:r>
              <w:rPr>
                <w:rFonts w:hint="eastAsia" w:ascii="宋体" w:hAnsi="宋体" w:cs="宋体"/>
                <w:color w:val="auto"/>
                <w:kern w:val="0"/>
                <w:sz w:val="18"/>
                <w:szCs w:val="18"/>
              </w:rPr>
              <w:t>3000≤Y＜30000</w:t>
            </w:r>
          </w:p>
        </w:tc>
        <w:tc>
          <w:tcPr>
            <w:tcW w:w="1426" w:type="dxa"/>
            <w:vAlign w:val="center"/>
          </w:tcPr>
          <w:p w14:paraId="06BF9966">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200≤Y＜3000</w:t>
            </w:r>
          </w:p>
        </w:tc>
        <w:tc>
          <w:tcPr>
            <w:tcW w:w="992" w:type="dxa"/>
            <w:vAlign w:val="center"/>
          </w:tcPr>
          <w:p w14:paraId="64F45AD3">
            <w:pPr>
              <w:widowControl/>
              <w:jc w:val="center"/>
              <w:rPr>
                <w:rFonts w:ascii="宋体" w:hAnsi="宋体" w:cs="宋体"/>
                <w:color w:val="auto"/>
                <w:kern w:val="0"/>
                <w:sz w:val="18"/>
                <w:szCs w:val="18"/>
              </w:rPr>
            </w:pPr>
            <w:r>
              <w:rPr>
                <w:rFonts w:hint="eastAsia" w:ascii="宋体" w:hAnsi="宋体" w:cs="宋体"/>
                <w:color w:val="auto"/>
                <w:kern w:val="0"/>
                <w:sz w:val="18"/>
                <w:szCs w:val="18"/>
              </w:rPr>
              <w:t>Y＜200</w:t>
            </w:r>
          </w:p>
        </w:tc>
      </w:tr>
      <w:tr w14:paraId="1DBD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12D28B6C">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仓储业*</w:t>
            </w:r>
          </w:p>
        </w:tc>
        <w:tc>
          <w:tcPr>
            <w:tcW w:w="1369" w:type="dxa"/>
            <w:vAlign w:val="center"/>
          </w:tcPr>
          <w:p w14:paraId="126949F4">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7D1E6B19">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1F7E0FCB">
            <w:pPr>
              <w:widowControl/>
              <w:jc w:val="center"/>
              <w:rPr>
                <w:rFonts w:ascii="宋体" w:hAnsi="宋体" w:cs="宋体"/>
                <w:color w:val="auto"/>
                <w:kern w:val="0"/>
                <w:sz w:val="18"/>
                <w:szCs w:val="18"/>
              </w:rPr>
            </w:pPr>
            <w:r>
              <w:rPr>
                <w:rFonts w:hint="eastAsia" w:ascii="宋体" w:hAnsi="宋体" w:cs="宋体"/>
                <w:color w:val="auto"/>
                <w:kern w:val="0"/>
                <w:sz w:val="18"/>
                <w:szCs w:val="18"/>
              </w:rPr>
              <w:t>X≥200</w:t>
            </w:r>
          </w:p>
        </w:tc>
        <w:tc>
          <w:tcPr>
            <w:tcW w:w="1701" w:type="dxa"/>
            <w:vAlign w:val="center"/>
          </w:tcPr>
          <w:p w14:paraId="0A98A7B1">
            <w:pPr>
              <w:widowControl/>
              <w:ind w:left="1" w:leftChars="-51" w:hanging="108" w:hangingChars="60"/>
              <w:jc w:val="center"/>
              <w:rPr>
                <w:rFonts w:ascii="宋体" w:hAnsi="宋体" w:cs="宋体"/>
                <w:color w:val="auto"/>
                <w:kern w:val="0"/>
                <w:sz w:val="18"/>
                <w:szCs w:val="18"/>
              </w:rPr>
            </w:pPr>
            <w:r>
              <w:rPr>
                <w:rFonts w:hint="eastAsia" w:ascii="宋体" w:hAnsi="宋体" w:cs="宋体"/>
                <w:color w:val="auto"/>
                <w:kern w:val="0"/>
                <w:sz w:val="18"/>
                <w:szCs w:val="18"/>
              </w:rPr>
              <w:t>100≤X＜200</w:t>
            </w:r>
          </w:p>
        </w:tc>
        <w:tc>
          <w:tcPr>
            <w:tcW w:w="1426" w:type="dxa"/>
            <w:vAlign w:val="center"/>
          </w:tcPr>
          <w:p w14:paraId="6564EE4F">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20≤X＜100</w:t>
            </w:r>
          </w:p>
        </w:tc>
        <w:tc>
          <w:tcPr>
            <w:tcW w:w="992" w:type="dxa"/>
            <w:vAlign w:val="center"/>
          </w:tcPr>
          <w:p w14:paraId="2DC746BA">
            <w:pPr>
              <w:widowControl/>
              <w:jc w:val="center"/>
              <w:rPr>
                <w:rFonts w:ascii="宋体" w:hAnsi="宋体" w:cs="宋体"/>
                <w:color w:val="auto"/>
                <w:kern w:val="0"/>
                <w:sz w:val="18"/>
                <w:szCs w:val="18"/>
              </w:rPr>
            </w:pPr>
            <w:r>
              <w:rPr>
                <w:rFonts w:hint="eastAsia" w:ascii="宋体" w:hAnsi="宋体" w:cs="宋体"/>
                <w:color w:val="auto"/>
                <w:kern w:val="0"/>
                <w:sz w:val="18"/>
                <w:szCs w:val="18"/>
              </w:rPr>
              <w:t>X＜20</w:t>
            </w:r>
          </w:p>
        </w:tc>
      </w:tr>
      <w:tr w14:paraId="6FE7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2BE3FB07">
            <w:pPr>
              <w:widowControl/>
              <w:jc w:val="left"/>
              <w:rPr>
                <w:rFonts w:ascii="宋体" w:hAnsi="宋体" w:cs="宋体"/>
                <w:color w:val="auto"/>
                <w:kern w:val="0"/>
                <w:sz w:val="18"/>
                <w:szCs w:val="18"/>
              </w:rPr>
            </w:pPr>
          </w:p>
        </w:tc>
        <w:tc>
          <w:tcPr>
            <w:tcW w:w="1369" w:type="dxa"/>
            <w:vAlign w:val="center"/>
          </w:tcPr>
          <w:p w14:paraId="579B0B09">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0D5E4804">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7E1D74AF">
            <w:pPr>
              <w:widowControl/>
              <w:jc w:val="center"/>
              <w:rPr>
                <w:rFonts w:ascii="宋体" w:hAnsi="宋体" w:cs="宋体"/>
                <w:color w:val="auto"/>
                <w:kern w:val="0"/>
                <w:sz w:val="18"/>
                <w:szCs w:val="18"/>
              </w:rPr>
            </w:pPr>
            <w:r>
              <w:rPr>
                <w:rFonts w:hint="eastAsia" w:ascii="宋体" w:hAnsi="宋体" w:cs="宋体"/>
                <w:color w:val="auto"/>
                <w:kern w:val="0"/>
                <w:sz w:val="18"/>
                <w:szCs w:val="18"/>
              </w:rPr>
              <w:t>Y≥30000</w:t>
            </w:r>
          </w:p>
        </w:tc>
        <w:tc>
          <w:tcPr>
            <w:tcW w:w="1701" w:type="dxa"/>
            <w:vAlign w:val="center"/>
          </w:tcPr>
          <w:p w14:paraId="62279A2A">
            <w:pPr>
              <w:widowControl/>
              <w:jc w:val="center"/>
              <w:rPr>
                <w:rFonts w:ascii="宋体" w:hAnsi="宋体" w:cs="宋体"/>
                <w:color w:val="auto"/>
                <w:kern w:val="0"/>
                <w:sz w:val="18"/>
                <w:szCs w:val="18"/>
              </w:rPr>
            </w:pPr>
            <w:r>
              <w:rPr>
                <w:rFonts w:hint="eastAsia" w:ascii="宋体" w:hAnsi="宋体" w:cs="宋体"/>
                <w:color w:val="auto"/>
                <w:kern w:val="0"/>
                <w:sz w:val="18"/>
                <w:szCs w:val="18"/>
              </w:rPr>
              <w:t>1000≤Y＜30000</w:t>
            </w:r>
          </w:p>
        </w:tc>
        <w:tc>
          <w:tcPr>
            <w:tcW w:w="1426" w:type="dxa"/>
            <w:vAlign w:val="center"/>
          </w:tcPr>
          <w:p w14:paraId="3EC45026">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100≤Y＜1000</w:t>
            </w:r>
          </w:p>
        </w:tc>
        <w:tc>
          <w:tcPr>
            <w:tcW w:w="992" w:type="dxa"/>
            <w:vAlign w:val="center"/>
          </w:tcPr>
          <w:p w14:paraId="2BA07C83">
            <w:pPr>
              <w:widowControl/>
              <w:jc w:val="center"/>
              <w:rPr>
                <w:rFonts w:ascii="宋体" w:hAnsi="宋体" w:cs="宋体"/>
                <w:color w:val="auto"/>
                <w:kern w:val="0"/>
                <w:sz w:val="18"/>
                <w:szCs w:val="18"/>
              </w:rPr>
            </w:pPr>
            <w:r>
              <w:rPr>
                <w:rFonts w:hint="eastAsia" w:ascii="宋体" w:hAnsi="宋体" w:cs="宋体"/>
                <w:color w:val="auto"/>
                <w:kern w:val="0"/>
                <w:sz w:val="18"/>
                <w:szCs w:val="18"/>
              </w:rPr>
              <w:t>Y＜100</w:t>
            </w:r>
          </w:p>
        </w:tc>
      </w:tr>
      <w:tr w14:paraId="0076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7A383CB6">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邮政业</w:t>
            </w:r>
          </w:p>
        </w:tc>
        <w:tc>
          <w:tcPr>
            <w:tcW w:w="1369" w:type="dxa"/>
            <w:vAlign w:val="center"/>
          </w:tcPr>
          <w:p w14:paraId="732D9917">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47153E11">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63653373">
            <w:pPr>
              <w:widowControl/>
              <w:jc w:val="center"/>
              <w:rPr>
                <w:rFonts w:ascii="宋体" w:hAnsi="宋体" w:cs="宋体"/>
                <w:color w:val="auto"/>
                <w:kern w:val="0"/>
                <w:sz w:val="18"/>
                <w:szCs w:val="18"/>
              </w:rPr>
            </w:pPr>
            <w:r>
              <w:rPr>
                <w:rFonts w:hint="eastAsia" w:ascii="宋体" w:hAnsi="宋体" w:cs="宋体"/>
                <w:color w:val="auto"/>
                <w:kern w:val="0"/>
                <w:sz w:val="18"/>
                <w:szCs w:val="18"/>
              </w:rPr>
              <w:t>X≥1000</w:t>
            </w:r>
          </w:p>
        </w:tc>
        <w:tc>
          <w:tcPr>
            <w:tcW w:w="1701" w:type="dxa"/>
            <w:vAlign w:val="center"/>
          </w:tcPr>
          <w:p w14:paraId="51A093CF">
            <w:pPr>
              <w:widowControl/>
              <w:jc w:val="center"/>
              <w:rPr>
                <w:rFonts w:ascii="宋体" w:hAnsi="宋体" w:cs="宋体"/>
                <w:color w:val="auto"/>
                <w:kern w:val="0"/>
                <w:sz w:val="18"/>
                <w:szCs w:val="18"/>
              </w:rPr>
            </w:pPr>
            <w:r>
              <w:rPr>
                <w:rFonts w:hint="eastAsia" w:ascii="宋体" w:hAnsi="宋体" w:cs="宋体"/>
                <w:color w:val="auto"/>
                <w:kern w:val="0"/>
                <w:sz w:val="18"/>
                <w:szCs w:val="18"/>
              </w:rPr>
              <w:t>300≤X＜1000</w:t>
            </w:r>
          </w:p>
        </w:tc>
        <w:tc>
          <w:tcPr>
            <w:tcW w:w="1426" w:type="dxa"/>
            <w:vAlign w:val="center"/>
          </w:tcPr>
          <w:p w14:paraId="3D678FA8">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20≤X＜300</w:t>
            </w:r>
          </w:p>
        </w:tc>
        <w:tc>
          <w:tcPr>
            <w:tcW w:w="992" w:type="dxa"/>
            <w:vAlign w:val="center"/>
          </w:tcPr>
          <w:p w14:paraId="1BB42301">
            <w:pPr>
              <w:widowControl/>
              <w:jc w:val="center"/>
              <w:rPr>
                <w:rFonts w:ascii="宋体" w:hAnsi="宋体" w:cs="宋体"/>
                <w:color w:val="auto"/>
                <w:kern w:val="0"/>
                <w:sz w:val="18"/>
                <w:szCs w:val="18"/>
              </w:rPr>
            </w:pPr>
            <w:r>
              <w:rPr>
                <w:rFonts w:hint="eastAsia" w:ascii="宋体" w:hAnsi="宋体" w:cs="宋体"/>
                <w:color w:val="auto"/>
                <w:kern w:val="0"/>
                <w:sz w:val="18"/>
                <w:szCs w:val="18"/>
              </w:rPr>
              <w:t>X＜20</w:t>
            </w:r>
          </w:p>
        </w:tc>
      </w:tr>
      <w:tr w14:paraId="65439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3E0B130E">
            <w:pPr>
              <w:widowControl/>
              <w:jc w:val="left"/>
              <w:rPr>
                <w:rFonts w:ascii="宋体" w:hAnsi="宋体" w:cs="宋体"/>
                <w:color w:val="auto"/>
                <w:kern w:val="0"/>
                <w:sz w:val="18"/>
                <w:szCs w:val="18"/>
              </w:rPr>
            </w:pPr>
          </w:p>
        </w:tc>
        <w:tc>
          <w:tcPr>
            <w:tcW w:w="1369" w:type="dxa"/>
            <w:vAlign w:val="center"/>
          </w:tcPr>
          <w:p w14:paraId="45A46851">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5962CF09">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30630829">
            <w:pPr>
              <w:widowControl/>
              <w:jc w:val="center"/>
              <w:rPr>
                <w:rFonts w:ascii="宋体" w:hAnsi="宋体" w:cs="宋体"/>
                <w:color w:val="auto"/>
                <w:kern w:val="0"/>
                <w:sz w:val="18"/>
                <w:szCs w:val="18"/>
              </w:rPr>
            </w:pPr>
            <w:r>
              <w:rPr>
                <w:rFonts w:hint="eastAsia" w:ascii="宋体" w:hAnsi="宋体" w:cs="宋体"/>
                <w:color w:val="auto"/>
                <w:kern w:val="0"/>
                <w:sz w:val="18"/>
                <w:szCs w:val="18"/>
              </w:rPr>
              <w:t>Y≥30000</w:t>
            </w:r>
          </w:p>
        </w:tc>
        <w:tc>
          <w:tcPr>
            <w:tcW w:w="1701" w:type="dxa"/>
            <w:vAlign w:val="center"/>
          </w:tcPr>
          <w:p w14:paraId="7AFD7A68">
            <w:pPr>
              <w:widowControl/>
              <w:jc w:val="center"/>
              <w:rPr>
                <w:rFonts w:ascii="宋体" w:hAnsi="宋体" w:cs="宋体"/>
                <w:color w:val="auto"/>
                <w:kern w:val="0"/>
                <w:sz w:val="18"/>
                <w:szCs w:val="18"/>
              </w:rPr>
            </w:pPr>
            <w:r>
              <w:rPr>
                <w:rFonts w:hint="eastAsia" w:ascii="宋体" w:hAnsi="宋体" w:cs="宋体"/>
                <w:color w:val="auto"/>
                <w:kern w:val="0"/>
                <w:sz w:val="18"/>
                <w:szCs w:val="18"/>
              </w:rPr>
              <w:t>2000≤Y＜30000</w:t>
            </w:r>
          </w:p>
        </w:tc>
        <w:tc>
          <w:tcPr>
            <w:tcW w:w="1426" w:type="dxa"/>
            <w:vAlign w:val="center"/>
          </w:tcPr>
          <w:p w14:paraId="37B151F6">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100≤Y＜2000</w:t>
            </w:r>
          </w:p>
        </w:tc>
        <w:tc>
          <w:tcPr>
            <w:tcW w:w="992" w:type="dxa"/>
            <w:vAlign w:val="center"/>
          </w:tcPr>
          <w:p w14:paraId="7CF1A446">
            <w:pPr>
              <w:widowControl/>
              <w:jc w:val="center"/>
              <w:rPr>
                <w:rFonts w:ascii="宋体" w:hAnsi="宋体" w:cs="宋体"/>
                <w:color w:val="auto"/>
                <w:kern w:val="0"/>
                <w:sz w:val="18"/>
                <w:szCs w:val="18"/>
              </w:rPr>
            </w:pPr>
            <w:r>
              <w:rPr>
                <w:rFonts w:hint="eastAsia" w:ascii="宋体" w:hAnsi="宋体" w:cs="宋体"/>
                <w:color w:val="auto"/>
                <w:kern w:val="0"/>
                <w:sz w:val="18"/>
                <w:szCs w:val="18"/>
              </w:rPr>
              <w:t>Y＜100</w:t>
            </w:r>
          </w:p>
        </w:tc>
      </w:tr>
      <w:tr w14:paraId="06D8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71409F60">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住宿业</w:t>
            </w:r>
          </w:p>
        </w:tc>
        <w:tc>
          <w:tcPr>
            <w:tcW w:w="1369" w:type="dxa"/>
            <w:vAlign w:val="center"/>
          </w:tcPr>
          <w:p w14:paraId="3ACB7B99">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5EACEE37">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1EDD672A">
            <w:pPr>
              <w:widowControl/>
              <w:jc w:val="center"/>
              <w:rPr>
                <w:rFonts w:ascii="宋体" w:hAnsi="宋体" w:cs="宋体"/>
                <w:color w:val="auto"/>
                <w:kern w:val="0"/>
                <w:sz w:val="18"/>
                <w:szCs w:val="18"/>
              </w:rPr>
            </w:pPr>
            <w:r>
              <w:rPr>
                <w:rFonts w:hint="eastAsia" w:ascii="宋体" w:hAnsi="宋体" w:cs="宋体"/>
                <w:color w:val="auto"/>
                <w:kern w:val="0"/>
                <w:sz w:val="18"/>
                <w:szCs w:val="18"/>
              </w:rPr>
              <w:t>X≥300</w:t>
            </w:r>
          </w:p>
        </w:tc>
        <w:tc>
          <w:tcPr>
            <w:tcW w:w="1701" w:type="dxa"/>
            <w:vAlign w:val="center"/>
          </w:tcPr>
          <w:p w14:paraId="5E62F1F7">
            <w:pPr>
              <w:widowControl/>
              <w:ind w:left="1" w:leftChars="-51" w:hanging="108" w:hangingChars="60"/>
              <w:jc w:val="center"/>
              <w:rPr>
                <w:rFonts w:ascii="宋体" w:hAnsi="宋体" w:cs="宋体"/>
                <w:color w:val="auto"/>
                <w:kern w:val="0"/>
                <w:sz w:val="18"/>
                <w:szCs w:val="18"/>
              </w:rPr>
            </w:pPr>
            <w:r>
              <w:rPr>
                <w:rFonts w:hint="eastAsia" w:ascii="宋体" w:hAnsi="宋体" w:cs="宋体"/>
                <w:color w:val="auto"/>
                <w:kern w:val="0"/>
                <w:sz w:val="18"/>
                <w:szCs w:val="18"/>
              </w:rPr>
              <w:t xml:space="preserve">100≤X＜300 </w:t>
            </w:r>
          </w:p>
        </w:tc>
        <w:tc>
          <w:tcPr>
            <w:tcW w:w="1426" w:type="dxa"/>
            <w:vAlign w:val="center"/>
          </w:tcPr>
          <w:p w14:paraId="0AB6C6B2">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10≤X＜100</w:t>
            </w:r>
          </w:p>
        </w:tc>
        <w:tc>
          <w:tcPr>
            <w:tcW w:w="992" w:type="dxa"/>
            <w:vAlign w:val="center"/>
          </w:tcPr>
          <w:p w14:paraId="502FA325">
            <w:pPr>
              <w:widowControl/>
              <w:jc w:val="center"/>
              <w:rPr>
                <w:rFonts w:ascii="宋体" w:hAnsi="宋体" w:cs="宋体"/>
                <w:color w:val="auto"/>
                <w:kern w:val="0"/>
                <w:sz w:val="18"/>
                <w:szCs w:val="18"/>
              </w:rPr>
            </w:pPr>
            <w:r>
              <w:rPr>
                <w:rFonts w:hint="eastAsia" w:ascii="宋体" w:hAnsi="宋体" w:cs="宋体"/>
                <w:color w:val="auto"/>
                <w:kern w:val="0"/>
                <w:sz w:val="18"/>
                <w:szCs w:val="18"/>
              </w:rPr>
              <w:t>X＜10</w:t>
            </w:r>
          </w:p>
        </w:tc>
      </w:tr>
      <w:tr w14:paraId="4C9FC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11F03F8D">
            <w:pPr>
              <w:widowControl/>
              <w:jc w:val="left"/>
              <w:rPr>
                <w:rFonts w:ascii="宋体" w:hAnsi="宋体" w:cs="宋体"/>
                <w:color w:val="auto"/>
                <w:kern w:val="0"/>
                <w:sz w:val="18"/>
                <w:szCs w:val="18"/>
              </w:rPr>
            </w:pPr>
          </w:p>
        </w:tc>
        <w:tc>
          <w:tcPr>
            <w:tcW w:w="1369" w:type="dxa"/>
            <w:vAlign w:val="center"/>
          </w:tcPr>
          <w:p w14:paraId="29169C37">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37423E35">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4385D7A8">
            <w:pPr>
              <w:widowControl/>
              <w:jc w:val="center"/>
              <w:rPr>
                <w:rFonts w:ascii="宋体" w:hAnsi="宋体" w:cs="宋体"/>
                <w:color w:val="auto"/>
                <w:kern w:val="0"/>
                <w:sz w:val="18"/>
                <w:szCs w:val="18"/>
              </w:rPr>
            </w:pPr>
            <w:r>
              <w:rPr>
                <w:rFonts w:hint="eastAsia" w:ascii="宋体" w:hAnsi="宋体" w:cs="宋体"/>
                <w:color w:val="auto"/>
                <w:kern w:val="0"/>
                <w:sz w:val="18"/>
                <w:szCs w:val="18"/>
              </w:rPr>
              <w:t>Y≥10000</w:t>
            </w:r>
          </w:p>
        </w:tc>
        <w:tc>
          <w:tcPr>
            <w:tcW w:w="1701" w:type="dxa"/>
            <w:vAlign w:val="center"/>
          </w:tcPr>
          <w:p w14:paraId="4A446A43">
            <w:pPr>
              <w:widowControl/>
              <w:jc w:val="center"/>
              <w:rPr>
                <w:rFonts w:ascii="宋体" w:hAnsi="宋体" w:cs="宋体"/>
                <w:color w:val="auto"/>
                <w:kern w:val="0"/>
                <w:sz w:val="18"/>
                <w:szCs w:val="18"/>
              </w:rPr>
            </w:pPr>
            <w:r>
              <w:rPr>
                <w:rFonts w:hint="eastAsia" w:ascii="宋体" w:hAnsi="宋体" w:cs="宋体"/>
                <w:color w:val="auto"/>
                <w:kern w:val="0"/>
                <w:sz w:val="18"/>
                <w:szCs w:val="18"/>
              </w:rPr>
              <w:t>2000≤Y＜10000</w:t>
            </w:r>
          </w:p>
        </w:tc>
        <w:tc>
          <w:tcPr>
            <w:tcW w:w="1426" w:type="dxa"/>
            <w:vAlign w:val="center"/>
          </w:tcPr>
          <w:p w14:paraId="5E61DF2D">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100≤Y＜2000</w:t>
            </w:r>
          </w:p>
        </w:tc>
        <w:tc>
          <w:tcPr>
            <w:tcW w:w="992" w:type="dxa"/>
            <w:vAlign w:val="center"/>
          </w:tcPr>
          <w:p w14:paraId="1913E79D">
            <w:pPr>
              <w:widowControl/>
              <w:jc w:val="center"/>
              <w:rPr>
                <w:rFonts w:ascii="宋体" w:hAnsi="宋体" w:cs="宋体"/>
                <w:color w:val="auto"/>
                <w:kern w:val="0"/>
                <w:sz w:val="18"/>
                <w:szCs w:val="18"/>
              </w:rPr>
            </w:pPr>
            <w:r>
              <w:rPr>
                <w:rFonts w:hint="eastAsia" w:ascii="宋体" w:hAnsi="宋体" w:cs="宋体"/>
                <w:color w:val="auto"/>
                <w:kern w:val="0"/>
                <w:sz w:val="18"/>
                <w:szCs w:val="18"/>
              </w:rPr>
              <w:t>Y＜100</w:t>
            </w:r>
          </w:p>
        </w:tc>
      </w:tr>
      <w:tr w14:paraId="7F26C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37052C29">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餐饮业</w:t>
            </w:r>
          </w:p>
        </w:tc>
        <w:tc>
          <w:tcPr>
            <w:tcW w:w="1369" w:type="dxa"/>
            <w:vAlign w:val="center"/>
          </w:tcPr>
          <w:p w14:paraId="4D8848F1">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36D0AA53">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0E883B6E">
            <w:pPr>
              <w:widowControl/>
              <w:jc w:val="center"/>
              <w:rPr>
                <w:rFonts w:ascii="宋体" w:hAnsi="宋体" w:cs="宋体"/>
                <w:color w:val="auto"/>
                <w:kern w:val="0"/>
                <w:sz w:val="18"/>
                <w:szCs w:val="18"/>
              </w:rPr>
            </w:pPr>
            <w:r>
              <w:rPr>
                <w:rFonts w:hint="eastAsia" w:ascii="宋体" w:hAnsi="宋体" w:cs="宋体"/>
                <w:color w:val="auto"/>
                <w:kern w:val="0"/>
                <w:sz w:val="18"/>
                <w:szCs w:val="18"/>
              </w:rPr>
              <w:t>X≥300</w:t>
            </w:r>
          </w:p>
        </w:tc>
        <w:tc>
          <w:tcPr>
            <w:tcW w:w="1701" w:type="dxa"/>
            <w:vAlign w:val="center"/>
          </w:tcPr>
          <w:p w14:paraId="3D638EB5">
            <w:pPr>
              <w:widowControl/>
              <w:ind w:left="1" w:leftChars="-51" w:hanging="108" w:hangingChars="60"/>
              <w:jc w:val="center"/>
              <w:rPr>
                <w:rFonts w:ascii="宋体" w:hAnsi="宋体" w:cs="宋体"/>
                <w:color w:val="auto"/>
                <w:kern w:val="0"/>
                <w:sz w:val="18"/>
                <w:szCs w:val="18"/>
              </w:rPr>
            </w:pPr>
            <w:r>
              <w:rPr>
                <w:rFonts w:hint="eastAsia" w:ascii="宋体" w:hAnsi="宋体" w:cs="宋体"/>
                <w:color w:val="auto"/>
                <w:kern w:val="0"/>
                <w:sz w:val="18"/>
                <w:szCs w:val="18"/>
              </w:rPr>
              <w:t xml:space="preserve">100≤X＜300 </w:t>
            </w:r>
          </w:p>
        </w:tc>
        <w:tc>
          <w:tcPr>
            <w:tcW w:w="1426" w:type="dxa"/>
            <w:vAlign w:val="center"/>
          </w:tcPr>
          <w:p w14:paraId="174DA70A">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10≤X＜100</w:t>
            </w:r>
          </w:p>
        </w:tc>
        <w:tc>
          <w:tcPr>
            <w:tcW w:w="992" w:type="dxa"/>
            <w:vAlign w:val="center"/>
          </w:tcPr>
          <w:p w14:paraId="329EBE98">
            <w:pPr>
              <w:widowControl/>
              <w:jc w:val="center"/>
              <w:rPr>
                <w:rFonts w:ascii="宋体" w:hAnsi="宋体" w:cs="宋体"/>
                <w:color w:val="auto"/>
                <w:kern w:val="0"/>
                <w:sz w:val="18"/>
                <w:szCs w:val="18"/>
              </w:rPr>
            </w:pPr>
            <w:r>
              <w:rPr>
                <w:rFonts w:hint="eastAsia" w:ascii="宋体" w:hAnsi="宋体" w:cs="宋体"/>
                <w:color w:val="auto"/>
                <w:kern w:val="0"/>
                <w:sz w:val="18"/>
                <w:szCs w:val="18"/>
              </w:rPr>
              <w:t>X＜10</w:t>
            </w:r>
          </w:p>
        </w:tc>
      </w:tr>
      <w:tr w14:paraId="2DA5D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405E46CA">
            <w:pPr>
              <w:widowControl/>
              <w:jc w:val="left"/>
              <w:rPr>
                <w:rFonts w:ascii="宋体" w:hAnsi="宋体" w:cs="宋体"/>
                <w:color w:val="auto"/>
                <w:kern w:val="0"/>
                <w:sz w:val="18"/>
                <w:szCs w:val="18"/>
              </w:rPr>
            </w:pPr>
          </w:p>
        </w:tc>
        <w:tc>
          <w:tcPr>
            <w:tcW w:w="1369" w:type="dxa"/>
            <w:vAlign w:val="center"/>
          </w:tcPr>
          <w:p w14:paraId="1C17B6BF">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7752E0D5">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7B1F0269">
            <w:pPr>
              <w:widowControl/>
              <w:jc w:val="center"/>
              <w:rPr>
                <w:rFonts w:ascii="宋体" w:hAnsi="宋体" w:cs="宋体"/>
                <w:color w:val="auto"/>
                <w:kern w:val="0"/>
                <w:sz w:val="18"/>
                <w:szCs w:val="18"/>
              </w:rPr>
            </w:pPr>
            <w:r>
              <w:rPr>
                <w:rFonts w:hint="eastAsia" w:ascii="宋体" w:hAnsi="宋体" w:cs="宋体"/>
                <w:color w:val="auto"/>
                <w:kern w:val="0"/>
                <w:sz w:val="18"/>
                <w:szCs w:val="18"/>
              </w:rPr>
              <w:t>Y≥10000</w:t>
            </w:r>
          </w:p>
        </w:tc>
        <w:tc>
          <w:tcPr>
            <w:tcW w:w="1701" w:type="dxa"/>
            <w:vAlign w:val="center"/>
          </w:tcPr>
          <w:p w14:paraId="4FE5EDCE">
            <w:pPr>
              <w:widowControl/>
              <w:jc w:val="center"/>
              <w:rPr>
                <w:rFonts w:ascii="宋体" w:hAnsi="宋体" w:cs="宋体"/>
                <w:color w:val="auto"/>
                <w:kern w:val="0"/>
                <w:sz w:val="18"/>
                <w:szCs w:val="18"/>
              </w:rPr>
            </w:pPr>
            <w:r>
              <w:rPr>
                <w:rFonts w:hint="eastAsia" w:ascii="宋体" w:hAnsi="宋体" w:cs="宋体"/>
                <w:color w:val="auto"/>
                <w:kern w:val="0"/>
                <w:sz w:val="18"/>
                <w:szCs w:val="18"/>
              </w:rPr>
              <w:t>2000≤Y＜10000</w:t>
            </w:r>
          </w:p>
        </w:tc>
        <w:tc>
          <w:tcPr>
            <w:tcW w:w="1426" w:type="dxa"/>
            <w:vAlign w:val="center"/>
          </w:tcPr>
          <w:p w14:paraId="73961624">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100≤Y＜2000</w:t>
            </w:r>
          </w:p>
        </w:tc>
        <w:tc>
          <w:tcPr>
            <w:tcW w:w="992" w:type="dxa"/>
            <w:vAlign w:val="center"/>
          </w:tcPr>
          <w:p w14:paraId="27C8E5AA">
            <w:pPr>
              <w:widowControl/>
              <w:jc w:val="center"/>
              <w:rPr>
                <w:rFonts w:ascii="宋体" w:hAnsi="宋体" w:cs="宋体"/>
                <w:color w:val="auto"/>
                <w:kern w:val="0"/>
                <w:sz w:val="18"/>
                <w:szCs w:val="18"/>
              </w:rPr>
            </w:pPr>
            <w:r>
              <w:rPr>
                <w:rFonts w:hint="eastAsia" w:ascii="宋体" w:hAnsi="宋体" w:cs="宋体"/>
                <w:color w:val="auto"/>
                <w:kern w:val="0"/>
                <w:sz w:val="18"/>
                <w:szCs w:val="18"/>
              </w:rPr>
              <w:t>Y＜100</w:t>
            </w:r>
          </w:p>
        </w:tc>
      </w:tr>
      <w:tr w14:paraId="3206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49229D18">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信息传输业 *</w:t>
            </w:r>
          </w:p>
        </w:tc>
        <w:tc>
          <w:tcPr>
            <w:tcW w:w="1369" w:type="dxa"/>
            <w:vAlign w:val="center"/>
          </w:tcPr>
          <w:p w14:paraId="6B8E2EB8">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5ADD1D32">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2D34347E">
            <w:pPr>
              <w:widowControl/>
              <w:jc w:val="center"/>
              <w:rPr>
                <w:rFonts w:ascii="宋体" w:hAnsi="宋体" w:cs="宋体"/>
                <w:color w:val="auto"/>
                <w:kern w:val="0"/>
                <w:sz w:val="18"/>
                <w:szCs w:val="18"/>
              </w:rPr>
            </w:pPr>
            <w:r>
              <w:rPr>
                <w:rFonts w:hint="eastAsia" w:ascii="宋体" w:hAnsi="宋体" w:cs="宋体"/>
                <w:color w:val="auto"/>
                <w:kern w:val="0"/>
                <w:sz w:val="18"/>
                <w:szCs w:val="18"/>
              </w:rPr>
              <w:t>X≥2000</w:t>
            </w:r>
          </w:p>
        </w:tc>
        <w:tc>
          <w:tcPr>
            <w:tcW w:w="1701" w:type="dxa"/>
            <w:vAlign w:val="center"/>
          </w:tcPr>
          <w:p w14:paraId="020D571B">
            <w:pPr>
              <w:widowControl/>
              <w:jc w:val="center"/>
              <w:rPr>
                <w:rFonts w:ascii="宋体" w:hAnsi="宋体" w:cs="宋体"/>
                <w:color w:val="auto"/>
                <w:kern w:val="0"/>
                <w:sz w:val="18"/>
                <w:szCs w:val="18"/>
              </w:rPr>
            </w:pPr>
            <w:r>
              <w:rPr>
                <w:rFonts w:hint="eastAsia" w:ascii="宋体" w:hAnsi="宋体" w:cs="宋体"/>
                <w:color w:val="auto"/>
                <w:kern w:val="0"/>
                <w:sz w:val="18"/>
                <w:szCs w:val="18"/>
              </w:rPr>
              <w:t>100≤X＜2000</w:t>
            </w:r>
          </w:p>
        </w:tc>
        <w:tc>
          <w:tcPr>
            <w:tcW w:w="1426" w:type="dxa"/>
            <w:vAlign w:val="center"/>
          </w:tcPr>
          <w:p w14:paraId="72BEFD3B">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10≤X＜100</w:t>
            </w:r>
          </w:p>
        </w:tc>
        <w:tc>
          <w:tcPr>
            <w:tcW w:w="992" w:type="dxa"/>
            <w:vAlign w:val="center"/>
          </w:tcPr>
          <w:p w14:paraId="708ADF50">
            <w:pPr>
              <w:widowControl/>
              <w:jc w:val="center"/>
              <w:rPr>
                <w:rFonts w:ascii="宋体" w:hAnsi="宋体" w:cs="宋体"/>
                <w:color w:val="auto"/>
                <w:kern w:val="0"/>
                <w:sz w:val="18"/>
                <w:szCs w:val="18"/>
              </w:rPr>
            </w:pPr>
            <w:r>
              <w:rPr>
                <w:rFonts w:hint="eastAsia" w:ascii="宋体" w:hAnsi="宋体" w:cs="宋体"/>
                <w:color w:val="auto"/>
                <w:kern w:val="0"/>
                <w:sz w:val="18"/>
                <w:szCs w:val="18"/>
              </w:rPr>
              <w:t>X＜10</w:t>
            </w:r>
          </w:p>
        </w:tc>
      </w:tr>
      <w:tr w14:paraId="32EE0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479AA7FF">
            <w:pPr>
              <w:widowControl/>
              <w:jc w:val="left"/>
              <w:rPr>
                <w:rFonts w:ascii="宋体" w:hAnsi="宋体" w:cs="宋体"/>
                <w:color w:val="auto"/>
                <w:kern w:val="0"/>
                <w:sz w:val="18"/>
                <w:szCs w:val="18"/>
              </w:rPr>
            </w:pPr>
          </w:p>
        </w:tc>
        <w:tc>
          <w:tcPr>
            <w:tcW w:w="1369" w:type="dxa"/>
            <w:vAlign w:val="center"/>
          </w:tcPr>
          <w:p w14:paraId="17FEE8CC">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2DB49961">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5C16327F">
            <w:pPr>
              <w:widowControl/>
              <w:jc w:val="center"/>
              <w:rPr>
                <w:rFonts w:ascii="宋体" w:hAnsi="宋体" w:cs="宋体"/>
                <w:color w:val="auto"/>
                <w:kern w:val="0"/>
                <w:sz w:val="18"/>
                <w:szCs w:val="18"/>
              </w:rPr>
            </w:pPr>
            <w:r>
              <w:rPr>
                <w:rFonts w:hint="eastAsia" w:ascii="宋体" w:hAnsi="宋体" w:cs="宋体"/>
                <w:color w:val="auto"/>
                <w:kern w:val="0"/>
                <w:sz w:val="18"/>
                <w:szCs w:val="18"/>
              </w:rPr>
              <w:t>Y≥100000</w:t>
            </w:r>
          </w:p>
        </w:tc>
        <w:tc>
          <w:tcPr>
            <w:tcW w:w="1701" w:type="dxa"/>
            <w:vAlign w:val="center"/>
          </w:tcPr>
          <w:p w14:paraId="5A0CDF8B">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1000≤Y＜100000</w:t>
            </w:r>
          </w:p>
        </w:tc>
        <w:tc>
          <w:tcPr>
            <w:tcW w:w="1426" w:type="dxa"/>
            <w:vAlign w:val="center"/>
          </w:tcPr>
          <w:p w14:paraId="78809E3A">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100≤Y＜1000</w:t>
            </w:r>
          </w:p>
        </w:tc>
        <w:tc>
          <w:tcPr>
            <w:tcW w:w="992" w:type="dxa"/>
            <w:vAlign w:val="center"/>
          </w:tcPr>
          <w:p w14:paraId="4DAD2632">
            <w:pPr>
              <w:widowControl/>
              <w:jc w:val="center"/>
              <w:rPr>
                <w:rFonts w:ascii="宋体" w:hAnsi="宋体" w:cs="宋体"/>
                <w:color w:val="auto"/>
                <w:kern w:val="0"/>
                <w:sz w:val="18"/>
                <w:szCs w:val="18"/>
              </w:rPr>
            </w:pPr>
            <w:r>
              <w:rPr>
                <w:rFonts w:hint="eastAsia" w:ascii="宋体" w:hAnsi="宋体" w:cs="宋体"/>
                <w:color w:val="auto"/>
                <w:kern w:val="0"/>
                <w:sz w:val="18"/>
                <w:szCs w:val="18"/>
              </w:rPr>
              <w:t>Y＜100</w:t>
            </w:r>
          </w:p>
        </w:tc>
      </w:tr>
      <w:tr w14:paraId="3F827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2FE3FC7F">
            <w:pPr>
              <w:widowControl/>
              <w:spacing w:line="240" w:lineRule="exact"/>
              <w:jc w:val="left"/>
              <w:rPr>
                <w:rFonts w:ascii="宋体" w:hAnsi="宋体" w:cs="宋体"/>
                <w:color w:val="auto"/>
                <w:spacing w:val="-12"/>
                <w:kern w:val="0"/>
                <w:sz w:val="18"/>
                <w:szCs w:val="18"/>
              </w:rPr>
            </w:pPr>
            <w:r>
              <w:rPr>
                <w:rFonts w:hint="eastAsia" w:ascii="宋体" w:hAnsi="宋体" w:cs="宋体"/>
                <w:color w:val="auto"/>
                <w:spacing w:val="-12"/>
                <w:kern w:val="0"/>
                <w:sz w:val="18"/>
                <w:szCs w:val="18"/>
              </w:rPr>
              <w:t>软件和信息技术服</w:t>
            </w:r>
            <w:r>
              <w:rPr>
                <w:rFonts w:hint="eastAsia" w:ascii="宋体" w:hAnsi="宋体" w:cs="宋体"/>
                <w:color w:val="auto"/>
                <w:kern w:val="0"/>
                <w:sz w:val="18"/>
                <w:szCs w:val="18"/>
              </w:rPr>
              <w:t>务业</w:t>
            </w:r>
          </w:p>
        </w:tc>
        <w:tc>
          <w:tcPr>
            <w:tcW w:w="1369" w:type="dxa"/>
            <w:vAlign w:val="center"/>
          </w:tcPr>
          <w:p w14:paraId="2E6C0895">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55E3F43B">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31797841">
            <w:pPr>
              <w:widowControl/>
              <w:jc w:val="center"/>
              <w:rPr>
                <w:rFonts w:ascii="宋体" w:hAnsi="宋体" w:cs="宋体"/>
                <w:color w:val="auto"/>
                <w:kern w:val="0"/>
                <w:sz w:val="18"/>
                <w:szCs w:val="18"/>
              </w:rPr>
            </w:pPr>
            <w:r>
              <w:rPr>
                <w:rFonts w:hint="eastAsia" w:ascii="宋体" w:hAnsi="宋体" w:cs="宋体"/>
                <w:color w:val="auto"/>
                <w:kern w:val="0"/>
                <w:sz w:val="18"/>
                <w:szCs w:val="18"/>
              </w:rPr>
              <w:t>X≥300</w:t>
            </w:r>
          </w:p>
        </w:tc>
        <w:tc>
          <w:tcPr>
            <w:tcW w:w="1701" w:type="dxa"/>
            <w:vAlign w:val="center"/>
          </w:tcPr>
          <w:p w14:paraId="4B026D41">
            <w:pPr>
              <w:widowControl/>
              <w:ind w:left="1" w:leftChars="-51" w:hanging="108" w:hangingChars="60"/>
              <w:jc w:val="center"/>
              <w:rPr>
                <w:rFonts w:ascii="宋体" w:hAnsi="宋体" w:cs="宋体"/>
                <w:color w:val="auto"/>
                <w:kern w:val="0"/>
                <w:sz w:val="18"/>
                <w:szCs w:val="18"/>
              </w:rPr>
            </w:pPr>
            <w:r>
              <w:rPr>
                <w:rFonts w:hint="eastAsia" w:ascii="宋体" w:hAnsi="宋体" w:cs="宋体"/>
                <w:color w:val="auto"/>
                <w:kern w:val="0"/>
                <w:sz w:val="18"/>
                <w:szCs w:val="18"/>
              </w:rPr>
              <w:t xml:space="preserve">100≤X＜300 </w:t>
            </w:r>
          </w:p>
        </w:tc>
        <w:tc>
          <w:tcPr>
            <w:tcW w:w="1426" w:type="dxa"/>
            <w:vAlign w:val="center"/>
          </w:tcPr>
          <w:p w14:paraId="30403315">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10≤X＜100</w:t>
            </w:r>
          </w:p>
        </w:tc>
        <w:tc>
          <w:tcPr>
            <w:tcW w:w="992" w:type="dxa"/>
            <w:vAlign w:val="center"/>
          </w:tcPr>
          <w:p w14:paraId="6B43E6DD">
            <w:pPr>
              <w:widowControl/>
              <w:jc w:val="center"/>
              <w:rPr>
                <w:rFonts w:ascii="宋体" w:hAnsi="宋体" w:cs="宋体"/>
                <w:color w:val="auto"/>
                <w:kern w:val="0"/>
                <w:sz w:val="18"/>
                <w:szCs w:val="18"/>
              </w:rPr>
            </w:pPr>
            <w:r>
              <w:rPr>
                <w:rFonts w:hint="eastAsia" w:ascii="宋体" w:hAnsi="宋体" w:cs="宋体"/>
                <w:color w:val="auto"/>
                <w:kern w:val="0"/>
                <w:sz w:val="18"/>
                <w:szCs w:val="18"/>
              </w:rPr>
              <w:t>X＜10</w:t>
            </w:r>
          </w:p>
        </w:tc>
      </w:tr>
      <w:tr w14:paraId="23FA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21D5B6B1">
            <w:pPr>
              <w:widowControl/>
              <w:jc w:val="left"/>
              <w:rPr>
                <w:rFonts w:ascii="宋体" w:hAnsi="宋体" w:cs="宋体"/>
                <w:color w:val="auto"/>
                <w:spacing w:val="-12"/>
                <w:kern w:val="0"/>
                <w:sz w:val="18"/>
                <w:szCs w:val="18"/>
              </w:rPr>
            </w:pPr>
          </w:p>
        </w:tc>
        <w:tc>
          <w:tcPr>
            <w:tcW w:w="1369" w:type="dxa"/>
            <w:vAlign w:val="center"/>
          </w:tcPr>
          <w:p w14:paraId="07B8F278">
            <w:pPr>
              <w:widowControl/>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48EC22ED">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0FC1F942">
            <w:pPr>
              <w:widowControl/>
              <w:jc w:val="center"/>
              <w:rPr>
                <w:rFonts w:ascii="宋体" w:hAnsi="宋体" w:cs="宋体"/>
                <w:color w:val="auto"/>
                <w:kern w:val="0"/>
                <w:sz w:val="18"/>
                <w:szCs w:val="18"/>
              </w:rPr>
            </w:pPr>
            <w:r>
              <w:rPr>
                <w:rFonts w:hint="eastAsia" w:ascii="宋体" w:hAnsi="宋体" w:cs="宋体"/>
                <w:color w:val="auto"/>
                <w:kern w:val="0"/>
                <w:sz w:val="18"/>
                <w:szCs w:val="18"/>
              </w:rPr>
              <w:t>Y≥10000</w:t>
            </w:r>
          </w:p>
        </w:tc>
        <w:tc>
          <w:tcPr>
            <w:tcW w:w="1701" w:type="dxa"/>
            <w:vAlign w:val="center"/>
          </w:tcPr>
          <w:p w14:paraId="0A3D4B03">
            <w:pPr>
              <w:widowControl/>
              <w:jc w:val="center"/>
              <w:rPr>
                <w:rFonts w:ascii="宋体" w:hAnsi="宋体" w:cs="宋体"/>
                <w:color w:val="auto"/>
                <w:kern w:val="0"/>
                <w:sz w:val="18"/>
                <w:szCs w:val="18"/>
              </w:rPr>
            </w:pPr>
            <w:r>
              <w:rPr>
                <w:rFonts w:hint="eastAsia" w:ascii="宋体" w:hAnsi="宋体" w:cs="宋体"/>
                <w:color w:val="auto"/>
                <w:kern w:val="0"/>
                <w:sz w:val="18"/>
                <w:szCs w:val="18"/>
              </w:rPr>
              <w:t>1000≤Y＜10000</w:t>
            </w:r>
          </w:p>
        </w:tc>
        <w:tc>
          <w:tcPr>
            <w:tcW w:w="1426" w:type="dxa"/>
            <w:vAlign w:val="center"/>
          </w:tcPr>
          <w:p w14:paraId="642AC01E">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50≤Y＜1000</w:t>
            </w:r>
          </w:p>
        </w:tc>
        <w:tc>
          <w:tcPr>
            <w:tcW w:w="992" w:type="dxa"/>
            <w:vAlign w:val="center"/>
          </w:tcPr>
          <w:p w14:paraId="3D882FFA">
            <w:pPr>
              <w:widowControl/>
              <w:jc w:val="center"/>
              <w:rPr>
                <w:rFonts w:ascii="宋体" w:hAnsi="宋体" w:cs="宋体"/>
                <w:color w:val="auto"/>
                <w:kern w:val="0"/>
                <w:sz w:val="18"/>
                <w:szCs w:val="18"/>
              </w:rPr>
            </w:pPr>
            <w:r>
              <w:rPr>
                <w:rFonts w:hint="eastAsia" w:ascii="宋体" w:hAnsi="宋体" w:cs="宋体"/>
                <w:color w:val="auto"/>
                <w:kern w:val="0"/>
                <w:sz w:val="18"/>
                <w:szCs w:val="18"/>
              </w:rPr>
              <w:t>Y＜50</w:t>
            </w:r>
          </w:p>
        </w:tc>
      </w:tr>
      <w:tr w14:paraId="7132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755506CC">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房地产开发经营</w:t>
            </w:r>
          </w:p>
        </w:tc>
        <w:tc>
          <w:tcPr>
            <w:tcW w:w="1369" w:type="dxa"/>
            <w:vAlign w:val="center"/>
          </w:tcPr>
          <w:p w14:paraId="770E9FC6">
            <w:pPr>
              <w:widowControl/>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390149AE">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38EA911A">
            <w:pPr>
              <w:widowControl/>
              <w:jc w:val="center"/>
              <w:rPr>
                <w:rFonts w:ascii="宋体" w:hAnsi="宋体" w:cs="宋体"/>
                <w:color w:val="auto"/>
                <w:kern w:val="0"/>
                <w:sz w:val="18"/>
                <w:szCs w:val="18"/>
              </w:rPr>
            </w:pPr>
            <w:r>
              <w:rPr>
                <w:rFonts w:hint="eastAsia" w:ascii="宋体" w:hAnsi="宋体" w:cs="宋体"/>
                <w:color w:val="auto"/>
                <w:kern w:val="0"/>
                <w:sz w:val="18"/>
                <w:szCs w:val="18"/>
              </w:rPr>
              <w:t>Y≥200000</w:t>
            </w:r>
          </w:p>
        </w:tc>
        <w:tc>
          <w:tcPr>
            <w:tcW w:w="1701" w:type="dxa"/>
            <w:vAlign w:val="center"/>
          </w:tcPr>
          <w:p w14:paraId="1A9F5B31">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1000≤Y＜200000</w:t>
            </w:r>
          </w:p>
        </w:tc>
        <w:tc>
          <w:tcPr>
            <w:tcW w:w="1426" w:type="dxa"/>
            <w:vAlign w:val="center"/>
          </w:tcPr>
          <w:p w14:paraId="56E5753A">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100≤Y＜1000</w:t>
            </w:r>
          </w:p>
        </w:tc>
        <w:tc>
          <w:tcPr>
            <w:tcW w:w="992" w:type="dxa"/>
            <w:vAlign w:val="center"/>
          </w:tcPr>
          <w:p w14:paraId="597119A0">
            <w:pPr>
              <w:widowControl/>
              <w:jc w:val="center"/>
              <w:rPr>
                <w:rFonts w:ascii="宋体" w:hAnsi="宋体" w:cs="宋体"/>
                <w:color w:val="auto"/>
                <w:kern w:val="0"/>
                <w:sz w:val="18"/>
                <w:szCs w:val="18"/>
              </w:rPr>
            </w:pPr>
            <w:r>
              <w:rPr>
                <w:rFonts w:hint="eastAsia" w:ascii="宋体" w:hAnsi="宋体" w:cs="宋体"/>
                <w:color w:val="auto"/>
                <w:kern w:val="0"/>
                <w:sz w:val="18"/>
                <w:szCs w:val="18"/>
              </w:rPr>
              <w:t>Y＜100</w:t>
            </w:r>
          </w:p>
        </w:tc>
      </w:tr>
      <w:tr w14:paraId="6DCF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61FC812C">
            <w:pPr>
              <w:widowControl/>
              <w:jc w:val="left"/>
              <w:rPr>
                <w:rFonts w:ascii="宋体" w:hAnsi="宋体" w:cs="宋体"/>
                <w:color w:val="auto"/>
                <w:kern w:val="0"/>
                <w:sz w:val="18"/>
                <w:szCs w:val="18"/>
              </w:rPr>
            </w:pPr>
          </w:p>
        </w:tc>
        <w:tc>
          <w:tcPr>
            <w:tcW w:w="1369" w:type="dxa"/>
            <w:vAlign w:val="center"/>
          </w:tcPr>
          <w:p w14:paraId="2A3DD14E">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资产总额</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Z</w:t>
            </w:r>
            <w:r>
              <w:rPr>
                <w:rFonts w:hint="eastAsia" w:ascii="宋体" w:hAnsi="宋体" w:cs="宋体"/>
                <w:color w:val="auto"/>
                <w:kern w:val="0"/>
                <w:sz w:val="18"/>
                <w:szCs w:val="18"/>
                <w:lang w:eastAsia="zh-CN"/>
              </w:rPr>
              <w:t>）</w:t>
            </w:r>
          </w:p>
        </w:tc>
        <w:tc>
          <w:tcPr>
            <w:tcW w:w="709" w:type="dxa"/>
            <w:vAlign w:val="center"/>
          </w:tcPr>
          <w:p w14:paraId="2D9CEFCC">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48D76E9D">
            <w:pPr>
              <w:widowControl/>
              <w:jc w:val="center"/>
              <w:rPr>
                <w:rFonts w:ascii="宋体" w:hAnsi="宋体" w:cs="宋体"/>
                <w:color w:val="auto"/>
                <w:kern w:val="0"/>
                <w:sz w:val="18"/>
                <w:szCs w:val="18"/>
              </w:rPr>
            </w:pPr>
            <w:r>
              <w:rPr>
                <w:rFonts w:hint="eastAsia" w:ascii="宋体" w:hAnsi="宋体" w:cs="宋体"/>
                <w:color w:val="auto"/>
                <w:kern w:val="0"/>
                <w:sz w:val="18"/>
                <w:szCs w:val="18"/>
              </w:rPr>
              <w:t>Z≥10000</w:t>
            </w:r>
          </w:p>
        </w:tc>
        <w:tc>
          <w:tcPr>
            <w:tcW w:w="1701" w:type="dxa"/>
            <w:vAlign w:val="center"/>
          </w:tcPr>
          <w:p w14:paraId="3DE207E7">
            <w:pPr>
              <w:widowControl/>
              <w:jc w:val="center"/>
              <w:rPr>
                <w:rFonts w:ascii="宋体" w:hAnsi="宋体" w:cs="宋体"/>
                <w:color w:val="auto"/>
                <w:kern w:val="0"/>
                <w:sz w:val="18"/>
                <w:szCs w:val="18"/>
              </w:rPr>
            </w:pPr>
            <w:r>
              <w:rPr>
                <w:rFonts w:hint="eastAsia" w:ascii="宋体" w:hAnsi="宋体" w:cs="宋体"/>
                <w:color w:val="auto"/>
                <w:kern w:val="0"/>
                <w:sz w:val="18"/>
                <w:szCs w:val="18"/>
              </w:rPr>
              <w:t>5000≤Z＜10000</w:t>
            </w:r>
          </w:p>
        </w:tc>
        <w:tc>
          <w:tcPr>
            <w:tcW w:w="1426" w:type="dxa"/>
            <w:vAlign w:val="center"/>
          </w:tcPr>
          <w:p w14:paraId="0C5BDF13">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2000≤Z＜5000   </w:t>
            </w:r>
          </w:p>
        </w:tc>
        <w:tc>
          <w:tcPr>
            <w:tcW w:w="992" w:type="dxa"/>
            <w:vAlign w:val="center"/>
          </w:tcPr>
          <w:p w14:paraId="3A52E922">
            <w:pPr>
              <w:widowControl/>
              <w:jc w:val="center"/>
              <w:rPr>
                <w:rFonts w:ascii="宋体" w:hAnsi="宋体" w:cs="宋体"/>
                <w:color w:val="auto"/>
                <w:kern w:val="0"/>
                <w:sz w:val="18"/>
                <w:szCs w:val="18"/>
              </w:rPr>
            </w:pPr>
            <w:r>
              <w:rPr>
                <w:rFonts w:hint="eastAsia" w:ascii="宋体" w:hAnsi="宋体" w:cs="宋体"/>
                <w:color w:val="auto"/>
                <w:kern w:val="0"/>
                <w:sz w:val="18"/>
                <w:szCs w:val="18"/>
              </w:rPr>
              <w:t>Z＜2000</w:t>
            </w:r>
          </w:p>
        </w:tc>
      </w:tr>
      <w:tr w14:paraId="6B8E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68762902">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物业管理</w:t>
            </w:r>
          </w:p>
        </w:tc>
        <w:tc>
          <w:tcPr>
            <w:tcW w:w="1369" w:type="dxa"/>
            <w:vAlign w:val="center"/>
          </w:tcPr>
          <w:p w14:paraId="3F0497C9">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50C27993">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55DCC32C">
            <w:pPr>
              <w:widowControl/>
              <w:jc w:val="center"/>
              <w:rPr>
                <w:rFonts w:ascii="宋体" w:hAnsi="宋体" w:cs="宋体"/>
                <w:color w:val="auto"/>
                <w:kern w:val="0"/>
                <w:sz w:val="18"/>
                <w:szCs w:val="18"/>
              </w:rPr>
            </w:pPr>
            <w:r>
              <w:rPr>
                <w:rFonts w:hint="eastAsia" w:ascii="宋体" w:hAnsi="宋体" w:cs="宋体"/>
                <w:color w:val="auto"/>
                <w:kern w:val="0"/>
                <w:sz w:val="18"/>
                <w:szCs w:val="18"/>
              </w:rPr>
              <w:t>X≥1000</w:t>
            </w:r>
          </w:p>
        </w:tc>
        <w:tc>
          <w:tcPr>
            <w:tcW w:w="1701" w:type="dxa"/>
            <w:vAlign w:val="center"/>
          </w:tcPr>
          <w:p w14:paraId="7AE6B8E4">
            <w:pPr>
              <w:widowControl/>
              <w:jc w:val="center"/>
              <w:rPr>
                <w:rFonts w:ascii="宋体" w:hAnsi="宋体" w:cs="宋体"/>
                <w:color w:val="auto"/>
                <w:kern w:val="0"/>
                <w:sz w:val="18"/>
                <w:szCs w:val="18"/>
              </w:rPr>
            </w:pPr>
            <w:r>
              <w:rPr>
                <w:rFonts w:hint="eastAsia" w:ascii="宋体" w:hAnsi="宋体" w:cs="宋体"/>
                <w:color w:val="auto"/>
                <w:kern w:val="0"/>
                <w:sz w:val="18"/>
                <w:szCs w:val="18"/>
              </w:rPr>
              <w:t>300≤X＜1000</w:t>
            </w:r>
          </w:p>
        </w:tc>
        <w:tc>
          <w:tcPr>
            <w:tcW w:w="1426" w:type="dxa"/>
            <w:vAlign w:val="center"/>
          </w:tcPr>
          <w:p w14:paraId="1F4877A4">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100≤X＜300 </w:t>
            </w:r>
          </w:p>
        </w:tc>
        <w:tc>
          <w:tcPr>
            <w:tcW w:w="992" w:type="dxa"/>
            <w:vAlign w:val="center"/>
          </w:tcPr>
          <w:p w14:paraId="0632C7EF">
            <w:pPr>
              <w:widowControl/>
              <w:jc w:val="center"/>
              <w:rPr>
                <w:rFonts w:ascii="宋体" w:hAnsi="宋体" w:cs="宋体"/>
                <w:color w:val="auto"/>
                <w:kern w:val="0"/>
                <w:sz w:val="18"/>
                <w:szCs w:val="18"/>
              </w:rPr>
            </w:pPr>
            <w:r>
              <w:rPr>
                <w:rFonts w:hint="eastAsia" w:ascii="宋体" w:hAnsi="宋体" w:cs="宋体"/>
                <w:color w:val="auto"/>
                <w:kern w:val="0"/>
                <w:sz w:val="18"/>
                <w:szCs w:val="18"/>
              </w:rPr>
              <w:t>X＜100</w:t>
            </w:r>
          </w:p>
        </w:tc>
      </w:tr>
      <w:tr w14:paraId="0A0B2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45697448">
            <w:pPr>
              <w:widowControl/>
              <w:jc w:val="left"/>
              <w:rPr>
                <w:rFonts w:ascii="宋体" w:hAnsi="宋体" w:cs="宋体"/>
                <w:color w:val="auto"/>
                <w:kern w:val="0"/>
                <w:sz w:val="18"/>
                <w:szCs w:val="18"/>
              </w:rPr>
            </w:pPr>
          </w:p>
        </w:tc>
        <w:tc>
          <w:tcPr>
            <w:tcW w:w="1369" w:type="dxa"/>
            <w:vAlign w:val="center"/>
          </w:tcPr>
          <w:p w14:paraId="3F13FC4F">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营业收入</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Y</w:t>
            </w:r>
            <w:r>
              <w:rPr>
                <w:rFonts w:hint="eastAsia" w:ascii="宋体" w:hAnsi="宋体" w:cs="宋体"/>
                <w:color w:val="auto"/>
                <w:kern w:val="0"/>
                <w:sz w:val="18"/>
                <w:szCs w:val="18"/>
                <w:lang w:eastAsia="zh-CN"/>
              </w:rPr>
              <w:t>）</w:t>
            </w:r>
          </w:p>
        </w:tc>
        <w:tc>
          <w:tcPr>
            <w:tcW w:w="709" w:type="dxa"/>
            <w:vAlign w:val="center"/>
          </w:tcPr>
          <w:p w14:paraId="486B5329">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27473F46">
            <w:pPr>
              <w:widowControl/>
              <w:jc w:val="center"/>
              <w:rPr>
                <w:rFonts w:ascii="宋体" w:hAnsi="宋体" w:cs="宋体"/>
                <w:color w:val="auto"/>
                <w:kern w:val="0"/>
                <w:sz w:val="18"/>
                <w:szCs w:val="18"/>
              </w:rPr>
            </w:pPr>
            <w:r>
              <w:rPr>
                <w:rFonts w:hint="eastAsia" w:ascii="宋体" w:hAnsi="宋体" w:cs="宋体"/>
                <w:color w:val="auto"/>
                <w:kern w:val="0"/>
                <w:sz w:val="18"/>
                <w:szCs w:val="18"/>
              </w:rPr>
              <w:t>Y≥5000</w:t>
            </w:r>
          </w:p>
        </w:tc>
        <w:tc>
          <w:tcPr>
            <w:tcW w:w="1701" w:type="dxa"/>
            <w:vAlign w:val="center"/>
          </w:tcPr>
          <w:p w14:paraId="6C2951E1">
            <w:pPr>
              <w:widowControl/>
              <w:ind w:left="1" w:leftChars="-51" w:hanging="108" w:hangingChars="60"/>
              <w:jc w:val="center"/>
              <w:rPr>
                <w:rFonts w:ascii="宋体" w:hAnsi="宋体" w:cs="宋体"/>
                <w:color w:val="auto"/>
                <w:kern w:val="0"/>
                <w:sz w:val="18"/>
                <w:szCs w:val="18"/>
              </w:rPr>
            </w:pPr>
            <w:r>
              <w:rPr>
                <w:rFonts w:hint="eastAsia" w:ascii="宋体" w:hAnsi="宋体" w:cs="宋体"/>
                <w:color w:val="auto"/>
                <w:kern w:val="0"/>
                <w:sz w:val="18"/>
                <w:szCs w:val="18"/>
              </w:rPr>
              <w:t xml:space="preserve">1000≤Y＜5000 </w:t>
            </w:r>
          </w:p>
        </w:tc>
        <w:tc>
          <w:tcPr>
            <w:tcW w:w="1426" w:type="dxa"/>
            <w:vAlign w:val="center"/>
          </w:tcPr>
          <w:p w14:paraId="38951F3C">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500≤Y＜1000</w:t>
            </w:r>
          </w:p>
        </w:tc>
        <w:tc>
          <w:tcPr>
            <w:tcW w:w="992" w:type="dxa"/>
            <w:vAlign w:val="center"/>
          </w:tcPr>
          <w:p w14:paraId="2F8503EE">
            <w:pPr>
              <w:widowControl/>
              <w:jc w:val="center"/>
              <w:rPr>
                <w:rFonts w:ascii="宋体" w:hAnsi="宋体" w:cs="宋体"/>
                <w:color w:val="auto"/>
                <w:kern w:val="0"/>
                <w:sz w:val="18"/>
                <w:szCs w:val="18"/>
              </w:rPr>
            </w:pPr>
            <w:r>
              <w:rPr>
                <w:rFonts w:hint="eastAsia" w:ascii="宋体" w:hAnsi="宋体" w:cs="宋体"/>
                <w:color w:val="auto"/>
                <w:kern w:val="0"/>
                <w:sz w:val="18"/>
                <w:szCs w:val="18"/>
              </w:rPr>
              <w:t>Y＜500</w:t>
            </w:r>
          </w:p>
        </w:tc>
      </w:tr>
      <w:tr w14:paraId="26131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24F0524C">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租赁和商务服务业</w:t>
            </w:r>
          </w:p>
        </w:tc>
        <w:tc>
          <w:tcPr>
            <w:tcW w:w="1369" w:type="dxa"/>
            <w:vAlign w:val="center"/>
          </w:tcPr>
          <w:p w14:paraId="20A1AFF2">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63007201">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2BFE7BA7">
            <w:pPr>
              <w:widowControl/>
              <w:jc w:val="center"/>
              <w:rPr>
                <w:rFonts w:ascii="宋体" w:hAnsi="宋体" w:cs="宋体"/>
                <w:color w:val="auto"/>
                <w:kern w:val="0"/>
                <w:sz w:val="18"/>
                <w:szCs w:val="18"/>
              </w:rPr>
            </w:pPr>
            <w:r>
              <w:rPr>
                <w:rFonts w:hint="eastAsia" w:ascii="宋体" w:hAnsi="宋体" w:cs="宋体"/>
                <w:color w:val="auto"/>
                <w:kern w:val="0"/>
                <w:sz w:val="18"/>
                <w:szCs w:val="18"/>
              </w:rPr>
              <w:t>X≥300</w:t>
            </w:r>
          </w:p>
        </w:tc>
        <w:tc>
          <w:tcPr>
            <w:tcW w:w="1701" w:type="dxa"/>
            <w:vAlign w:val="center"/>
          </w:tcPr>
          <w:p w14:paraId="481CDC37">
            <w:pPr>
              <w:widowControl/>
              <w:ind w:left="1" w:leftChars="-51" w:hanging="108" w:hangingChars="60"/>
              <w:jc w:val="center"/>
              <w:rPr>
                <w:rFonts w:ascii="宋体" w:hAnsi="宋体" w:cs="宋体"/>
                <w:color w:val="auto"/>
                <w:kern w:val="0"/>
                <w:sz w:val="18"/>
                <w:szCs w:val="18"/>
              </w:rPr>
            </w:pPr>
            <w:r>
              <w:rPr>
                <w:rFonts w:hint="eastAsia" w:ascii="宋体" w:hAnsi="宋体" w:cs="宋体"/>
                <w:color w:val="auto"/>
                <w:kern w:val="0"/>
                <w:sz w:val="18"/>
                <w:szCs w:val="18"/>
              </w:rPr>
              <w:t xml:space="preserve">100≤X＜300 </w:t>
            </w:r>
          </w:p>
        </w:tc>
        <w:tc>
          <w:tcPr>
            <w:tcW w:w="1426" w:type="dxa"/>
            <w:vAlign w:val="center"/>
          </w:tcPr>
          <w:p w14:paraId="0A8DE6CD">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10≤X＜100</w:t>
            </w:r>
          </w:p>
        </w:tc>
        <w:tc>
          <w:tcPr>
            <w:tcW w:w="992" w:type="dxa"/>
            <w:vAlign w:val="center"/>
          </w:tcPr>
          <w:p w14:paraId="48E5CE6C">
            <w:pPr>
              <w:widowControl/>
              <w:jc w:val="center"/>
              <w:rPr>
                <w:rFonts w:ascii="宋体" w:hAnsi="宋体" w:cs="宋体"/>
                <w:color w:val="auto"/>
                <w:kern w:val="0"/>
                <w:sz w:val="18"/>
                <w:szCs w:val="18"/>
              </w:rPr>
            </w:pPr>
            <w:r>
              <w:rPr>
                <w:rFonts w:hint="eastAsia" w:ascii="宋体" w:hAnsi="宋体" w:cs="宋体"/>
                <w:color w:val="auto"/>
                <w:kern w:val="0"/>
                <w:sz w:val="18"/>
                <w:szCs w:val="18"/>
              </w:rPr>
              <w:t>X＜10</w:t>
            </w:r>
          </w:p>
        </w:tc>
      </w:tr>
      <w:tr w14:paraId="615C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15DF4392">
            <w:pPr>
              <w:widowControl/>
              <w:jc w:val="left"/>
              <w:rPr>
                <w:rFonts w:ascii="宋体" w:hAnsi="宋体" w:cs="宋体"/>
                <w:color w:val="auto"/>
                <w:kern w:val="0"/>
                <w:sz w:val="18"/>
                <w:szCs w:val="18"/>
              </w:rPr>
            </w:pPr>
          </w:p>
        </w:tc>
        <w:tc>
          <w:tcPr>
            <w:tcW w:w="1369" w:type="dxa"/>
            <w:vAlign w:val="center"/>
          </w:tcPr>
          <w:p w14:paraId="4D69E35A">
            <w:pPr>
              <w:widowControl/>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资产总额</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Z</w:t>
            </w:r>
            <w:r>
              <w:rPr>
                <w:rFonts w:hint="eastAsia" w:ascii="宋体" w:hAnsi="宋体" w:cs="宋体"/>
                <w:color w:val="auto"/>
                <w:kern w:val="0"/>
                <w:sz w:val="18"/>
                <w:szCs w:val="18"/>
                <w:lang w:eastAsia="zh-CN"/>
              </w:rPr>
              <w:t>）</w:t>
            </w:r>
          </w:p>
        </w:tc>
        <w:tc>
          <w:tcPr>
            <w:tcW w:w="709" w:type="dxa"/>
            <w:vAlign w:val="center"/>
          </w:tcPr>
          <w:p w14:paraId="121A8DC6">
            <w:pPr>
              <w:widowControl/>
              <w:jc w:val="center"/>
              <w:rPr>
                <w:rFonts w:ascii="宋体" w:hAnsi="宋体" w:cs="宋体"/>
                <w:color w:val="auto"/>
                <w:kern w:val="0"/>
                <w:sz w:val="18"/>
                <w:szCs w:val="18"/>
              </w:rPr>
            </w:pPr>
            <w:r>
              <w:rPr>
                <w:rFonts w:hint="eastAsia" w:ascii="宋体" w:hAnsi="宋体" w:cs="宋体"/>
                <w:color w:val="auto"/>
                <w:kern w:val="0"/>
                <w:sz w:val="18"/>
                <w:szCs w:val="18"/>
              </w:rPr>
              <w:t>万元</w:t>
            </w:r>
          </w:p>
        </w:tc>
        <w:tc>
          <w:tcPr>
            <w:tcW w:w="1125" w:type="dxa"/>
            <w:vAlign w:val="center"/>
          </w:tcPr>
          <w:p w14:paraId="67CD90DC">
            <w:pPr>
              <w:widowControl/>
              <w:jc w:val="center"/>
              <w:rPr>
                <w:rFonts w:ascii="宋体" w:hAnsi="宋体" w:cs="宋体"/>
                <w:color w:val="auto"/>
                <w:kern w:val="0"/>
                <w:sz w:val="18"/>
                <w:szCs w:val="18"/>
              </w:rPr>
            </w:pPr>
            <w:r>
              <w:rPr>
                <w:rFonts w:hint="eastAsia" w:ascii="宋体" w:hAnsi="宋体" w:cs="宋体"/>
                <w:color w:val="auto"/>
                <w:kern w:val="0"/>
                <w:sz w:val="18"/>
                <w:szCs w:val="18"/>
              </w:rPr>
              <w:t>Z≥120000</w:t>
            </w:r>
          </w:p>
        </w:tc>
        <w:tc>
          <w:tcPr>
            <w:tcW w:w="1701" w:type="dxa"/>
            <w:vAlign w:val="center"/>
          </w:tcPr>
          <w:p w14:paraId="6799C430">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8000≤Z＜120000</w:t>
            </w:r>
          </w:p>
        </w:tc>
        <w:tc>
          <w:tcPr>
            <w:tcW w:w="1426" w:type="dxa"/>
            <w:vAlign w:val="center"/>
          </w:tcPr>
          <w:p w14:paraId="168BED3E">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100≤Z＜8000</w:t>
            </w:r>
          </w:p>
        </w:tc>
        <w:tc>
          <w:tcPr>
            <w:tcW w:w="992" w:type="dxa"/>
            <w:vAlign w:val="center"/>
          </w:tcPr>
          <w:p w14:paraId="0BD3DD9A">
            <w:pPr>
              <w:widowControl/>
              <w:jc w:val="center"/>
              <w:rPr>
                <w:rFonts w:ascii="宋体" w:hAnsi="宋体" w:cs="宋体"/>
                <w:color w:val="auto"/>
                <w:kern w:val="0"/>
                <w:sz w:val="18"/>
                <w:szCs w:val="18"/>
              </w:rPr>
            </w:pPr>
            <w:r>
              <w:rPr>
                <w:rFonts w:hint="eastAsia" w:ascii="宋体" w:hAnsi="宋体" w:cs="宋体"/>
                <w:color w:val="auto"/>
                <w:kern w:val="0"/>
                <w:sz w:val="18"/>
                <w:szCs w:val="18"/>
              </w:rPr>
              <w:t>Z＜100</w:t>
            </w:r>
          </w:p>
        </w:tc>
      </w:tr>
      <w:tr w14:paraId="79FE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1838" w:type="dxa"/>
            <w:vAlign w:val="center"/>
          </w:tcPr>
          <w:p w14:paraId="1BA9C18A">
            <w:pPr>
              <w:widowControl/>
              <w:spacing w:line="240" w:lineRule="exact"/>
              <w:jc w:val="left"/>
              <w:rPr>
                <w:rFonts w:ascii="宋体" w:hAnsi="宋体" w:cs="宋体"/>
                <w:color w:val="auto"/>
                <w:kern w:val="0"/>
                <w:sz w:val="18"/>
                <w:szCs w:val="18"/>
              </w:rPr>
            </w:pPr>
            <w:r>
              <w:rPr>
                <w:rFonts w:hint="eastAsia" w:ascii="宋体" w:hAnsi="宋体" w:cs="宋体"/>
                <w:color w:val="auto"/>
                <w:kern w:val="0"/>
                <w:sz w:val="18"/>
                <w:szCs w:val="18"/>
              </w:rPr>
              <w:t>其他未列明行业 *</w:t>
            </w:r>
          </w:p>
        </w:tc>
        <w:tc>
          <w:tcPr>
            <w:tcW w:w="1369" w:type="dxa"/>
            <w:vAlign w:val="center"/>
          </w:tcPr>
          <w:p w14:paraId="7A755279">
            <w:pPr>
              <w:widowControl/>
              <w:jc w:val="center"/>
              <w:rPr>
                <w:rFonts w:ascii="宋体" w:hAnsi="宋体" w:cs="宋体"/>
                <w:color w:val="auto"/>
                <w:kern w:val="0"/>
                <w:sz w:val="18"/>
                <w:szCs w:val="18"/>
              </w:rPr>
            </w:pPr>
            <w:r>
              <w:rPr>
                <w:rFonts w:hint="eastAsia" w:ascii="宋体" w:hAnsi="宋体" w:cs="宋体"/>
                <w:color w:val="auto"/>
                <w:kern w:val="0"/>
                <w:sz w:val="18"/>
                <w:szCs w:val="18"/>
              </w:rPr>
              <w:t>从业人员</w:t>
            </w:r>
            <w:r>
              <w:rPr>
                <w:rFonts w:hint="eastAsia" w:ascii="宋体" w:hAnsi="宋体" w:cs="宋体"/>
                <w:color w:val="auto"/>
                <w:kern w:val="0"/>
                <w:sz w:val="18"/>
                <w:szCs w:val="18"/>
                <w:lang w:eastAsia="zh-CN"/>
              </w:rPr>
              <w:t>（</w:t>
            </w:r>
            <w:r>
              <w:rPr>
                <w:rFonts w:hint="eastAsia" w:ascii="宋体" w:hAnsi="宋体" w:cs="宋体"/>
                <w:color w:val="auto"/>
                <w:kern w:val="0"/>
                <w:sz w:val="18"/>
                <w:szCs w:val="18"/>
              </w:rPr>
              <w:t>X</w:t>
            </w:r>
            <w:r>
              <w:rPr>
                <w:rFonts w:hint="eastAsia" w:ascii="宋体" w:hAnsi="宋体" w:cs="宋体"/>
                <w:color w:val="auto"/>
                <w:kern w:val="0"/>
                <w:sz w:val="18"/>
                <w:szCs w:val="18"/>
                <w:lang w:eastAsia="zh-CN"/>
              </w:rPr>
              <w:t>）</w:t>
            </w:r>
          </w:p>
        </w:tc>
        <w:tc>
          <w:tcPr>
            <w:tcW w:w="709" w:type="dxa"/>
            <w:vAlign w:val="center"/>
          </w:tcPr>
          <w:p w14:paraId="34D50F6C">
            <w:pPr>
              <w:widowControl/>
              <w:jc w:val="center"/>
              <w:rPr>
                <w:rFonts w:ascii="宋体" w:hAnsi="宋体" w:cs="宋体"/>
                <w:color w:val="auto"/>
                <w:kern w:val="0"/>
                <w:sz w:val="18"/>
                <w:szCs w:val="18"/>
              </w:rPr>
            </w:pPr>
            <w:r>
              <w:rPr>
                <w:rFonts w:hint="eastAsia" w:ascii="宋体" w:hAnsi="宋体" w:cs="宋体"/>
                <w:color w:val="auto"/>
                <w:kern w:val="0"/>
                <w:sz w:val="18"/>
                <w:szCs w:val="18"/>
              </w:rPr>
              <w:t>人</w:t>
            </w:r>
          </w:p>
        </w:tc>
        <w:tc>
          <w:tcPr>
            <w:tcW w:w="1125" w:type="dxa"/>
            <w:vAlign w:val="center"/>
          </w:tcPr>
          <w:p w14:paraId="1B48C295">
            <w:pPr>
              <w:widowControl/>
              <w:jc w:val="center"/>
              <w:rPr>
                <w:rFonts w:ascii="宋体" w:hAnsi="宋体" w:cs="宋体"/>
                <w:color w:val="auto"/>
                <w:kern w:val="0"/>
                <w:sz w:val="18"/>
                <w:szCs w:val="18"/>
              </w:rPr>
            </w:pPr>
            <w:r>
              <w:rPr>
                <w:rFonts w:hint="eastAsia" w:ascii="宋体" w:hAnsi="宋体" w:cs="宋体"/>
                <w:color w:val="auto"/>
                <w:kern w:val="0"/>
                <w:sz w:val="18"/>
                <w:szCs w:val="18"/>
              </w:rPr>
              <w:t>X≥300</w:t>
            </w:r>
          </w:p>
        </w:tc>
        <w:tc>
          <w:tcPr>
            <w:tcW w:w="1701" w:type="dxa"/>
            <w:vAlign w:val="center"/>
          </w:tcPr>
          <w:p w14:paraId="2C22967A">
            <w:pPr>
              <w:widowControl/>
              <w:ind w:left="1" w:leftChars="-51" w:hanging="108" w:hangingChars="60"/>
              <w:jc w:val="center"/>
              <w:rPr>
                <w:rFonts w:ascii="宋体" w:hAnsi="宋体" w:cs="宋体"/>
                <w:color w:val="auto"/>
                <w:kern w:val="0"/>
                <w:sz w:val="18"/>
                <w:szCs w:val="18"/>
              </w:rPr>
            </w:pPr>
            <w:r>
              <w:rPr>
                <w:rFonts w:hint="eastAsia" w:ascii="宋体" w:hAnsi="宋体" w:cs="宋体"/>
                <w:color w:val="auto"/>
                <w:kern w:val="0"/>
                <w:sz w:val="18"/>
                <w:szCs w:val="18"/>
              </w:rPr>
              <w:t xml:space="preserve">100≤X＜300 </w:t>
            </w:r>
          </w:p>
        </w:tc>
        <w:tc>
          <w:tcPr>
            <w:tcW w:w="1426" w:type="dxa"/>
            <w:vAlign w:val="center"/>
          </w:tcPr>
          <w:p w14:paraId="2091AED7">
            <w:pPr>
              <w:widowControl/>
              <w:jc w:val="center"/>
              <w:rPr>
                <w:rFonts w:ascii="宋体" w:hAnsi="宋体" w:cs="宋体"/>
                <w:color w:val="auto"/>
                <w:kern w:val="0"/>
                <w:sz w:val="18"/>
                <w:szCs w:val="18"/>
              </w:rPr>
            </w:pPr>
            <w:r>
              <w:rPr>
                <w:rFonts w:hint="eastAsia" w:ascii="宋体" w:hAnsi="宋体" w:cs="宋体"/>
                <w:color w:val="auto"/>
                <w:kern w:val="0"/>
                <w:sz w:val="18"/>
                <w:szCs w:val="18"/>
              </w:rPr>
              <w:t xml:space="preserve"> 10≤X＜100</w:t>
            </w:r>
          </w:p>
        </w:tc>
        <w:tc>
          <w:tcPr>
            <w:tcW w:w="992" w:type="dxa"/>
            <w:vAlign w:val="center"/>
          </w:tcPr>
          <w:p w14:paraId="355E5EDA">
            <w:pPr>
              <w:widowControl/>
              <w:jc w:val="center"/>
              <w:rPr>
                <w:rFonts w:ascii="宋体" w:hAnsi="宋体" w:cs="宋体"/>
                <w:color w:val="auto"/>
                <w:kern w:val="0"/>
                <w:sz w:val="18"/>
                <w:szCs w:val="18"/>
              </w:rPr>
            </w:pPr>
            <w:r>
              <w:rPr>
                <w:rFonts w:hint="eastAsia" w:ascii="宋体" w:hAnsi="宋体" w:cs="宋体"/>
                <w:color w:val="auto"/>
                <w:kern w:val="0"/>
                <w:sz w:val="18"/>
                <w:szCs w:val="18"/>
              </w:rPr>
              <w:t>X＜10</w:t>
            </w:r>
          </w:p>
        </w:tc>
      </w:tr>
    </w:tbl>
    <w:p w14:paraId="1B0DED70">
      <w:pPr>
        <w:widowControl/>
        <w:spacing w:line="540" w:lineRule="exact"/>
        <w:rPr>
          <w:rFonts w:ascii="仿宋_GB2312" w:eastAsia="仿宋_GB2312" w:cs="宋体"/>
          <w:color w:val="auto"/>
          <w:spacing w:val="8"/>
          <w:kern w:val="0"/>
          <w:sz w:val="32"/>
          <w:szCs w:val="32"/>
        </w:rPr>
      </w:pPr>
    </w:p>
    <w:p w14:paraId="68863AC9">
      <w:pPr>
        <w:widowControl/>
        <w:spacing w:line="540" w:lineRule="exact"/>
        <w:rPr>
          <w:rFonts w:ascii="宋体" w:hAnsi="宋体" w:cs="宋体"/>
          <w:color w:val="auto"/>
          <w:kern w:val="0"/>
          <w:sz w:val="24"/>
          <w:szCs w:val="32"/>
        </w:rPr>
      </w:pPr>
      <w:r>
        <w:rPr>
          <w:rFonts w:hint="eastAsia" w:ascii="宋体" w:hAnsi="宋体" w:cs="宋体"/>
          <w:color w:val="auto"/>
          <w:kern w:val="0"/>
          <w:sz w:val="24"/>
          <w:szCs w:val="32"/>
        </w:rPr>
        <w:t>说明：</w:t>
      </w:r>
    </w:p>
    <w:p w14:paraId="1720E7AB">
      <w:pPr>
        <w:spacing w:line="540" w:lineRule="exact"/>
        <w:rPr>
          <w:rFonts w:ascii="宋体" w:hAnsi="宋体" w:cs="宋体"/>
          <w:color w:val="auto"/>
          <w:kern w:val="0"/>
          <w:sz w:val="24"/>
          <w:szCs w:val="32"/>
        </w:rPr>
      </w:pPr>
      <w:r>
        <w:rPr>
          <w:rFonts w:hint="eastAsia" w:ascii="宋体" w:hAnsi="宋体" w:cs="宋体"/>
          <w:color w:val="auto"/>
          <w:kern w:val="0"/>
          <w:sz w:val="24"/>
          <w:szCs w:val="32"/>
        </w:rPr>
        <w:t>　　</w:t>
      </w:r>
      <w:r>
        <w:rPr>
          <w:rFonts w:hint="eastAsia" w:ascii="宋体" w:hAnsi="宋体"/>
          <w:color w:val="auto"/>
          <w:kern w:val="0"/>
          <w:sz w:val="24"/>
          <w:szCs w:val="32"/>
        </w:rPr>
        <w:t>1.</w:t>
      </w:r>
      <w:r>
        <w:rPr>
          <w:rFonts w:hint="eastAsia" w:ascii="宋体" w:hAnsi="宋体" w:cs="宋体"/>
          <w:color w:val="auto"/>
          <w:kern w:val="0"/>
          <w:sz w:val="24"/>
          <w:szCs w:val="32"/>
        </w:rPr>
        <w:t>大型、中型和小型企业须同时满足所列指标的下限，否则下划一档；微型企业只需满足所列指标中的一项即可。</w:t>
      </w:r>
    </w:p>
    <w:p w14:paraId="2CAFF8D4">
      <w:pPr>
        <w:spacing w:line="540" w:lineRule="exact"/>
        <w:rPr>
          <w:rFonts w:ascii="宋体" w:hAnsi="宋体" w:cs="宋体"/>
          <w:color w:val="auto"/>
          <w:kern w:val="0"/>
          <w:sz w:val="24"/>
          <w:szCs w:val="32"/>
        </w:rPr>
      </w:pPr>
      <w:r>
        <w:rPr>
          <w:rFonts w:hint="eastAsia" w:ascii="宋体" w:hAnsi="宋体" w:cs="宋体"/>
          <w:color w:val="auto"/>
          <w:kern w:val="0"/>
          <w:sz w:val="24"/>
          <w:szCs w:val="32"/>
        </w:rPr>
        <w:t>　　</w:t>
      </w:r>
      <w:r>
        <w:rPr>
          <w:rFonts w:hint="eastAsia" w:ascii="宋体" w:hAnsi="宋体"/>
          <w:color w:val="auto"/>
          <w:kern w:val="0"/>
          <w:sz w:val="24"/>
          <w:szCs w:val="32"/>
        </w:rPr>
        <w:t>2.</w:t>
      </w:r>
      <w:r>
        <w:rPr>
          <w:rFonts w:hint="eastAsia" w:ascii="宋体" w:hAnsi="宋体" w:cs="宋体"/>
          <w:color w:val="auto"/>
          <w:kern w:val="0"/>
          <w:sz w:val="24"/>
          <w:szCs w:val="32"/>
        </w:rPr>
        <w:t>附表中各行业的范围以《国民经济行业分类》（</w:t>
      </w:r>
      <w:r>
        <w:rPr>
          <w:rFonts w:hint="eastAsia" w:ascii="宋体" w:hAnsi="宋体"/>
          <w:color w:val="auto"/>
          <w:kern w:val="0"/>
          <w:sz w:val="24"/>
          <w:szCs w:val="32"/>
        </w:rPr>
        <w:t>GB/T4754-2017</w:t>
      </w:r>
      <w:r>
        <w:rPr>
          <w:rFonts w:hint="eastAsia" w:ascii="宋体" w:hAnsi="宋体" w:cs="宋体"/>
          <w:color w:val="auto"/>
          <w:kern w:val="0"/>
          <w:sz w:val="24"/>
          <w:szCs w:val="32"/>
        </w:rPr>
        <w:t>）为准。带</w:t>
      </w:r>
      <w:r>
        <w:rPr>
          <w:rFonts w:hint="eastAsia" w:ascii="宋体" w:hAnsi="宋体"/>
          <w:color w:val="auto"/>
          <w:kern w:val="0"/>
          <w:sz w:val="24"/>
          <w:szCs w:val="32"/>
        </w:rPr>
        <w:t>*</w:t>
      </w:r>
      <w:r>
        <w:rPr>
          <w:rFonts w:hint="eastAsia" w:ascii="宋体" w:hAnsi="宋体" w:cs="宋体"/>
          <w:color w:val="auto"/>
          <w:kern w:val="0"/>
          <w:sz w:val="24"/>
          <w:szCs w:val="32"/>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9FF9593">
      <w:pPr>
        <w:spacing w:line="540" w:lineRule="exact"/>
        <w:rPr>
          <w:rFonts w:ascii="宋体" w:hAnsi="宋体" w:cs="宋体"/>
          <w:color w:val="auto"/>
          <w:kern w:val="0"/>
          <w:sz w:val="24"/>
          <w:szCs w:val="32"/>
        </w:rPr>
      </w:pPr>
      <w:r>
        <w:rPr>
          <w:rFonts w:hint="eastAsia" w:ascii="宋体" w:hAnsi="宋体" w:cs="宋体"/>
          <w:color w:val="auto"/>
          <w:kern w:val="0"/>
          <w:sz w:val="24"/>
          <w:szCs w:val="32"/>
        </w:rPr>
        <w:t>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CC24D1C">
      <w:pPr>
        <w:rPr>
          <w:color w:val="auto"/>
        </w:rPr>
      </w:pPr>
    </w:p>
    <w:p w14:paraId="5C62D4AA">
      <w:pPr>
        <w:pStyle w:val="15"/>
        <w:rPr>
          <w:color w:val="auto"/>
        </w:rPr>
      </w:pPr>
    </w:p>
    <w:p w14:paraId="07B48C1C">
      <w:pPr>
        <w:rPr>
          <w:color w:val="auto"/>
        </w:rPr>
      </w:pPr>
    </w:p>
    <w:p w14:paraId="256C36F4">
      <w:pPr>
        <w:pStyle w:val="15"/>
        <w:rPr>
          <w:color w:val="auto"/>
        </w:rPr>
      </w:pPr>
    </w:p>
    <w:p w14:paraId="3349AE6B">
      <w:pPr>
        <w:rPr>
          <w:color w:val="auto"/>
        </w:rPr>
      </w:pPr>
      <w:r>
        <w:rPr>
          <w:rFonts w:hint="eastAsia"/>
          <w:color w:val="auto"/>
        </w:rPr>
        <w:br w:type="page"/>
      </w:r>
    </w:p>
    <w:p w14:paraId="2F72C373">
      <w:pPr>
        <w:pStyle w:val="3"/>
        <w:numPr>
          <w:ilvl w:val="0"/>
          <w:numId w:val="0"/>
        </w:numPr>
        <w:tabs>
          <w:tab w:val="left" w:pos="360"/>
          <w:tab w:val="clear" w:pos="1021"/>
        </w:tabs>
        <w:spacing w:before="0"/>
        <w:jc w:val="center"/>
        <w:rPr>
          <w:rFonts w:ascii="宋体" w:hAnsi="宋体" w:eastAsia="宋体"/>
          <w:color w:val="auto"/>
          <w:szCs w:val="28"/>
        </w:rPr>
      </w:pPr>
      <w:bookmarkStart w:id="168" w:name="_Toc31402"/>
      <w:bookmarkStart w:id="169" w:name="_Toc7011"/>
      <w:bookmarkStart w:id="170" w:name="_Toc302"/>
      <w:bookmarkStart w:id="171" w:name="_Toc6816"/>
      <w:r>
        <w:rPr>
          <w:rFonts w:hint="eastAsia" w:ascii="宋体" w:hAnsi="宋体" w:eastAsia="宋体"/>
          <w:color w:val="auto"/>
          <w:szCs w:val="28"/>
        </w:rPr>
        <w:t>格式1</w:t>
      </w:r>
      <w:r>
        <w:rPr>
          <w:rFonts w:hint="eastAsia" w:ascii="宋体" w:hAnsi="宋体" w:eastAsia="宋体"/>
          <w:color w:val="auto"/>
          <w:szCs w:val="28"/>
          <w:lang w:val="en-US" w:eastAsia="zh-CN"/>
        </w:rPr>
        <w:t>4</w:t>
      </w:r>
      <w:r>
        <w:rPr>
          <w:rFonts w:hint="eastAsia" w:ascii="宋体" w:hAnsi="宋体" w:eastAsia="宋体"/>
          <w:color w:val="auto"/>
          <w:szCs w:val="28"/>
        </w:rPr>
        <w:t>：残疾人福利性单位声明函</w:t>
      </w:r>
      <w:bookmarkEnd w:id="163"/>
      <w:bookmarkEnd w:id="164"/>
      <w:bookmarkEnd w:id="165"/>
      <w:bookmarkEnd w:id="168"/>
      <w:bookmarkEnd w:id="169"/>
      <w:bookmarkEnd w:id="170"/>
      <w:bookmarkEnd w:id="171"/>
    </w:p>
    <w:p w14:paraId="1E474681">
      <w:pPr>
        <w:rPr>
          <w:color w:val="auto"/>
          <w:szCs w:val="20"/>
        </w:rPr>
      </w:pPr>
    </w:p>
    <w:p w14:paraId="55A93F83">
      <w:pPr>
        <w:rPr>
          <w:color w:val="auto"/>
          <w:szCs w:val="20"/>
        </w:rPr>
      </w:pPr>
    </w:p>
    <w:p w14:paraId="1C53F2B1">
      <w:pPr>
        <w:spacing w:line="360" w:lineRule="auto"/>
        <w:ind w:firstLine="504" w:firstLineChars="200"/>
        <w:rPr>
          <w:rFonts w:ascii="宋体" w:hAnsi="宋体" w:cs="仿宋"/>
          <w:color w:val="auto"/>
          <w:spacing w:val="6"/>
          <w:sz w:val="24"/>
        </w:rPr>
      </w:pPr>
      <w:r>
        <w:rPr>
          <w:rFonts w:hint="eastAsia" w:ascii="宋体" w:hAnsi="宋体" w:cs="仿宋"/>
          <w:color w:val="auto"/>
          <w:spacing w:val="6"/>
          <w:sz w:val="24"/>
        </w:rPr>
        <w:t>本单位郑重声明，参照《财政部 民政部 中国残疾人联合会关于促进残疾人就业政府采购政策的通知》（财库</w:t>
      </w:r>
      <w:r>
        <w:rPr>
          <w:rFonts w:hint="eastAsia" w:ascii="宋体" w:hAnsi="宋体" w:cs="仿宋"/>
          <w:color w:val="auto"/>
          <w:spacing w:val="6"/>
          <w:sz w:val="24"/>
          <w:lang w:eastAsia="zh-CN"/>
        </w:rPr>
        <w:t>〔2017〕141号</w:t>
      </w:r>
      <w:r>
        <w:rPr>
          <w:rFonts w:hint="eastAsia" w:ascii="宋体" w:hAnsi="宋体" w:cs="仿宋"/>
          <w:color w:val="auto"/>
          <w:spacing w:val="6"/>
          <w:sz w:val="24"/>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D73F103">
      <w:pPr>
        <w:spacing w:line="360" w:lineRule="auto"/>
        <w:ind w:firstLine="504" w:firstLineChars="200"/>
        <w:rPr>
          <w:rFonts w:ascii="宋体" w:hAnsi="宋体" w:cs="仿宋"/>
          <w:color w:val="auto"/>
          <w:spacing w:val="6"/>
          <w:sz w:val="24"/>
        </w:rPr>
      </w:pPr>
      <w:r>
        <w:rPr>
          <w:rFonts w:hint="eastAsia" w:ascii="宋体" w:hAnsi="宋体" w:cs="仿宋"/>
          <w:color w:val="auto"/>
          <w:spacing w:val="6"/>
          <w:sz w:val="24"/>
        </w:rPr>
        <w:t>本单位对上述声明的真实性负责。如有虚假，将依法承担相应责任。</w:t>
      </w:r>
    </w:p>
    <w:p w14:paraId="443A9D0B">
      <w:pPr>
        <w:widowControl/>
        <w:spacing w:line="400" w:lineRule="exact"/>
        <w:jc w:val="left"/>
        <w:rPr>
          <w:rFonts w:ascii="仿宋" w:hAnsi="仿宋" w:eastAsia="仿宋" w:cs="仿宋"/>
          <w:color w:val="auto"/>
          <w:kern w:val="0"/>
          <w:sz w:val="24"/>
          <w:szCs w:val="20"/>
        </w:rPr>
      </w:pPr>
    </w:p>
    <w:p w14:paraId="43F67939">
      <w:pPr>
        <w:widowControl/>
        <w:spacing w:line="400" w:lineRule="exact"/>
        <w:jc w:val="left"/>
        <w:rPr>
          <w:rFonts w:ascii="仿宋" w:hAnsi="仿宋" w:eastAsia="仿宋" w:cs="仿宋"/>
          <w:color w:val="auto"/>
          <w:kern w:val="0"/>
          <w:sz w:val="24"/>
          <w:szCs w:val="20"/>
        </w:rPr>
      </w:pPr>
    </w:p>
    <w:p w14:paraId="41A06954">
      <w:pPr>
        <w:widowControl/>
        <w:spacing w:line="400" w:lineRule="exact"/>
        <w:jc w:val="left"/>
        <w:rPr>
          <w:rFonts w:ascii="仿宋" w:hAnsi="仿宋" w:eastAsia="仿宋" w:cs="仿宋"/>
          <w:color w:val="auto"/>
          <w:kern w:val="0"/>
          <w:sz w:val="24"/>
          <w:szCs w:val="20"/>
        </w:rPr>
      </w:pPr>
    </w:p>
    <w:p w14:paraId="47DDA080">
      <w:pPr>
        <w:widowControl/>
        <w:spacing w:line="400" w:lineRule="exact"/>
        <w:jc w:val="left"/>
        <w:rPr>
          <w:rFonts w:ascii="仿宋" w:hAnsi="仿宋" w:eastAsia="仿宋" w:cs="仿宋"/>
          <w:color w:val="auto"/>
          <w:kern w:val="0"/>
          <w:sz w:val="24"/>
          <w:szCs w:val="20"/>
        </w:rPr>
      </w:pPr>
    </w:p>
    <w:p w14:paraId="5603A742">
      <w:pPr>
        <w:widowControl/>
        <w:spacing w:line="400" w:lineRule="exact"/>
        <w:jc w:val="left"/>
        <w:rPr>
          <w:rFonts w:ascii="仿宋" w:hAnsi="仿宋" w:eastAsia="仿宋" w:cs="仿宋"/>
          <w:color w:val="auto"/>
          <w:kern w:val="0"/>
          <w:sz w:val="24"/>
          <w:szCs w:val="20"/>
        </w:rPr>
      </w:pPr>
    </w:p>
    <w:p w14:paraId="4C336109">
      <w:pPr>
        <w:widowControl/>
        <w:spacing w:line="300" w:lineRule="auto"/>
        <w:jc w:val="left"/>
        <w:rPr>
          <w:rFonts w:ascii="宋体" w:hAnsi="宋体" w:cs="仿宋"/>
          <w:color w:val="auto"/>
          <w:kern w:val="0"/>
          <w:sz w:val="24"/>
        </w:rPr>
      </w:pPr>
      <w:r>
        <w:rPr>
          <w:rFonts w:hint="eastAsia" w:ascii="仿宋" w:hAnsi="仿宋" w:eastAsia="仿宋" w:cs="仿宋"/>
          <w:color w:val="auto"/>
          <w:kern w:val="0"/>
          <w:sz w:val="24"/>
          <w:szCs w:val="21"/>
        </w:rPr>
        <w:t>　　</w:t>
      </w:r>
    </w:p>
    <w:p w14:paraId="2D2ECAFC">
      <w:pPr>
        <w:shd w:val="clear" w:color="auto" w:fill="FFFFFF"/>
        <w:spacing w:line="360" w:lineRule="auto"/>
        <w:rPr>
          <w:rFonts w:ascii="宋体" w:hAnsi="宋体"/>
          <w:color w:val="auto"/>
          <w:sz w:val="24"/>
          <w:u w:val="single"/>
        </w:rPr>
      </w:pPr>
      <w:r>
        <w:rPr>
          <w:rFonts w:hint="eastAsia" w:ascii="宋体" w:hAnsi="宋体"/>
          <w:color w:val="auto"/>
          <w:sz w:val="24"/>
        </w:rPr>
        <w:t>投标人全称：</w:t>
      </w:r>
      <w:r>
        <w:rPr>
          <w:rFonts w:hint="eastAsia" w:ascii="宋体" w:hAnsi="宋体"/>
          <w:color w:val="auto"/>
          <w:sz w:val="24"/>
          <w:u w:val="single"/>
        </w:rPr>
        <w:t xml:space="preserve">                     </w:t>
      </w:r>
      <w:r>
        <w:rPr>
          <w:rFonts w:hint="eastAsia" w:ascii="宋体" w:hAnsi="宋体"/>
          <w:color w:val="auto"/>
          <w:sz w:val="24"/>
        </w:rPr>
        <w:t>（电子签章）</w:t>
      </w:r>
    </w:p>
    <w:p w14:paraId="34F362EF">
      <w:pPr>
        <w:shd w:val="clear" w:color="auto" w:fill="FFFFFF"/>
        <w:spacing w:line="360" w:lineRule="auto"/>
        <w:rPr>
          <w:rFonts w:hAnsi="宋体"/>
          <w:color w:val="auto"/>
          <w:sz w:val="24"/>
          <w:u w:val="single"/>
        </w:rPr>
      </w:pPr>
      <w:r>
        <w:rPr>
          <w:rFonts w:hint="eastAsia" w:hAnsi="宋体"/>
          <w:color w:val="auto"/>
          <w:sz w:val="24"/>
        </w:rPr>
        <w:t>法定代表人或委托代理人：</w:t>
      </w:r>
      <w:r>
        <w:rPr>
          <w:rFonts w:hint="eastAsia" w:hAnsi="宋体"/>
          <w:color w:val="auto"/>
          <w:sz w:val="24"/>
          <w:u w:val="single"/>
        </w:rPr>
        <w:t xml:space="preserve">      </w:t>
      </w:r>
      <w:r>
        <w:rPr>
          <w:rFonts w:hAnsi="宋体"/>
          <w:color w:val="auto"/>
          <w:sz w:val="24"/>
          <w:u w:val="single"/>
        </w:rPr>
        <w:t xml:space="preserve">   </w:t>
      </w:r>
      <w:r>
        <w:rPr>
          <w:rFonts w:hint="eastAsia" w:hAnsi="宋体"/>
          <w:color w:val="auto"/>
          <w:sz w:val="24"/>
          <w:u w:val="single"/>
        </w:rPr>
        <w:t xml:space="preserve">         </w:t>
      </w:r>
      <w:r>
        <w:rPr>
          <w:rFonts w:hint="eastAsia" w:hAnsi="宋体"/>
          <w:color w:val="auto"/>
          <w:sz w:val="24"/>
        </w:rPr>
        <w:t>（</w:t>
      </w:r>
      <w:r>
        <w:rPr>
          <w:rFonts w:hint="eastAsia" w:ascii="宋体" w:hAnsi="宋体"/>
          <w:color w:val="auto"/>
          <w:sz w:val="24"/>
        </w:rPr>
        <w:t>电子签章</w:t>
      </w:r>
      <w:r>
        <w:rPr>
          <w:rFonts w:hint="eastAsia" w:hAnsi="宋体"/>
          <w:color w:val="auto"/>
          <w:sz w:val="24"/>
        </w:rPr>
        <w:t>）</w:t>
      </w:r>
    </w:p>
    <w:p w14:paraId="52AE9E39">
      <w:pPr>
        <w:shd w:val="clear" w:color="auto" w:fill="FFFFFF"/>
        <w:spacing w:line="480" w:lineRule="auto"/>
        <w:rPr>
          <w:rFonts w:ascii="宋体" w:hAnsi="宋体"/>
          <w:color w:val="auto"/>
          <w:sz w:val="24"/>
        </w:rPr>
      </w:pPr>
      <w:r>
        <w:rPr>
          <w:rFonts w:hint="eastAsia" w:hAnsi="宋体"/>
          <w:color w:val="auto"/>
          <w:sz w:val="24"/>
        </w:rPr>
        <w:t>日期：</w:t>
      </w:r>
      <w:r>
        <w:rPr>
          <w:color w:val="auto"/>
          <w:sz w:val="24"/>
          <w:u w:val="single"/>
        </w:rPr>
        <w:t xml:space="preserve">     </w:t>
      </w:r>
      <w:r>
        <w:rPr>
          <w:rFonts w:hint="eastAsia" w:hAnsi="宋体"/>
          <w:color w:val="auto"/>
          <w:sz w:val="24"/>
        </w:rPr>
        <w:t>年</w:t>
      </w:r>
      <w:r>
        <w:rPr>
          <w:color w:val="auto"/>
          <w:sz w:val="24"/>
          <w:u w:val="single"/>
        </w:rPr>
        <w:t xml:space="preserve">    </w:t>
      </w:r>
      <w:r>
        <w:rPr>
          <w:rFonts w:hint="eastAsia" w:hAnsi="宋体"/>
          <w:color w:val="auto"/>
          <w:sz w:val="24"/>
        </w:rPr>
        <w:t>月</w:t>
      </w:r>
      <w:r>
        <w:rPr>
          <w:color w:val="auto"/>
          <w:sz w:val="24"/>
          <w:u w:val="single"/>
        </w:rPr>
        <w:t xml:space="preserve">    </w:t>
      </w:r>
      <w:r>
        <w:rPr>
          <w:rFonts w:hint="eastAsia" w:hAnsi="宋体"/>
          <w:color w:val="auto"/>
          <w:sz w:val="24"/>
        </w:rPr>
        <w:t>日</w:t>
      </w:r>
    </w:p>
    <w:p w14:paraId="5806023A">
      <w:pPr>
        <w:widowControl/>
        <w:spacing w:line="400" w:lineRule="exact"/>
        <w:jc w:val="left"/>
        <w:rPr>
          <w:rFonts w:ascii="仿宋" w:hAnsi="仿宋" w:eastAsia="仿宋" w:cs="仿宋"/>
          <w:color w:val="auto"/>
          <w:kern w:val="0"/>
          <w:sz w:val="24"/>
          <w:szCs w:val="20"/>
        </w:rPr>
      </w:pPr>
    </w:p>
    <w:p w14:paraId="40564FF0">
      <w:pPr>
        <w:adjustRightInd w:val="0"/>
        <w:spacing w:line="360" w:lineRule="auto"/>
        <w:ind w:firstLine="787" w:firstLineChars="375"/>
        <w:jc w:val="left"/>
        <w:rPr>
          <w:rFonts w:ascii="仿宋" w:hAnsi="仿宋" w:eastAsia="仿宋" w:cs="仿宋"/>
          <w:color w:val="auto"/>
          <w:szCs w:val="21"/>
        </w:rPr>
      </w:pPr>
    </w:p>
    <w:p w14:paraId="1F098B52">
      <w:pPr>
        <w:rPr>
          <w:color w:val="auto"/>
        </w:rPr>
      </w:pPr>
    </w:p>
    <w:p w14:paraId="1D77CE08">
      <w:pPr>
        <w:tabs>
          <w:tab w:val="left" w:pos="3261"/>
        </w:tabs>
        <w:spacing w:line="360" w:lineRule="auto"/>
        <w:ind w:right="-52"/>
        <w:jc w:val="left"/>
        <w:rPr>
          <w:rFonts w:hint="eastAsia" w:ascii="宋体" w:hAnsi="宋体" w:cs="仿宋"/>
          <w:color w:val="auto"/>
          <w:spacing w:val="6"/>
          <w:sz w:val="24"/>
        </w:rPr>
      </w:pPr>
      <w:r>
        <w:rPr>
          <w:rFonts w:hint="eastAsia" w:ascii="宋体" w:hAnsi="宋体" w:cs="仿宋"/>
          <w:color w:val="auto"/>
          <w:spacing w:val="6"/>
          <w:sz w:val="24"/>
        </w:rPr>
        <w:t>说明：</w:t>
      </w:r>
    </w:p>
    <w:p w14:paraId="4238A3D1">
      <w:pPr>
        <w:tabs>
          <w:tab w:val="left" w:pos="3261"/>
        </w:tabs>
        <w:spacing w:line="360" w:lineRule="auto"/>
        <w:ind w:right="-52" w:firstLine="504" w:firstLineChars="200"/>
        <w:jc w:val="left"/>
        <w:rPr>
          <w:rFonts w:hint="eastAsia" w:ascii="宋体" w:hAnsi="宋体" w:cs="仿宋"/>
          <w:color w:val="auto"/>
          <w:spacing w:val="6"/>
          <w:sz w:val="24"/>
        </w:rPr>
      </w:pPr>
      <w:r>
        <w:rPr>
          <w:rFonts w:hint="eastAsia" w:ascii="宋体" w:hAnsi="宋体" w:cs="仿宋"/>
          <w:color w:val="auto"/>
          <w:spacing w:val="6"/>
          <w:sz w:val="24"/>
          <w:lang w:eastAsia="zh-CN"/>
        </w:rPr>
        <w:t>（</w:t>
      </w:r>
      <w:r>
        <w:rPr>
          <w:rFonts w:hint="eastAsia" w:ascii="宋体" w:hAnsi="宋体" w:cs="仿宋"/>
          <w:color w:val="auto"/>
          <w:spacing w:val="6"/>
          <w:sz w:val="24"/>
          <w:lang w:val="en-US" w:eastAsia="zh-CN"/>
        </w:rPr>
        <w:t>1）</w:t>
      </w:r>
      <w:r>
        <w:rPr>
          <w:rFonts w:hint="eastAsia" w:ascii="宋体" w:hAnsi="宋体" w:cs="仿宋"/>
          <w:color w:val="auto"/>
          <w:spacing w:val="6"/>
          <w:sz w:val="24"/>
        </w:rPr>
        <w:t>投标人</w:t>
      </w:r>
      <w:r>
        <w:rPr>
          <w:rFonts w:hint="eastAsia" w:ascii="宋体" w:hAnsi="宋体" w:cs="仿宋"/>
          <w:color w:val="auto"/>
          <w:spacing w:val="6"/>
          <w:sz w:val="24"/>
          <w:lang w:val="en-US" w:eastAsia="zh-CN"/>
        </w:rPr>
        <w:t>如</w:t>
      </w:r>
      <w:r>
        <w:rPr>
          <w:rFonts w:hint="eastAsia" w:ascii="宋体" w:hAnsi="宋体" w:cs="仿宋"/>
          <w:color w:val="auto"/>
          <w:spacing w:val="6"/>
          <w:sz w:val="24"/>
        </w:rPr>
        <w:t>提供虚假残疾人福利性单位声明函的，将予以无效标书处理。</w:t>
      </w:r>
    </w:p>
    <w:p w14:paraId="5A357570">
      <w:pPr>
        <w:numPr>
          <w:ilvl w:val="0"/>
          <w:numId w:val="0"/>
        </w:numPr>
        <w:tabs>
          <w:tab w:val="left" w:pos="3261"/>
        </w:tabs>
        <w:spacing w:line="360" w:lineRule="auto"/>
        <w:ind w:right="-52" w:rightChars="0" w:firstLine="504" w:firstLineChars="200"/>
        <w:jc w:val="left"/>
        <w:rPr>
          <w:rFonts w:hint="eastAsia" w:ascii="宋体" w:hAnsi="宋体" w:eastAsia="宋体" w:cs="仿宋"/>
          <w:color w:val="auto"/>
          <w:spacing w:val="6"/>
          <w:sz w:val="24"/>
          <w:lang w:val="en-US" w:eastAsia="zh-CN"/>
        </w:rPr>
      </w:pPr>
      <w:r>
        <w:rPr>
          <w:rFonts w:hint="eastAsia" w:ascii="宋体" w:hAnsi="宋体" w:eastAsia="宋体" w:cs="仿宋"/>
          <w:color w:val="auto"/>
          <w:spacing w:val="6"/>
          <w:sz w:val="24"/>
          <w:lang w:val="en-US" w:eastAsia="zh-CN"/>
        </w:rPr>
        <w:t>（2）投标人如未提供此声明函的，则投标人不能享受招标文件规定的价格扣除，但不影响投标人投标文件的有效性。</w:t>
      </w:r>
    </w:p>
    <w:p w14:paraId="12244258">
      <w:pPr>
        <w:rPr>
          <w:color w:val="auto"/>
        </w:rPr>
      </w:pPr>
      <w:r>
        <w:rPr>
          <w:rFonts w:hint="eastAsia"/>
          <w:color w:val="auto"/>
        </w:rPr>
        <w:br w:type="page"/>
      </w:r>
    </w:p>
    <w:p w14:paraId="265BFE6E">
      <w:pPr>
        <w:pStyle w:val="3"/>
        <w:numPr>
          <w:ilvl w:val="0"/>
          <w:numId w:val="0"/>
        </w:numPr>
        <w:tabs>
          <w:tab w:val="left" w:pos="360"/>
          <w:tab w:val="clear" w:pos="1021"/>
        </w:tabs>
        <w:spacing w:before="0"/>
        <w:jc w:val="center"/>
        <w:rPr>
          <w:rFonts w:ascii="宋体" w:hAnsi="宋体" w:eastAsia="宋体"/>
          <w:color w:val="auto"/>
          <w:szCs w:val="28"/>
        </w:rPr>
      </w:pPr>
      <w:bookmarkStart w:id="172" w:name="_Toc267"/>
      <w:bookmarkStart w:id="173" w:name="_Toc2268"/>
      <w:bookmarkStart w:id="174" w:name="_Toc109651442"/>
      <w:bookmarkStart w:id="175" w:name="_Toc4726"/>
      <w:bookmarkStart w:id="176" w:name="_Toc32563"/>
      <w:bookmarkStart w:id="177" w:name="_Toc17452"/>
      <w:r>
        <w:rPr>
          <w:rFonts w:hint="eastAsia" w:ascii="宋体" w:hAnsi="宋体" w:eastAsia="宋体"/>
          <w:color w:val="auto"/>
          <w:szCs w:val="28"/>
        </w:rPr>
        <w:t>格式</w:t>
      </w:r>
      <w:r>
        <w:rPr>
          <w:rFonts w:ascii="宋体" w:hAnsi="宋体" w:eastAsia="宋体"/>
          <w:color w:val="auto"/>
          <w:szCs w:val="28"/>
        </w:rPr>
        <w:t>1</w:t>
      </w:r>
      <w:r>
        <w:rPr>
          <w:rFonts w:hint="eastAsia" w:ascii="宋体" w:hAnsi="宋体" w:eastAsia="宋体"/>
          <w:color w:val="auto"/>
          <w:szCs w:val="28"/>
          <w:lang w:val="en-US" w:eastAsia="zh-CN"/>
        </w:rPr>
        <w:t>5</w:t>
      </w:r>
      <w:r>
        <w:rPr>
          <w:rFonts w:hint="eastAsia" w:ascii="宋体" w:hAnsi="宋体" w:eastAsia="宋体"/>
          <w:color w:val="auto"/>
          <w:szCs w:val="28"/>
        </w:rPr>
        <w:t>：监狱企业证明材料</w:t>
      </w:r>
      <w:bookmarkEnd w:id="172"/>
      <w:bookmarkEnd w:id="173"/>
      <w:bookmarkEnd w:id="174"/>
      <w:bookmarkEnd w:id="175"/>
      <w:bookmarkEnd w:id="176"/>
      <w:bookmarkEnd w:id="177"/>
    </w:p>
    <w:p w14:paraId="403B96D4">
      <w:pPr>
        <w:spacing w:line="360" w:lineRule="auto"/>
        <w:ind w:firstLine="420" w:firstLineChars="200"/>
        <w:rPr>
          <w:rFonts w:ascii="仿宋" w:hAnsi="仿宋" w:eastAsia="仿宋" w:cs="仿宋"/>
          <w:color w:val="auto"/>
          <w:szCs w:val="21"/>
        </w:rPr>
      </w:pPr>
    </w:p>
    <w:p w14:paraId="105770F3">
      <w:pPr>
        <w:tabs>
          <w:tab w:val="left" w:pos="3261"/>
        </w:tabs>
        <w:spacing w:line="460" w:lineRule="exact"/>
        <w:ind w:right="566" w:firstLine="504" w:firstLineChars="200"/>
        <w:rPr>
          <w:rFonts w:ascii="宋体" w:hAnsi="宋体" w:cs="仿宋"/>
          <w:bCs/>
          <w:color w:val="auto"/>
          <w:spacing w:val="6"/>
          <w:sz w:val="24"/>
        </w:rPr>
      </w:pPr>
      <w:r>
        <w:rPr>
          <w:rFonts w:hint="eastAsia" w:ascii="宋体" w:hAnsi="宋体" w:cs="仿宋"/>
          <w:bCs/>
          <w:color w:val="auto"/>
          <w:spacing w:val="6"/>
          <w:sz w:val="24"/>
        </w:rPr>
        <w:t>说明：</w:t>
      </w:r>
    </w:p>
    <w:p w14:paraId="62F1ACDA">
      <w:pPr>
        <w:tabs>
          <w:tab w:val="left" w:pos="3261"/>
        </w:tabs>
        <w:spacing w:line="460" w:lineRule="exact"/>
        <w:ind w:right="-52" w:firstLine="504" w:firstLineChars="200"/>
        <w:rPr>
          <w:rFonts w:ascii="宋体" w:hAnsi="宋体" w:cs="仿宋"/>
          <w:color w:val="auto"/>
          <w:spacing w:val="6"/>
          <w:sz w:val="24"/>
        </w:rPr>
      </w:pPr>
      <w:r>
        <w:rPr>
          <w:rFonts w:hint="eastAsia" w:ascii="宋体" w:hAnsi="宋体" w:cs="仿宋"/>
          <w:bCs/>
          <w:color w:val="auto"/>
          <w:spacing w:val="6"/>
          <w:sz w:val="24"/>
        </w:rPr>
        <w:t>1</w:t>
      </w:r>
      <w:r>
        <w:rPr>
          <w:rFonts w:hint="eastAsia" w:ascii="宋体" w:hAnsi="宋体" w:cs="仿宋"/>
          <w:bCs/>
          <w:color w:val="auto"/>
          <w:spacing w:val="6"/>
          <w:sz w:val="24"/>
          <w:lang w:eastAsia="zh-CN"/>
        </w:rPr>
        <w:t>.</w:t>
      </w:r>
      <w:r>
        <w:rPr>
          <w:rFonts w:hint="eastAsia" w:ascii="宋体" w:hAnsi="宋体" w:cs="仿宋"/>
          <w:color w:val="auto"/>
          <w:sz w:val="24"/>
        </w:rPr>
        <w:t>参加采购活动的监狱企业应当提供省级以上监狱管理局、戒毒管理局（含新疆生产建设兵团）出具的属于监狱企业的证明文件原件扫描件加盖投标鲜章，原件必要时备查。</w:t>
      </w:r>
    </w:p>
    <w:p w14:paraId="1150E36E">
      <w:pPr>
        <w:tabs>
          <w:tab w:val="left" w:pos="3261"/>
        </w:tabs>
        <w:spacing w:line="460" w:lineRule="exact"/>
        <w:ind w:right="-52" w:firstLine="504" w:firstLineChars="200"/>
        <w:rPr>
          <w:rFonts w:ascii="宋体" w:hAnsi="宋体" w:cs="仿宋"/>
          <w:bCs/>
          <w:color w:val="auto"/>
          <w:spacing w:val="6"/>
          <w:sz w:val="24"/>
        </w:rPr>
      </w:pPr>
      <w:r>
        <w:rPr>
          <w:rFonts w:hint="eastAsia" w:ascii="宋体" w:hAnsi="宋体" w:cs="仿宋"/>
          <w:bCs/>
          <w:color w:val="auto"/>
          <w:spacing w:val="6"/>
          <w:sz w:val="24"/>
        </w:rPr>
        <w:t>2</w:t>
      </w:r>
      <w:r>
        <w:rPr>
          <w:rFonts w:hint="eastAsia" w:ascii="宋体" w:hAnsi="宋体" w:cs="仿宋"/>
          <w:bCs/>
          <w:color w:val="auto"/>
          <w:spacing w:val="6"/>
          <w:sz w:val="24"/>
          <w:lang w:eastAsia="zh-CN"/>
        </w:rPr>
        <w:t>.</w:t>
      </w:r>
      <w:r>
        <w:rPr>
          <w:rFonts w:hint="eastAsia" w:ascii="宋体" w:hAnsi="宋体" w:cs="仿宋"/>
          <w:bCs/>
          <w:color w:val="auto"/>
          <w:spacing w:val="6"/>
          <w:sz w:val="24"/>
        </w:rPr>
        <w:t>投标人若提供虚假监狱企业证明材料的，将予以无效投标文件处理。</w:t>
      </w:r>
    </w:p>
    <w:p w14:paraId="594CB660">
      <w:pPr>
        <w:tabs>
          <w:tab w:val="left" w:pos="3261"/>
        </w:tabs>
        <w:spacing w:line="460" w:lineRule="exact"/>
        <w:ind w:right="-52"/>
        <w:jc w:val="left"/>
        <w:rPr>
          <w:rFonts w:ascii="宋体" w:hAnsi="宋体" w:cs="仿宋"/>
          <w:b/>
          <w:bCs/>
          <w:color w:val="auto"/>
          <w:sz w:val="24"/>
        </w:rPr>
      </w:pPr>
      <w:r>
        <w:rPr>
          <w:rFonts w:hint="eastAsia" w:ascii="宋体" w:hAnsi="宋体" w:cs="仿宋"/>
          <w:color w:val="auto"/>
          <w:sz w:val="24"/>
        </w:rPr>
        <w:t xml:space="preserve">    3</w:t>
      </w:r>
      <w:r>
        <w:rPr>
          <w:rFonts w:hint="eastAsia" w:ascii="宋体" w:hAnsi="宋体" w:cs="仿宋"/>
          <w:color w:val="auto"/>
          <w:sz w:val="24"/>
          <w:lang w:val="en-US" w:eastAsia="zh-CN"/>
        </w:rPr>
        <w:t>.</w:t>
      </w:r>
      <w:r>
        <w:rPr>
          <w:rFonts w:hint="eastAsia" w:ascii="宋体" w:hAnsi="宋体" w:cs="仿宋"/>
          <w:color w:val="auto"/>
          <w:sz w:val="24"/>
        </w:rPr>
        <w:t>如未提供监狱企业证明材料的，则投标人不能享受招标文件规定的价格扣除，但不影响投标人投标文件的有效性。</w:t>
      </w:r>
    </w:p>
    <w:p w14:paraId="45A54484">
      <w:pPr>
        <w:rPr>
          <w:color w:val="auto"/>
        </w:rPr>
      </w:pPr>
    </w:p>
    <w:p w14:paraId="55E14589">
      <w:pPr>
        <w:rPr>
          <w:rFonts w:hint="eastAsia"/>
          <w:color w:val="auto"/>
          <w:highlight w:val="none"/>
        </w:rPr>
      </w:pPr>
      <w:bookmarkStart w:id="178" w:name="_Toc3858"/>
      <w:bookmarkStart w:id="179" w:name="_Toc5763"/>
      <w:r>
        <w:rPr>
          <w:rFonts w:hint="eastAsia"/>
          <w:color w:val="auto"/>
          <w:highlight w:val="none"/>
        </w:rPr>
        <w:br w:type="page"/>
      </w:r>
    </w:p>
    <w:p w14:paraId="15F243B8">
      <w:pPr>
        <w:pStyle w:val="3"/>
        <w:rPr>
          <w:rFonts w:hint="eastAsia" w:cs="Times New Roman" w:asciiTheme="majorEastAsia" w:hAnsiTheme="majorEastAsia" w:eastAsiaTheme="majorEastAsia"/>
          <w:b/>
          <w:color w:val="auto"/>
          <w:kern w:val="0"/>
          <w:sz w:val="28"/>
          <w:szCs w:val="20"/>
          <w:highlight w:val="none"/>
          <w:lang w:val="en-US" w:eastAsia="zh-CN" w:bidi="ar-SA"/>
        </w:rPr>
      </w:pPr>
      <w:bookmarkStart w:id="180" w:name="_Toc16729"/>
      <w:r>
        <w:rPr>
          <w:rFonts w:hint="eastAsia"/>
          <w:color w:val="auto"/>
          <w:highlight w:val="none"/>
        </w:rPr>
        <w:t>格式</w:t>
      </w:r>
      <w:r>
        <w:rPr>
          <w:rFonts w:hint="eastAsia"/>
          <w:color w:val="auto"/>
          <w:highlight w:val="none"/>
          <w:lang w:val="en-US" w:eastAsia="zh-CN"/>
        </w:rPr>
        <w:t>16</w:t>
      </w:r>
      <w:r>
        <w:rPr>
          <w:rFonts w:hint="eastAsia"/>
          <w:color w:val="auto"/>
          <w:highlight w:val="none"/>
        </w:rPr>
        <w:t>：</w:t>
      </w:r>
      <w:r>
        <w:rPr>
          <w:rFonts w:hint="eastAsia"/>
          <w:color w:val="auto"/>
          <w:highlight w:val="none"/>
          <w:lang w:eastAsia="zh-CN"/>
        </w:rPr>
        <w:t>其他</w:t>
      </w:r>
      <w:bookmarkEnd w:id="178"/>
      <w:bookmarkEnd w:id="179"/>
      <w:bookmarkEnd w:id="180"/>
    </w:p>
    <w:p w14:paraId="24D49230">
      <w:pPr>
        <w:ind w:firstLine="2800" w:firstLineChars="1000"/>
        <w:rPr>
          <w:rFonts w:hint="eastAsia" w:cs="Times New Roman" w:asciiTheme="majorEastAsia" w:hAnsiTheme="majorEastAsia" w:eastAsiaTheme="majorEastAsia"/>
          <w:b/>
          <w:color w:val="auto"/>
          <w:kern w:val="0"/>
          <w:sz w:val="28"/>
          <w:szCs w:val="20"/>
          <w:highlight w:val="none"/>
          <w:lang w:val="en-US" w:eastAsia="zh-CN" w:bidi="ar-SA"/>
        </w:rPr>
      </w:pPr>
      <w:r>
        <w:rPr>
          <w:rFonts w:hint="eastAsia" w:cs="Times New Roman" w:asciiTheme="majorEastAsia" w:hAnsiTheme="majorEastAsia" w:eastAsiaTheme="majorEastAsia"/>
          <w:b/>
          <w:color w:val="auto"/>
          <w:kern w:val="0"/>
          <w:sz w:val="28"/>
          <w:szCs w:val="20"/>
          <w:highlight w:val="none"/>
          <w:lang w:val="en-US" w:eastAsia="zh-CN" w:bidi="ar-SA"/>
        </w:rPr>
        <w:t>（1）不参与串标、围标承诺书</w:t>
      </w:r>
    </w:p>
    <w:p w14:paraId="52528F99">
      <w:pPr>
        <w:spacing w:line="480" w:lineRule="auto"/>
        <w:rPr>
          <w:rFonts w:ascii="宋体" w:hAnsi="宋体"/>
          <w:color w:val="auto"/>
          <w:szCs w:val="21"/>
          <w:highlight w:val="none"/>
          <w:u w:val="single"/>
        </w:rPr>
      </w:pPr>
    </w:p>
    <w:p w14:paraId="79BD1476">
      <w:pPr>
        <w:spacing w:line="360" w:lineRule="auto"/>
        <w:jc w:val="left"/>
        <w:rPr>
          <w:rFonts w:ascii="宋体" w:hAnsi="宋体" w:cs="宋体"/>
          <w:color w:val="auto"/>
          <w:sz w:val="24"/>
          <w:highlight w:val="none"/>
        </w:rPr>
      </w:pPr>
      <w:r>
        <w:rPr>
          <w:rFonts w:hint="eastAsia" w:ascii="宋体" w:hAnsi="宋体" w:cs="宋体"/>
          <w:color w:val="auto"/>
          <w:sz w:val="24"/>
          <w:highlight w:val="none"/>
        </w:rPr>
        <w:t>致：________________________（</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名称）</w:t>
      </w:r>
    </w:p>
    <w:p w14:paraId="0909CB16">
      <w:pPr>
        <w:pStyle w:val="31"/>
        <w:rPr>
          <w:color w:val="auto"/>
          <w:highlight w:val="none"/>
        </w:rPr>
      </w:pPr>
    </w:p>
    <w:p w14:paraId="03434128">
      <w:pPr>
        <w:spacing w:line="360" w:lineRule="auto"/>
        <w:jc w:val="left"/>
        <w:rPr>
          <w:rFonts w:ascii="宋体" w:hAnsi="宋体" w:cs="宋体"/>
          <w:color w:val="auto"/>
          <w:sz w:val="24"/>
          <w:highlight w:val="none"/>
          <w:u w:val="single"/>
        </w:rPr>
      </w:pPr>
      <w:bookmarkStart w:id="181" w:name="_Hlk73621871"/>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29FAF2BF">
      <w:pPr>
        <w:spacing w:line="360" w:lineRule="auto"/>
        <w:jc w:val="left"/>
        <w:rPr>
          <w:rFonts w:ascii="宋体" w:hAnsi="宋体" w:cs="宋体"/>
          <w:color w:val="auto"/>
          <w:sz w:val="24"/>
          <w:highlight w:val="none"/>
          <w:u w:val="single"/>
        </w:rPr>
      </w:pPr>
      <w:r>
        <w:rPr>
          <w:rFonts w:hint="eastAsia" w:ascii="宋体" w:hAnsi="宋体" w:cs="宋体"/>
          <w:color w:val="auto"/>
          <w:sz w:val="24"/>
          <w:highlight w:val="none"/>
        </w:rPr>
        <w:t>招标编号：</w:t>
      </w:r>
      <w:r>
        <w:rPr>
          <w:rFonts w:hint="eastAsia" w:ascii="宋体" w:hAnsi="宋体" w:cs="宋体"/>
          <w:color w:val="auto"/>
          <w:sz w:val="24"/>
          <w:highlight w:val="none"/>
          <w:u w:val="single"/>
        </w:rPr>
        <w:t xml:space="preserve">                                </w:t>
      </w:r>
    </w:p>
    <w:p w14:paraId="7140C52B">
      <w:pPr>
        <w:pStyle w:val="31"/>
        <w:rPr>
          <w:color w:val="auto"/>
          <w:highlight w:val="none"/>
        </w:rPr>
      </w:pPr>
    </w:p>
    <w:p w14:paraId="4D991A91">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________________________（以下简称“我方”），自愿参加上述项目的投标。为维护公平、公正、公开的市场竞争秩序，杜绝招标投标活动中的违法行为，我方在此郑重承诺：</w:t>
      </w:r>
    </w:p>
    <w:p w14:paraId="4569A466">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 一、严格遵守法律法规</w:t>
      </w:r>
    </w:p>
    <w:p w14:paraId="4A4BD895">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我方已充分知悉并理解《中华人民共和国政府采购法</w:t>
      </w:r>
      <w:r>
        <w:rPr>
          <w:rFonts w:hint="eastAsia" w:ascii="宋体" w:hAnsi="宋体" w:cs="宋体"/>
          <w:color w:val="auto"/>
          <w:sz w:val="24"/>
          <w:highlight w:val="none"/>
          <w:lang w:eastAsia="zh-CN"/>
        </w:rPr>
        <w:t>》《</w:t>
      </w:r>
      <w:r>
        <w:rPr>
          <w:rFonts w:hint="eastAsia" w:ascii="宋体" w:hAnsi="宋体" w:cs="宋体"/>
          <w:color w:val="auto"/>
          <w:sz w:val="24"/>
          <w:highlight w:val="none"/>
        </w:rPr>
        <w:t>中华人民共和国政府采购法实施条例》等相关法律法规及本项目招标文件中关于禁止串通投标、围标等违法行为的各项规定和要求。</w:t>
      </w:r>
    </w:p>
    <w:p w14:paraId="31C8128A">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 二、承诺无串通投标行为</w:t>
      </w:r>
    </w:p>
    <w:p w14:paraId="338D054D">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我方在此承诺，在本项目投标过程中及后续可能发生的合同履行过程中，绝对不存在且不会发生以下任何一种或多种串通投标（串标）、围标行为：</w:t>
      </w:r>
    </w:p>
    <w:p w14:paraId="037C0A94">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1.投标人之间相互串通：</w:t>
      </w:r>
    </w:p>
    <w:p w14:paraId="47C8CA30">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（1）与其他投标人协商投标报价、投标方案等实质性内容；</w:t>
      </w:r>
    </w:p>
    <w:p w14:paraId="32596D3E">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（2）与其他投标人约定采取一致行动（如约定放弃投标、轮流中标、陪标等）；</w:t>
      </w:r>
    </w:p>
    <w:p w14:paraId="027250C5">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（3）与其他投标人就本项目投标事宜达成任何形式的书面或口头协议、安排或默契；</w:t>
      </w:r>
    </w:p>
    <w:p w14:paraId="2F2F39E5">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（4）属于同一集团、协会、商会等组织成员的投标人按照该组织要求协同投标；</w:t>
      </w:r>
    </w:p>
    <w:p w14:paraId="2E2A8787">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（5）投标人之间为谋取中标或者排斥特定投标人而采取的其他联合行动。</w:t>
      </w:r>
    </w:p>
    <w:p w14:paraId="2730291E">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2.投标人与</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cs="宋体"/>
          <w:color w:val="auto"/>
          <w:sz w:val="24"/>
          <w:highlight w:val="none"/>
        </w:rPr>
        <w:t>机构串通：</w:t>
      </w:r>
    </w:p>
    <w:p w14:paraId="10B4062C">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（1）与</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cs="宋体"/>
          <w:color w:val="auto"/>
          <w:sz w:val="24"/>
          <w:highlight w:val="none"/>
        </w:rPr>
        <w:t>机构或其工作人员就投标文件的实质性内容（包括但不限于报价、技术规格、业绩要求、评标办法等）进行私下协商、沟通；</w:t>
      </w:r>
    </w:p>
    <w:p w14:paraId="02714A07">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（2）获取</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cs="宋体"/>
          <w:color w:val="auto"/>
          <w:sz w:val="24"/>
          <w:highlight w:val="none"/>
        </w:rPr>
        <w:t>机构泄露的依法应当保密的与招标投标活动有关的情况和资料；</w:t>
      </w:r>
    </w:p>
    <w:p w14:paraId="6817C036">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（3）与</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cs="宋体"/>
          <w:color w:val="auto"/>
          <w:sz w:val="24"/>
          <w:highlight w:val="none"/>
        </w:rPr>
        <w:t>机构或其工作人员串通以不正当手段谋取中标。</w:t>
      </w:r>
    </w:p>
    <w:p w14:paraId="2B1376FC">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3.投标人与评标委员会成员串通：</w:t>
      </w:r>
    </w:p>
    <w:p w14:paraId="5A229E71">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（1）在评标结束前接触评标委员会成员，进行可能影响评标公正性的沟通；</w:t>
      </w:r>
    </w:p>
    <w:p w14:paraId="7A7AFECC">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（2）向评标委员会成员行贿或者提供其他不正当利益以谋取有利评标结果。</w:t>
      </w:r>
    </w:p>
    <w:p w14:paraId="2D428347">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4.其他视为串通投标的行为：    </w:t>
      </w:r>
    </w:p>
    <w:p w14:paraId="5392817D">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（1）不同投标人的投标文件由同一单位或者个人编制；</w:t>
      </w:r>
    </w:p>
    <w:p w14:paraId="5C15EA78">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（2）不同投标人委托同一单位或者个人办理投标事宜；</w:t>
      </w:r>
    </w:p>
    <w:p w14:paraId="277101FC">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（3）不同投标人的投标文件载明的项目管理成员为同一人；</w:t>
      </w:r>
    </w:p>
    <w:p w14:paraId="20027A16">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（4）不同投标人的投标文件异常一致或者投标报价呈规律性差异；</w:t>
      </w:r>
    </w:p>
    <w:p w14:paraId="63008AFB">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（5）不同投标人的投标文件相互混装；</w:t>
      </w:r>
    </w:p>
    <w:p w14:paraId="57B5004D">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（6）不同投标人的投标保证金从同一单位或者个人的账户转出；</w:t>
      </w:r>
    </w:p>
    <w:p w14:paraId="2029B39A">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或招标文件规定的其他串通投标情形。</w:t>
      </w:r>
    </w:p>
    <w:p w14:paraId="57FD5D91">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三、承诺无围标行为</w:t>
      </w:r>
    </w:p>
    <w:p w14:paraId="5CE8D7B2">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我方承诺，绝对不存在且不会组织或参与任何形式的“围标”行为，包括但不限于：</w:t>
      </w:r>
    </w:p>
    <w:p w14:paraId="464C8C8E">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（1）通过胁迫、利诱等方式组织或控制其他潜在投标人参与或不参与投标；</w:t>
      </w:r>
    </w:p>
    <w:p w14:paraId="5158C1F2">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（2）利用多个关联公司或他人名义参与投标，以增加中标概率或操控价格；</w:t>
      </w:r>
    </w:p>
    <w:p w14:paraId="24B579B8">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（3）为排斥其他潜在投标人而采取的任何不正当手段。</w:t>
      </w:r>
    </w:p>
    <w:p w14:paraId="04F2AC39">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四、信息真实性承诺</w:t>
      </w:r>
    </w:p>
    <w:p w14:paraId="36126EE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我方保证在投标过程中所提交的所有文件、资料、信息（包括但不限于资质证明、业绩证明、财务状况、人员配备、技术方案、投标报价等）均真实、准确、完整、合法有效，不存在任何虚假记载、误导性陈述或重大遗漏。</w:t>
      </w:r>
    </w:p>
    <w:p w14:paraId="00B21E4A">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五、独立投标承诺</w:t>
      </w:r>
    </w:p>
    <w:p w14:paraId="1C5D136E">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我方保证本次投标活动完全独立进行，未受到任何其他单位或个人的非法干预或控制。我方是代表自身利益进行投标，并非代表或代理其他任何未在投标文件中声明的实体或个人。</w:t>
      </w:r>
    </w:p>
    <w:p w14:paraId="354C40E9">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六、接受核查与承担后果</w:t>
      </w:r>
    </w:p>
    <w:p w14:paraId="2A4CEF3A">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我方完全理解并同意：</w:t>
      </w:r>
    </w:p>
    <w:p w14:paraId="2B6A245D">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cs="宋体"/>
          <w:color w:val="auto"/>
          <w:sz w:val="24"/>
          <w:highlight w:val="none"/>
        </w:rPr>
        <w:t>机构及行政监督部门有权对我方的投标行为进行监督、核查，包括但不限于调查我方与其他投标人的关系、资金往来、人员关联、投标文件相似度等。</w:t>
      </w:r>
    </w:p>
    <w:p w14:paraId="10D259E8">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2.若我方违反上述任何一项承诺，即构成重大违约和违法行为：</w:t>
      </w:r>
    </w:p>
    <w:p w14:paraId="04AFF2C8">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（1）我方无条件接受</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w:t>
      </w:r>
      <w:r>
        <w:rPr>
          <w:rFonts w:hint="eastAsia" w:ascii="宋体" w:hAnsi="宋体" w:cs="宋体"/>
          <w:color w:val="auto"/>
          <w:sz w:val="24"/>
          <w:highlight w:val="none"/>
          <w:lang w:eastAsia="zh-CN"/>
        </w:rPr>
        <w:t>采购代理</w:t>
      </w:r>
      <w:r>
        <w:rPr>
          <w:rFonts w:hint="eastAsia" w:ascii="宋体" w:hAnsi="宋体" w:cs="宋体"/>
          <w:color w:val="auto"/>
          <w:sz w:val="24"/>
          <w:highlight w:val="none"/>
        </w:rPr>
        <w:t>机构宣布我方投标无效或中标无效；</w:t>
      </w:r>
    </w:p>
    <w:p w14:paraId="1B4FBEE1">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（2）我方无条件接受</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没收我方投标保证金的决定；</w:t>
      </w:r>
    </w:p>
    <w:p w14:paraId="7DA573AA">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（3）我方自愿承担由此给</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造成的全部损失（包括但不限于重新招标的费用、工期</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交货期</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服务期限延误损失等）；</w:t>
      </w:r>
    </w:p>
    <w:p w14:paraId="0795CC34">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（4）我方自愿接受相关行政主管部门依据法律法规进行的行政处罚（包括但不限于罚款、取消一定时期内参加依法必须进行招标项目的投标资格、没收违法所得等）；</w:t>
      </w:r>
    </w:p>
    <w:p w14:paraId="3DAC307E">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（5）我方自愿承担由此可能引发的刑事责任（如构成犯罪）；</w:t>
      </w:r>
    </w:p>
    <w:p w14:paraId="0FA56D0D">
      <w:pPr>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（6）我方的违法行为及处理结果将被记入信用记录，接受社会监督。</w:t>
      </w:r>
    </w:p>
    <w:p w14:paraId="4D445A9E">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七、承诺效力</w:t>
      </w:r>
    </w:p>
    <w:p w14:paraId="3F69EAF7">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承诺书是我方投标文件的重要组成部分，与投标文件具有同等法律效力。本承诺书自我方法定代表人或其授权代理人签字（或盖章）并加盖单位公章之日起生效，其效力持续至本项目合同履行完毕或中标结果被合法废止之日止。</w:t>
      </w:r>
    </w:p>
    <w:p w14:paraId="4F7A39B9">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八、承诺主体</w:t>
      </w:r>
    </w:p>
    <w:p w14:paraId="6E1E338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本承诺书由我方及参与本项目的所有关联方（包括但不限于联合体成员、分包商、供应商等，如有）共同遵守。我方确保所有关联方知悉并遵守本承诺书内容。</w:t>
      </w:r>
    </w:p>
    <w:p w14:paraId="78209E6B">
      <w:pPr>
        <w:spacing w:line="360" w:lineRule="auto"/>
        <w:ind w:firstLine="480" w:firstLineChars="200"/>
        <w:jc w:val="left"/>
        <w:rPr>
          <w:rFonts w:ascii="宋体" w:hAnsi="宋体" w:cs="宋体"/>
          <w:color w:val="auto"/>
          <w:sz w:val="24"/>
          <w:highlight w:val="none"/>
        </w:rPr>
      </w:pPr>
    </w:p>
    <w:p w14:paraId="1F748524">
      <w:pPr>
        <w:pStyle w:val="31"/>
        <w:rPr>
          <w:color w:val="auto"/>
          <w:highlight w:val="none"/>
        </w:rPr>
      </w:pPr>
    </w:p>
    <w:p w14:paraId="3A2115CB">
      <w:pPr>
        <w:pStyle w:val="31"/>
        <w:rPr>
          <w:color w:val="auto"/>
          <w:highlight w:val="none"/>
        </w:rPr>
      </w:pPr>
    </w:p>
    <w:bookmarkEnd w:id="181"/>
    <w:p w14:paraId="3AA18376">
      <w:pPr>
        <w:spacing w:line="360" w:lineRule="auto"/>
        <w:ind w:firstLine="240" w:firstLineChars="100"/>
        <w:rPr>
          <w:rFonts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lang w:val="en-US" w:eastAsia="zh-CN"/>
        </w:rPr>
        <w:t>全称</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2E5A44DC">
      <w:pPr>
        <w:spacing w:line="360" w:lineRule="auto"/>
        <w:ind w:firstLine="240" w:firstLineChars="100"/>
        <w:rPr>
          <w:rFonts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26102F00">
      <w:pPr>
        <w:pStyle w:val="21"/>
        <w:spacing w:line="360" w:lineRule="auto"/>
        <w:ind w:firstLine="240" w:firstLineChars="100"/>
        <w:rPr>
          <w:color w:val="auto"/>
          <w:sz w:val="24"/>
          <w:szCs w:val="24"/>
          <w:highlight w:val="none"/>
          <w:u w:val="single"/>
        </w:rPr>
      </w:pPr>
      <w:r>
        <w:rPr>
          <w:rFonts w:hint="eastAsia"/>
          <w:color w:val="auto"/>
          <w:sz w:val="24"/>
          <w:szCs w:val="24"/>
          <w:highlight w:val="none"/>
        </w:rPr>
        <w:t>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w:t>
      </w:r>
    </w:p>
    <w:p w14:paraId="40E147F9">
      <w:pPr>
        <w:pStyle w:val="31"/>
        <w:spacing w:line="360" w:lineRule="auto"/>
        <w:ind w:left="0" w:leftChars="0" w:firstLine="0" w:firstLineChars="0"/>
        <w:rPr>
          <w:rFonts w:ascii="宋体" w:hAnsi="宋体"/>
          <w:color w:val="auto"/>
          <w:sz w:val="24"/>
          <w:highlight w:val="none"/>
        </w:rPr>
      </w:pPr>
    </w:p>
    <w:p w14:paraId="4DAD3CD2">
      <w:pPr>
        <w:pStyle w:val="31"/>
        <w:rPr>
          <w:color w:val="auto"/>
          <w:highlight w:val="none"/>
        </w:rPr>
      </w:pPr>
    </w:p>
    <w:p w14:paraId="62FFDFF1">
      <w:pPr>
        <w:pStyle w:val="3"/>
        <w:rPr>
          <w:color w:val="auto"/>
          <w:highlight w:val="none"/>
        </w:rPr>
        <w:sectPr>
          <w:pgSz w:w="11906" w:h="16838"/>
          <w:pgMar w:top="1440" w:right="1069" w:bottom="1440" w:left="1797" w:header="851" w:footer="992" w:gutter="0"/>
          <w:pgBorders>
            <w:top w:val="none" w:sz="0" w:space="0"/>
            <w:left w:val="none" w:sz="0" w:space="0"/>
            <w:bottom w:val="none" w:sz="0" w:space="0"/>
            <w:right w:val="none" w:sz="0" w:space="0"/>
          </w:pgBorders>
          <w:cols w:space="720" w:num="1"/>
          <w:titlePg/>
          <w:docGrid w:type="linesAndChars" w:linePitch="312" w:charSpace="0"/>
        </w:sectPr>
      </w:pPr>
    </w:p>
    <w:p w14:paraId="2F10595F">
      <w:pPr>
        <w:ind w:firstLine="2160" w:firstLineChars="800"/>
        <w:rPr>
          <w:rFonts w:ascii="宋体" w:hAnsi="宋体"/>
          <w:b/>
          <w:color w:val="auto"/>
          <w:sz w:val="27"/>
          <w:szCs w:val="28"/>
          <w:highlight w:val="none"/>
        </w:rPr>
      </w:pPr>
      <w:r>
        <w:rPr>
          <w:rFonts w:ascii="宋体" w:hAnsi="宋体"/>
          <w:b/>
          <w:color w:val="auto"/>
          <w:sz w:val="27"/>
          <w:szCs w:val="28"/>
          <w:highlight w:val="none"/>
        </w:rPr>
        <w:t>（</w:t>
      </w:r>
      <w:r>
        <w:rPr>
          <w:rFonts w:hint="eastAsia" w:ascii="宋体" w:hAnsi="宋体"/>
          <w:b/>
          <w:color w:val="auto"/>
          <w:sz w:val="27"/>
          <w:szCs w:val="28"/>
          <w:highlight w:val="none"/>
        </w:rPr>
        <w:t>2</w:t>
      </w:r>
      <w:r>
        <w:rPr>
          <w:rFonts w:ascii="宋体" w:hAnsi="宋体"/>
          <w:b/>
          <w:color w:val="auto"/>
          <w:sz w:val="27"/>
          <w:szCs w:val="28"/>
          <w:highlight w:val="none"/>
        </w:rPr>
        <w:t>）</w:t>
      </w:r>
      <w:r>
        <w:rPr>
          <w:rFonts w:hint="eastAsia" w:ascii="宋体" w:hAnsi="宋体"/>
          <w:b/>
          <w:color w:val="auto"/>
          <w:sz w:val="27"/>
          <w:szCs w:val="28"/>
          <w:highlight w:val="none"/>
          <w:lang w:val="en-US" w:eastAsia="zh-CN"/>
        </w:rPr>
        <w:t>投标人</w:t>
      </w:r>
      <w:r>
        <w:rPr>
          <w:rFonts w:hint="eastAsia" w:ascii="宋体" w:hAnsi="宋体"/>
          <w:b/>
          <w:color w:val="auto"/>
          <w:sz w:val="27"/>
          <w:szCs w:val="28"/>
          <w:highlight w:val="none"/>
        </w:rPr>
        <w:t>认为需要提供的其他材料</w:t>
      </w:r>
    </w:p>
    <w:p w14:paraId="4510C51C">
      <w:pPr>
        <w:ind w:firstLine="1008" w:firstLineChars="400"/>
        <w:rPr>
          <w:rFonts w:ascii="宋体" w:hAnsi="宋体" w:cs="仿宋"/>
          <w:bCs/>
          <w:color w:val="auto"/>
          <w:spacing w:val="6"/>
          <w:sz w:val="24"/>
          <w:highlight w:val="none"/>
        </w:rPr>
      </w:pPr>
    </w:p>
    <w:p w14:paraId="6C8B9577">
      <w:pPr>
        <w:pStyle w:val="63"/>
        <w:keepNext w:val="0"/>
        <w:keepLines w:val="0"/>
        <w:pageBreakBefore w:val="0"/>
        <w:widowControl w:val="0"/>
        <w:kinsoku/>
        <w:wordWrap/>
        <w:overflowPunct/>
        <w:topLinePunct w:val="0"/>
        <w:autoSpaceDE w:val="0"/>
        <w:autoSpaceDN w:val="0"/>
        <w:bidi w:val="0"/>
        <w:adjustRightInd w:val="0"/>
        <w:snapToGrid/>
        <w:spacing w:line="360" w:lineRule="exact"/>
        <w:jc w:val="center"/>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（提供招标文件要求提供但投标文件格式中未明确格式的内容或投标人认为需要提供的其他投标资料）</w:t>
      </w:r>
    </w:p>
    <w:p w14:paraId="5C0A5386">
      <w:pPr>
        <w:ind w:firstLine="1050" w:firstLineChars="500"/>
        <w:rPr>
          <w:color w:val="auto"/>
          <w:highlight w:val="none"/>
        </w:rPr>
      </w:pPr>
    </w:p>
    <w:p w14:paraId="33FF8B96">
      <w:pPr>
        <w:rPr>
          <w:color w:val="auto"/>
          <w:highlight w:val="none"/>
        </w:rPr>
      </w:pPr>
    </w:p>
    <w:p w14:paraId="30F8D63C">
      <w:pPr>
        <w:ind w:firstLine="522"/>
        <w:rPr>
          <w:color w:val="auto"/>
          <w:highlight w:val="none"/>
        </w:rPr>
      </w:pPr>
    </w:p>
    <w:p w14:paraId="553F8959">
      <w:pPr>
        <w:ind w:firstLine="522"/>
        <w:rPr>
          <w:color w:val="auto"/>
          <w:highlight w:val="none"/>
        </w:rPr>
      </w:pPr>
    </w:p>
    <w:p w14:paraId="0184F51A">
      <w:pPr>
        <w:ind w:firstLine="522"/>
        <w:rPr>
          <w:color w:val="auto"/>
          <w:highlight w:val="none"/>
        </w:rPr>
      </w:pPr>
    </w:p>
    <w:p w14:paraId="64BB8AC9">
      <w:pPr>
        <w:ind w:firstLine="522"/>
        <w:rPr>
          <w:color w:val="auto"/>
          <w:highlight w:val="none"/>
        </w:rPr>
      </w:pPr>
    </w:p>
    <w:p w14:paraId="09C81E89">
      <w:pPr>
        <w:ind w:firstLine="522"/>
        <w:rPr>
          <w:color w:val="auto"/>
          <w:highlight w:val="none"/>
        </w:rPr>
      </w:pPr>
    </w:p>
    <w:p w14:paraId="5D4820B8">
      <w:pPr>
        <w:ind w:firstLine="522"/>
        <w:rPr>
          <w:color w:val="auto"/>
          <w:highlight w:val="none"/>
        </w:rPr>
      </w:pPr>
    </w:p>
    <w:p w14:paraId="331C2077">
      <w:pPr>
        <w:ind w:firstLine="522"/>
        <w:rPr>
          <w:color w:val="auto"/>
          <w:highlight w:val="none"/>
        </w:rPr>
      </w:pPr>
    </w:p>
    <w:p w14:paraId="5916451A">
      <w:pPr>
        <w:ind w:firstLine="522"/>
        <w:rPr>
          <w:color w:val="auto"/>
          <w:highlight w:val="none"/>
        </w:rPr>
      </w:pPr>
    </w:p>
    <w:p w14:paraId="4665E869">
      <w:pPr>
        <w:ind w:firstLine="522"/>
        <w:rPr>
          <w:color w:val="auto"/>
          <w:highlight w:val="none"/>
        </w:rPr>
      </w:pPr>
    </w:p>
    <w:p w14:paraId="4E91E88C">
      <w:pPr>
        <w:ind w:firstLine="522"/>
        <w:rPr>
          <w:color w:val="auto"/>
          <w:highlight w:val="none"/>
        </w:rPr>
      </w:pPr>
    </w:p>
    <w:p w14:paraId="4E932BFC">
      <w:pPr>
        <w:ind w:firstLine="522"/>
        <w:rPr>
          <w:color w:val="auto"/>
          <w:highlight w:val="none"/>
        </w:rPr>
      </w:pPr>
    </w:p>
    <w:p w14:paraId="7F0B3650">
      <w:pPr>
        <w:ind w:firstLine="522"/>
        <w:rPr>
          <w:color w:val="auto"/>
          <w:highlight w:val="none"/>
        </w:rPr>
      </w:pPr>
    </w:p>
    <w:p w14:paraId="6C2F9E1C">
      <w:pPr>
        <w:ind w:firstLine="522"/>
        <w:rPr>
          <w:color w:val="auto"/>
          <w:highlight w:val="none"/>
        </w:rPr>
      </w:pPr>
    </w:p>
    <w:p w14:paraId="79D18C88">
      <w:pPr>
        <w:ind w:firstLine="522"/>
        <w:rPr>
          <w:color w:val="auto"/>
          <w:highlight w:val="none"/>
        </w:rPr>
      </w:pPr>
    </w:p>
    <w:p w14:paraId="7709410D">
      <w:pPr>
        <w:widowControl/>
        <w:jc w:val="left"/>
        <w:rPr>
          <w:color w:val="auto"/>
          <w:highlight w:val="none"/>
        </w:rPr>
      </w:pPr>
      <w:r>
        <w:rPr>
          <w:color w:val="auto"/>
          <w:highlight w:val="none"/>
        </w:rPr>
        <w:br w:type="page"/>
      </w:r>
    </w:p>
    <w:p w14:paraId="39119578">
      <w:pPr>
        <w:ind w:firstLine="522"/>
        <w:rPr>
          <w:color w:val="auto"/>
          <w:highlight w:val="none"/>
        </w:rPr>
      </w:pPr>
    </w:p>
    <w:p w14:paraId="729FFF46">
      <w:pPr>
        <w:ind w:firstLine="522"/>
        <w:rPr>
          <w:color w:val="auto"/>
          <w:highlight w:val="none"/>
        </w:rPr>
      </w:pPr>
    </w:p>
    <w:p w14:paraId="7F1102BB">
      <w:pPr>
        <w:ind w:firstLine="522"/>
        <w:rPr>
          <w:color w:val="auto"/>
          <w:highlight w:val="none"/>
        </w:rPr>
      </w:pPr>
    </w:p>
    <w:p w14:paraId="4AA2CC20">
      <w:pPr>
        <w:ind w:firstLine="522"/>
        <w:rPr>
          <w:color w:val="auto"/>
          <w:highlight w:val="none"/>
        </w:rPr>
      </w:pPr>
    </w:p>
    <w:p w14:paraId="627DBBC5">
      <w:pPr>
        <w:ind w:firstLine="522"/>
        <w:rPr>
          <w:color w:val="auto"/>
          <w:highlight w:val="none"/>
        </w:rPr>
      </w:pPr>
    </w:p>
    <w:p w14:paraId="0C994DBC">
      <w:pPr>
        <w:ind w:firstLine="522"/>
        <w:rPr>
          <w:color w:val="auto"/>
          <w:highlight w:val="none"/>
        </w:rPr>
      </w:pPr>
    </w:p>
    <w:p w14:paraId="7047DE9D">
      <w:pPr>
        <w:ind w:firstLine="522"/>
        <w:rPr>
          <w:color w:val="auto"/>
          <w:highlight w:val="none"/>
        </w:rPr>
      </w:pPr>
    </w:p>
    <w:p w14:paraId="10342B84">
      <w:pPr>
        <w:ind w:firstLine="522"/>
        <w:rPr>
          <w:color w:val="auto"/>
          <w:highlight w:val="none"/>
        </w:rPr>
      </w:pPr>
    </w:p>
    <w:p w14:paraId="3C7631CF">
      <w:pPr>
        <w:ind w:firstLine="522"/>
        <w:rPr>
          <w:color w:val="auto"/>
          <w:highlight w:val="none"/>
        </w:rPr>
      </w:pPr>
    </w:p>
    <w:p w14:paraId="1D619749">
      <w:pPr>
        <w:ind w:firstLine="522"/>
        <w:rPr>
          <w:color w:val="auto"/>
          <w:highlight w:val="none"/>
        </w:rPr>
      </w:pPr>
    </w:p>
    <w:p w14:paraId="43F59121">
      <w:pPr>
        <w:ind w:firstLine="522"/>
        <w:rPr>
          <w:color w:val="auto"/>
          <w:highlight w:val="none"/>
        </w:rPr>
      </w:pPr>
    </w:p>
    <w:p w14:paraId="3ECD6F03">
      <w:pPr>
        <w:ind w:firstLine="522"/>
        <w:rPr>
          <w:color w:val="auto"/>
          <w:highlight w:val="none"/>
        </w:rPr>
      </w:pPr>
    </w:p>
    <w:p w14:paraId="6A289FA0">
      <w:pPr>
        <w:ind w:firstLine="522"/>
        <w:rPr>
          <w:color w:val="auto"/>
          <w:highlight w:val="none"/>
        </w:rPr>
      </w:pPr>
    </w:p>
    <w:p w14:paraId="3380BFA7">
      <w:pPr>
        <w:ind w:firstLine="522"/>
        <w:rPr>
          <w:color w:val="auto"/>
          <w:highlight w:val="none"/>
        </w:rPr>
      </w:pPr>
    </w:p>
    <w:p w14:paraId="6D452D2D">
      <w:pPr>
        <w:ind w:firstLine="522"/>
        <w:rPr>
          <w:color w:val="auto"/>
          <w:highlight w:val="none"/>
        </w:rPr>
      </w:pPr>
    </w:p>
    <w:p w14:paraId="11E30A71">
      <w:pPr>
        <w:pStyle w:val="2"/>
        <w:rPr>
          <w:color w:val="auto"/>
          <w:highlight w:val="none"/>
        </w:rPr>
      </w:pPr>
      <w:bookmarkStart w:id="182" w:name="_Toc19981"/>
      <w:r>
        <w:rPr>
          <w:rFonts w:hint="eastAsia"/>
          <w:color w:val="auto"/>
          <w:highlight w:val="none"/>
        </w:rPr>
        <w:t xml:space="preserve">第五章 </w:t>
      </w:r>
      <w:r>
        <w:rPr>
          <w:color w:val="auto"/>
          <w:highlight w:val="none"/>
        </w:rPr>
        <w:t xml:space="preserve"> </w:t>
      </w:r>
      <w:r>
        <w:rPr>
          <w:rFonts w:hint="eastAsia"/>
          <w:color w:val="auto"/>
          <w:highlight w:val="none"/>
        </w:rPr>
        <w:t>招标内容及要求</w:t>
      </w:r>
      <w:bookmarkEnd w:id="182"/>
    </w:p>
    <w:p w14:paraId="4E144487">
      <w:pPr>
        <w:snapToGrid w:val="0"/>
        <w:spacing w:line="360" w:lineRule="auto"/>
        <w:ind w:firstLine="480" w:firstLineChars="200"/>
        <w:rPr>
          <w:rFonts w:ascii="宋体" w:hAnsi="宋体"/>
          <w:color w:val="auto"/>
          <w:sz w:val="24"/>
          <w:highlight w:val="none"/>
        </w:rPr>
      </w:pPr>
    </w:p>
    <w:p w14:paraId="7A95C0B6">
      <w:pPr>
        <w:ind w:firstLine="522"/>
        <w:rPr>
          <w:color w:val="auto"/>
          <w:highlight w:val="none"/>
        </w:rPr>
        <w:sectPr>
          <w:headerReference r:id="rId12" w:type="default"/>
          <w:footerReference r:id="rId13" w:type="default"/>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pPr>
    </w:p>
    <w:p w14:paraId="1E57785D">
      <w:pPr>
        <w:rPr>
          <w:color w:val="auto"/>
        </w:rPr>
      </w:pPr>
      <w:bookmarkStart w:id="183" w:name="_Toc24347"/>
    </w:p>
    <w:bookmarkEnd w:id="183"/>
    <w:p w14:paraId="56D7FC4D">
      <w:pPr>
        <w:numPr>
          <w:ilvl w:val="0"/>
          <w:numId w:val="5"/>
        </w:numPr>
        <w:jc w:val="center"/>
        <w:rPr>
          <w:rFonts w:hint="eastAsia"/>
          <w:b/>
          <w:bCs/>
          <w:color w:val="auto"/>
          <w:sz w:val="24"/>
          <w:szCs w:val="32"/>
        </w:rPr>
      </w:pPr>
      <w:r>
        <w:rPr>
          <w:rFonts w:hint="eastAsia"/>
          <w:b/>
          <w:bCs/>
          <w:color w:val="auto"/>
          <w:sz w:val="24"/>
          <w:szCs w:val="32"/>
        </w:rPr>
        <w:t>采购</w:t>
      </w:r>
      <w:r>
        <w:rPr>
          <w:rFonts w:hint="eastAsia"/>
          <w:b/>
          <w:bCs/>
          <w:color w:val="auto"/>
          <w:sz w:val="24"/>
          <w:szCs w:val="32"/>
          <w:lang w:val="en-US" w:eastAsia="zh-CN"/>
        </w:rPr>
        <w:t>清单</w:t>
      </w:r>
      <w:r>
        <w:rPr>
          <w:rFonts w:hint="eastAsia"/>
          <w:b/>
          <w:bCs/>
          <w:color w:val="auto"/>
          <w:sz w:val="24"/>
          <w:szCs w:val="32"/>
        </w:rPr>
        <w:t>一览表</w:t>
      </w:r>
    </w:p>
    <w:p w14:paraId="6B7DBD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本项目核心产品为</w:t>
      </w:r>
      <w:r>
        <w:rPr>
          <w:rFonts w:hint="eastAsia" w:ascii="宋体" w:hAnsi="宋体" w:cs="宋体"/>
          <w:color w:val="auto"/>
          <w:sz w:val="24"/>
          <w:szCs w:val="24"/>
          <w:lang w:val="en-US" w:eastAsia="zh-CN"/>
        </w:rPr>
        <w:t>自动化接种繁育机</w:t>
      </w:r>
      <w:r>
        <w:rPr>
          <w:rFonts w:hint="eastAsia" w:ascii="宋体" w:hAnsi="宋体" w:eastAsia="宋体" w:cs="宋体"/>
          <w:color w:val="auto"/>
          <w:sz w:val="24"/>
          <w:szCs w:val="24"/>
          <w:lang w:val="en-US" w:eastAsia="zh-CN"/>
        </w:rPr>
        <w:t>，非单一产品采购项目中，多家投标人提供的所有核心产品品牌相同的，视为提供相同品牌产品。</w:t>
      </w:r>
    </w:p>
    <w:tbl>
      <w:tblPr>
        <w:tblStyle w:val="32"/>
        <w:tblW w:w="5449" w:type="pct"/>
        <w:jc w:val="center"/>
        <w:tblLayout w:type="fixed"/>
        <w:tblCellMar>
          <w:top w:w="0" w:type="dxa"/>
          <w:left w:w="108" w:type="dxa"/>
          <w:bottom w:w="0" w:type="dxa"/>
          <w:right w:w="108" w:type="dxa"/>
        </w:tblCellMar>
      </w:tblPr>
      <w:tblGrid>
        <w:gridCol w:w="458"/>
        <w:gridCol w:w="632"/>
        <w:gridCol w:w="682"/>
        <w:gridCol w:w="515"/>
        <w:gridCol w:w="698"/>
        <w:gridCol w:w="983"/>
        <w:gridCol w:w="5354"/>
        <w:gridCol w:w="1107"/>
      </w:tblGrid>
      <w:tr w14:paraId="55AB55DA">
        <w:tblPrEx>
          <w:tblCellMar>
            <w:top w:w="0" w:type="dxa"/>
            <w:left w:w="108" w:type="dxa"/>
            <w:bottom w:w="0" w:type="dxa"/>
            <w:right w:w="108" w:type="dxa"/>
          </w:tblCellMar>
        </w:tblPrEx>
        <w:trPr>
          <w:trHeight w:val="640" w:hRule="atLeast"/>
          <w:jc w:val="center"/>
        </w:trPr>
        <w:tc>
          <w:tcPr>
            <w:tcW w:w="219" w:type="pct"/>
            <w:tcBorders>
              <w:top w:val="single" w:color="000000" w:sz="4" w:space="0"/>
              <w:left w:val="single" w:color="000000" w:sz="4" w:space="0"/>
              <w:bottom w:val="single" w:color="000000" w:sz="4" w:space="0"/>
              <w:right w:val="single" w:color="000000" w:sz="4" w:space="0"/>
            </w:tcBorders>
            <w:shd w:val="pct5" w:color="000000" w:fill="FFFFFF"/>
            <w:vAlign w:val="center"/>
          </w:tcPr>
          <w:p w14:paraId="307ACBF2">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序号</w:t>
            </w:r>
          </w:p>
        </w:tc>
        <w:tc>
          <w:tcPr>
            <w:tcW w:w="303" w:type="pct"/>
            <w:tcBorders>
              <w:top w:val="single" w:color="000000" w:sz="4" w:space="0"/>
              <w:left w:val="single" w:color="000000" w:sz="4" w:space="0"/>
              <w:bottom w:val="single" w:color="000000" w:sz="4" w:space="0"/>
              <w:right w:val="single" w:color="000000" w:sz="4" w:space="0"/>
            </w:tcBorders>
            <w:shd w:val="pct5" w:color="000000" w:fill="FFFFFF"/>
            <w:vAlign w:val="center"/>
          </w:tcPr>
          <w:p w14:paraId="41AD8FD6">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标的名称</w:t>
            </w:r>
          </w:p>
        </w:tc>
        <w:tc>
          <w:tcPr>
            <w:tcW w:w="327" w:type="pct"/>
            <w:tcBorders>
              <w:top w:val="single" w:color="000000" w:sz="4" w:space="0"/>
              <w:left w:val="single" w:color="000000" w:sz="4" w:space="0"/>
              <w:bottom w:val="single" w:color="000000" w:sz="4" w:space="0"/>
              <w:right w:val="single" w:color="000000" w:sz="4" w:space="0"/>
            </w:tcBorders>
            <w:shd w:val="pct5" w:color="000000" w:fill="FFFFFF"/>
            <w:vAlign w:val="center"/>
          </w:tcPr>
          <w:p w14:paraId="70FA7B2B">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是否进口</w:t>
            </w:r>
          </w:p>
        </w:tc>
        <w:tc>
          <w:tcPr>
            <w:tcW w:w="247" w:type="pct"/>
            <w:tcBorders>
              <w:top w:val="single" w:color="000000" w:sz="4" w:space="0"/>
              <w:left w:val="single" w:color="000000" w:sz="4" w:space="0"/>
              <w:bottom w:val="single" w:color="000000" w:sz="4" w:space="0"/>
              <w:right w:val="single" w:color="000000" w:sz="4" w:space="0"/>
            </w:tcBorders>
            <w:shd w:val="pct5" w:color="000000" w:fill="FFFFFF"/>
            <w:vAlign w:val="center"/>
          </w:tcPr>
          <w:p w14:paraId="2EF4E1B2">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数量</w:t>
            </w:r>
          </w:p>
        </w:tc>
        <w:tc>
          <w:tcPr>
            <w:tcW w:w="335" w:type="pct"/>
            <w:tcBorders>
              <w:top w:val="single" w:color="000000" w:sz="4" w:space="0"/>
              <w:left w:val="single" w:color="000000" w:sz="4" w:space="0"/>
              <w:bottom w:val="single" w:color="000000" w:sz="4" w:space="0"/>
              <w:right w:val="single" w:color="000000" w:sz="4" w:space="0"/>
            </w:tcBorders>
            <w:shd w:val="pct5" w:color="000000" w:fill="FFFFFF"/>
            <w:vAlign w:val="center"/>
          </w:tcPr>
          <w:p w14:paraId="75FBC048">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计量单位</w:t>
            </w:r>
          </w:p>
        </w:tc>
        <w:tc>
          <w:tcPr>
            <w:tcW w:w="471" w:type="pct"/>
            <w:tcBorders>
              <w:top w:val="single" w:color="000000" w:sz="4" w:space="0"/>
              <w:left w:val="single" w:color="000000" w:sz="4" w:space="0"/>
              <w:bottom w:val="single" w:color="auto" w:sz="4" w:space="0"/>
              <w:right w:val="single" w:color="000000" w:sz="4" w:space="0"/>
            </w:tcBorders>
            <w:shd w:val="pct5" w:color="000000" w:fill="FFFFFF"/>
            <w:vAlign w:val="center"/>
          </w:tcPr>
          <w:p w14:paraId="71BD5BEB">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预算单价（万元）</w:t>
            </w:r>
          </w:p>
        </w:tc>
        <w:tc>
          <w:tcPr>
            <w:tcW w:w="2563" w:type="pct"/>
            <w:tcBorders>
              <w:top w:val="single" w:color="000000" w:sz="4" w:space="0"/>
              <w:left w:val="single" w:color="000000" w:sz="4" w:space="0"/>
              <w:bottom w:val="single" w:color="auto" w:sz="4" w:space="0"/>
              <w:right w:val="single" w:color="000000" w:sz="4" w:space="0"/>
            </w:tcBorders>
            <w:shd w:val="pct5" w:color="000000" w:fill="FFFFFF"/>
            <w:vAlign w:val="center"/>
          </w:tcPr>
          <w:p w14:paraId="5AC58B21">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技术参数要求</w:t>
            </w:r>
          </w:p>
        </w:tc>
        <w:tc>
          <w:tcPr>
            <w:tcW w:w="530" w:type="pct"/>
            <w:tcBorders>
              <w:top w:val="single" w:color="000000" w:sz="4" w:space="0"/>
              <w:left w:val="single" w:color="000000" w:sz="4" w:space="0"/>
              <w:bottom w:val="single" w:color="auto" w:sz="4" w:space="0"/>
              <w:right w:val="single" w:color="000000" w:sz="4" w:space="0"/>
            </w:tcBorders>
            <w:shd w:val="pct5" w:color="000000" w:fill="FFFFFF"/>
            <w:vAlign w:val="center"/>
          </w:tcPr>
          <w:p w14:paraId="31D9316E">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备注</w:t>
            </w:r>
          </w:p>
        </w:tc>
      </w:tr>
      <w:tr w14:paraId="3F6999E7">
        <w:tblPrEx>
          <w:tblCellMar>
            <w:top w:w="0" w:type="dxa"/>
            <w:left w:w="108" w:type="dxa"/>
            <w:bottom w:w="0" w:type="dxa"/>
            <w:right w:w="108" w:type="dxa"/>
          </w:tblCellMar>
        </w:tblPrEx>
        <w:trPr>
          <w:trHeight w:val="626"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6034C56">
            <w:pPr>
              <w:widowControl/>
              <w:jc w:val="center"/>
              <w:textAlignment w:val="center"/>
              <w:rPr>
                <w:rFonts w:hint="eastAsia" w:ascii="宋体" w:hAnsi="宋体" w:cs="宋体"/>
                <w:color w:val="auto"/>
                <w:sz w:val="18"/>
                <w:szCs w:val="18"/>
              </w:rPr>
            </w:pPr>
            <w:r>
              <w:rPr>
                <w:rFonts w:hint="eastAsia" w:ascii="宋体" w:hAnsi="宋体" w:cs="宋体"/>
                <w:color w:val="auto"/>
                <w:kern w:val="0"/>
                <w:sz w:val="18"/>
                <w:szCs w:val="18"/>
                <w:lang w:bidi="ar"/>
              </w:rPr>
              <w:t>1</w:t>
            </w:r>
          </w:p>
        </w:tc>
        <w:tc>
          <w:tcPr>
            <w:tcW w:w="303" w:type="pct"/>
            <w:tcBorders>
              <w:top w:val="single" w:color="000000" w:sz="4" w:space="0"/>
              <w:left w:val="single" w:color="000000" w:sz="4" w:space="0"/>
              <w:bottom w:val="single" w:color="000000" w:sz="4" w:space="0"/>
              <w:right w:val="single" w:color="000000" w:sz="4" w:space="0"/>
            </w:tcBorders>
            <w:vAlign w:val="center"/>
          </w:tcPr>
          <w:p w14:paraId="65192B67">
            <w:pPr>
              <w:widowControl/>
              <w:jc w:val="center"/>
              <w:textAlignment w:val="center"/>
              <w:rPr>
                <w:rFonts w:hint="eastAsia" w:ascii="宋体" w:hAnsi="宋体" w:cs="宋体"/>
                <w:color w:val="auto"/>
                <w:sz w:val="18"/>
                <w:szCs w:val="18"/>
              </w:rPr>
            </w:pPr>
            <w:r>
              <w:rPr>
                <w:rFonts w:hint="eastAsia" w:ascii="宋体" w:hAnsi="宋体" w:cs="宋体"/>
                <w:color w:val="auto"/>
                <w:kern w:val="0"/>
                <w:sz w:val="18"/>
                <w:szCs w:val="18"/>
                <w:lang w:bidi="ar"/>
              </w:rPr>
              <w:t>寄主卵处理器</w:t>
            </w:r>
          </w:p>
        </w:tc>
        <w:tc>
          <w:tcPr>
            <w:tcW w:w="327" w:type="pct"/>
            <w:tcBorders>
              <w:top w:val="single" w:color="000000" w:sz="4" w:space="0"/>
              <w:left w:val="single" w:color="000000" w:sz="4" w:space="0"/>
              <w:bottom w:val="single" w:color="000000" w:sz="4" w:space="0"/>
              <w:right w:val="single" w:color="000000" w:sz="4" w:space="0"/>
            </w:tcBorders>
            <w:vAlign w:val="center"/>
          </w:tcPr>
          <w:p w14:paraId="6C7C5905">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否</w:t>
            </w:r>
          </w:p>
        </w:tc>
        <w:tc>
          <w:tcPr>
            <w:tcW w:w="247" w:type="pct"/>
            <w:tcBorders>
              <w:top w:val="single" w:color="000000" w:sz="4" w:space="0"/>
              <w:left w:val="single" w:color="000000" w:sz="4" w:space="0"/>
              <w:bottom w:val="single" w:color="000000" w:sz="4" w:space="0"/>
              <w:right w:val="single" w:color="000000" w:sz="4" w:space="0"/>
            </w:tcBorders>
            <w:vAlign w:val="center"/>
          </w:tcPr>
          <w:p w14:paraId="44F0317A">
            <w:pPr>
              <w:widowControl/>
              <w:jc w:val="center"/>
              <w:textAlignment w:val="center"/>
              <w:rPr>
                <w:rFonts w:hint="eastAsia" w:ascii="宋体" w:hAnsi="宋体" w:cs="宋体"/>
                <w:color w:val="auto"/>
                <w:sz w:val="18"/>
                <w:szCs w:val="18"/>
              </w:rPr>
            </w:pPr>
            <w:r>
              <w:rPr>
                <w:rFonts w:hint="eastAsia" w:ascii="宋体" w:hAnsi="宋体" w:cs="宋体"/>
                <w:color w:val="auto"/>
                <w:sz w:val="18"/>
                <w:szCs w:val="18"/>
              </w:rPr>
              <w:t>1</w:t>
            </w:r>
          </w:p>
        </w:tc>
        <w:tc>
          <w:tcPr>
            <w:tcW w:w="335" w:type="pct"/>
            <w:tcBorders>
              <w:top w:val="single" w:color="000000" w:sz="4" w:space="0"/>
              <w:left w:val="single" w:color="000000" w:sz="4" w:space="0"/>
              <w:bottom w:val="single" w:color="000000" w:sz="4" w:space="0"/>
              <w:right w:val="single" w:color="auto" w:sz="4" w:space="0"/>
            </w:tcBorders>
            <w:vAlign w:val="center"/>
          </w:tcPr>
          <w:p w14:paraId="1CC2CBE8">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台/套</w:t>
            </w:r>
          </w:p>
        </w:tc>
        <w:tc>
          <w:tcPr>
            <w:tcW w:w="471" w:type="pct"/>
            <w:tcBorders>
              <w:top w:val="single" w:color="auto" w:sz="4" w:space="0"/>
              <w:left w:val="single" w:color="auto" w:sz="4" w:space="0"/>
              <w:bottom w:val="single" w:color="auto" w:sz="4" w:space="0"/>
              <w:right w:val="single" w:color="auto" w:sz="4" w:space="0"/>
            </w:tcBorders>
            <w:noWrap/>
            <w:vAlign w:val="center"/>
          </w:tcPr>
          <w:p w14:paraId="04E0AD44">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30</w:t>
            </w:r>
          </w:p>
        </w:tc>
        <w:tc>
          <w:tcPr>
            <w:tcW w:w="2563" w:type="pct"/>
            <w:tcBorders>
              <w:top w:val="single" w:color="auto" w:sz="4" w:space="0"/>
              <w:left w:val="single" w:color="auto" w:sz="4" w:space="0"/>
              <w:bottom w:val="single" w:color="auto" w:sz="4" w:space="0"/>
              <w:right w:val="single" w:color="auto" w:sz="4" w:space="0"/>
            </w:tcBorders>
            <w:noWrap/>
            <w:vAlign w:val="center"/>
          </w:tcPr>
          <w:p w14:paraId="6BB85CB5">
            <w:pPr>
              <w:widowControl/>
              <w:numPr>
                <w:ilvl w:val="0"/>
                <w:numId w:val="0"/>
              </w:numPr>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val="en-US" w:eastAsia="zh-CN" w:bidi="ar"/>
              </w:rPr>
              <w:t>1.</w:t>
            </w:r>
            <w:r>
              <w:rPr>
                <w:rFonts w:hint="eastAsia" w:ascii="宋体" w:hAnsi="宋体" w:cs="宋体"/>
                <w:color w:val="auto"/>
                <w:kern w:val="0"/>
                <w:sz w:val="18"/>
                <w:szCs w:val="18"/>
                <w:lang w:bidi="ar"/>
              </w:rPr>
              <w:t>保温结构外形尺寸：长*宽*高（</w:t>
            </w:r>
            <w:r>
              <w:rPr>
                <w:rFonts w:ascii="Arial" w:hAnsi="Arial" w:cs="Arial"/>
                <w:color w:val="auto"/>
                <w:kern w:val="0"/>
                <w:sz w:val="18"/>
                <w:szCs w:val="18"/>
                <w:lang w:bidi="ar"/>
              </w:rPr>
              <w:t>≥</w:t>
            </w:r>
            <w:r>
              <w:rPr>
                <w:rFonts w:hint="eastAsia" w:ascii="宋体" w:hAnsi="宋体" w:cs="宋体"/>
                <w:color w:val="auto"/>
                <w:kern w:val="0"/>
                <w:sz w:val="18"/>
                <w:szCs w:val="18"/>
                <w:lang w:bidi="ar"/>
              </w:rPr>
              <w:t>4000*2500*2600mmH</w:t>
            </w:r>
            <w:r>
              <w:rPr>
                <w:rFonts w:ascii="宋体" w:hAnsi="宋体" w:cs="宋体"/>
                <w:color w:val="auto"/>
                <w:kern w:val="0"/>
                <w:sz w:val="18"/>
                <w:szCs w:val="18"/>
                <w:lang w:bidi="ar"/>
              </w:rPr>
              <w:t>）</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保温结构六面体采用钢板厚度</w:t>
            </w:r>
            <w:r>
              <w:rPr>
                <w:rFonts w:ascii="Arial" w:hAnsi="Arial" w:cs="Arial"/>
                <w:color w:val="auto"/>
                <w:kern w:val="0"/>
                <w:sz w:val="18"/>
                <w:szCs w:val="18"/>
                <w:lang w:bidi="ar"/>
              </w:rPr>
              <w:t>≥</w:t>
            </w:r>
            <w:r>
              <w:rPr>
                <w:rFonts w:hint="eastAsia" w:ascii="宋体" w:hAnsi="宋体" w:cs="宋体"/>
                <w:color w:val="auto"/>
                <w:kern w:val="0"/>
                <w:sz w:val="18"/>
                <w:szCs w:val="18"/>
                <w:lang w:bidi="ar"/>
              </w:rPr>
              <w:t>0.5毫米</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保温厚度</w:t>
            </w:r>
            <w:r>
              <w:rPr>
                <w:rFonts w:ascii="Arial" w:hAnsi="Arial" w:cs="Arial"/>
                <w:color w:val="auto"/>
                <w:kern w:val="0"/>
                <w:sz w:val="18"/>
                <w:szCs w:val="18"/>
                <w:lang w:bidi="ar"/>
              </w:rPr>
              <w:t>≥</w:t>
            </w:r>
            <w:r>
              <w:rPr>
                <w:rFonts w:hint="eastAsia" w:ascii="宋体" w:hAnsi="宋体" w:cs="宋体"/>
                <w:color w:val="auto"/>
                <w:kern w:val="0"/>
                <w:sz w:val="18"/>
                <w:szCs w:val="18"/>
                <w:lang w:bidi="ar"/>
              </w:rPr>
              <w:t>100毫米整体发泡聚氨酯保温夹芯拼装板；保温地板铺设</w:t>
            </w:r>
            <w:r>
              <w:rPr>
                <w:rFonts w:ascii="Arial" w:hAnsi="Arial" w:cs="Arial"/>
                <w:color w:val="auto"/>
                <w:kern w:val="0"/>
                <w:sz w:val="18"/>
                <w:szCs w:val="18"/>
                <w:lang w:bidi="ar"/>
              </w:rPr>
              <w:t>≥</w:t>
            </w:r>
            <w:r>
              <w:rPr>
                <w:rFonts w:hint="eastAsia" w:ascii="宋体" w:hAnsi="宋体" w:cs="宋体"/>
                <w:color w:val="auto"/>
                <w:kern w:val="0"/>
                <w:sz w:val="18"/>
                <w:szCs w:val="18"/>
                <w:lang w:bidi="ar"/>
              </w:rPr>
              <w:t>3毫米压花铝板；结构保温夹芯板材工厂预制现场拼装；门洞尺寸1900*800，采用冷库密闭半埋门。</w:t>
            </w:r>
          </w:p>
          <w:p w14:paraId="45F5C5E0">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2.需提供系统结构平面、立面图。</w:t>
            </w:r>
          </w:p>
          <w:p w14:paraId="51A6A307">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3.环境控制精度部分：</w:t>
            </w:r>
          </w:p>
          <w:p w14:paraId="7ABEEE0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★（1）控温范围10℃～20℃可调，控温精度±0.5℃。</w:t>
            </w:r>
          </w:p>
          <w:p w14:paraId="773CC773">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★（2）控温系统采用环保型制冷剂，工作空间自动温度控制，作业空间温度均匀；室内均匀度≤1℃。</w:t>
            </w:r>
          </w:p>
          <w:p w14:paraId="7C7CEE87">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室内新风与排风：新风换气次数1—3次/h，室内微正压，新风机采用EC直流调速风机，风机风量根据室内空气质量，自动调节风量。新风口安装在结构外侧便于维护清扫。排风口设G4过级防虫功能滤网，排风口安装在新风口的对面侧立面外置，避免排风与新风交叉污染，安装位置便于日常维护清扫。</w:t>
            </w:r>
          </w:p>
          <w:p w14:paraId="2ECAD50B">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（4）新风经初效过滤G4+中效过滤F7净化处理后进入室内；防止室内环境污染。</w:t>
            </w:r>
          </w:p>
          <w:p w14:paraId="378AF79D">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（5）配置恒温控湿一体机2台（互为备用）：</w:t>
            </w:r>
          </w:p>
          <w:p w14:paraId="74390DCD">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制冷量3.0kW*2,P=1070W*2，采用等温除湿方式；</w:t>
            </w:r>
          </w:p>
          <w:p w14:paraId="3379A7A5">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制热功率4.5KW，电源采用AC380V,50Hz，三相动力电源。</w:t>
            </w:r>
          </w:p>
        </w:tc>
        <w:tc>
          <w:tcPr>
            <w:tcW w:w="530" w:type="pct"/>
            <w:tcBorders>
              <w:top w:val="single" w:color="auto" w:sz="4" w:space="0"/>
              <w:left w:val="single" w:color="auto" w:sz="4" w:space="0"/>
              <w:bottom w:val="single" w:color="auto" w:sz="4" w:space="0"/>
              <w:right w:val="single" w:color="auto" w:sz="4" w:space="0"/>
            </w:tcBorders>
            <w:noWrap/>
            <w:vAlign w:val="center"/>
          </w:tcPr>
          <w:p w14:paraId="08012685">
            <w:pPr>
              <w:rPr>
                <w:rFonts w:hint="eastAsia" w:ascii="宋体" w:hAnsi="宋体" w:cs="宋体"/>
                <w:color w:val="auto"/>
                <w:sz w:val="18"/>
                <w:szCs w:val="18"/>
              </w:rPr>
            </w:pPr>
          </w:p>
        </w:tc>
      </w:tr>
      <w:tr w14:paraId="47570B9F">
        <w:tblPrEx>
          <w:tblCellMar>
            <w:top w:w="0" w:type="dxa"/>
            <w:left w:w="108" w:type="dxa"/>
            <w:bottom w:w="0" w:type="dxa"/>
            <w:right w:w="108" w:type="dxa"/>
          </w:tblCellMar>
        </w:tblPrEx>
        <w:trPr>
          <w:trHeight w:val="615"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58D4C36">
            <w:pPr>
              <w:widowControl/>
              <w:jc w:val="center"/>
              <w:textAlignment w:val="center"/>
              <w:rPr>
                <w:rFonts w:hint="eastAsia" w:ascii="宋体" w:hAnsi="宋体" w:cs="宋体"/>
                <w:color w:val="auto"/>
                <w:sz w:val="18"/>
                <w:szCs w:val="18"/>
              </w:rPr>
            </w:pPr>
            <w:r>
              <w:rPr>
                <w:rFonts w:hint="eastAsia" w:ascii="宋体" w:hAnsi="宋体" w:cs="宋体"/>
                <w:color w:val="auto"/>
                <w:kern w:val="0"/>
                <w:sz w:val="18"/>
                <w:szCs w:val="18"/>
                <w:lang w:bidi="ar"/>
              </w:rPr>
              <w:t>2</w:t>
            </w:r>
          </w:p>
        </w:tc>
        <w:tc>
          <w:tcPr>
            <w:tcW w:w="303" w:type="pct"/>
            <w:tcBorders>
              <w:top w:val="single" w:color="000000" w:sz="4" w:space="0"/>
              <w:left w:val="single" w:color="000000" w:sz="4" w:space="0"/>
              <w:bottom w:val="single" w:color="000000" w:sz="4" w:space="0"/>
              <w:right w:val="single" w:color="000000" w:sz="4" w:space="0"/>
            </w:tcBorders>
            <w:vAlign w:val="center"/>
          </w:tcPr>
          <w:p w14:paraId="2A2BA81F">
            <w:pPr>
              <w:widowControl/>
              <w:jc w:val="center"/>
              <w:textAlignment w:val="center"/>
              <w:rPr>
                <w:rFonts w:hint="eastAsia" w:ascii="宋体" w:hAnsi="宋体" w:cs="宋体"/>
                <w:color w:val="auto"/>
                <w:sz w:val="18"/>
                <w:szCs w:val="18"/>
              </w:rPr>
            </w:pPr>
            <w:r>
              <w:rPr>
                <w:rFonts w:hint="eastAsia" w:ascii="宋体" w:hAnsi="宋体" w:cs="宋体"/>
                <w:color w:val="auto"/>
                <w:kern w:val="0"/>
                <w:sz w:val="18"/>
                <w:szCs w:val="18"/>
                <w:lang w:bidi="ar"/>
              </w:rPr>
              <w:t>蜂卡成型机</w:t>
            </w:r>
          </w:p>
        </w:tc>
        <w:tc>
          <w:tcPr>
            <w:tcW w:w="327" w:type="pct"/>
            <w:tcBorders>
              <w:top w:val="single" w:color="000000" w:sz="4" w:space="0"/>
              <w:left w:val="single" w:color="000000" w:sz="4" w:space="0"/>
              <w:bottom w:val="single" w:color="000000" w:sz="4" w:space="0"/>
              <w:right w:val="single" w:color="000000" w:sz="4" w:space="0"/>
            </w:tcBorders>
            <w:vAlign w:val="center"/>
          </w:tcPr>
          <w:p w14:paraId="3E502E9C">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否</w:t>
            </w:r>
          </w:p>
        </w:tc>
        <w:tc>
          <w:tcPr>
            <w:tcW w:w="247" w:type="pct"/>
            <w:tcBorders>
              <w:top w:val="single" w:color="000000" w:sz="4" w:space="0"/>
              <w:left w:val="single" w:color="000000" w:sz="4" w:space="0"/>
              <w:bottom w:val="single" w:color="000000" w:sz="4" w:space="0"/>
              <w:right w:val="single" w:color="000000" w:sz="4" w:space="0"/>
            </w:tcBorders>
            <w:vAlign w:val="center"/>
          </w:tcPr>
          <w:p w14:paraId="4E005A00">
            <w:pPr>
              <w:widowControl/>
              <w:jc w:val="center"/>
              <w:textAlignment w:val="center"/>
              <w:rPr>
                <w:rFonts w:hint="eastAsia" w:ascii="宋体" w:hAnsi="宋体" w:cs="宋体"/>
                <w:color w:val="auto"/>
                <w:sz w:val="18"/>
                <w:szCs w:val="18"/>
              </w:rPr>
            </w:pPr>
            <w:r>
              <w:rPr>
                <w:rFonts w:hint="eastAsia" w:ascii="宋体" w:hAnsi="宋体" w:cs="宋体"/>
                <w:color w:val="auto"/>
                <w:sz w:val="18"/>
                <w:szCs w:val="18"/>
              </w:rPr>
              <w:t>1</w:t>
            </w:r>
          </w:p>
        </w:tc>
        <w:tc>
          <w:tcPr>
            <w:tcW w:w="335" w:type="pct"/>
            <w:tcBorders>
              <w:top w:val="single" w:color="000000" w:sz="4" w:space="0"/>
              <w:left w:val="single" w:color="000000" w:sz="4" w:space="0"/>
              <w:bottom w:val="single" w:color="000000" w:sz="4" w:space="0"/>
              <w:right w:val="single" w:color="auto" w:sz="4" w:space="0"/>
            </w:tcBorders>
            <w:vAlign w:val="center"/>
          </w:tcPr>
          <w:p w14:paraId="4E46770F">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台/套</w:t>
            </w:r>
          </w:p>
        </w:tc>
        <w:tc>
          <w:tcPr>
            <w:tcW w:w="471" w:type="pct"/>
            <w:tcBorders>
              <w:top w:val="single" w:color="auto" w:sz="4" w:space="0"/>
              <w:left w:val="single" w:color="auto" w:sz="4" w:space="0"/>
              <w:bottom w:val="single" w:color="auto" w:sz="4" w:space="0"/>
              <w:right w:val="single" w:color="auto" w:sz="4" w:space="0"/>
            </w:tcBorders>
            <w:noWrap/>
            <w:vAlign w:val="center"/>
          </w:tcPr>
          <w:p w14:paraId="0342CD01">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30</w:t>
            </w:r>
          </w:p>
        </w:tc>
        <w:tc>
          <w:tcPr>
            <w:tcW w:w="2563" w:type="pct"/>
            <w:tcBorders>
              <w:top w:val="single" w:color="auto" w:sz="4" w:space="0"/>
              <w:left w:val="single" w:color="auto" w:sz="4" w:space="0"/>
              <w:bottom w:val="single" w:color="auto" w:sz="4" w:space="0"/>
              <w:right w:val="single" w:color="auto" w:sz="4" w:space="0"/>
            </w:tcBorders>
            <w:noWrap/>
            <w:vAlign w:val="center"/>
          </w:tcPr>
          <w:p w14:paraId="3F5B0D31">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1.电气功率：≤3.5kW。</w:t>
            </w:r>
          </w:p>
          <w:p w14:paraId="02B89424">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2.频    率：50Hz。</w:t>
            </w:r>
          </w:p>
          <w:p w14:paraId="1416A24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★3.制球效率：≥1500个/小时。</w:t>
            </w:r>
          </w:p>
          <w:p w14:paraId="67CEE595">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★4.成 品 率：≥99%。</w:t>
            </w:r>
          </w:p>
          <w:p w14:paraId="64A83ECE">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5.蜂球外径：≤27mm。</w:t>
            </w:r>
          </w:p>
          <w:p w14:paraId="04283B71">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★6.蜂卵数量：≥1500/球</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可根据要求调节填充量</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w:t>
            </w:r>
          </w:p>
          <w:p w14:paraId="54A2CB33">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7.设备尺寸：≥3500*1500*1700（mm）。</w:t>
            </w:r>
          </w:p>
          <w:p w14:paraId="5C3A9160">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蜂球壳体满足下列要求：</w:t>
            </w:r>
          </w:p>
          <w:p w14:paraId="0A86870B">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1.外径最大尺寸27mm。</w:t>
            </w:r>
          </w:p>
          <w:p w14:paraId="1E60BC2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2.蜂球壳体分为上半球和下半球两部分，通过边缘卡槽啮合。</w:t>
            </w:r>
          </w:p>
          <w:p w14:paraId="130C927D">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3.上半球圆周均布出蜂孔。</w:t>
            </w:r>
          </w:p>
          <w:p w14:paraId="548FC255">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4.下半球外边缘留有1mm凸台，便于定位。</w:t>
            </w:r>
          </w:p>
          <w:p w14:paraId="3DA4029C">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5.蜂球外壳采用环保易降解材质，并具有一定的强度。</w:t>
            </w:r>
          </w:p>
          <w:p w14:paraId="35F6F45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6.需提供蜂球设计说明及实验验证数据。</w:t>
            </w:r>
          </w:p>
          <w:p w14:paraId="75DBBBCC">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制作机结构：</w:t>
            </w:r>
          </w:p>
          <w:p w14:paraId="1B13FC36">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设备整体分为：蜂球组装台、蜂球成品收集、组装机控制系统。</w:t>
            </w:r>
          </w:p>
          <w:p w14:paraId="7673DF3A">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1.需提供制作机设备三维图。</w:t>
            </w:r>
          </w:p>
          <w:p w14:paraId="2C024BC4">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2.需提供制作机工作流程说明。</w:t>
            </w:r>
          </w:p>
          <w:p w14:paraId="5ED52AC7">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技术要求：</w:t>
            </w:r>
          </w:p>
          <w:p w14:paraId="73983FBF">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1.蜂球壳体通过旋转工作台定位以完成蜂球的自动组装。</w:t>
            </w:r>
          </w:p>
          <w:p w14:paraId="4B1350D6">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2.工作台圆周分布下半球定位工位、蜂卵填充工位、球体组合工位，由控制系统对蜂球定位、蜂卵填充、蜂球闭合按时序完成动作。</w:t>
            </w:r>
          </w:p>
          <w:p w14:paraId="4CE10ACB">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3.设备整体框架采用铝型材搭建，上部采用亚克力防护。</w:t>
            </w:r>
          </w:p>
          <w:p w14:paraId="043BCDDE">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4.工作台下部安装钣金防护罩，控制系统安装在内部。</w:t>
            </w:r>
          </w:p>
          <w:p w14:paraId="15AED6F6">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5.旋转工作台采用伺服电机驱动。</w:t>
            </w:r>
          </w:p>
          <w:p w14:paraId="609C91DF">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6.电气采用PLC控制，触摸屏作为人机交互媒体，完成参数设置、工作操作。</w:t>
            </w:r>
          </w:p>
          <w:p w14:paraId="7B0AAFB9">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7.需提供制作机技术说明书。</w:t>
            </w:r>
          </w:p>
        </w:tc>
        <w:tc>
          <w:tcPr>
            <w:tcW w:w="530" w:type="pct"/>
            <w:tcBorders>
              <w:top w:val="single" w:color="auto" w:sz="4" w:space="0"/>
              <w:left w:val="single" w:color="auto" w:sz="4" w:space="0"/>
              <w:bottom w:val="single" w:color="auto" w:sz="4" w:space="0"/>
              <w:right w:val="single" w:color="auto" w:sz="4" w:space="0"/>
            </w:tcBorders>
            <w:noWrap/>
            <w:vAlign w:val="center"/>
          </w:tcPr>
          <w:p w14:paraId="41BBEAF2">
            <w:pPr>
              <w:widowControl/>
              <w:jc w:val="left"/>
              <w:textAlignment w:val="center"/>
              <w:rPr>
                <w:rFonts w:hint="eastAsia" w:ascii="宋体" w:hAnsi="宋体" w:cs="宋体"/>
                <w:color w:val="auto"/>
                <w:kern w:val="0"/>
                <w:sz w:val="18"/>
                <w:szCs w:val="18"/>
                <w:lang w:bidi="ar"/>
              </w:rPr>
            </w:pPr>
          </w:p>
        </w:tc>
      </w:tr>
      <w:tr w14:paraId="7C903788">
        <w:tblPrEx>
          <w:tblCellMar>
            <w:top w:w="0" w:type="dxa"/>
            <w:left w:w="108" w:type="dxa"/>
            <w:bottom w:w="0" w:type="dxa"/>
            <w:right w:w="108" w:type="dxa"/>
          </w:tblCellMar>
        </w:tblPrEx>
        <w:trPr>
          <w:trHeight w:val="780"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D89CDDC">
            <w:pPr>
              <w:widowControl/>
              <w:jc w:val="center"/>
              <w:textAlignment w:val="center"/>
              <w:rPr>
                <w:rFonts w:hint="eastAsia" w:ascii="宋体" w:hAnsi="宋体" w:cs="宋体"/>
                <w:color w:val="auto"/>
                <w:sz w:val="18"/>
                <w:szCs w:val="18"/>
              </w:rPr>
            </w:pPr>
            <w:r>
              <w:rPr>
                <w:rFonts w:hint="eastAsia" w:ascii="宋体" w:hAnsi="宋体" w:cs="宋体"/>
                <w:color w:val="auto"/>
                <w:kern w:val="0"/>
                <w:sz w:val="18"/>
                <w:szCs w:val="18"/>
                <w:lang w:bidi="ar"/>
              </w:rPr>
              <w:t>3</w:t>
            </w:r>
          </w:p>
        </w:tc>
        <w:tc>
          <w:tcPr>
            <w:tcW w:w="303" w:type="pct"/>
            <w:tcBorders>
              <w:top w:val="single" w:color="000000" w:sz="4" w:space="0"/>
              <w:left w:val="single" w:color="000000" w:sz="4" w:space="0"/>
              <w:bottom w:val="single" w:color="000000" w:sz="4" w:space="0"/>
              <w:right w:val="single" w:color="000000" w:sz="4" w:space="0"/>
            </w:tcBorders>
            <w:vAlign w:val="center"/>
          </w:tcPr>
          <w:p w14:paraId="6928B1DB">
            <w:pPr>
              <w:widowControl/>
              <w:jc w:val="center"/>
              <w:textAlignment w:val="center"/>
              <w:rPr>
                <w:rFonts w:hint="eastAsia" w:ascii="宋体" w:hAnsi="宋体" w:cs="宋体"/>
                <w:color w:val="auto"/>
                <w:sz w:val="18"/>
                <w:szCs w:val="18"/>
              </w:rPr>
            </w:pPr>
            <w:r>
              <w:rPr>
                <w:rFonts w:hint="eastAsia" w:ascii="宋体" w:hAnsi="宋体" w:cs="宋体"/>
                <w:color w:val="auto"/>
                <w:kern w:val="0"/>
                <w:sz w:val="18"/>
                <w:szCs w:val="18"/>
                <w:lang w:bidi="ar"/>
              </w:rPr>
              <w:t>自动化接种于繁育机</w:t>
            </w:r>
          </w:p>
        </w:tc>
        <w:tc>
          <w:tcPr>
            <w:tcW w:w="327" w:type="pct"/>
            <w:tcBorders>
              <w:top w:val="single" w:color="000000" w:sz="4" w:space="0"/>
              <w:left w:val="single" w:color="000000" w:sz="4" w:space="0"/>
              <w:bottom w:val="single" w:color="000000" w:sz="4" w:space="0"/>
              <w:right w:val="single" w:color="000000" w:sz="4" w:space="0"/>
            </w:tcBorders>
            <w:vAlign w:val="center"/>
          </w:tcPr>
          <w:p w14:paraId="578ECE9A">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否</w:t>
            </w:r>
          </w:p>
        </w:tc>
        <w:tc>
          <w:tcPr>
            <w:tcW w:w="247" w:type="pct"/>
            <w:tcBorders>
              <w:top w:val="single" w:color="000000" w:sz="4" w:space="0"/>
              <w:left w:val="single" w:color="000000" w:sz="4" w:space="0"/>
              <w:bottom w:val="single" w:color="000000" w:sz="4" w:space="0"/>
              <w:right w:val="single" w:color="000000" w:sz="4" w:space="0"/>
            </w:tcBorders>
            <w:vAlign w:val="center"/>
          </w:tcPr>
          <w:p w14:paraId="7A3A6C69">
            <w:pPr>
              <w:widowControl/>
              <w:jc w:val="center"/>
              <w:textAlignment w:val="center"/>
              <w:rPr>
                <w:rFonts w:hint="eastAsia" w:ascii="宋体" w:hAnsi="宋体" w:cs="宋体"/>
                <w:color w:val="auto"/>
                <w:sz w:val="18"/>
                <w:szCs w:val="18"/>
              </w:rPr>
            </w:pPr>
            <w:r>
              <w:rPr>
                <w:rFonts w:hint="eastAsia" w:ascii="宋体" w:hAnsi="宋体" w:cs="宋体"/>
                <w:color w:val="auto"/>
                <w:sz w:val="18"/>
                <w:szCs w:val="18"/>
              </w:rPr>
              <w:t>1</w:t>
            </w:r>
          </w:p>
        </w:tc>
        <w:tc>
          <w:tcPr>
            <w:tcW w:w="335" w:type="pct"/>
            <w:tcBorders>
              <w:top w:val="single" w:color="000000" w:sz="4" w:space="0"/>
              <w:left w:val="single" w:color="000000" w:sz="4" w:space="0"/>
              <w:bottom w:val="single" w:color="000000" w:sz="4" w:space="0"/>
              <w:right w:val="single" w:color="auto" w:sz="4" w:space="0"/>
            </w:tcBorders>
            <w:vAlign w:val="center"/>
          </w:tcPr>
          <w:p w14:paraId="4CA1F420">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台/套</w:t>
            </w:r>
          </w:p>
        </w:tc>
        <w:tc>
          <w:tcPr>
            <w:tcW w:w="471" w:type="pct"/>
            <w:tcBorders>
              <w:top w:val="single" w:color="auto" w:sz="4" w:space="0"/>
              <w:left w:val="single" w:color="auto" w:sz="4" w:space="0"/>
              <w:bottom w:val="single" w:color="auto" w:sz="4" w:space="0"/>
              <w:right w:val="single" w:color="auto" w:sz="4" w:space="0"/>
            </w:tcBorders>
            <w:noWrap/>
            <w:vAlign w:val="center"/>
          </w:tcPr>
          <w:p w14:paraId="0A75F30C">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40</w:t>
            </w:r>
          </w:p>
        </w:tc>
        <w:tc>
          <w:tcPr>
            <w:tcW w:w="2563" w:type="pct"/>
            <w:tcBorders>
              <w:top w:val="single" w:color="auto" w:sz="4" w:space="0"/>
              <w:left w:val="single" w:color="auto" w:sz="4" w:space="0"/>
              <w:bottom w:val="single" w:color="auto" w:sz="4" w:space="0"/>
              <w:right w:val="single" w:color="auto" w:sz="4" w:space="0"/>
            </w:tcBorders>
            <w:noWrap/>
            <w:vAlign w:val="center"/>
          </w:tcPr>
          <w:p w14:paraId="7D0433DC">
            <w:pPr>
              <w:rPr>
                <w:rFonts w:hint="eastAsia" w:ascii="宋体" w:hAnsi="宋体" w:cs="宋体"/>
                <w:color w:val="auto"/>
                <w:sz w:val="18"/>
                <w:szCs w:val="18"/>
              </w:rPr>
            </w:pPr>
            <w:r>
              <w:rPr>
                <w:rFonts w:hint="eastAsia" w:ascii="宋体" w:hAnsi="宋体" w:cs="宋体"/>
                <w:color w:val="auto"/>
                <w:sz w:val="18"/>
                <w:szCs w:val="18"/>
              </w:rPr>
              <w:t>1.主要技术参数：材质：不锈钢+木质；结构尺寸：尺寸单位：米（长×宽×高）：≥1.08×0.81×1.8，上下结构，上部分饲养，下部分收集。</w:t>
            </w:r>
          </w:p>
          <w:p w14:paraId="25DB6DB4">
            <w:pPr>
              <w:rPr>
                <w:rFonts w:hint="eastAsia" w:ascii="宋体" w:hAnsi="宋体" w:cs="宋体"/>
                <w:color w:val="auto"/>
                <w:sz w:val="18"/>
                <w:szCs w:val="18"/>
              </w:rPr>
            </w:pPr>
            <w:r>
              <w:rPr>
                <w:rFonts w:hint="eastAsia" w:ascii="宋体" w:hAnsi="宋体" w:cs="宋体"/>
                <w:color w:val="auto"/>
                <w:sz w:val="18"/>
                <w:szCs w:val="18"/>
              </w:rPr>
              <w:t>2.功能：用于麦蛾成虫饲养与收集。</w:t>
            </w:r>
          </w:p>
          <w:p w14:paraId="2AB53850">
            <w:pPr>
              <w:rPr>
                <w:rFonts w:hint="eastAsia" w:ascii="宋体" w:hAnsi="宋体" w:cs="宋体"/>
                <w:color w:val="auto"/>
                <w:sz w:val="18"/>
                <w:szCs w:val="18"/>
              </w:rPr>
            </w:pPr>
            <w:r>
              <w:rPr>
                <w:rFonts w:hint="eastAsia" w:ascii="宋体" w:hAnsi="宋体" w:cs="宋体"/>
                <w:color w:val="auto"/>
                <w:kern w:val="0"/>
                <w:sz w:val="18"/>
                <w:szCs w:val="18"/>
                <w:lang w:bidi="ar"/>
              </w:rPr>
              <w:t>★</w:t>
            </w:r>
            <w:r>
              <w:rPr>
                <w:rFonts w:hint="eastAsia" w:ascii="宋体" w:hAnsi="宋体" w:cs="宋体"/>
                <w:color w:val="auto"/>
                <w:sz w:val="18"/>
                <w:szCs w:val="18"/>
              </w:rPr>
              <w:t>3.设备结构形式：上下结构；上部分饲养，下部分收集。上部分由木质框架、不锈钢网、隔离卡槽构成；收集部分由收集箱、不锈钢制支架及收集壶组成；收集箱材质：不锈钢；收集壶由不锈钢制作，具体规格为：底部直径约8.5cm，上口直径约6cm，高约20cm）。</w:t>
            </w:r>
          </w:p>
          <w:p w14:paraId="2C2D4660">
            <w:pPr>
              <w:rPr>
                <w:rFonts w:hint="eastAsia" w:ascii="宋体" w:hAnsi="宋体" w:cs="宋体"/>
                <w:color w:val="auto"/>
                <w:kern w:val="0"/>
                <w:sz w:val="18"/>
                <w:szCs w:val="18"/>
                <w:lang w:bidi="ar"/>
              </w:rPr>
            </w:pPr>
            <w:r>
              <w:rPr>
                <w:rFonts w:hint="eastAsia" w:ascii="宋体" w:hAnsi="宋体" w:cs="宋体"/>
                <w:color w:val="auto"/>
                <w:sz w:val="18"/>
                <w:szCs w:val="18"/>
              </w:rPr>
              <w:t>4</w:t>
            </w:r>
            <w:r>
              <w:rPr>
                <w:rFonts w:hint="eastAsia" w:ascii="宋体" w:hAnsi="宋体" w:cs="宋体"/>
                <w:color w:val="auto"/>
                <w:sz w:val="18"/>
                <w:szCs w:val="18"/>
                <w:lang w:val="en-US" w:eastAsia="zh-CN"/>
              </w:rPr>
              <w:t>.</w:t>
            </w:r>
            <w:r>
              <w:rPr>
                <w:rFonts w:hint="eastAsia" w:ascii="宋体" w:hAnsi="宋体" w:cs="宋体"/>
                <w:color w:val="auto"/>
                <w:sz w:val="18"/>
                <w:szCs w:val="18"/>
              </w:rPr>
              <w:t>投标时提供实物图片或加工图2张。</w:t>
            </w:r>
          </w:p>
        </w:tc>
        <w:tc>
          <w:tcPr>
            <w:tcW w:w="530" w:type="pct"/>
            <w:tcBorders>
              <w:top w:val="single" w:color="auto" w:sz="4" w:space="0"/>
              <w:left w:val="single" w:color="auto" w:sz="4" w:space="0"/>
              <w:bottom w:val="single" w:color="auto" w:sz="4" w:space="0"/>
              <w:right w:val="single" w:color="auto" w:sz="4" w:space="0"/>
            </w:tcBorders>
            <w:noWrap/>
            <w:vAlign w:val="center"/>
          </w:tcPr>
          <w:p w14:paraId="39404018">
            <w:pPr>
              <w:rPr>
                <w:rFonts w:hint="eastAsia" w:ascii="宋体" w:hAnsi="宋体" w:cs="宋体"/>
                <w:color w:val="auto"/>
                <w:sz w:val="18"/>
                <w:szCs w:val="18"/>
              </w:rPr>
            </w:pPr>
          </w:p>
        </w:tc>
      </w:tr>
      <w:tr w14:paraId="52D56A37">
        <w:tblPrEx>
          <w:tblCellMar>
            <w:top w:w="0" w:type="dxa"/>
            <w:left w:w="108" w:type="dxa"/>
            <w:bottom w:w="0" w:type="dxa"/>
            <w:right w:w="108" w:type="dxa"/>
          </w:tblCellMar>
        </w:tblPrEx>
        <w:trPr>
          <w:trHeight w:val="675"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1559D3A">
            <w:pPr>
              <w:widowControl/>
              <w:jc w:val="center"/>
              <w:textAlignment w:val="center"/>
              <w:rPr>
                <w:rFonts w:hint="eastAsia" w:ascii="宋体" w:hAnsi="宋体" w:cs="宋体"/>
                <w:color w:val="auto"/>
                <w:sz w:val="18"/>
                <w:szCs w:val="18"/>
              </w:rPr>
            </w:pPr>
            <w:r>
              <w:rPr>
                <w:rFonts w:hint="eastAsia" w:ascii="宋体" w:hAnsi="宋体" w:cs="宋体"/>
                <w:color w:val="auto"/>
                <w:kern w:val="0"/>
                <w:sz w:val="18"/>
                <w:szCs w:val="18"/>
                <w:lang w:bidi="ar"/>
              </w:rPr>
              <w:t>4</w:t>
            </w:r>
          </w:p>
        </w:tc>
        <w:tc>
          <w:tcPr>
            <w:tcW w:w="303" w:type="pct"/>
            <w:tcBorders>
              <w:top w:val="single" w:color="000000" w:sz="4" w:space="0"/>
              <w:left w:val="single" w:color="000000" w:sz="4" w:space="0"/>
              <w:bottom w:val="single" w:color="000000" w:sz="4" w:space="0"/>
              <w:right w:val="single" w:color="000000" w:sz="4" w:space="0"/>
            </w:tcBorders>
            <w:vAlign w:val="center"/>
          </w:tcPr>
          <w:p w14:paraId="6547BA75">
            <w:pPr>
              <w:widowControl/>
              <w:jc w:val="center"/>
              <w:textAlignment w:val="center"/>
              <w:rPr>
                <w:rFonts w:hint="eastAsia" w:ascii="宋体" w:hAnsi="宋体" w:cs="宋体"/>
                <w:color w:val="auto"/>
                <w:sz w:val="18"/>
                <w:szCs w:val="18"/>
              </w:rPr>
            </w:pPr>
            <w:r>
              <w:rPr>
                <w:rFonts w:hint="eastAsia" w:ascii="宋体" w:hAnsi="宋体" w:cs="宋体"/>
                <w:color w:val="auto"/>
                <w:kern w:val="0"/>
                <w:sz w:val="18"/>
                <w:szCs w:val="18"/>
                <w:lang w:bidi="ar"/>
              </w:rPr>
              <w:t>自动化包装机</w:t>
            </w:r>
          </w:p>
        </w:tc>
        <w:tc>
          <w:tcPr>
            <w:tcW w:w="327" w:type="pct"/>
            <w:tcBorders>
              <w:top w:val="single" w:color="000000" w:sz="4" w:space="0"/>
              <w:left w:val="single" w:color="000000" w:sz="4" w:space="0"/>
              <w:bottom w:val="single" w:color="000000" w:sz="4" w:space="0"/>
              <w:right w:val="single" w:color="000000" w:sz="4" w:space="0"/>
            </w:tcBorders>
            <w:vAlign w:val="center"/>
          </w:tcPr>
          <w:p w14:paraId="25B8FE90">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否</w:t>
            </w:r>
          </w:p>
        </w:tc>
        <w:tc>
          <w:tcPr>
            <w:tcW w:w="247" w:type="pct"/>
            <w:tcBorders>
              <w:top w:val="single" w:color="000000" w:sz="4" w:space="0"/>
              <w:left w:val="single" w:color="000000" w:sz="4" w:space="0"/>
              <w:bottom w:val="single" w:color="000000" w:sz="4" w:space="0"/>
              <w:right w:val="single" w:color="000000" w:sz="4" w:space="0"/>
            </w:tcBorders>
            <w:vAlign w:val="center"/>
          </w:tcPr>
          <w:p w14:paraId="6B8A49F0">
            <w:pPr>
              <w:widowControl/>
              <w:jc w:val="center"/>
              <w:textAlignment w:val="center"/>
              <w:rPr>
                <w:rFonts w:hint="eastAsia" w:ascii="宋体" w:hAnsi="宋体" w:cs="宋体"/>
                <w:color w:val="auto"/>
                <w:sz w:val="18"/>
                <w:szCs w:val="18"/>
              </w:rPr>
            </w:pPr>
            <w:r>
              <w:rPr>
                <w:rFonts w:hint="eastAsia" w:ascii="宋体" w:hAnsi="宋体" w:cs="宋体"/>
                <w:color w:val="auto"/>
                <w:sz w:val="18"/>
                <w:szCs w:val="18"/>
              </w:rPr>
              <w:t>1</w:t>
            </w:r>
          </w:p>
        </w:tc>
        <w:tc>
          <w:tcPr>
            <w:tcW w:w="335" w:type="pct"/>
            <w:tcBorders>
              <w:top w:val="single" w:color="000000" w:sz="4" w:space="0"/>
              <w:left w:val="single" w:color="000000" w:sz="4" w:space="0"/>
              <w:bottom w:val="single" w:color="000000" w:sz="4" w:space="0"/>
              <w:right w:val="single" w:color="auto" w:sz="4" w:space="0"/>
            </w:tcBorders>
            <w:vAlign w:val="center"/>
          </w:tcPr>
          <w:p w14:paraId="2730A0F1">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台/套</w:t>
            </w:r>
          </w:p>
        </w:tc>
        <w:tc>
          <w:tcPr>
            <w:tcW w:w="471" w:type="pct"/>
            <w:tcBorders>
              <w:top w:val="single" w:color="auto" w:sz="4" w:space="0"/>
              <w:left w:val="single" w:color="auto" w:sz="4" w:space="0"/>
              <w:bottom w:val="single" w:color="auto" w:sz="4" w:space="0"/>
              <w:right w:val="single" w:color="auto" w:sz="4" w:space="0"/>
            </w:tcBorders>
            <w:noWrap/>
            <w:vAlign w:val="center"/>
          </w:tcPr>
          <w:p w14:paraId="1CCA95EE">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25</w:t>
            </w:r>
          </w:p>
        </w:tc>
        <w:tc>
          <w:tcPr>
            <w:tcW w:w="2563" w:type="pct"/>
            <w:tcBorders>
              <w:top w:val="single" w:color="auto" w:sz="4" w:space="0"/>
              <w:left w:val="single" w:color="auto" w:sz="4" w:space="0"/>
              <w:bottom w:val="single" w:color="auto" w:sz="4" w:space="0"/>
              <w:right w:val="single" w:color="auto" w:sz="4" w:space="0"/>
            </w:tcBorders>
            <w:noWrap/>
            <w:vAlign w:val="center"/>
          </w:tcPr>
          <w:p w14:paraId="4F41AC38">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1.包装部分：</w:t>
            </w:r>
          </w:p>
          <w:p w14:paraId="7F2926DB">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（1）包装盒（圆形纸杯）自动上料传送系统。</w:t>
            </w:r>
          </w:p>
          <w:p w14:paraId="5F3DA166">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（2）辅助物料灌装系统：辅助物料（刨花和菜叶）双料混合仓，电动搅拌装置，电动定量输送机至包装盒内装置，视频工位定量检测系统；检测合格后，输送至叉角厉蝽下一道灌装工序。</w:t>
            </w:r>
          </w:p>
          <w:p w14:paraId="4B6BC1F9">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2.筛分部分：将叉角厉蝽成虫及饲料混合物进行筛分处理，分离出叉角厉蝽成虫至存储仓，</w:t>
            </w:r>
            <w:r>
              <w:rPr>
                <w:rFonts w:hint="eastAsia" w:ascii="宋体" w:hAnsi="宋体" w:cs="宋体"/>
                <w:color w:val="auto"/>
                <w:kern w:val="0"/>
                <w:sz w:val="18"/>
                <w:szCs w:val="18"/>
                <w:lang w:eastAsia="zh-CN" w:bidi="ar"/>
              </w:rPr>
              <w:t>其他</w:t>
            </w:r>
            <w:r>
              <w:rPr>
                <w:rFonts w:hint="eastAsia" w:ascii="宋体" w:hAnsi="宋体" w:cs="宋体"/>
                <w:color w:val="auto"/>
                <w:kern w:val="0"/>
                <w:sz w:val="18"/>
                <w:szCs w:val="18"/>
                <w:lang w:bidi="ar"/>
              </w:rPr>
              <w:t>残余饲料、基质混合物存入废料仓。</w:t>
            </w:r>
          </w:p>
          <w:p w14:paraId="21F5223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3.存储仓内的叉角厉蝽经人工操作置入上料仓，叉角厉蝽经过多通道分拣传输系统，将叉角厉蝽成虫计数计量后经过机械灌装收集口放置下侧同步传输带包装杯内；经过视频检测后传输带进入下一个旋盖工序。</w:t>
            </w:r>
          </w:p>
          <w:p w14:paraId="4D529D52">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4.杯盖闭合：机械臂将杯盖放置在灌装叉角厉蝽成虫及饲养物料的杯口上；杯盖和杯口结合，适度按压后的包装杯完成产品包装。</w:t>
            </w:r>
          </w:p>
          <w:p w14:paraId="4A68EDCC">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★5.产品包装完成后传输至成品存放区；包装瓶为可降解材质</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瓶口带透气滤网，容积≥350mm</w:t>
            </w:r>
            <w:r>
              <w:rPr>
                <w:rFonts w:hint="eastAsia" w:ascii="宋体" w:hAnsi="宋体" w:cs="宋体"/>
                <w:color w:val="auto"/>
                <w:kern w:val="0"/>
                <w:sz w:val="18"/>
                <w:szCs w:val="18"/>
                <w:lang w:eastAsia="zh-CN" w:bidi="ar"/>
              </w:rPr>
              <w:t>，</w:t>
            </w:r>
            <w:r>
              <w:rPr>
                <w:rFonts w:hint="eastAsia" w:ascii="宋体" w:hAnsi="宋体" w:cs="宋体"/>
                <w:color w:val="auto"/>
                <w:kern w:val="0"/>
                <w:sz w:val="18"/>
                <w:szCs w:val="18"/>
                <w:lang w:bidi="ar"/>
              </w:rPr>
              <w:t>单瓶叉角厉蝽成虫数量≥40只。</w:t>
            </w:r>
          </w:p>
          <w:p w14:paraId="5D2CD163">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6.筛分包装采用PLC编程控制及视觉采集识别系统精确操控筛分包装的每一步协调动作。人机对话配置15寸液晶显示屏对筛分包装进行参数设定，满足客户不同需求。</w:t>
            </w:r>
          </w:p>
          <w:p w14:paraId="369A95EC">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7.针对叉角厉蝽特点需提供设备详尽工艺流程图。</w:t>
            </w:r>
          </w:p>
          <w:p w14:paraId="57D6B884">
            <w:pPr>
              <w:widowControl/>
              <w:jc w:val="left"/>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8.需提供该设备的技术说明书。</w:t>
            </w:r>
          </w:p>
        </w:tc>
        <w:tc>
          <w:tcPr>
            <w:tcW w:w="530" w:type="pct"/>
            <w:tcBorders>
              <w:top w:val="single" w:color="auto" w:sz="4" w:space="0"/>
              <w:left w:val="single" w:color="auto" w:sz="4" w:space="0"/>
              <w:bottom w:val="single" w:color="auto" w:sz="4" w:space="0"/>
              <w:right w:val="single" w:color="auto" w:sz="4" w:space="0"/>
            </w:tcBorders>
            <w:noWrap/>
            <w:vAlign w:val="center"/>
          </w:tcPr>
          <w:p w14:paraId="41FB1DA6">
            <w:pPr>
              <w:rPr>
                <w:rFonts w:hint="eastAsia" w:ascii="宋体" w:hAnsi="宋体" w:cs="宋体"/>
                <w:color w:val="auto"/>
                <w:sz w:val="18"/>
                <w:szCs w:val="18"/>
              </w:rPr>
            </w:pPr>
          </w:p>
        </w:tc>
      </w:tr>
      <w:tr w14:paraId="505F2E06">
        <w:tblPrEx>
          <w:tblCellMar>
            <w:top w:w="0" w:type="dxa"/>
            <w:left w:w="108" w:type="dxa"/>
            <w:bottom w:w="0" w:type="dxa"/>
            <w:right w:w="108" w:type="dxa"/>
          </w:tblCellMar>
        </w:tblPrEx>
        <w:trPr>
          <w:trHeight w:val="615"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E7B17CC">
            <w:pPr>
              <w:jc w:val="center"/>
              <w:rPr>
                <w:rFonts w:hint="eastAsia" w:ascii="宋体" w:hAnsi="宋体" w:cs="宋体"/>
                <w:color w:val="auto"/>
                <w:sz w:val="18"/>
                <w:szCs w:val="18"/>
              </w:rPr>
            </w:pPr>
            <w:r>
              <w:rPr>
                <w:rFonts w:hint="eastAsia" w:ascii="宋体" w:hAnsi="宋体" w:cs="宋体"/>
                <w:color w:val="auto"/>
                <w:sz w:val="18"/>
                <w:szCs w:val="18"/>
              </w:rPr>
              <w:t>5</w:t>
            </w:r>
          </w:p>
        </w:tc>
        <w:tc>
          <w:tcPr>
            <w:tcW w:w="303" w:type="pct"/>
            <w:tcBorders>
              <w:top w:val="single" w:color="000000" w:sz="4" w:space="0"/>
              <w:left w:val="single" w:color="000000" w:sz="4" w:space="0"/>
              <w:bottom w:val="single" w:color="000000" w:sz="4" w:space="0"/>
              <w:right w:val="single" w:color="000000" w:sz="4" w:space="0"/>
            </w:tcBorders>
            <w:vAlign w:val="center"/>
          </w:tcPr>
          <w:p w14:paraId="44183F7C">
            <w:pPr>
              <w:jc w:val="center"/>
              <w:rPr>
                <w:rFonts w:hint="eastAsia" w:ascii="宋体" w:hAnsi="宋体" w:cs="宋体"/>
                <w:color w:val="auto"/>
                <w:sz w:val="18"/>
                <w:szCs w:val="18"/>
              </w:rPr>
            </w:pPr>
            <w:r>
              <w:rPr>
                <w:rFonts w:hint="eastAsia" w:ascii="宋体" w:hAnsi="宋体" w:cs="宋体"/>
                <w:color w:val="auto"/>
                <w:sz w:val="18"/>
                <w:szCs w:val="18"/>
              </w:rPr>
              <w:t>智能化识别系统</w:t>
            </w:r>
          </w:p>
        </w:tc>
        <w:tc>
          <w:tcPr>
            <w:tcW w:w="327" w:type="pct"/>
            <w:tcBorders>
              <w:top w:val="single" w:color="000000" w:sz="4" w:space="0"/>
              <w:left w:val="single" w:color="000000" w:sz="4" w:space="0"/>
              <w:bottom w:val="single" w:color="000000" w:sz="4" w:space="0"/>
              <w:right w:val="single" w:color="000000" w:sz="4" w:space="0"/>
            </w:tcBorders>
            <w:vAlign w:val="center"/>
          </w:tcPr>
          <w:p w14:paraId="2D554672">
            <w:pPr>
              <w:jc w:val="center"/>
              <w:rPr>
                <w:rFonts w:hint="eastAsia" w:ascii="宋体" w:hAnsi="宋体" w:cs="宋体"/>
                <w:color w:val="auto"/>
                <w:sz w:val="18"/>
                <w:szCs w:val="18"/>
              </w:rPr>
            </w:pPr>
            <w:r>
              <w:rPr>
                <w:rFonts w:hint="eastAsia" w:ascii="宋体" w:hAnsi="宋体" w:cs="宋体"/>
                <w:color w:val="auto"/>
                <w:kern w:val="0"/>
                <w:sz w:val="18"/>
                <w:szCs w:val="18"/>
                <w:lang w:bidi="ar"/>
              </w:rPr>
              <w:t>否</w:t>
            </w:r>
          </w:p>
        </w:tc>
        <w:tc>
          <w:tcPr>
            <w:tcW w:w="247" w:type="pct"/>
            <w:tcBorders>
              <w:top w:val="single" w:color="000000" w:sz="4" w:space="0"/>
              <w:left w:val="single" w:color="000000" w:sz="4" w:space="0"/>
              <w:bottom w:val="single" w:color="000000" w:sz="4" w:space="0"/>
              <w:right w:val="single" w:color="000000" w:sz="4" w:space="0"/>
            </w:tcBorders>
            <w:vAlign w:val="center"/>
          </w:tcPr>
          <w:p w14:paraId="19FC2944">
            <w:pPr>
              <w:jc w:val="center"/>
              <w:rPr>
                <w:rFonts w:hint="eastAsia" w:ascii="宋体" w:hAnsi="宋体" w:cs="宋体"/>
                <w:color w:val="auto"/>
                <w:sz w:val="18"/>
                <w:szCs w:val="18"/>
              </w:rPr>
            </w:pPr>
            <w:r>
              <w:rPr>
                <w:rFonts w:hint="eastAsia" w:ascii="宋体" w:hAnsi="宋体" w:cs="宋体"/>
                <w:color w:val="auto"/>
                <w:sz w:val="18"/>
                <w:szCs w:val="18"/>
              </w:rPr>
              <w:t>1</w:t>
            </w:r>
          </w:p>
        </w:tc>
        <w:tc>
          <w:tcPr>
            <w:tcW w:w="335" w:type="pct"/>
            <w:tcBorders>
              <w:top w:val="single" w:color="000000" w:sz="4" w:space="0"/>
              <w:left w:val="single" w:color="000000" w:sz="4" w:space="0"/>
              <w:bottom w:val="single" w:color="000000" w:sz="4" w:space="0"/>
              <w:right w:val="single" w:color="auto" w:sz="4" w:space="0"/>
            </w:tcBorders>
            <w:vAlign w:val="center"/>
          </w:tcPr>
          <w:p w14:paraId="0EB97D0D">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台/套</w:t>
            </w:r>
          </w:p>
        </w:tc>
        <w:tc>
          <w:tcPr>
            <w:tcW w:w="471" w:type="pct"/>
            <w:tcBorders>
              <w:top w:val="single" w:color="auto" w:sz="4" w:space="0"/>
              <w:left w:val="single" w:color="auto" w:sz="4" w:space="0"/>
              <w:bottom w:val="single" w:color="auto" w:sz="4" w:space="0"/>
              <w:right w:val="single" w:color="auto" w:sz="4" w:space="0"/>
            </w:tcBorders>
            <w:noWrap/>
            <w:vAlign w:val="center"/>
          </w:tcPr>
          <w:p w14:paraId="19E002E8">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35</w:t>
            </w:r>
          </w:p>
        </w:tc>
        <w:tc>
          <w:tcPr>
            <w:tcW w:w="2563" w:type="pct"/>
            <w:tcBorders>
              <w:top w:val="single" w:color="auto" w:sz="4" w:space="0"/>
              <w:left w:val="single" w:color="auto" w:sz="4" w:space="0"/>
              <w:bottom w:val="single" w:color="auto" w:sz="4" w:space="0"/>
              <w:right w:val="single" w:color="auto" w:sz="4" w:space="0"/>
            </w:tcBorders>
            <w:noWrap/>
            <w:vAlign w:val="center"/>
          </w:tcPr>
          <w:p w14:paraId="26FA05AD">
            <w:pPr>
              <w:rPr>
                <w:rFonts w:hint="eastAsia" w:ascii="宋体" w:hAnsi="宋体" w:cs="宋体"/>
                <w:color w:val="auto"/>
                <w:sz w:val="18"/>
                <w:szCs w:val="18"/>
              </w:rPr>
            </w:pPr>
            <w:r>
              <w:rPr>
                <w:rFonts w:hint="eastAsia" w:ascii="宋体" w:hAnsi="宋体" w:cs="宋体"/>
                <w:color w:val="auto"/>
                <w:kern w:val="0"/>
                <w:sz w:val="18"/>
                <w:szCs w:val="18"/>
                <w:lang w:bidi="ar"/>
              </w:rPr>
              <w:t>★</w:t>
            </w:r>
            <w:r>
              <w:rPr>
                <w:rFonts w:hint="eastAsia" w:ascii="宋体" w:hAnsi="宋体" w:cs="宋体"/>
                <w:color w:val="auto"/>
                <w:sz w:val="18"/>
                <w:szCs w:val="18"/>
              </w:rPr>
              <w:t>1.数据信息采集系统：2000万像素1英寸CMOS以太网工业面相机，靶面尺寸1英寸，分辨率≥5472*3648彩色；像素格式Mono 8/10/12 Bayer GB 8/10Packed/12Packed YUV422Packed，YUV422_YUYV_Packed RGB 8,BGR8。数据接口Gigabit Ethemet（1000Mbit/s</w:t>
            </w:r>
            <w:r>
              <w:rPr>
                <w:rFonts w:hint="eastAsia" w:ascii="宋体" w:hAnsi="宋体" w:cs="宋体"/>
                <w:color w:val="auto"/>
                <w:sz w:val="18"/>
                <w:szCs w:val="18"/>
                <w:lang w:eastAsia="zh-CN"/>
              </w:rPr>
              <w:t>）</w:t>
            </w:r>
            <w:r>
              <w:rPr>
                <w:rFonts w:hint="eastAsia" w:ascii="宋体" w:hAnsi="宋体" w:cs="宋体"/>
                <w:color w:val="auto"/>
                <w:sz w:val="18"/>
                <w:szCs w:val="18"/>
              </w:rPr>
              <w:t>兼容Fast Ethemet(1000Mbit/s</w:t>
            </w:r>
            <w:r>
              <w:rPr>
                <w:rFonts w:hint="eastAsia" w:ascii="宋体" w:hAnsi="宋体" w:cs="宋体"/>
                <w:color w:val="auto"/>
                <w:sz w:val="18"/>
                <w:szCs w:val="18"/>
                <w:lang w:eastAsia="zh-CN"/>
              </w:rPr>
              <w:t>）</w:t>
            </w:r>
            <w:r>
              <w:rPr>
                <w:rFonts w:hint="eastAsia" w:ascii="宋体" w:hAnsi="宋体" w:cs="宋体"/>
                <w:color w:val="auto"/>
                <w:sz w:val="18"/>
                <w:szCs w:val="18"/>
              </w:rPr>
              <w:t>。数字I/O:6-pin P7接头提供供电和I/O:1路光耦隔离输入（line0）</w:t>
            </w:r>
            <w:r>
              <w:rPr>
                <w:rFonts w:hint="eastAsia" w:ascii="宋体" w:hAnsi="宋体" w:cs="宋体"/>
                <w:color w:val="auto"/>
                <w:sz w:val="18"/>
                <w:szCs w:val="18"/>
                <w:lang w:eastAsia="zh-CN"/>
              </w:rPr>
              <w:t>，</w:t>
            </w:r>
            <w:r>
              <w:rPr>
                <w:rFonts w:hint="eastAsia" w:ascii="宋体" w:hAnsi="宋体" w:cs="宋体"/>
                <w:color w:val="auto"/>
                <w:sz w:val="18"/>
                <w:szCs w:val="18"/>
              </w:rPr>
              <w:t>1路光耦隔离输出（line1）</w:t>
            </w:r>
            <w:r>
              <w:rPr>
                <w:rFonts w:hint="eastAsia" w:ascii="宋体" w:hAnsi="宋体" w:cs="宋体"/>
                <w:color w:val="auto"/>
                <w:sz w:val="18"/>
                <w:szCs w:val="18"/>
                <w:lang w:eastAsia="zh-CN"/>
              </w:rPr>
              <w:t>，</w:t>
            </w:r>
            <w:r>
              <w:rPr>
                <w:rFonts w:hint="eastAsia" w:ascii="宋体" w:hAnsi="宋体" w:cs="宋体"/>
                <w:color w:val="auto"/>
                <w:sz w:val="18"/>
                <w:szCs w:val="18"/>
              </w:rPr>
              <w:t>1路双向可配置非隔离I/O(line2</w:t>
            </w:r>
            <w:r>
              <w:rPr>
                <w:rFonts w:hint="eastAsia" w:ascii="宋体" w:hAnsi="宋体" w:cs="宋体"/>
                <w:color w:val="auto"/>
                <w:sz w:val="18"/>
                <w:szCs w:val="18"/>
                <w:lang w:eastAsia="zh-CN"/>
              </w:rPr>
              <w:t>）</w:t>
            </w:r>
            <w:r>
              <w:rPr>
                <w:rFonts w:hint="eastAsia" w:ascii="宋体" w:hAnsi="宋体" w:cs="宋体"/>
                <w:color w:val="auto"/>
                <w:sz w:val="18"/>
                <w:szCs w:val="18"/>
              </w:rPr>
              <w:t>。供电9～24VDC。镜头接口C-Mount</w:t>
            </w:r>
            <w:r>
              <w:rPr>
                <w:rFonts w:hint="eastAsia" w:ascii="宋体" w:hAnsi="宋体" w:cs="宋体"/>
                <w:color w:val="auto"/>
                <w:sz w:val="18"/>
                <w:szCs w:val="18"/>
                <w:lang w:eastAsia="zh-CN"/>
              </w:rPr>
              <w:t>，</w:t>
            </w:r>
            <w:r>
              <w:rPr>
                <w:rFonts w:hint="eastAsia" w:ascii="宋体" w:hAnsi="宋体" w:cs="宋体"/>
                <w:color w:val="auto"/>
                <w:sz w:val="18"/>
                <w:szCs w:val="18"/>
              </w:rPr>
              <w:t xml:space="preserve">防护等级IP40。                                                                                      </w:t>
            </w:r>
          </w:p>
          <w:p w14:paraId="464106DA">
            <w:pPr>
              <w:rPr>
                <w:rFonts w:hint="eastAsia" w:ascii="宋体" w:hAnsi="宋体" w:cs="宋体"/>
                <w:color w:val="auto"/>
                <w:sz w:val="18"/>
                <w:szCs w:val="18"/>
              </w:rPr>
            </w:pPr>
            <w:r>
              <w:rPr>
                <w:rFonts w:hint="eastAsia" w:ascii="宋体" w:hAnsi="宋体" w:cs="宋体"/>
                <w:color w:val="auto"/>
                <w:sz w:val="18"/>
                <w:szCs w:val="18"/>
              </w:rPr>
              <w:t>2.显微系统：</w:t>
            </w:r>
          </w:p>
          <w:p w14:paraId="24D5EE36">
            <w:pPr>
              <w:rPr>
                <w:rFonts w:hint="eastAsia" w:ascii="宋体" w:hAnsi="宋体" w:cs="宋体"/>
                <w:color w:val="auto"/>
                <w:sz w:val="18"/>
                <w:szCs w:val="18"/>
              </w:rPr>
            </w:pPr>
            <w:r>
              <w:rPr>
                <w:rFonts w:hint="eastAsia" w:ascii="宋体" w:hAnsi="宋体" w:cs="宋体"/>
                <w:color w:val="auto"/>
                <w:sz w:val="18"/>
                <w:szCs w:val="18"/>
              </w:rPr>
              <w:t>（1）光学系统：采用内斜光学系统，内置式连续变倍体，变倍比7.5</w:t>
            </w:r>
            <w:r>
              <w:rPr>
                <w:rFonts w:hint="eastAsia" w:ascii="宋体" w:hAnsi="宋体" w:cs="宋体"/>
                <w:color w:val="auto"/>
                <w:sz w:val="18"/>
                <w:szCs w:val="18"/>
                <w:lang w:eastAsia="zh-CN"/>
              </w:rPr>
              <w:t>:</w:t>
            </w:r>
            <w:r>
              <w:rPr>
                <w:rFonts w:hint="eastAsia" w:ascii="宋体" w:hAnsi="宋体" w:cs="宋体"/>
                <w:color w:val="auto"/>
                <w:sz w:val="18"/>
                <w:szCs w:val="18"/>
              </w:rPr>
              <w:t>1。</w:t>
            </w:r>
          </w:p>
          <w:p w14:paraId="239E7F4B">
            <w:pPr>
              <w:rPr>
                <w:rFonts w:hint="eastAsia" w:ascii="宋体" w:hAnsi="宋体" w:cs="宋体"/>
                <w:color w:val="auto"/>
                <w:sz w:val="18"/>
                <w:szCs w:val="18"/>
              </w:rPr>
            </w:pPr>
            <w:r>
              <w:rPr>
                <w:rFonts w:hint="eastAsia" w:ascii="宋体" w:hAnsi="宋体" w:cs="宋体"/>
                <w:color w:val="auto"/>
                <w:sz w:val="18"/>
                <w:szCs w:val="18"/>
              </w:rPr>
              <w:t>（2）变倍范围：0.67-5X，（0.67/1/2/3/4/5档），0.67X至5X的变焦范围确保了广阔的观察范围。</w:t>
            </w:r>
          </w:p>
          <w:p w14:paraId="181F521E">
            <w:pPr>
              <w:rPr>
                <w:rFonts w:hint="eastAsia" w:ascii="宋体" w:hAnsi="宋体" w:cs="宋体"/>
                <w:color w:val="auto"/>
                <w:sz w:val="18"/>
                <w:szCs w:val="18"/>
              </w:rPr>
            </w:pPr>
            <w:r>
              <w:rPr>
                <w:rFonts w:hint="eastAsia" w:ascii="宋体" w:hAnsi="宋体" w:cs="宋体"/>
                <w:color w:val="auto"/>
                <w:sz w:val="18"/>
                <w:szCs w:val="18"/>
              </w:rPr>
              <w:t>（3）调焦：粗微调同轴调焦。</w:t>
            </w:r>
          </w:p>
          <w:p w14:paraId="3931A1C9">
            <w:pPr>
              <w:rPr>
                <w:rFonts w:hint="eastAsia" w:ascii="宋体" w:hAnsi="宋体" w:cs="宋体"/>
                <w:color w:val="auto"/>
                <w:sz w:val="18"/>
                <w:szCs w:val="18"/>
              </w:rPr>
            </w:pPr>
            <w:r>
              <w:rPr>
                <w:rFonts w:hint="eastAsia" w:ascii="宋体" w:hAnsi="宋体" w:cs="宋体"/>
                <w:color w:val="auto"/>
                <w:sz w:val="18"/>
                <w:szCs w:val="18"/>
              </w:rPr>
              <w:t>（4）机体小巧的透射光源底座，扶手便于舒适操作，与透射LED光源搭配使用。</w:t>
            </w:r>
          </w:p>
          <w:p w14:paraId="44163D45">
            <w:pPr>
              <w:rPr>
                <w:rFonts w:hint="eastAsia" w:ascii="宋体" w:hAnsi="宋体" w:cs="宋体"/>
                <w:color w:val="auto"/>
                <w:sz w:val="18"/>
                <w:szCs w:val="18"/>
              </w:rPr>
            </w:pPr>
            <w:r>
              <w:rPr>
                <w:rFonts w:hint="eastAsia" w:ascii="宋体" w:hAnsi="宋体" w:cs="宋体"/>
                <w:color w:val="auto"/>
                <w:sz w:val="18"/>
                <w:szCs w:val="18"/>
              </w:rPr>
              <w:t>（5）上照明系统：斜落射照明 LED 灯；环形 LED 磨砂照明。</w:t>
            </w:r>
          </w:p>
          <w:p w14:paraId="6507DB94">
            <w:pPr>
              <w:rPr>
                <w:rFonts w:hint="eastAsia" w:ascii="宋体" w:hAnsi="宋体" w:cs="宋体"/>
                <w:color w:val="auto"/>
                <w:sz w:val="18"/>
                <w:szCs w:val="18"/>
              </w:rPr>
            </w:pPr>
            <w:r>
              <w:rPr>
                <w:rFonts w:hint="eastAsia" w:ascii="宋体" w:hAnsi="宋体" w:cs="宋体"/>
                <w:color w:val="auto"/>
                <w:sz w:val="18"/>
                <w:szCs w:val="18"/>
              </w:rPr>
              <w:t>（6）目镜观察筒：目镜倾角45°，瞳距调节范围52</w:t>
            </w:r>
            <w:r>
              <w:rPr>
                <w:rFonts w:hint="eastAsia" w:ascii="宋体" w:hAnsi="宋体" w:cs="宋体"/>
                <w:color w:val="auto"/>
                <w:sz w:val="18"/>
                <w:szCs w:val="18"/>
                <w:lang w:eastAsia="zh-CN"/>
              </w:rPr>
              <w:t>—</w:t>
            </w:r>
            <w:r>
              <w:rPr>
                <w:rFonts w:hint="eastAsia" w:ascii="宋体" w:hAnsi="宋体" w:cs="宋体"/>
                <w:color w:val="auto"/>
                <w:sz w:val="18"/>
                <w:szCs w:val="18"/>
              </w:rPr>
              <w:t>75mm。</w:t>
            </w:r>
          </w:p>
          <w:p w14:paraId="68733277">
            <w:pPr>
              <w:rPr>
                <w:rFonts w:hint="eastAsia" w:ascii="宋体" w:hAnsi="宋体" w:cs="宋体"/>
                <w:color w:val="auto"/>
                <w:sz w:val="18"/>
                <w:szCs w:val="18"/>
              </w:rPr>
            </w:pPr>
            <w:r>
              <w:rPr>
                <w:rFonts w:hint="eastAsia" w:ascii="宋体" w:hAnsi="宋体" w:cs="宋体"/>
                <w:color w:val="auto"/>
                <w:sz w:val="18"/>
                <w:szCs w:val="18"/>
              </w:rPr>
              <w:t>（7）目镜：10倍宽视野目镜（FN22），双侧屈光度均可调。</w:t>
            </w:r>
          </w:p>
          <w:p w14:paraId="47752D49">
            <w:pPr>
              <w:rPr>
                <w:rFonts w:hint="eastAsia" w:ascii="宋体" w:hAnsi="宋体" w:cs="宋体"/>
                <w:color w:val="auto"/>
                <w:sz w:val="18"/>
                <w:szCs w:val="18"/>
              </w:rPr>
            </w:pPr>
            <w:r>
              <w:rPr>
                <w:rFonts w:hint="eastAsia" w:ascii="宋体" w:hAnsi="宋体" w:cs="宋体"/>
                <w:color w:val="auto"/>
                <w:sz w:val="18"/>
                <w:szCs w:val="18"/>
              </w:rPr>
              <w:t>（8）物镜：有0.5X，0.7X，1X，1.5X，2X可选。</w:t>
            </w:r>
          </w:p>
          <w:p w14:paraId="7207C91D">
            <w:pPr>
              <w:rPr>
                <w:rFonts w:hint="eastAsia" w:ascii="宋体" w:hAnsi="宋体" w:cs="宋体"/>
                <w:color w:val="auto"/>
                <w:sz w:val="18"/>
                <w:szCs w:val="18"/>
              </w:rPr>
            </w:pPr>
            <w:r>
              <w:rPr>
                <w:rFonts w:hint="eastAsia" w:ascii="宋体" w:hAnsi="宋体" w:cs="宋体"/>
                <w:color w:val="auto"/>
                <w:sz w:val="18"/>
                <w:szCs w:val="18"/>
              </w:rPr>
              <w:t>（9）总放大倍率：6.7-50X（搭配10X目镜，1X物镜时）。</w:t>
            </w:r>
          </w:p>
          <w:p w14:paraId="29CD6070">
            <w:pPr>
              <w:rPr>
                <w:rFonts w:hint="eastAsia" w:ascii="宋体" w:hAnsi="宋体" w:cs="宋体"/>
                <w:color w:val="auto"/>
                <w:sz w:val="18"/>
                <w:szCs w:val="18"/>
              </w:rPr>
            </w:pPr>
            <w:r>
              <w:rPr>
                <w:rFonts w:hint="eastAsia" w:ascii="宋体" w:hAnsi="宋体" w:cs="宋体"/>
                <w:color w:val="auto"/>
                <w:sz w:val="18"/>
                <w:szCs w:val="18"/>
              </w:rPr>
              <w:t>（10）集成了光路切换杆，便于轻松切换目镜和相机。</w:t>
            </w:r>
          </w:p>
          <w:p w14:paraId="2EA0D1D8">
            <w:pPr>
              <w:rPr>
                <w:rFonts w:hint="eastAsia" w:ascii="宋体" w:hAnsi="宋体" w:cs="宋体"/>
                <w:color w:val="auto"/>
                <w:sz w:val="18"/>
                <w:szCs w:val="18"/>
              </w:rPr>
            </w:pPr>
            <w:r>
              <w:rPr>
                <w:rFonts w:hint="eastAsia" w:ascii="宋体" w:hAnsi="宋体" w:cs="宋体"/>
                <w:color w:val="auto"/>
                <w:sz w:val="18"/>
                <w:szCs w:val="18"/>
              </w:rPr>
              <w:t>（11）工作距离：115mm的超长工作距离（1X物镜时）。</w:t>
            </w:r>
          </w:p>
          <w:p w14:paraId="45F0AD0C">
            <w:pPr>
              <w:rPr>
                <w:rFonts w:hint="eastAsia" w:ascii="宋体" w:hAnsi="宋体" w:cs="宋体"/>
                <w:color w:val="auto"/>
                <w:sz w:val="18"/>
                <w:szCs w:val="18"/>
              </w:rPr>
            </w:pPr>
            <w:r>
              <w:rPr>
                <w:rFonts w:hint="eastAsia" w:ascii="宋体" w:hAnsi="宋体" w:cs="宋体"/>
                <w:color w:val="auto"/>
                <w:sz w:val="18"/>
                <w:szCs w:val="18"/>
              </w:rPr>
              <w:t>（12）最大工作距离：211mm（0.5X物镜时）。</w:t>
            </w:r>
          </w:p>
          <w:p w14:paraId="3B7ECF40">
            <w:pPr>
              <w:rPr>
                <w:rFonts w:hint="eastAsia" w:ascii="宋体" w:hAnsi="宋体" w:cs="宋体"/>
                <w:color w:val="auto"/>
                <w:sz w:val="18"/>
                <w:szCs w:val="18"/>
              </w:rPr>
            </w:pPr>
            <w:r>
              <w:rPr>
                <w:rFonts w:hint="eastAsia" w:ascii="宋体" w:hAnsi="宋体" w:cs="宋体"/>
                <w:color w:val="auto"/>
                <w:sz w:val="18"/>
                <w:szCs w:val="18"/>
              </w:rPr>
              <w:t>（13）最大放大倍率：300X（2X物镜，30X目镜时）。</w:t>
            </w:r>
          </w:p>
          <w:p w14:paraId="78FDDAFD">
            <w:pPr>
              <w:rPr>
                <w:rFonts w:hint="eastAsia" w:ascii="宋体" w:hAnsi="宋体" w:cs="宋体"/>
                <w:color w:val="auto"/>
                <w:sz w:val="18"/>
                <w:szCs w:val="18"/>
              </w:rPr>
            </w:pPr>
            <w:r>
              <w:rPr>
                <w:rFonts w:hint="eastAsia" w:ascii="宋体" w:hAnsi="宋体" w:cs="宋体"/>
                <w:color w:val="auto"/>
                <w:sz w:val="18"/>
                <w:szCs w:val="18"/>
              </w:rPr>
              <w:t>（14）防霉设计：防霉设计，在过热或过湿的环境下也可放心使用。</w:t>
            </w:r>
          </w:p>
          <w:p w14:paraId="3D1ECDF9">
            <w:pPr>
              <w:rPr>
                <w:rFonts w:hint="eastAsia" w:ascii="宋体" w:hAnsi="宋体" w:cs="宋体"/>
                <w:color w:val="auto"/>
                <w:sz w:val="18"/>
                <w:szCs w:val="18"/>
              </w:rPr>
            </w:pPr>
            <w:r>
              <w:rPr>
                <w:rFonts w:hint="eastAsia" w:ascii="宋体" w:hAnsi="宋体" w:cs="宋体"/>
                <w:color w:val="auto"/>
                <w:sz w:val="18"/>
                <w:szCs w:val="18"/>
              </w:rPr>
              <w:t>（15）防静电设计：防静电设计使显微镜中聚集的静电可以立即释放，确保更高的效率。</w:t>
            </w:r>
          </w:p>
          <w:p w14:paraId="5825EBFA">
            <w:pPr>
              <w:rPr>
                <w:rFonts w:hint="eastAsia" w:ascii="宋体" w:hAnsi="宋体" w:cs="宋体"/>
                <w:color w:val="auto"/>
                <w:sz w:val="18"/>
                <w:szCs w:val="18"/>
              </w:rPr>
            </w:pPr>
            <w:r>
              <w:rPr>
                <w:rFonts w:hint="eastAsia" w:ascii="宋体" w:hAnsi="宋体" w:cs="宋体"/>
                <w:color w:val="auto"/>
                <w:sz w:val="18"/>
                <w:szCs w:val="18"/>
              </w:rPr>
              <w:t>（16）内置C接口0.55X倍率透镜，兼容2/3英寸或者更小的CCD。</w:t>
            </w:r>
          </w:p>
          <w:p w14:paraId="32B9A1C2">
            <w:pPr>
              <w:rPr>
                <w:rFonts w:hint="eastAsia" w:ascii="宋体" w:hAnsi="宋体" w:cs="宋体"/>
                <w:color w:val="auto"/>
                <w:sz w:val="18"/>
                <w:szCs w:val="18"/>
              </w:rPr>
            </w:pPr>
            <w:r>
              <w:rPr>
                <w:rFonts w:hint="eastAsia" w:ascii="宋体" w:hAnsi="宋体" w:cs="宋体"/>
                <w:color w:val="auto"/>
                <w:sz w:val="18"/>
                <w:szCs w:val="18"/>
              </w:rPr>
              <w:t>（17）芯片：彩色cmos，尺寸≥1/1.7"。</w:t>
            </w:r>
          </w:p>
          <w:p w14:paraId="2F18BBD6">
            <w:pPr>
              <w:rPr>
                <w:rFonts w:hint="eastAsia" w:ascii="宋体" w:hAnsi="宋体" w:cs="宋体"/>
                <w:color w:val="auto"/>
                <w:sz w:val="18"/>
                <w:szCs w:val="18"/>
              </w:rPr>
            </w:pPr>
            <w:r>
              <w:rPr>
                <w:rFonts w:hint="eastAsia" w:ascii="宋体" w:hAnsi="宋体" w:cs="宋体"/>
                <w:color w:val="auto"/>
                <w:sz w:val="18"/>
                <w:szCs w:val="18"/>
              </w:rPr>
              <w:t>（18）分辨率</w:t>
            </w:r>
            <w:r>
              <w:rPr>
                <w:rFonts w:ascii="Arial" w:hAnsi="Arial" w:cs="Arial"/>
                <w:color w:val="auto"/>
                <w:sz w:val="18"/>
                <w:szCs w:val="18"/>
              </w:rPr>
              <w:t>≥</w:t>
            </w:r>
            <w:r>
              <w:rPr>
                <w:rFonts w:hint="eastAsia" w:ascii="宋体" w:hAnsi="宋体" w:cs="宋体"/>
                <w:color w:val="auto"/>
                <w:sz w:val="18"/>
                <w:szCs w:val="18"/>
              </w:rPr>
              <w:t>1200万像素。</w:t>
            </w:r>
          </w:p>
          <w:p w14:paraId="6EFF4D20">
            <w:pPr>
              <w:rPr>
                <w:rFonts w:hint="eastAsia" w:ascii="宋体" w:hAnsi="宋体" w:cs="宋体"/>
                <w:color w:val="auto"/>
                <w:sz w:val="18"/>
                <w:szCs w:val="18"/>
              </w:rPr>
            </w:pPr>
            <w:r>
              <w:rPr>
                <w:rFonts w:hint="eastAsia" w:ascii="宋体" w:hAnsi="宋体" w:cs="宋体"/>
                <w:color w:val="auto"/>
                <w:sz w:val="18"/>
                <w:szCs w:val="18"/>
              </w:rPr>
              <w:t>（19）像素点大小1.85um x 1.85um。</w:t>
            </w:r>
          </w:p>
          <w:p w14:paraId="4FF4AB6E">
            <w:pPr>
              <w:rPr>
                <w:rFonts w:hint="eastAsia" w:ascii="宋体" w:hAnsi="宋体" w:cs="宋体"/>
                <w:color w:val="auto"/>
                <w:sz w:val="18"/>
                <w:szCs w:val="18"/>
              </w:rPr>
            </w:pPr>
            <w:r>
              <w:rPr>
                <w:rFonts w:hint="eastAsia" w:ascii="宋体" w:hAnsi="宋体" w:cs="宋体"/>
                <w:color w:val="auto"/>
                <w:sz w:val="18"/>
                <w:szCs w:val="18"/>
              </w:rPr>
              <w:t>（20）曝光时间：50微秒-10秒</w:t>
            </w:r>
          </w:p>
          <w:p w14:paraId="60466673">
            <w:pPr>
              <w:rPr>
                <w:rFonts w:hint="eastAsia" w:ascii="宋体" w:hAnsi="宋体" w:cs="宋体"/>
                <w:color w:val="auto"/>
                <w:sz w:val="18"/>
                <w:szCs w:val="18"/>
              </w:rPr>
            </w:pPr>
            <w:r>
              <w:rPr>
                <w:rFonts w:hint="eastAsia" w:ascii="宋体" w:hAnsi="宋体" w:cs="宋体"/>
                <w:color w:val="auto"/>
                <w:sz w:val="18"/>
                <w:szCs w:val="18"/>
              </w:rPr>
              <w:t>（21）增益：1 x -10 x。</w:t>
            </w:r>
          </w:p>
          <w:p w14:paraId="37D0F10D">
            <w:pPr>
              <w:rPr>
                <w:rFonts w:hint="eastAsia" w:ascii="宋体" w:hAnsi="宋体" w:cs="宋体"/>
                <w:color w:val="auto"/>
                <w:sz w:val="18"/>
                <w:szCs w:val="18"/>
              </w:rPr>
            </w:pPr>
            <w:r>
              <w:rPr>
                <w:rFonts w:hint="eastAsia" w:ascii="宋体" w:hAnsi="宋体" w:cs="宋体"/>
                <w:color w:val="auto"/>
                <w:sz w:val="18"/>
                <w:szCs w:val="18"/>
              </w:rPr>
              <w:t>（22）帧率：20帧/秒（4000×3000）</w:t>
            </w:r>
            <w:r>
              <w:rPr>
                <w:rFonts w:hint="eastAsia" w:ascii="宋体" w:hAnsi="宋体" w:cs="宋体"/>
                <w:color w:val="auto"/>
                <w:sz w:val="18"/>
                <w:szCs w:val="18"/>
                <w:lang w:eastAsia="zh-CN"/>
              </w:rPr>
              <w:t>，</w:t>
            </w:r>
            <w:r>
              <w:rPr>
                <w:rFonts w:hint="eastAsia" w:ascii="宋体" w:hAnsi="宋体" w:cs="宋体"/>
                <w:color w:val="auto"/>
                <w:sz w:val="18"/>
                <w:szCs w:val="18"/>
              </w:rPr>
              <w:t xml:space="preserve"> 80帧/秒（ROI）。</w:t>
            </w:r>
          </w:p>
          <w:p w14:paraId="5C993E8C">
            <w:pPr>
              <w:rPr>
                <w:rFonts w:hint="eastAsia" w:ascii="宋体" w:hAnsi="宋体" w:cs="宋体"/>
                <w:color w:val="auto"/>
                <w:sz w:val="18"/>
                <w:szCs w:val="18"/>
              </w:rPr>
            </w:pPr>
            <w:r>
              <w:rPr>
                <w:rFonts w:hint="eastAsia" w:ascii="宋体" w:hAnsi="宋体" w:cs="宋体"/>
                <w:color w:val="auto"/>
                <w:sz w:val="18"/>
                <w:szCs w:val="18"/>
              </w:rPr>
              <w:t>（23）AD转换</w:t>
            </w:r>
            <w:r>
              <w:rPr>
                <w:rFonts w:hint="eastAsia" w:ascii="宋体" w:hAnsi="宋体" w:cs="宋体"/>
                <w:color w:val="auto"/>
                <w:sz w:val="18"/>
                <w:szCs w:val="18"/>
              </w:rPr>
              <w:tab/>
            </w:r>
            <w:r>
              <w:rPr>
                <w:rFonts w:hint="eastAsia" w:ascii="宋体" w:hAnsi="宋体" w:cs="宋体"/>
                <w:color w:val="auto"/>
                <w:sz w:val="18"/>
                <w:szCs w:val="18"/>
              </w:rPr>
              <w:t>3 x 10bit and 3 x 12bit （输出3 x 8bit / 3 x 16bit）。</w:t>
            </w:r>
          </w:p>
          <w:p w14:paraId="4ADF953D">
            <w:pPr>
              <w:rPr>
                <w:rFonts w:hint="eastAsia" w:ascii="宋体" w:hAnsi="宋体" w:cs="宋体"/>
                <w:color w:val="auto"/>
                <w:sz w:val="18"/>
                <w:szCs w:val="18"/>
              </w:rPr>
            </w:pPr>
            <w:r>
              <w:rPr>
                <w:rFonts w:hint="eastAsia" w:ascii="宋体" w:hAnsi="宋体" w:cs="宋体"/>
                <w:color w:val="auto"/>
                <w:sz w:val="18"/>
                <w:szCs w:val="18"/>
              </w:rPr>
              <w:t>（24）内置图像缓存：DDRII图像缓冲器1Gb。</w:t>
            </w:r>
          </w:p>
          <w:p w14:paraId="2E25F8FC">
            <w:pPr>
              <w:rPr>
                <w:rFonts w:hint="eastAsia" w:ascii="宋体" w:hAnsi="宋体" w:cs="宋体"/>
                <w:color w:val="auto"/>
                <w:sz w:val="18"/>
                <w:szCs w:val="18"/>
              </w:rPr>
            </w:pPr>
            <w:r>
              <w:rPr>
                <w:rFonts w:hint="eastAsia" w:ascii="宋体" w:hAnsi="宋体" w:cs="宋体"/>
                <w:color w:val="auto"/>
                <w:sz w:val="18"/>
                <w:szCs w:val="18"/>
              </w:rPr>
              <w:t>（25）读出噪声≤2.5e- 。</w:t>
            </w:r>
          </w:p>
          <w:p w14:paraId="0CF7C7AD">
            <w:pPr>
              <w:rPr>
                <w:rFonts w:hint="eastAsia" w:ascii="宋体" w:hAnsi="宋体" w:cs="宋体"/>
                <w:color w:val="auto"/>
                <w:sz w:val="18"/>
                <w:szCs w:val="18"/>
              </w:rPr>
            </w:pPr>
            <w:r>
              <w:rPr>
                <w:rFonts w:hint="eastAsia" w:ascii="宋体" w:hAnsi="宋体" w:cs="宋体"/>
                <w:color w:val="auto"/>
                <w:sz w:val="18"/>
                <w:szCs w:val="18"/>
              </w:rPr>
              <w:t>（26）数据接口：USB3.0。</w:t>
            </w:r>
          </w:p>
          <w:p w14:paraId="668C03D5">
            <w:pPr>
              <w:rPr>
                <w:rFonts w:hint="eastAsia" w:ascii="宋体" w:hAnsi="宋体" w:cs="宋体"/>
                <w:color w:val="auto"/>
                <w:sz w:val="18"/>
                <w:szCs w:val="18"/>
              </w:rPr>
            </w:pPr>
            <w:r>
              <w:rPr>
                <w:rFonts w:hint="eastAsia" w:ascii="宋体" w:hAnsi="宋体" w:cs="宋体"/>
                <w:color w:val="auto"/>
                <w:sz w:val="18"/>
                <w:szCs w:val="18"/>
              </w:rPr>
              <w:t>（27）图像采集模式：单拍、连拍、定时拍摄。</w:t>
            </w:r>
          </w:p>
          <w:p w14:paraId="1692B2F7">
            <w:pPr>
              <w:rPr>
                <w:rFonts w:hint="eastAsia" w:ascii="宋体" w:hAnsi="宋体" w:cs="宋体"/>
                <w:color w:val="auto"/>
                <w:sz w:val="18"/>
                <w:szCs w:val="18"/>
              </w:rPr>
            </w:pPr>
            <w:r>
              <w:rPr>
                <w:rFonts w:hint="eastAsia" w:ascii="宋体" w:hAnsi="宋体" w:cs="宋体"/>
                <w:color w:val="auto"/>
                <w:sz w:val="18"/>
                <w:szCs w:val="18"/>
              </w:rPr>
              <w:t>（28）图像保存格式：RAW / JPE / BMP / PNG / TIF</w:t>
            </w:r>
          </w:p>
          <w:p w14:paraId="7B604FE9">
            <w:pPr>
              <w:rPr>
                <w:rFonts w:hint="eastAsia" w:ascii="宋体" w:hAnsi="宋体" w:cs="宋体"/>
                <w:color w:val="auto"/>
                <w:sz w:val="18"/>
                <w:szCs w:val="18"/>
              </w:rPr>
            </w:pPr>
            <w:r>
              <w:rPr>
                <w:rFonts w:hint="eastAsia" w:ascii="宋体" w:hAnsi="宋体" w:cs="宋体"/>
                <w:color w:val="auto"/>
                <w:sz w:val="18"/>
                <w:szCs w:val="18"/>
              </w:rPr>
              <w:t>（29） avi视频采集（可选H.264压缩编码）。</w:t>
            </w:r>
          </w:p>
          <w:p w14:paraId="21D1F359">
            <w:pPr>
              <w:rPr>
                <w:rFonts w:hint="eastAsia" w:ascii="宋体" w:hAnsi="宋体" w:cs="宋体"/>
                <w:color w:val="auto"/>
                <w:sz w:val="18"/>
                <w:szCs w:val="18"/>
              </w:rPr>
            </w:pPr>
            <w:r>
              <w:rPr>
                <w:rFonts w:hint="eastAsia" w:ascii="宋体" w:hAnsi="宋体" w:cs="宋体"/>
                <w:color w:val="auto"/>
                <w:sz w:val="18"/>
                <w:szCs w:val="18"/>
              </w:rPr>
              <w:t>（30）软件接口支持：DirectShow、TWAIN、ImageJ、μManger、MATLAB、LavVIEW。</w:t>
            </w:r>
          </w:p>
          <w:p w14:paraId="067E487F">
            <w:pPr>
              <w:rPr>
                <w:rFonts w:hint="eastAsia" w:ascii="宋体" w:hAnsi="宋体" w:cs="宋体"/>
                <w:color w:val="auto"/>
                <w:sz w:val="18"/>
                <w:szCs w:val="18"/>
              </w:rPr>
            </w:pPr>
            <w:r>
              <w:rPr>
                <w:rFonts w:hint="eastAsia" w:ascii="宋体" w:hAnsi="宋体" w:cs="宋体"/>
                <w:color w:val="auto"/>
                <w:sz w:val="18"/>
                <w:szCs w:val="18"/>
              </w:rPr>
              <w:t>（31）自动曝光功能：自动/手动/区域。</w:t>
            </w:r>
          </w:p>
          <w:p w14:paraId="1C5FF9CD">
            <w:pPr>
              <w:rPr>
                <w:rFonts w:hint="eastAsia" w:ascii="宋体" w:hAnsi="宋体" w:cs="宋体"/>
                <w:color w:val="auto"/>
                <w:sz w:val="18"/>
                <w:szCs w:val="18"/>
              </w:rPr>
            </w:pPr>
            <w:r>
              <w:rPr>
                <w:rFonts w:hint="eastAsia" w:ascii="宋体" w:hAnsi="宋体" w:cs="宋体"/>
                <w:color w:val="auto"/>
                <w:sz w:val="18"/>
                <w:szCs w:val="18"/>
              </w:rPr>
              <w:t>（32）辅助对焦功能。</w:t>
            </w:r>
          </w:p>
          <w:p w14:paraId="7F30F6EC">
            <w:pPr>
              <w:rPr>
                <w:rFonts w:hint="eastAsia" w:ascii="宋体" w:hAnsi="宋体" w:cs="宋体"/>
                <w:color w:val="auto"/>
                <w:sz w:val="18"/>
                <w:szCs w:val="18"/>
              </w:rPr>
            </w:pPr>
            <w:r>
              <w:rPr>
                <w:rFonts w:hint="eastAsia" w:ascii="宋体" w:hAnsi="宋体" w:cs="宋体"/>
                <w:color w:val="auto"/>
                <w:sz w:val="18"/>
                <w:szCs w:val="18"/>
              </w:rPr>
              <w:t>（33）荧光多通道合成。</w:t>
            </w:r>
          </w:p>
          <w:p w14:paraId="16D627D5">
            <w:pPr>
              <w:rPr>
                <w:rFonts w:hint="eastAsia" w:ascii="宋体" w:hAnsi="宋体" w:cs="宋体"/>
                <w:color w:val="auto"/>
                <w:sz w:val="18"/>
                <w:szCs w:val="18"/>
              </w:rPr>
            </w:pPr>
            <w:r>
              <w:rPr>
                <w:rFonts w:hint="eastAsia" w:ascii="宋体" w:hAnsi="宋体" w:cs="宋体"/>
                <w:color w:val="auto"/>
                <w:sz w:val="18"/>
                <w:szCs w:val="18"/>
              </w:rPr>
              <w:t>（34） 1mip荧光最大密度投影。</w:t>
            </w:r>
          </w:p>
          <w:p w14:paraId="354A4913">
            <w:pPr>
              <w:rPr>
                <w:rFonts w:hint="eastAsia" w:ascii="宋体" w:hAnsi="宋体" w:cs="宋体"/>
                <w:color w:val="auto"/>
                <w:sz w:val="18"/>
                <w:szCs w:val="18"/>
              </w:rPr>
            </w:pPr>
            <w:r>
              <w:rPr>
                <w:rFonts w:hint="eastAsia" w:ascii="宋体" w:hAnsi="宋体" w:cs="宋体"/>
                <w:color w:val="auto"/>
                <w:sz w:val="18"/>
                <w:szCs w:val="18"/>
              </w:rPr>
              <w:t>（35）自定义Word、Excel、PDF报告模板，并导出至Word、Excel、PDF。</w:t>
            </w:r>
          </w:p>
          <w:p w14:paraId="1BB6FBD6">
            <w:pPr>
              <w:rPr>
                <w:rFonts w:hint="eastAsia" w:ascii="宋体" w:hAnsi="宋体" w:cs="宋体"/>
                <w:color w:val="auto"/>
                <w:sz w:val="18"/>
                <w:szCs w:val="18"/>
              </w:rPr>
            </w:pPr>
            <w:r>
              <w:rPr>
                <w:rFonts w:hint="eastAsia" w:ascii="宋体" w:hAnsi="宋体" w:cs="宋体"/>
                <w:color w:val="auto"/>
                <w:sz w:val="18"/>
                <w:szCs w:val="18"/>
              </w:rPr>
              <w:t>（36）可升级电控系统：电动XY、Z、XYZ拼接，3D超景深。</w:t>
            </w:r>
          </w:p>
          <w:p w14:paraId="267CEEAD">
            <w:pPr>
              <w:rPr>
                <w:rFonts w:hint="eastAsia" w:ascii="宋体" w:hAnsi="宋体" w:cs="宋体"/>
                <w:color w:val="auto"/>
                <w:kern w:val="0"/>
                <w:sz w:val="18"/>
                <w:szCs w:val="18"/>
                <w:lang w:bidi="ar"/>
              </w:rPr>
            </w:pPr>
            <w:r>
              <w:rPr>
                <w:rFonts w:hint="eastAsia" w:ascii="宋体" w:hAnsi="宋体" w:cs="宋体"/>
                <w:color w:val="auto"/>
                <w:sz w:val="18"/>
                <w:szCs w:val="18"/>
              </w:rPr>
              <w:t>（37）用户可编程控制</w:t>
            </w:r>
            <w:r>
              <w:rPr>
                <w:rFonts w:hint="eastAsia" w:ascii="宋体" w:hAnsi="宋体" w:cs="宋体"/>
                <w:color w:val="auto"/>
                <w:sz w:val="18"/>
                <w:szCs w:val="18"/>
              </w:rPr>
              <w:tab/>
            </w:r>
            <w:r>
              <w:rPr>
                <w:rFonts w:hint="eastAsia" w:ascii="宋体" w:hAnsi="宋体" w:cs="宋体"/>
                <w:color w:val="auto"/>
                <w:sz w:val="18"/>
                <w:szCs w:val="18"/>
              </w:rPr>
              <w:t>自定义用户界面UI、图像尺寸、曝光时间、增益、伽玛、对比度、RGB增益、饱和度、黑电平、锐度、2D降噪、3D降噪等。</w:t>
            </w:r>
          </w:p>
        </w:tc>
        <w:tc>
          <w:tcPr>
            <w:tcW w:w="530" w:type="pct"/>
            <w:tcBorders>
              <w:top w:val="single" w:color="auto" w:sz="4" w:space="0"/>
              <w:left w:val="single" w:color="auto" w:sz="4" w:space="0"/>
              <w:bottom w:val="single" w:color="auto" w:sz="4" w:space="0"/>
              <w:right w:val="single" w:color="auto" w:sz="4" w:space="0"/>
            </w:tcBorders>
            <w:noWrap/>
            <w:vAlign w:val="center"/>
          </w:tcPr>
          <w:p w14:paraId="6BB164C4">
            <w:pPr>
              <w:rPr>
                <w:rFonts w:hint="eastAsia" w:ascii="宋体" w:hAnsi="宋体" w:cs="宋体"/>
                <w:color w:val="auto"/>
                <w:sz w:val="18"/>
                <w:szCs w:val="18"/>
              </w:rPr>
            </w:pPr>
          </w:p>
        </w:tc>
      </w:tr>
      <w:tr w14:paraId="5B3385B4">
        <w:tblPrEx>
          <w:tblCellMar>
            <w:top w:w="0" w:type="dxa"/>
            <w:left w:w="108" w:type="dxa"/>
            <w:bottom w:w="0" w:type="dxa"/>
            <w:right w:w="108" w:type="dxa"/>
          </w:tblCellMar>
        </w:tblPrEx>
        <w:trPr>
          <w:trHeight w:val="615" w:hRule="atLeast"/>
          <w:jc w:val="center"/>
        </w:trPr>
        <w:tc>
          <w:tcPr>
            <w:tcW w:w="21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7624624">
            <w:pPr>
              <w:jc w:val="center"/>
              <w:rPr>
                <w:rFonts w:hint="eastAsia" w:ascii="宋体" w:hAnsi="宋体" w:cs="宋体"/>
                <w:color w:val="auto"/>
                <w:sz w:val="18"/>
                <w:szCs w:val="18"/>
              </w:rPr>
            </w:pPr>
            <w:r>
              <w:rPr>
                <w:rFonts w:hint="eastAsia" w:ascii="宋体" w:hAnsi="宋体" w:cs="宋体"/>
                <w:color w:val="auto"/>
                <w:sz w:val="18"/>
                <w:szCs w:val="18"/>
              </w:rPr>
              <w:t>6</w:t>
            </w:r>
          </w:p>
        </w:tc>
        <w:tc>
          <w:tcPr>
            <w:tcW w:w="303" w:type="pct"/>
            <w:tcBorders>
              <w:top w:val="single" w:color="000000" w:sz="4" w:space="0"/>
              <w:left w:val="single" w:color="000000" w:sz="4" w:space="0"/>
              <w:bottom w:val="single" w:color="000000" w:sz="4" w:space="0"/>
              <w:right w:val="single" w:color="000000" w:sz="4" w:space="0"/>
            </w:tcBorders>
            <w:vAlign w:val="center"/>
          </w:tcPr>
          <w:p w14:paraId="210F27E3">
            <w:pPr>
              <w:jc w:val="center"/>
              <w:rPr>
                <w:rFonts w:hint="eastAsia" w:ascii="宋体" w:hAnsi="宋体" w:cs="宋体"/>
                <w:color w:val="auto"/>
                <w:sz w:val="18"/>
                <w:szCs w:val="18"/>
              </w:rPr>
            </w:pPr>
            <w:r>
              <w:rPr>
                <w:rFonts w:hint="eastAsia" w:ascii="宋体" w:hAnsi="宋体" w:cs="宋体"/>
                <w:color w:val="auto"/>
                <w:sz w:val="18"/>
                <w:szCs w:val="18"/>
              </w:rPr>
              <w:t>低频振动分装机</w:t>
            </w:r>
          </w:p>
        </w:tc>
        <w:tc>
          <w:tcPr>
            <w:tcW w:w="327" w:type="pct"/>
            <w:tcBorders>
              <w:top w:val="single" w:color="000000" w:sz="4" w:space="0"/>
              <w:left w:val="single" w:color="000000" w:sz="4" w:space="0"/>
              <w:bottom w:val="single" w:color="000000" w:sz="4" w:space="0"/>
              <w:right w:val="single" w:color="000000" w:sz="4" w:space="0"/>
            </w:tcBorders>
            <w:vAlign w:val="center"/>
          </w:tcPr>
          <w:p w14:paraId="2CF76A71">
            <w:pPr>
              <w:jc w:val="center"/>
              <w:rPr>
                <w:rFonts w:hint="eastAsia" w:ascii="宋体" w:hAnsi="宋体" w:cs="宋体"/>
                <w:color w:val="auto"/>
                <w:sz w:val="18"/>
                <w:szCs w:val="18"/>
              </w:rPr>
            </w:pPr>
            <w:r>
              <w:rPr>
                <w:rFonts w:hint="eastAsia" w:ascii="宋体" w:hAnsi="宋体" w:cs="宋体"/>
                <w:color w:val="auto"/>
                <w:kern w:val="0"/>
                <w:sz w:val="18"/>
                <w:szCs w:val="18"/>
                <w:lang w:bidi="ar"/>
              </w:rPr>
              <w:t>否</w:t>
            </w:r>
          </w:p>
        </w:tc>
        <w:tc>
          <w:tcPr>
            <w:tcW w:w="247" w:type="pct"/>
            <w:tcBorders>
              <w:top w:val="single" w:color="000000" w:sz="4" w:space="0"/>
              <w:left w:val="single" w:color="000000" w:sz="4" w:space="0"/>
              <w:bottom w:val="single" w:color="000000" w:sz="4" w:space="0"/>
              <w:right w:val="single" w:color="000000" w:sz="4" w:space="0"/>
            </w:tcBorders>
            <w:vAlign w:val="center"/>
          </w:tcPr>
          <w:p w14:paraId="35BE3DD1">
            <w:pPr>
              <w:jc w:val="center"/>
              <w:rPr>
                <w:rFonts w:hint="eastAsia" w:ascii="宋体" w:hAnsi="宋体" w:cs="宋体"/>
                <w:color w:val="auto"/>
                <w:sz w:val="18"/>
                <w:szCs w:val="18"/>
              </w:rPr>
            </w:pPr>
            <w:r>
              <w:rPr>
                <w:rFonts w:hint="eastAsia" w:ascii="宋体" w:hAnsi="宋体" w:cs="宋体"/>
                <w:color w:val="auto"/>
                <w:sz w:val="18"/>
                <w:szCs w:val="18"/>
              </w:rPr>
              <w:t>1</w:t>
            </w:r>
          </w:p>
        </w:tc>
        <w:tc>
          <w:tcPr>
            <w:tcW w:w="335" w:type="pct"/>
            <w:tcBorders>
              <w:top w:val="single" w:color="000000" w:sz="4" w:space="0"/>
              <w:left w:val="single" w:color="000000" w:sz="4" w:space="0"/>
              <w:bottom w:val="single" w:color="000000" w:sz="4" w:space="0"/>
              <w:right w:val="single" w:color="auto" w:sz="4" w:space="0"/>
            </w:tcBorders>
            <w:vAlign w:val="center"/>
          </w:tcPr>
          <w:p w14:paraId="28DE36B1">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台/套</w:t>
            </w:r>
          </w:p>
        </w:tc>
        <w:tc>
          <w:tcPr>
            <w:tcW w:w="471" w:type="pct"/>
            <w:tcBorders>
              <w:top w:val="single" w:color="auto" w:sz="4" w:space="0"/>
              <w:left w:val="single" w:color="auto" w:sz="4" w:space="0"/>
              <w:bottom w:val="single" w:color="auto" w:sz="4" w:space="0"/>
              <w:right w:val="single" w:color="auto" w:sz="4" w:space="0"/>
            </w:tcBorders>
            <w:noWrap/>
            <w:vAlign w:val="center"/>
          </w:tcPr>
          <w:p w14:paraId="23F6F72F">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25</w:t>
            </w:r>
          </w:p>
        </w:tc>
        <w:tc>
          <w:tcPr>
            <w:tcW w:w="2563" w:type="pct"/>
            <w:tcBorders>
              <w:top w:val="single" w:color="auto" w:sz="4" w:space="0"/>
              <w:left w:val="single" w:color="auto" w:sz="4" w:space="0"/>
              <w:bottom w:val="single" w:color="auto" w:sz="4" w:space="0"/>
              <w:right w:val="single" w:color="auto" w:sz="4" w:space="0"/>
            </w:tcBorders>
            <w:noWrap/>
            <w:vAlign w:val="center"/>
          </w:tcPr>
          <w:p w14:paraId="2B7C9CCC">
            <w:pPr>
              <w:rPr>
                <w:rFonts w:hint="eastAsia" w:ascii="宋体" w:hAnsi="宋体" w:cs="宋体"/>
                <w:color w:val="auto"/>
                <w:sz w:val="18"/>
                <w:szCs w:val="18"/>
              </w:rPr>
            </w:pPr>
            <w:r>
              <w:rPr>
                <w:rFonts w:hint="eastAsia" w:ascii="宋体" w:hAnsi="宋体" w:cs="宋体"/>
                <w:color w:val="auto"/>
                <w:sz w:val="18"/>
                <w:szCs w:val="18"/>
              </w:rPr>
              <w:t>1.低频振动分装机由两台提升机组成，为蜂卡成型机的配套设备，安装在蜂卡成型机设备主体两侧，分别为蜂球下球提升机（左侧）和蜂球上球提升机（右侧）。</w:t>
            </w:r>
          </w:p>
          <w:p w14:paraId="5CE3234A">
            <w:pPr>
              <w:rPr>
                <w:rFonts w:hint="eastAsia" w:ascii="宋体" w:hAnsi="宋体" w:cs="宋体"/>
                <w:color w:val="auto"/>
                <w:sz w:val="18"/>
                <w:szCs w:val="18"/>
              </w:rPr>
            </w:pPr>
            <w:r>
              <w:rPr>
                <w:rFonts w:hint="eastAsia" w:ascii="宋体" w:hAnsi="宋体" w:cs="宋体"/>
                <w:color w:val="auto"/>
                <w:sz w:val="18"/>
                <w:szCs w:val="18"/>
              </w:rPr>
              <w:t>2.提升机</w:t>
            </w:r>
            <w:r>
              <w:rPr>
                <w:rFonts w:hint="eastAsia" w:ascii="宋体" w:hAnsi="宋体" w:cs="宋体"/>
                <w:color w:val="auto"/>
                <w:sz w:val="18"/>
                <w:szCs w:val="18"/>
                <w:lang w:eastAsia="zh-CN"/>
              </w:rPr>
              <w:t>有</w:t>
            </w:r>
            <w:r>
              <w:rPr>
                <w:rFonts w:hint="eastAsia" w:ascii="宋体" w:hAnsi="宋体" w:cs="宋体"/>
                <w:color w:val="auto"/>
                <w:sz w:val="18"/>
                <w:szCs w:val="18"/>
              </w:rPr>
              <w:t>料仓、振动装置、侍服电机、输送带、连接导轨及吹气装置组成；蜂球上下半球在料仓内，通过振动装置使蜂球壳体进入输送带进行输送，吹气装置把蜂球依次吹入连接导轨排序等待。</w:t>
            </w:r>
          </w:p>
          <w:p w14:paraId="3435F869">
            <w:pPr>
              <w:rPr>
                <w:rFonts w:hint="eastAsia" w:ascii="宋体" w:hAnsi="宋体" w:cs="宋体"/>
                <w:color w:val="auto"/>
                <w:sz w:val="18"/>
                <w:szCs w:val="18"/>
              </w:rPr>
            </w:pPr>
            <w:r>
              <w:rPr>
                <w:rFonts w:hint="eastAsia" w:ascii="宋体" w:hAnsi="宋体" w:cs="宋体"/>
                <w:color w:val="auto"/>
                <w:sz w:val="18"/>
                <w:szCs w:val="18"/>
              </w:rPr>
              <w:t>3.主要技术指标：</w:t>
            </w:r>
          </w:p>
          <w:p w14:paraId="0FA0C43F">
            <w:pPr>
              <w:rPr>
                <w:rFonts w:hint="eastAsia" w:ascii="宋体" w:hAnsi="宋体" w:cs="宋体"/>
                <w:color w:val="auto"/>
                <w:sz w:val="18"/>
                <w:szCs w:val="18"/>
              </w:rPr>
            </w:pPr>
            <w:r>
              <w:rPr>
                <w:rFonts w:hint="eastAsia" w:ascii="宋体" w:hAnsi="宋体" w:cs="宋体"/>
                <w:color w:val="auto"/>
                <w:kern w:val="0"/>
                <w:sz w:val="18"/>
                <w:szCs w:val="18"/>
                <w:lang w:bidi="ar"/>
              </w:rPr>
              <w:t>★</w:t>
            </w:r>
            <w:r>
              <w:rPr>
                <w:rFonts w:hint="eastAsia" w:ascii="宋体" w:hAnsi="宋体" w:cs="宋体"/>
                <w:color w:val="auto"/>
                <w:sz w:val="18"/>
                <w:szCs w:val="18"/>
              </w:rPr>
              <w:t>（1）料仓容量：≥10000个蜂球半球。</w:t>
            </w:r>
          </w:p>
          <w:p w14:paraId="4F6D0A08">
            <w:pPr>
              <w:rPr>
                <w:rFonts w:hint="eastAsia" w:ascii="宋体" w:hAnsi="宋体" w:cs="宋体"/>
                <w:color w:val="auto"/>
                <w:sz w:val="18"/>
                <w:szCs w:val="18"/>
              </w:rPr>
            </w:pPr>
            <w:r>
              <w:rPr>
                <w:rFonts w:hint="eastAsia" w:ascii="宋体" w:hAnsi="宋体" w:cs="宋体"/>
                <w:color w:val="auto"/>
                <w:sz w:val="18"/>
                <w:szCs w:val="18"/>
              </w:rPr>
              <w:t>（2）输送速度：可调。</w:t>
            </w:r>
          </w:p>
          <w:p w14:paraId="17167A07">
            <w:pPr>
              <w:rPr>
                <w:rFonts w:hint="eastAsia" w:ascii="宋体" w:hAnsi="宋体" w:cs="宋体"/>
                <w:color w:val="auto"/>
                <w:sz w:val="18"/>
                <w:szCs w:val="18"/>
              </w:rPr>
            </w:pPr>
            <w:r>
              <w:rPr>
                <w:rFonts w:hint="eastAsia" w:ascii="宋体" w:hAnsi="宋体" w:cs="宋体"/>
                <w:color w:val="auto"/>
                <w:sz w:val="18"/>
                <w:szCs w:val="18"/>
              </w:rPr>
              <w:t>（3）振动频率：可调。</w:t>
            </w:r>
          </w:p>
          <w:p w14:paraId="5DFBBCF8">
            <w:pPr>
              <w:rPr>
                <w:rFonts w:hint="eastAsia" w:ascii="宋体" w:hAnsi="宋体" w:cs="宋体"/>
                <w:color w:val="auto"/>
                <w:sz w:val="18"/>
                <w:szCs w:val="18"/>
              </w:rPr>
            </w:pPr>
            <w:r>
              <w:rPr>
                <w:rFonts w:hint="eastAsia" w:ascii="宋体" w:hAnsi="宋体" w:cs="宋体"/>
                <w:color w:val="auto"/>
                <w:sz w:val="18"/>
                <w:szCs w:val="18"/>
              </w:rPr>
              <w:t>（4）电气功率：≥300W。</w:t>
            </w:r>
          </w:p>
          <w:p w14:paraId="400F72E2">
            <w:pPr>
              <w:rPr>
                <w:rFonts w:hint="eastAsia" w:ascii="宋体" w:hAnsi="宋体" w:cs="宋体"/>
                <w:color w:val="auto"/>
                <w:sz w:val="18"/>
                <w:szCs w:val="18"/>
              </w:rPr>
            </w:pPr>
            <w:r>
              <w:rPr>
                <w:rFonts w:hint="eastAsia" w:ascii="宋体" w:hAnsi="宋体" w:cs="宋体"/>
                <w:color w:val="auto"/>
                <w:sz w:val="18"/>
                <w:szCs w:val="18"/>
              </w:rPr>
              <w:t>（5）设备尺寸：≥1300*1500*1700mm。</w:t>
            </w:r>
          </w:p>
          <w:p w14:paraId="09A17E76">
            <w:pPr>
              <w:rPr>
                <w:rFonts w:hint="eastAsia" w:ascii="宋体" w:hAnsi="宋体" w:cs="宋体"/>
                <w:color w:val="auto"/>
                <w:kern w:val="0"/>
                <w:sz w:val="18"/>
                <w:szCs w:val="18"/>
                <w:lang w:bidi="ar"/>
              </w:rPr>
            </w:pPr>
            <w:r>
              <w:rPr>
                <w:rFonts w:hint="eastAsia" w:ascii="宋体" w:hAnsi="宋体" w:cs="宋体"/>
                <w:color w:val="auto"/>
                <w:sz w:val="18"/>
                <w:szCs w:val="18"/>
              </w:rPr>
              <w:t>4.需提供设备三维图。</w:t>
            </w:r>
          </w:p>
        </w:tc>
        <w:tc>
          <w:tcPr>
            <w:tcW w:w="530" w:type="pct"/>
            <w:tcBorders>
              <w:top w:val="single" w:color="auto" w:sz="4" w:space="0"/>
              <w:left w:val="single" w:color="auto" w:sz="4" w:space="0"/>
              <w:bottom w:val="single" w:color="auto" w:sz="4" w:space="0"/>
              <w:right w:val="single" w:color="auto" w:sz="4" w:space="0"/>
            </w:tcBorders>
            <w:noWrap/>
            <w:vAlign w:val="center"/>
          </w:tcPr>
          <w:p w14:paraId="05222330">
            <w:pPr>
              <w:rPr>
                <w:rFonts w:hint="eastAsia" w:ascii="宋体" w:hAnsi="宋体" w:cs="宋体"/>
                <w:color w:val="auto"/>
                <w:sz w:val="18"/>
                <w:szCs w:val="18"/>
              </w:rPr>
            </w:pPr>
          </w:p>
        </w:tc>
      </w:tr>
    </w:tbl>
    <w:p w14:paraId="41CE49F7">
      <w:pPr>
        <w:keepNext w:val="0"/>
        <w:keepLines w:val="0"/>
        <w:widowControl/>
        <w:suppressLineNumbers w:val="0"/>
        <w:jc w:val="left"/>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备注：本章如出现引用某一特定的专利技术、商标、名称、设计、原产地或供应者等情况，则仅起参考作用</w:t>
      </w:r>
      <w:r>
        <w:rPr>
          <w:rFonts w:hint="eastAsia" w:ascii="宋体" w:hAnsi="宋体" w:cs="宋体"/>
          <w:b/>
          <w:bCs/>
          <w:i w:val="0"/>
          <w:iCs w:val="0"/>
          <w:color w:val="auto"/>
          <w:kern w:val="0"/>
          <w:sz w:val="24"/>
          <w:szCs w:val="24"/>
          <w:u w:val="none"/>
          <w:lang w:val="en-US" w:eastAsia="zh-CN" w:bidi="ar"/>
        </w:rPr>
        <w:t>，投标人</w:t>
      </w:r>
      <w:r>
        <w:rPr>
          <w:rFonts w:hint="eastAsia" w:ascii="宋体" w:hAnsi="宋体" w:eastAsia="宋体" w:cs="宋体"/>
          <w:b/>
          <w:bCs/>
          <w:i w:val="0"/>
          <w:iCs w:val="0"/>
          <w:color w:val="auto"/>
          <w:kern w:val="0"/>
          <w:sz w:val="24"/>
          <w:szCs w:val="24"/>
          <w:u w:val="none"/>
          <w:lang w:val="en-US" w:eastAsia="zh-CN" w:bidi="ar"/>
        </w:rPr>
        <w:t>可选用实质上“相当于”或“优于”该参考规格、技术条款和性能要求的产品。</w:t>
      </w:r>
    </w:p>
    <w:p w14:paraId="3685712C">
      <w:pPr>
        <w:pStyle w:val="31"/>
        <w:ind w:left="0" w:leftChars="0" w:firstLine="0" w:firstLineChars="0"/>
        <w:rPr>
          <w:color w:val="auto"/>
        </w:rPr>
      </w:pPr>
    </w:p>
    <w:p w14:paraId="0848692E">
      <w:pPr>
        <w:jc w:val="center"/>
        <w:rPr>
          <w:rFonts w:hint="eastAsia"/>
          <w:b/>
          <w:bCs/>
          <w:color w:val="auto"/>
          <w:sz w:val="24"/>
          <w:szCs w:val="32"/>
          <w:lang w:val="en-US" w:eastAsia="zh-CN"/>
        </w:rPr>
      </w:pPr>
      <w:r>
        <w:rPr>
          <w:rFonts w:hint="eastAsia"/>
          <w:b/>
          <w:bCs/>
          <w:color w:val="auto"/>
          <w:sz w:val="24"/>
          <w:szCs w:val="32"/>
          <w:lang w:val="en-US" w:eastAsia="zh-CN"/>
        </w:rPr>
        <w:t>二、售后服务要求</w:t>
      </w:r>
    </w:p>
    <w:p w14:paraId="61563120">
      <w:pPr>
        <w:rPr>
          <w:rFonts w:hint="eastAsia" w:ascii="宋体" w:hAnsi="宋体" w:cs="宋体"/>
          <w:color w:val="auto"/>
          <w:sz w:val="24"/>
          <w:lang w:val="en-US" w:eastAsia="zh-CN"/>
        </w:rPr>
      </w:pPr>
    </w:p>
    <w:p w14:paraId="4939A5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1.提供全新、符合行业相关标准的产品，提供产品的合格证及相关检测报告</w:t>
      </w:r>
      <w:r>
        <w:rPr>
          <w:rFonts w:hint="eastAsia" w:ascii="宋体" w:hAnsi="宋体" w:cs="宋体"/>
          <w:color w:val="auto"/>
          <w:sz w:val="24"/>
          <w:szCs w:val="24"/>
          <w:lang w:eastAsia="zh-CN"/>
        </w:rPr>
        <w:t>。</w:t>
      </w:r>
    </w:p>
    <w:p w14:paraId="32E570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2.交货</w:t>
      </w:r>
      <w:r>
        <w:rPr>
          <w:rFonts w:hint="eastAsia" w:ascii="宋体" w:hAnsi="宋体" w:eastAsia="宋体" w:cs="宋体"/>
          <w:color w:val="auto"/>
          <w:sz w:val="24"/>
          <w:szCs w:val="24"/>
          <w:lang w:val="en-US" w:eastAsia="zh-CN"/>
        </w:rPr>
        <w:t>及安装调试</w:t>
      </w:r>
      <w:r>
        <w:rPr>
          <w:rFonts w:hint="eastAsia" w:ascii="宋体" w:hAnsi="宋体" w:eastAsia="宋体" w:cs="宋体"/>
          <w:color w:val="auto"/>
          <w:sz w:val="24"/>
          <w:szCs w:val="24"/>
        </w:rPr>
        <w:t>期：合同签订之日起</w:t>
      </w:r>
      <w:r>
        <w:rPr>
          <w:rFonts w:hint="eastAsia" w:ascii="宋体" w:hAnsi="宋体" w:cs="宋体"/>
          <w:color w:val="auto"/>
          <w:sz w:val="24"/>
          <w:szCs w:val="24"/>
          <w:lang w:val="en-US" w:eastAsia="zh-CN"/>
        </w:rPr>
        <w:t>90</w:t>
      </w:r>
      <w:r>
        <w:rPr>
          <w:rFonts w:hint="eastAsia" w:ascii="宋体" w:hAnsi="宋体" w:eastAsia="宋体" w:cs="宋体"/>
          <w:color w:val="auto"/>
          <w:sz w:val="24"/>
          <w:szCs w:val="24"/>
        </w:rPr>
        <w:t>日历天内完成交货及安装调试。免费质保期：</w:t>
      </w:r>
      <w:r>
        <w:rPr>
          <w:rFonts w:hint="eastAsia" w:ascii="宋体" w:hAnsi="宋体" w:eastAsia="宋体" w:cs="宋体"/>
          <w:color w:val="auto"/>
          <w:sz w:val="24"/>
          <w:szCs w:val="24"/>
          <w:lang w:eastAsia="zh-CN"/>
        </w:rPr>
        <w:t>项目验收合格之日起不少于3年</w:t>
      </w:r>
      <w:r>
        <w:rPr>
          <w:rFonts w:hint="eastAsia" w:ascii="宋体" w:hAnsi="宋体" w:cs="宋体"/>
          <w:color w:val="auto"/>
          <w:sz w:val="24"/>
          <w:szCs w:val="24"/>
          <w:lang w:eastAsia="zh-CN"/>
        </w:rPr>
        <w:t>。</w:t>
      </w:r>
    </w:p>
    <w:p w14:paraId="7E287A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3.项目实施过程中或项目通过整体验收尚在质量保修期内，设施设备发生故障，应在接到通知后快速作出实质响应，快速派出维修人员到场处置，维修人员必须具备相关认证证书</w:t>
      </w:r>
      <w:r>
        <w:rPr>
          <w:rFonts w:hint="eastAsia" w:ascii="宋体" w:hAnsi="宋体" w:cs="宋体"/>
          <w:color w:val="auto"/>
          <w:sz w:val="24"/>
          <w:szCs w:val="24"/>
          <w:lang w:eastAsia="zh-CN"/>
        </w:rPr>
        <w:t>。</w:t>
      </w:r>
    </w:p>
    <w:p w14:paraId="7910A6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4.若发生硬件故障无法在现场修复的应当提供备品备件进行更换</w:t>
      </w:r>
      <w:r>
        <w:rPr>
          <w:rFonts w:hint="eastAsia" w:ascii="宋体" w:hAnsi="宋体" w:cs="宋体"/>
          <w:color w:val="auto"/>
          <w:sz w:val="24"/>
          <w:szCs w:val="24"/>
          <w:lang w:eastAsia="zh-CN"/>
        </w:rPr>
        <w:t>。</w:t>
      </w:r>
    </w:p>
    <w:p w14:paraId="1FCCCB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5.同一设备相同故障维修2次以上，再次出现相同故障的提供全新相同设备进行更换</w:t>
      </w:r>
      <w:r>
        <w:rPr>
          <w:rFonts w:hint="eastAsia" w:ascii="宋体" w:hAnsi="宋体" w:cs="宋体"/>
          <w:color w:val="auto"/>
          <w:sz w:val="24"/>
          <w:szCs w:val="24"/>
          <w:lang w:eastAsia="zh-CN"/>
        </w:rPr>
        <w:t>。</w:t>
      </w:r>
    </w:p>
    <w:p w14:paraId="4082F8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6.超出质保期后，提供终身维修服务，维修费用按照成本计算</w:t>
      </w:r>
      <w:r>
        <w:rPr>
          <w:rFonts w:hint="eastAsia" w:ascii="宋体" w:hAnsi="宋体" w:cs="宋体"/>
          <w:color w:val="auto"/>
          <w:sz w:val="24"/>
          <w:szCs w:val="24"/>
          <w:lang w:eastAsia="zh-CN"/>
        </w:rPr>
        <w:t>。</w:t>
      </w:r>
    </w:p>
    <w:p w14:paraId="4125EE9F">
      <w:pPr>
        <w:jc w:val="center"/>
        <w:rPr>
          <w:rFonts w:hint="eastAsia"/>
          <w:b/>
          <w:bCs/>
          <w:color w:val="auto"/>
          <w:sz w:val="24"/>
          <w:szCs w:val="32"/>
          <w:lang w:val="en-US" w:eastAsia="zh-CN"/>
        </w:rPr>
      </w:pPr>
      <w:r>
        <w:rPr>
          <w:rFonts w:hint="eastAsia"/>
          <w:b/>
          <w:bCs/>
          <w:color w:val="auto"/>
          <w:sz w:val="24"/>
          <w:szCs w:val="32"/>
          <w:lang w:val="en-US" w:eastAsia="zh-CN"/>
        </w:rPr>
        <w:t>三、验收要求</w:t>
      </w:r>
    </w:p>
    <w:p w14:paraId="1030C419">
      <w:pPr>
        <w:rPr>
          <w:rFonts w:hint="eastAsia" w:ascii="宋体" w:hAnsi="宋体" w:cs="宋体"/>
          <w:color w:val="auto"/>
          <w:sz w:val="24"/>
          <w:lang w:val="en-US" w:eastAsia="zh-CN"/>
        </w:rPr>
      </w:pPr>
    </w:p>
    <w:p w14:paraId="325136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1.交付验收标准依次序对照适用标准为：①符合国家/行业相关质量标准；②符合招标文件和响应文件中配置、参数及各项要求，提供设备合格证及相关检测报告。</w:t>
      </w:r>
    </w:p>
    <w:p w14:paraId="2762AA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2.货物为原厂商未启封全新包装，提供出厂合格证，序列号、包装箱号，所有随设备的附件必须齐全。</w:t>
      </w:r>
    </w:p>
    <w:p w14:paraId="7C901C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3.应提供设备的用户手册、保修手册、有关单证资料及配备件、随机工具等，使用操作及安全须知等重要资料应附有中文说明。</w:t>
      </w:r>
    </w:p>
    <w:p w14:paraId="5B0119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4.提供各类培训材料及培训签到表。</w:t>
      </w:r>
    </w:p>
    <w:p w14:paraId="505063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5.提供系统布线及设备安装拓扑图。</w:t>
      </w:r>
    </w:p>
    <w:p w14:paraId="0A9DA2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6.甲方组成验收小组按国家有关规定、规范进行验收，必要时邀请相关的专业人员或机构参与验收。因货物质量问题发生争议时，由本地质量技术监督部门鉴定。</w:t>
      </w:r>
    </w:p>
    <w:p w14:paraId="6D8B9D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lang w:val="en-US" w:eastAsia="zh-CN"/>
        </w:rPr>
      </w:pPr>
    </w:p>
    <w:p w14:paraId="4068E7FD">
      <w:pPr>
        <w:rPr>
          <w:rFonts w:hint="eastAsia"/>
          <w:color w:val="auto"/>
          <w:highlight w:val="none"/>
        </w:rPr>
      </w:pPr>
      <w:r>
        <w:rPr>
          <w:rFonts w:hint="eastAsia"/>
          <w:color w:val="auto"/>
          <w:highlight w:val="none"/>
        </w:rPr>
        <w:br w:type="page"/>
      </w:r>
    </w:p>
    <w:p w14:paraId="2915AB23">
      <w:pPr>
        <w:ind w:firstLine="522"/>
        <w:rPr>
          <w:color w:val="auto"/>
          <w:highlight w:val="none"/>
        </w:rPr>
      </w:pPr>
    </w:p>
    <w:p w14:paraId="11F3D582">
      <w:pPr>
        <w:pStyle w:val="2"/>
        <w:rPr>
          <w:b/>
          <w:color w:val="auto"/>
          <w:highlight w:val="none"/>
        </w:rPr>
      </w:pPr>
      <w:bookmarkStart w:id="184" w:name="_Toc10059"/>
      <w:r>
        <w:rPr>
          <w:rFonts w:hint="eastAsia"/>
          <w:color w:val="auto"/>
          <w:highlight w:val="none"/>
        </w:rPr>
        <w:t>第六章  评标办法（综合评分法）</w:t>
      </w:r>
      <w:bookmarkEnd w:id="184"/>
    </w:p>
    <w:p w14:paraId="525296D2">
      <w:pPr>
        <w:ind w:firstLine="520"/>
        <w:jc w:val="center"/>
        <w:rPr>
          <w:b/>
          <w:color w:val="auto"/>
          <w:highlight w:val="none"/>
        </w:rPr>
      </w:pPr>
      <w:r>
        <w:rPr>
          <w:rFonts w:hint="eastAsia"/>
          <w:b/>
          <w:color w:val="auto"/>
          <w:highlight w:val="none"/>
        </w:rPr>
        <w:t>评标办法前附表</w:t>
      </w:r>
    </w:p>
    <w:tbl>
      <w:tblPr>
        <w:tblStyle w:val="32"/>
        <w:tblW w:w="954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47"/>
        <w:gridCol w:w="781"/>
        <w:gridCol w:w="1084"/>
        <w:gridCol w:w="860"/>
        <w:gridCol w:w="6068"/>
      </w:tblGrid>
      <w:tr w14:paraId="33BCF8B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7" w:hRule="atLeast"/>
          <w:tblHeader/>
          <w:jc w:val="center"/>
        </w:trPr>
        <w:tc>
          <w:tcPr>
            <w:tcW w:w="1528" w:type="dxa"/>
            <w:gridSpan w:val="2"/>
            <w:tcBorders>
              <w:top w:val="single" w:color="auto" w:sz="12" w:space="0"/>
            </w:tcBorders>
            <w:vAlign w:val="center"/>
          </w:tcPr>
          <w:p w14:paraId="4570D1C7">
            <w:pPr>
              <w:ind w:firstLine="420" w:firstLineChars="200"/>
              <w:jc w:val="left"/>
              <w:rPr>
                <w:b/>
                <w:bCs/>
                <w:color w:val="auto"/>
                <w:sz w:val="21"/>
                <w:szCs w:val="21"/>
                <w:highlight w:val="none"/>
              </w:rPr>
            </w:pPr>
            <w:r>
              <w:rPr>
                <w:rFonts w:hint="eastAsia" w:cs="宋体"/>
                <w:b/>
                <w:bCs/>
                <w:color w:val="auto"/>
                <w:sz w:val="21"/>
                <w:szCs w:val="21"/>
                <w:highlight w:val="none"/>
              </w:rPr>
              <w:t>条款号</w:t>
            </w:r>
          </w:p>
        </w:tc>
        <w:tc>
          <w:tcPr>
            <w:tcW w:w="1944" w:type="dxa"/>
            <w:gridSpan w:val="2"/>
            <w:tcBorders>
              <w:top w:val="single" w:color="auto" w:sz="12" w:space="0"/>
            </w:tcBorders>
            <w:vAlign w:val="center"/>
          </w:tcPr>
          <w:p w14:paraId="142C90D1">
            <w:pPr>
              <w:ind w:firstLine="420" w:firstLineChars="200"/>
              <w:rPr>
                <w:b/>
                <w:bCs/>
                <w:color w:val="auto"/>
                <w:sz w:val="21"/>
                <w:szCs w:val="21"/>
                <w:highlight w:val="none"/>
              </w:rPr>
            </w:pPr>
            <w:r>
              <w:rPr>
                <w:rFonts w:hint="eastAsia" w:cs="宋体"/>
                <w:b/>
                <w:bCs/>
                <w:color w:val="auto"/>
                <w:sz w:val="21"/>
                <w:szCs w:val="21"/>
                <w:highlight w:val="none"/>
              </w:rPr>
              <w:t>评</w:t>
            </w:r>
            <w:r>
              <w:rPr>
                <w:b/>
                <w:bCs/>
                <w:color w:val="auto"/>
                <w:sz w:val="21"/>
                <w:szCs w:val="21"/>
                <w:highlight w:val="none"/>
              </w:rPr>
              <w:t xml:space="preserve"> </w:t>
            </w:r>
            <w:r>
              <w:rPr>
                <w:rFonts w:hint="eastAsia" w:cs="宋体"/>
                <w:b/>
                <w:bCs/>
                <w:color w:val="auto"/>
                <w:sz w:val="21"/>
                <w:szCs w:val="21"/>
                <w:highlight w:val="none"/>
              </w:rPr>
              <w:t>审</w:t>
            </w:r>
            <w:r>
              <w:rPr>
                <w:b/>
                <w:bCs/>
                <w:color w:val="auto"/>
                <w:sz w:val="21"/>
                <w:szCs w:val="21"/>
                <w:highlight w:val="none"/>
              </w:rPr>
              <w:t xml:space="preserve"> </w:t>
            </w:r>
            <w:r>
              <w:rPr>
                <w:rFonts w:hint="eastAsia" w:cs="宋体"/>
                <w:b/>
                <w:bCs/>
                <w:color w:val="auto"/>
                <w:sz w:val="21"/>
                <w:szCs w:val="21"/>
                <w:highlight w:val="none"/>
              </w:rPr>
              <w:t>因</w:t>
            </w:r>
            <w:r>
              <w:rPr>
                <w:b/>
                <w:bCs/>
                <w:color w:val="auto"/>
                <w:sz w:val="21"/>
                <w:szCs w:val="21"/>
                <w:highlight w:val="none"/>
              </w:rPr>
              <w:t xml:space="preserve"> </w:t>
            </w:r>
            <w:r>
              <w:rPr>
                <w:rFonts w:hint="eastAsia" w:cs="宋体"/>
                <w:b/>
                <w:bCs/>
                <w:color w:val="auto"/>
                <w:sz w:val="21"/>
                <w:szCs w:val="21"/>
                <w:highlight w:val="none"/>
              </w:rPr>
              <w:t>素</w:t>
            </w:r>
          </w:p>
        </w:tc>
        <w:tc>
          <w:tcPr>
            <w:tcW w:w="6068" w:type="dxa"/>
            <w:tcBorders>
              <w:top w:val="single" w:color="auto" w:sz="12" w:space="0"/>
            </w:tcBorders>
            <w:vAlign w:val="center"/>
          </w:tcPr>
          <w:p w14:paraId="0CBC6D62">
            <w:pPr>
              <w:ind w:firstLine="2387" w:firstLineChars="1137"/>
              <w:rPr>
                <w:b/>
                <w:bCs/>
                <w:color w:val="auto"/>
                <w:sz w:val="21"/>
                <w:szCs w:val="21"/>
                <w:highlight w:val="none"/>
              </w:rPr>
            </w:pPr>
            <w:r>
              <w:rPr>
                <w:rFonts w:hint="eastAsia" w:cs="宋体"/>
                <w:b/>
                <w:bCs/>
                <w:color w:val="auto"/>
                <w:sz w:val="21"/>
                <w:szCs w:val="21"/>
                <w:highlight w:val="none"/>
              </w:rPr>
              <w:t>评</w:t>
            </w:r>
            <w:r>
              <w:rPr>
                <w:b/>
                <w:bCs/>
                <w:color w:val="auto"/>
                <w:sz w:val="21"/>
                <w:szCs w:val="21"/>
                <w:highlight w:val="none"/>
              </w:rPr>
              <w:t xml:space="preserve"> </w:t>
            </w:r>
            <w:r>
              <w:rPr>
                <w:rFonts w:hint="eastAsia" w:cs="宋体"/>
                <w:b/>
                <w:bCs/>
                <w:color w:val="auto"/>
                <w:sz w:val="21"/>
                <w:szCs w:val="21"/>
                <w:highlight w:val="none"/>
              </w:rPr>
              <w:t>审</w:t>
            </w:r>
            <w:r>
              <w:rPr>
                <w:b/>
                <w:bCs/>
                <w:color w:val="auto"/>
                <w:sz w:val="21"/>
                <w:szCs w:val="21"/>
                <w:highlight w:val="none"/>
              </w:rPr>
              <w:t xml:space="preserve"> </w:t>
            </w:r>
            <w:r>
              <w:rPr>
                <w:rFonts w:hint="eastAsia" w:cs="宋体"/>
                <w:b/>
                <w:bCs/>
                <w:color w:val="auto"/>
                <w:sz w:val="21"/>
                <w:szCs w:val="21"/>
                <w:highlight w:val="none"/>
              </w:rPr>
              <w:t>标</w:t>
            </w:r>
            <w:r>
              <w:rPr>
                <w:b/>
                <w:bCs/>
                <w:color w:val="auto"/>
                <w:sz w:val="21"/>
                <w:szCs w:val="21"/>
                <w:highlight w:val="none"/>
              </w:rPr>
              <w:t xml:space="preserve"> </w:t>
            </w:r>
            <w:r>
              <w:rPr>
                <w:rFonts w:hint="eastAsia" w:cs="宋体"/>
                <w:b/>
                <w:bCs/>
                <w:color w:val="auto"/>
                <w:sz w:val="21"/>
                <w:szCs w:val="21"/>
                <w:highlight w:val="none"/>
              </w:rPr>
              <w:t>准</w:t>
            </w:r>
          </w:p>
        </w:tc>
      </w:tr>
      <w:tr w14:paraId="7679A18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10" w:hRule="atLeast"/>
          <w:jc w:val="center"/>
        </w:trPr>
        <w:tc>
          <w:tcPr>
            <w:tcW w:w="747" w:type="dxa"/>
            <w:vMerge w:val="restart"/>
            <w:vAlign w:val="center"/>
          </w:tcPr>
          <w:p w14:paraId="739E02C1">
            <w:pPr>
              <w:rPr>
                <w:color w:val="auto"/>
                <w:sz w:val="21"/>
                <w:szCs w:val="21"/>
                <w:highlight w:val="none"/>
              </w:rPr>
            </w:pPr>
            <w:r>
              <w:rPr>
                <w:color w:val="auto"/>
                <w:sz w:val="21"/>
                <w:szCs w:val="21"/>
                <w:highlight w:val="none"/>
              </w:rPr>
              <w:t>2.1.1</w:t>
            </w:r>
          </w:p>
        </w:tc>
        <w:tc>
          <w:tcPr>
            <w:tcW w:w="781" w:type="dxa"/>
            <w:vMerge w:val="restart"/>
            <w:vAlign w:val="center"/>
          </w:tcPr>
          <w:p w14:paraId="0FDC9F80">
            <w:pPr>
              <w:jc w:val="center"/>
              <w:rPr>
                <w:color w:val="auto"/>
                <w:sz w:val="21"/>
                <w:szCs w:val="21"/>
                <w:highlight w:val="none"/>
              </w:rPr>
            </w:pPr>
            <w:r>
              <w:rPr>
                <w:rFonts w:hint="eastAsia" w:cs="宋体"/>
                <w:color w:val="auto"/>
                <w:sz w:val="21"/>
                <w:szCs w:val="21"/>
                <w:highlight w:val="none"/>
              </w:rPr>
              <w:t>资格</w:t>
            </w:r>
          </w:p>
          <w:p w14:paraId="1DDFAEDE">
            <w:pPr>
              <w:jc w:val="center"/>
              <w:rPr>
                <w:color w:val="auto"/>
                <w:sz w:val="21"/>
                <w:szCs w:val="21"/>
                <w:highlight w:val="none"/>
              </w:rPr>
            </w:pPr>
            <w:r>
              <w:rPr>
                <w:rFonts w:hint="eastAsia" w:cs="宋体"/>
                <w:color w:val="auto"/>
                <w:sz w:val="21"/>
                <w:szCs w:val="21"/>
                <w:highlight w:val="none"/>
              </w:rPr>
              <w:t>评审</w:t>
            </w:r>
          </w:p>
          <w:p w14:paraId="29444B6C">
            <w:pPr>
              <w:jc w:val="center"/>
              <w:rPr>
                <w:color w:val="auto"/>
                <w:sz w:val="21"/>
                <w:szCs w:val="21"/>
                <w:highlight w:val="none"/>
              </w:rPr>
            </w:pPr>
            <w:r>
              <w:rPr>
                <w:rFonts w:hint="eastAsia" w:cs="宋体"/>
                <w:color w:val="auto"/>
                <w:sz w:val="21"/>
                <w:szCs w:val="21"/>
                <w:highlight w:val="none"/>
              </w:rPr>
              <w:t>标准</w:t>
            </w:r>
          </w:p>
        </w:tc>
        <w:tc>
          <w:tcPr>
            <w:tcW w:w="1944" w:type="dxa"/>
            <w:gridSpan w:val="2"/>
            <w:vAlign w:val="center"/>
          </w:tcPr>
          <w:p w14:paraId="3C0E40BB">
            <w:pPr>
              <w:ind w:firstLine="210" w:firstLineChars="100"/>
              <w:rPr>
                <w:color w:val="auto"/>
                <w:sz w:val="21"/>
                <w:szCs w:val="21"/>
                <w:highlight w:val="none"/>
              </w:rPr>
            </w:pPr>
            <w:r>
              <w:rPr>
                <w:color w:val="auto"/>
                <w:sz w:val="21"/>
                <w:szCs w:val="21"/>
                <w:highlight w:val="none"/>
              </w:rPr>
              <w:t>采购政策</w:t>
            </w:r>
          </w:p>
        </w:tc>
        <w:tc>
          <w:tcPr>
            <w:tcW w:w="6068" w:type="dxa"/>
            <w:vAlign w:val="center"/>
          </w:tcPr>
          <w:p w14:paraId="09D61F40">
            <w:pPr>
              <w:spacing w:line="310" w:lineRule="exact"/>
              <w:rPr>
                <w:color w:val="auto"/>
                <w:sz w:val="21"/>
                <w:szCs w:val="21"/>
                <w:highlight w:val="none"/>
              </w:rPr>
            </w:pPr>
            <w:r>
              <w:rPr>
                <w:rFonts w:hint="eastAsia" w:asciiTheme="minorEastAsia" w:hAnsiTheme="minorEastAsia" w:eastAsiaTheme="minorEastAsia" w:cstheme="minorEastAsia"/>
                <w:color w:val="auto"/>
                <w:szCs w:val="21"/>
                <w:highlight w:val="none"/>
                <w:lang w:val="en-US" w:eastAsia="zh-CN"/>
              </w:rPr>
              <w:t>制造商</w:t>
            </w:r>
            <w:r>
              <w:rPr>
                <w:rFonts w:hint="eastAsia" w:asciiTheme="minorEastAsia" w:hAnsiTheme="minorEastAsia" w:eastAsiaTheme="minorEastAsia" w:cstheme="minorEastAsia"/>
                <w:color w:val="auto"/>
                <w:szCs w:val="21"/>
                <w:highlight w:val="none"/>
              </w:rPr>
              <w:t>应为中小微企业，</w:t>
            </w:r>
            <w:r>
              <w:rPr>
                <w:rFonts w:hint="eastAsia" w:asciiTheme="minorEastAsia" w:hAnsiTheme="minorEastAsia" w:eastAsiaTheme="minorEastAsia" w:cstheme="minorEastAsia"/>
                <w:color w:val="auto"/>
                <w:szCs w:val="21"/>
                <w:highlight w:val="none"/>
                <w:lang w:val="en-US" w:eastAsia="zh-CN"/>
              </w:rPr>
              <w:t>投标</w:t>
            </w:r>
            <w:r>
              <w:rPr>
                <w:rFonts w:hint="eastAsia" w:asciiTheme="minorEastAsia" w:hAnsiTheme="minorEastAsia" w:eastAsiaTheme="minorEastAsia" w:cstheme="minorEastAsia"/>
                <w:color w:val="auto"/>
                <w:szCs w:val="21"/>
                <w:highlight w:val="none"/>
              </w:rPr>
              <w:t>文件</w:t>
            </w:r>
            <w:r>
              <w:rPr>
                <w:rFonts w:hint="eastAsia" w:asciiTheme="minorEastAsia" w:hAnsiTheme="minorEastAsia" w:eastAsiaTheme="minorEastAsia" w:cstheme="minorEastAsia"/>
                <w:color w:val="auto"/>
                <w:szCs w:val="21"/>
                <w:highlight w:val="none"/>
                <w:lang w:val="en-US" w:eastAsia="zh-CN"/>
              </w:rPr>
              <w:t>按招标文件要求提供</w:t>
            </w:r>
            <w:r>
              <w:rPr>
                <w:rFonts w:hint="eastAsia" w:asciiTheme="minorEastAsia" w:hAnsiTheme="minorEastAsia" w:eastAsiaTheme="minorEastAsia" w:cstheme="minorEastAsia"/>
                <w:color w:val="auto"/>
                <w:szCs w:val="21"/>
                <w:highlight w:val="none"/>
              </w:rPr>
              <w:t>《中小企业声明函》（格式以</w:t>
            </w:r>
            <w:r>
              <w:rPr>
                <w:rFonts w:hint="eastAsia" w:asciiTheme="minorEastAsia" w:hAnsiTheme="minorEastAsia" w:eastAsiaTheme="minorEastAsia" w:cstheme="minorEastAsia"/>
                <w:color w:val="auto"/>
                <w:szCs w:val="21"/>
                <w:highlight w:val="none"/>
                <w:lang w:eastAsia="zh-CN"/>
              </w:rPr>
              <w:t>招标文件</w:t>
            </w:r>
            <w:r>
              <w:rPr>
                <w:rFonts w:hint="eastAsia" w:asciiTheme="minorEastAsia" w:hAnsiTheme="minorEastAsia" w:eastAsiaTheme="minorEastAsia" w:cstheme="minorEastAsia"/>
                <w:color w:val="auto"/>
                <w:szCs w:val="21"/>
                <w:highlight w:val="none"/>
              </w:rPr>
              <w:t>提供的为准）。</w:t>
            </w:r>
          </w:p>
        </w:tc>
      </w:tr>
      <w:tr w14:paraId="2F7739F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10" w:hRule="atLeast"/>
          <w:jc w:val="center"/>
        </w:trPr>
        <w:tc>
          <w:tcPr>
            <w:tcW w:w="747" w:type="dxa"/>
            <w:vMerge w:val="continue"/>
            <w:vAlign w:val="center"/>
          </w:tcPr>
          <w:p w14:paraId="2D5CDBEB">
            <w:pPr>
              <w:ind w:firstLine="522"/>
              <w:jc w:val="center"/>
              <w:rPr>
                <w:color w:val="auto"/>
                <w:sz w:val="21"/>
                <w:szCs w:val="21"/>
                <w:highlight w:val="none"/>
              </w:rPr>
            </w:pPr>
          </w:p>
        </w:tc>
        <w:tc>
          <w:tcPr>
            <w:tcW w:w="781" w:type="dxa"/>
            <w:vMerge w:val="continue"/>
            <w:vAlign w:val="center"/>
          </w:tcPr>
          <w:p w14:paraId="5E6D8D7A">
            <w:pPr>
              <w:ind w:firstLine="522"/>
              <w:jc w:val="center"/>
              <w:rPr>
                <w:rFonts w:cs="宋体"/>
                <w:color w:val="auto"/>
                <w:sz w:val="21"/>
                <w:szCs w:val="21"/>
                <w:highlight w:val="none"/>
              </w:rPr>
            </w:pPr>
          </w:p>
        </w:tc>
        <w:tc>
          <w:tcPr>
            <w:tcW w:w="1944" w:type="dxa"/>
            <w:gridSpan w:val="2"/>
            <w:vAlign w:val="center"/>
          </w:tcPr>
          <w:p w14:paraId="2BD9699F">
            <w:pPr>
              <w:ind w:firstLine="210" w:firstLineChars="100"/>
              <w:rPr>
                <w:rFonts w:hint="eastAsia"/>
                <w:color w:val="auto"/>
                <w:sz w:val="21"/>
                <w:szCs w:val="21"/>
                <w:highlight w:val="none"/>
              </w:rPr>
            </w:pPr>
            <w:bookmarkStart w:id="185" w:name="OLE_LINK16"/>
            <w:r>
              <w:rPr>
                <w:rFonts w:hint="eastAsia"/>
                <w:color w:val="auto"/>
                <w:sz w:val="21"/>
                <w:szCs w:val="21"/>
                <w:highlight w:val="none"/>
              </w:rPr>
              <w:t>基本资质</w:t>
            </w:r>
            <w:bookmarkEnd w:id="185"/>
          </w:p>
        </w:tc>
        <w:tc>
          <w:tcPr>
            <w:tcW w:w="6068" w:type="dxa"/>
            <w:vAlign w:val="center"/>
          </w:tcPr>
          <w:p w14:paraId="4EB5CC9B">
            <w:pPr>
              <w:spacing w:line="310" w:lineRule="exact"/>
              <w:rPr>
                <w:rFonts w:hint="eastAsia"/>
                <w:color w:val="auto"/>
                <w:sz w:val="21"/>
                <w:szCs w:val="21"/>
                <w:highlight w:val="none"/>
              </w:rPr>
            </w:pPr>
            <w:r>
              <w:rPr>
                <w:rFonts w:hint="eastAsia"/>
                <w:color w:val="auto"/>
                <w:sz w:val="21"/>
                <w:szCs w:val="21"/>
                <w:highlight w:val="none"/>
              </w:rPr>
              <w:t>满足《中华人民共和国政府采购法》第二十二条规定。</w:t>
            </w:r>
          </w:p>
        </w:tc>
      </w:tr>
      <w:tr w14:paraId="0E7261E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10" w:hRule="atLeast"/>
          <w:jc w:val="center"/>
        </w:trPr>
        <w:tc>
          <w:tcPr>
            <w:tcW w:w="747" w:type="dxa"/>
            <w:vMerge w:val="continue"/>
            <w:vAlign w:val="center"/>
          </w:tcPr>
          <w:p w14:paraId="3335C81A">
            <w:pPr>
              <w:ind w:firstLine="522"/>
              <w:jc w:val="center"/>
              <w:rPr>
                <w:color w:val="auto"/>
                <w:sz w:val="21"/>
                <w:szCs w:val="21"/>
                <w:highlight w:val="none"/>
              </w:rPr>
            </w:pPr>
          </w:p>
        </w:tc>
        <w:tc>
          <w:tcPr>
            <w:tcW w:w="781" w:type="dxa"/>
            <w:vMerge w:val="continue"/>
            <w:vAlign w:val="center"/>
          </w:tcPr>
          <w:p w14:paraId="314A5933">
            <w:pPr>
              <w:ind w:firstLine="522"/>
              <w:jc w:val="center"/>
              <w:rPr>
                <w:rFonts w:cs="宋体"/>
                <w:color w:val="auto"/>
                <w:sz w:val="21"/>
                <w:szCs w:val="21"/>
                <w:highlight w:val="none"/>
              </w:rPr>
            </w:pPr>
          </w:p>
        </w:tc>
        <w:tc>
          <w:tcPr>
            <w:tcW w:w="1944" w:type="dxa"/>
            <w:gridSpan w:val="2"/>
            <w:vAlign w:val="center"/>
          </w:tcPr>
          <w:p w14:paraId="0C4CC582">
            <w:pPr>
              <w:ind w:firstLine="210" w:firstLineChars="100"/>
              <w:rPr>
                <w:color w:val="auto"/>
                <w:sz w:val="21"/>
                <w:szCs w:val="21"/>
                <w:highlight w:val="none"/>
              </w:rPr>
            </w:pPr>
            <w:r>
              <w:rPr>
                <w:rFonts w:hint="eastAsia"/>
                <w:color w:val="auto"/>
                <w:sz w:val="21"/>
                <w:szCs w:val="21"/>
                <w:highlight w:val="none"/>
              </w:rPr>
              <w:t>营业执照</w:t>
            </w:r>
          </w:p>
        </w:tc>
        <w:tc>
          <w:tcPr>
            <w:tcW w:w="6068" w:type="dxa"/>
            <w:vAlign w:val="center"/>
          </w:tcPr>
          <w:p w14:paraId="7841C6BE">
            <w:pPr>
              <w:rPr>
                <w:color w:val="auto"/>
                <w:sz w:val="21"/>
                <w:szCs w:val="21"/>
                <w:highlight w:val="none"/>
              </w:rPr>
            </w:pPr>
            <w:r>
              <w:rPr>
                <w:rFonts w:hint="eastAsia"/>
                <w:b w:val="0"/>
                <w:bCs w:val="0"/>
                <w:color w:val="auto"/>
                <w:sz w:val="21"/>
                <w:szCs w:val="21"/>
                <w:highlight w:val="none"/>
                <w:lang w:val="en-US" w:eastAsia="zh-CN"/>
              </w:rPr>
              <w:t>投标人应具有独立承担民事责任的能力，提供营业执照或国家颁发的相关证照等证明文件（原件扫描件加盖电子签章）。</w:t>
            </w:r>
          </w:p>
        </w:tc>
      </w:tr>
      <w:tr w14:paraId="10238F5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10" w:hRule="atLeast"/>
          <w:jc w:val="center"/>
        </w:trPr>
        <w:tc>
          <w:tcPr>
            <w:tcW w:w="747" w:type="dxa"/>
            <w:vMerge w:val="continue"/>
            <w:vAlign w:val="center"/>
          </w:tcPr>
          <w:p w14:paraId="5522D6EC">
            <w:pPr>
              <w:ind w:firstLine="522"/>
              <w:jc w:val="center"/>
              <w:rPr>
                <w:color w:val="auto"/>
                <w:sz w:val="21"/>
                <w:szCs w:val="21"/>
                <w:highlight w:val="none"/>
              </w:rPr>
            </w:pPr>
          </w:p>
        </w:tc>
        <w:tc>
          <w:tcPr>
            <w:tcW w:w="781" w:type="dxa"/>
            <w:vMerge w:val="continue"/>
            <w:vAlign w:val="center"/>
          </w:tcPr>
          <w:p w14:paraId="349C0D2D">
            <w:pPr>
              <w:ind w:firstLine="522"/>
              <w:jc w:val="center"/>
              <w:rPr>
                <w:rFonts w:cs="宋体"/>
                <w:color w:val="auto"/>
                <w:sz w:val="21"/>
                <w:szCs w:val="21"/>
                <w:highlight w:val="none"/>
              </w:rPr>
            </w:pPr>
          </w:p>
        </w:tc>
        <w:tc>
          <w:tcPr>
            <w:tcW w:w="1944" w:type="dxa"/>
            <w:gridSpan w:val="2"/>
            <w:vAlign w:val="center"/>
          </w:tcPr>
          <w:p w14:paraId="61B25156">
            <w:pPr>
              <w:ind w:firstLine="210" w:firstLineChars="100"/>
              <w:rPr>
                <w:color w:val="auto"/>
                <w:sz w:val="21"/>
                <w:szCs w:val="21"/>
                <w:highlight w:val="none"/>
              </w:rPr>
            </w:pPr>
            <w:r>
              <w:rPr>
                <w:rFonts w:hint="eastAsia"/>
                <w:color w:val="auto"/>
                <w:sz w:val="21"/>
                <w:szCs w:val="21"/>
                <w:highlight w:val="none"/>
              </w:rPr>
              <w:t>财务报告</w:t>
            </w:r>
          </w:p>
        </w:tc>
        <w:tc>
          <w:tcPr>
            <w:tcW w:w="6068" w:type="dxa"/>
            <w:vAlign w:val="center"/>
          </w:tcPr>
          <w:p w14:paraId="6BC36343">
            <w:pPr>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1.投标人若为法人且成立1年及以上，提供2024年或2025年经审计的财务报告[报告包含：资产负债表、利润表、现金流量表、所有者权益变动表（若无所有者权益变动，此表可不提供）及会计报表附注]（原件扫描件加盖电子签章）。</w:t>
            </w:r>
          </w:p>
          <w:p w14:paraId="5634BBD4">
            <w:pPr>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2.投标人若为非法人组织且成立1年及以上，提供2024年或2025年财务报表（原件扫描件加盖电子签章）。</w:t>
            </w:r>
          </w:p>
          <w:p w14:paraId="616E402F">
            <w:pPr>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3.投标人成立不足1年的，提供自投标文件提交截止时间前三个月内开户银行出具的资信证明或资金存款证明（原件扫描件加盖电子签章）；投标人成立不足3个月的，提供财务状况良好承诺书（原件加盖电子签章）。</w:t>
            </w:r>
          </w:p>
          <w:p w14:paraId="7929C0AA">
            <w:pPr>
              <w:rPr>
                <w:color w:val="auto"/>
                <w:sz w:val="21"/>
                <w:szCs w:val="21"/>
                <w:highlight w:val="none"/>
              </w:rPr>
            </w:pPr>
            <w:r>
              <w:rPr>
                <w:rFonts w:hint="eastAsia"/>
                <w:b w:val="0"/>
                <w:bCs w:val="0"/>
                <w:color w:val="auto"/>
                <w:sz w:val="21"/>
                <w:szCs w:val="21"/>
                <w:highlight w:val="none"/>
                <w:lang w:val="en-US" w:eastAsia="zh-CN"/>
              </w:rPr>
              <w:t>4.若投标人不属于以上情形或存在特殊情况的，请提供相关证明材料或情况说明或承诺函并对其材料的真实性负责（原件加盖电子签章）。</w:t>
            </w:r>
          </w:p>
        </w:tc>
      </w:tr>
      <w:tr w14:paraId="081094A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10" w:hRule="atLeast"/>
          <w:jc w:val="center"/>
        </w:trPr>
        <w:tc>
          <w:tcPr>
            <w:tcW w:w="747" w:type="dxa"/>
            <w:vMerge w:val="continue"/>
            <w:vAlign w:val="center"/>
          </w:tcPr>
          <w:p w14:paraId="3F3EF1F2">
            <w:pPr>
              <w:ind w:firstLine="522"/>
              <w:jc w:val="center"/>
              <w:rPr>
                <w:color w:val="auto"/>
                <w:sz w:val="21"/>
                <w:szCs w:val="21"/>
                <w:highlight w:val="none"/>
              </w:rPr>
            </w:pPr>
          </w:p>
        </w:tc>
        <w:tc>
          <w:tcPr>
            <w:tcW w:w="781" w:type="dxa"/>
            <w:vMerge w:val="continue"/>
            <w:vAlign w:val="center"/>
          </w:tcPr>
          <w:p w14:paraId="6CD4959F">
            <w:pPr>
              <w:ind w:firstLine="522"/>
              <w:jc w:val="center"/>
              <w:rPr>
                <w:rFonts w:cs="宋体"/>
                <w:color w:val="auto"/>
                <w:sz w:val="21"/>
                <w:szCs w:val="21"/>
                <w:highlight w:val="none"/>
              </w:rPr>
            </w:pPr>
          </w:p>
        </w:tc>
        <w:tc>
          <w:tcPr>
            <w:tcW w:w="1944" w:type="dxa"/>
            <w:gridSpan w:val="2"/>
            <w:vAlign w:val="center"/>
          </w:tcPr>
          <w:p w14:paraId="327CE442">
            <w:pPr>
              <w:ind w:firstLine="210" w:firstLineChars="100"/>
              <w:rPr>
                <w:rFonts w:cs="宋体"/>
                <w:color w:val="auto"/>
                <w:sz w:val="21"/>
                <w:szCs w:val="21"/>
                <w:highlight w:val="none"/>
              </w:rPr>
            </w:pPr>
            <w:r>
              <w:rPr>
                <w:rFonts w:hint="eastAsia" w:cs="宋体"/>
                <w:color w:val="auto"/>
                <w:sz w:val="21"/>
                <w:szCs w:val="21"/>
                <w:highlight w:val="none"/>
              </w:rPr>
              <w:t>特定资质</w:t>
            </w:r>
          </w:p>
        </w:tc>
        <w:tc>
          <w:tcPr>
            <w:tcW w:w="6068" w:type="dxa"/>
            <w:vAlign w:val="center"/>
          </w:tcPr>
          <w:p w14:paraId="42022AF4">
            <w:pPr>
              <w:wordWrap w:val="0"/>
              <w:spacing w:line="280" w:lineRule="exact"/>
              <w:rPr>
                <w:rFonts w:hint="eastAsia"/>
                <w:bCs/>
                <w:color w:val="auto"/>
                <w:sz w:val="21"/>
                <w:szCs w:val="21"/>
                <w:highlight w:val="none"/>
              </w:rPr>
            </w:pPr>
            <w:r>
              <w:rPr>
                <w:rFonts w:hint="eastAsia"/>
                <w:bCs/>
                <w:color w:val="auto"/>
                <w:sz w:val="21"/>
                <w:szCs w:val="21"/>
                <w:highlight w:val="none"/>
                <w:lang w:val="en-US" w:eastAsia="zh-CN"/>
              </w:rPr>
              <w:t>1.</w:t>
            </w:r>
            <w:r>
              <w:rPr>
                <w:rFonts w:hint="eastAsia"/>
                <w:bCs/>
                <w:color w:val="auto"/>
                <w:sz w:val="21"/>
                <w:szCs w:val="21"/>
                <w:highlight w:val="none"/>
              </w:rPr>
              <w:t>投标人应具有依法缴纳税收和社会保障资金的良好记录，提供投标文件递交截止时间前1年期内任意1个月的依法缴纳税收和社会保障资金的证明材料（原件扫描件加盖电子签章）。投标人成立时间不足3个月的，提供相关情况说明（原件加盖电子签章）；依法免税或不需要缴纳社会保障资金的投标人，应提供相应文件（原件扫描件加盖电子签章）证明其依法免税或不需要缴纳社会保障资金。</w:t>
            </w:r>
          </w:p>
          <w:p w14:paraId="1A739A82">
            <w:pPr>
              <w:wordWrap w:val="0"/>
              <w:spacing w:line="280" w:lineRule="exact"/>
              <w:rPr>
                <w:rFonts w:hint="eastAsia"/>
                <w:bCs/>
                <w:color w:val="auto"/>
                <w:sz w:val="21"/>
                <w:szCs w:val="21"/>
                <w:highlight w:val="none"/>
              </w:rPr>
            </w:pPr>
            <w:r>
              <w:rPr>
                <w:rFonts w:hint="eastAsia"/>
                <w:bCs/>
                <w:color w:val="auto"/>
                <w:sz w:val="21"/>
                <w:szCs w:val="21"/>
                <w:highlight w:val="none"/>
                <w:lang w:val="en-US" w:eastAsia="zh-CN"/>
              </w:rPr>
              <w:t>2.</w:t>
            </w:r>
            <w:r>
              <w:rPr>
                <w:rFonts w:hint="eastAsia"/>
                <w:bCs/>
                <w:color w:val="auto"/>
                <w:sz w:val="21"/>
                <w:szCs w:val="21"/>
                <w:highlight w:val="none"/>
              </w:rPr>
              <w:t>投标人应具有履行合同所必需的设备和专业技术能力，提供具有履行合同所必需的设备和专业技术能力的证明材料或声明函（原件加盖电子签章）。</w:t>
            </w:r>
          </w:p>
          <w:p w14:paraId="6A67011F">
            <w:pPr>
              <w:wordWrap w:val="0"/>
              <w:spacing w:line="280" w:lineRule="exact"/>
              <w:rPr>
                <w:rFonts w:hint="eastAsia"/>
                <w:bCs/>
                <w:color w:val="auto"/>
                <w:sz w:val="21"/>
                <w:szCs w:val="21"/>
                <w:highlight w:val="none"/>
              </w:rPr>
            </w:pPr>
            <w:r>
              <w:rPr>
                <w:rFonts w:hint="eastAsia"/>
                <w:bCs/>
                <w:color w:val="auto"/>
                <w:sz w:val="21"/>
                <w:szCs w:val="21"/>
                <w:highlight w:val="none"/>
                <w:lang w:val="en-US" w:eastAsia="zh-CN"/>
              </w:rPr>
              <w:t>3.</w:t>
            </w:r>
            <w:r>
              <w:rPr>
                <w:rFonts w:hint="eastAsia"/>
                <w:bCs/>
                <w:color w:val="auto"/>
                <w:sz w:val="21"/>
                <w:szCs w:val="21"/>
                <w:highlight w:val="none"/>
              </w:rPr>
              <w:t>投标人参加政府采购前三年内，在经营活动中没有重大违法记录（指投标人因违法经营受到刑事处罚或者责令停产停业、吊销许可证或者执照、较大数额罚款等行政处罚），提供承诺函（原件加盖电子签章）。</w:t>
            </w:r>
          </w:p>
          <w:p w14:paraId="004C3919">
            <w:pPr>
              <w:wordWrap w:val="0"/>
              <w:spacing w:line="280" w:lineRule="exact"/>
              <w:rPr>
                <w:rFonts w:hint="eastAsia"/>
                <w:bCs/>
                <w:color w:val="auto"/>
                <w:sz w:val="21"/>
                <w:szCs w:val="21"/>
                <w:highlight w:val="none"/>
              </w:rPr>
            </w:pPr>
            <w:r>
              <w:rPr>
                <w:rFonts w:hint="eastAsia"/>
                <w:bCs/>
                <w:color w:val="auto"/>
                <w:sz w:val="21"/>
                <w:szCs w:val="21"/>
                <w:highlight w:val="none"/>
                <w:lang w:val="en-US" w:eastAsia="zh-CN"/>
              </w:rPr>
              <w:t>4.</w:t>
            </w:r>
            <w:r>
              <w:rPr>
                <w:rFonts w:hint="eastAsia"/>
                <w:bCs/>
                <w:color w:val="auto"/>
                <w:sz w:val="21"/>
                <w:szCs w:val="21"/>
                <w:highlight w:val="none"/>
              </w:rPr>
              <w:t>投标人未对本项目提供整体设计、规范编制或者项目管理、监理、检测等服务，提供承诺函（原件加盖电子签章）。</w:t>
            </w:r>
          </w:p>
          <w:p w14:paraId="79D2C768">
            <w:pPr>
              <w:wordWrap w:val="0"/>
              <w:spacing w:line="280" w:lineRule="exact"/>
              <w:rPr>
                <w:rFonts w:hint="eastAsia"/>
                <w:bCs/>
                <w:color w:val="auto"/>
                <w:sz w:val="21"/>
                <w:szCs w:val="21"/>
                <w:highlight w:val="none"/>
              </w:rPr>
            </w:pPr>
            <w:r>
              <w:rPr>
                <w:rFonts w:hint="eastAsia"/>
                <w:bCs/>
                <w:color w:val="auto"/>
                <w:sz w:val="21"/>
                <w:szCs w:val="21"/>
                <w:highlight w:val="none"/>
                <w:lang w:val="en-US" w:eastAsia="zh-CN"/>
              </w:rPr>
              <w:t>5.</w:t>
            </w:r>
            <w:r>
              <w:rPr>
                <w:rFonts w:hint="eastAsia"/>
                <w:bCs/>
                <w:color w:val="auto"/>
                <w:sz w:val="21"/>
                <w:szCs w:val="21"/>
                <w:highlight w:val="none"/>
              </w:rPr>
              <w:t>单位负责人为同一人或者存在直接控股、管理关系的不同投标人，不得参加同一合同项下的政府采购活动，提供承诺函（原件加盖电子签章）。</w:t>
            </w:r>
          </w:p>
          <w:p w14:paraId="7340F95E">
            <w:pPr>
              <w:wordWrap w:val="0"/>
              <w:spacing w:line="280" w:lineRule="exact"/>
              <w:rPr>
                <w:rFonts w:hint="eastAsia"/>
                <w:bCs/>
                <w:color w:val="auto"/>
                <w:sz w:val="21"/>
                <w:szCs w:val="21"/>
                <w:highlight w:val="none"/>
              </w:rPr>
            </w:pPr>
            <w:r>
              <w:rPr>
                <w:rFonts w:hint="eastAsia"/>
                <w:bCs/>
                <w:color w:val="auto"/>
                <w:sz w:val="21"/>
                <w:szCs w:val="21"/>
                <w:highlight w:val="none"/>
                <w:lang w:val="en-US" w:eastAsia="zh-CN"/>
              </w:rPr>
              <w:t>6.</w:t>
            </w:r>
            <w:r>
              <w:rPr>
                <w:rFonts w:hint="eastAsia"/>
                <w:bCs/>
                <w:color w:val="auto"/>
                <w:sz w:val="21"/>
                <w:szCs w:val="21"/>
                <w:highlight w:val="none"/>
              </w:rPr>
              <w:t>符合法律、行政法规规定的其他条件，提供承诺函（原件加盖电子签章）。</w:t>
            </w:r>
          </w:p>
          <w:p w14:paraId="0066D876">
            <w:pPr>
              <w:wordWrap w:val="0"/>
              <w:rPr>
                <w:bCs/>
                <w:color w:val="auto"/>
                <w:sz w:val="21"/>
                <w:szCs w:val="21"/>
                <w:highlight w:val="none"/>
              </w:rPr>
            </w:pPr>
            <w:r>
              <w:rPr>
                <w:rFonts w:hint="eastAsia"/>
                <w:bCs/>
                <w:color w:val="auto"/>
                <w:sz w:val="21"/>
                <w:szCs w:val="21"/>
                <w:highlight w:val="none"/>
                <w:lang w:val="en-US" w:eastAsia="zh-CN"/>
              </w:rPr>
              <w:t>7.</w:t>
            </w:r>
            <w:r>
              <w:rPr>
                <w:rFonts w:hint="eastAsia"/>
                <w:bCs/>
                <w:color w:val="auto"/>
                <w:sz w:val="21"/>
                <w:szCs w:val="21"/>
                <w:highlight w:val="none"/>
              </w:rPr>
              <w:t>根据《财政部关于在政府采购活动中查询及使用信用记录的通知》（财库〔2016〕125号）的要求，采购代理机构将通过“信用中国”网站（www.creditchina.gov.cn）、“中国政府采购网”网站（www.ccgp.gov.cn）等渠道查询投标人的信用记录【查询时间为开标时间当天，查询结果以采购代理机构查询结果为准，并将查询记录和证据留存】，拒绝列入失信被执行人、重大税收违法失信主体、政府采购活动严重违法失信行为记录名单中的投标人参加本项目的投标活动（此部分由采购代理机构查询即可，投标人无需提供）。</w:t>
            </w:r>
          </w:p>
        </w:tc>
      </w:tr>
      <w:tr w14:paraId="0FC7B2B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29" w:hRule="atLeast"/>
          <w:jc w:val="center"/>
        </w:trPr>
        <w:tc>
          <w:tcPr>
            <w:tcW w:w="747" w:type="dxa"/>
            <w:vMerge w:val="restart"/>
            <w:vAlign w:val="center"/>
          </w:tcPr>
          <w:p w14:paraId="7F23FB92">
            <w:pPr>
              <w:rPr>
                <w:color w:val="auto"/>
                <w:sz w:val="21"/>
                <w:szCs w:val="21"/>
                <w:highlight w:val="none"/>
              </w:rPr>
            </w:pPr>
            <w:r>
              <w:rPr>
                <w:color w:val="auto"/>
                <w:sz w:val="21"/>
                <w:szCs w:val="21"/>
                <w:highlight w:val="none"/>
              </w:rPr>
              <w:t>2.1.2</w:t>
            </w:r>
          </w:p>
        </w:tc>
        <w:tc>
          <w:tcPr>
            <w:tcW w:w="781" w:type="dxa"/>
            <w:vMerge w:val="restart"/>
            <w:vAlign w:val="center"/>
          </w:tcPr>
          <w:p w14:paraId="22770AA0">
            <w:pPr>
              <w:jc w:val="center"/>
              <w:rPr>
                <w:color w:val="auto"/>
                <w:sz w:val="21"/>
                <w:szCs w:val="21"/>
                <w:highlight w:val="none"/>
              </w:rPr>
            </w:pPr>
            <w:r>
              <w:rPr>
                <w:rFonts w:hint="eastAsia" w:cs="宋体"/>
                <w:color w:val="auto"/>
                <w:sz w:val="21"/>
                <w:szCs w:val="21"/>
                <w:highlight w:val="none"/>
              </w:rPr>
              <w:t>符合</w:t>
            </w:r>
          </w:p>
          <w:p w14:paraId="4BDF55E5">
            <w:pPr>
              <w:jc w:val="center"/>
              <w:rPr>
                <w:color w:val="auto"/>
                <w:sz w:val="21"/>
                <w:szCs w:val="21"/>
                <w:highlight w:val="none"/>
              </w:rPr>
            </w:pPr>
            <w:r>
              <w:rPr>
                <w:rFonts w:hint="eastAsia" w:cs="宋体"/>
                <w:color w:val="auto"/>
                <w:sz w:val="21"/>
                <w:szCs w:val="21"/>
                <w:highlight w:val="none"/>
              </w:rPr>
              <w:t>性评</w:t>
            </w:r>
          </w:p>
          <w:p w14:paraId="51EF0DC1">
            <w:pPr>
              <w:jc w:val="center"/>
              <w:rPr>
                <w:color w:val="auto"/>
                <w:sz w:val="21"/>
                <w:szCs w:val="21"/>
                <w:highlight w:val="none"/>
              </w:rPr>
            </w:pPr>
            <w:r>
              <w:rPr>
                <w:rFonts w:hint="eastAsia" w:cs="宋体"/>
                <w:color w:val="auto"/>
                <w:sz w:val="21"/>
                <w:szCs w:val="21"/>
                <w:highlight w:val="none"/>
              </w:rPr>
              <w:t>审标</w:t>
            </w:r>
          </w:p>
          <w:p w14:paraId="5AEF7D9A">
            <w:pPr>
              <w:jc w:val="center"/>
              <w:rPr>
                <w:rFonts w:cs="宋体"/>
                <w:color w:val="auto"/>
                <w:sz w:val="21"/>
                <w:szCs w:val="21"/>
                <w:highlight w:val="none"/>
              </w:rPr>
            </w:pPr>
            <w:r>
              <w:rPr>
                <w:rFonts w:hint="eastAsia" w:cs="宋体"/>
                <w:color w:val="auto"/>
                <w:sz w:val="21"/>
                <w:szCs w:val="21"/>
                <w:highlight w:val="none"/>
              </w:rPr>
              <w:t>准</w:t>
            </w:r>
          </w:p>
        </w:tc>
        <w:tc>
          <w:tcPr>
            <w:tcW w:w="1944" w:type="dxa"/>
            <w:gridSpan w:val="2"/>
            <w:vAlign w:val="center"/>
          </w:tcPr>
          <w:p w14:paraId="30B26AA4">
            <w:pPr>
              <w:ind w:firstLine="522"/>
              <w:rPr>
                <w:color w:val="auto"/>
                <w:sz w:val="21"/>
                <w:szCs w:val="21"/>
                <w:highlight w:val="none"/>
              </w:rPr>
            </w:pPr>
            <w:r>
              <w:rPr>
                <w:color w:val="auto"/>
                <w:sz w:val="21"/>
                <w:szCs w:val="21"/>
                <w:highlight w:val="none"/>
              </w:rPr>
              <w:t>报价</w:t>
            </w:r>
          </w:p>
        </w:tc>
        <w:tc>
          <w:tcPr>
            <w:tcW w:w="6068" w:type="dxa"/>
            <w:vAlign w:val="center"/>
          </w:tcPr>
          <w:p w14:paraId="47B1EC6B">
            <w:pPr>
              <w:rPr>
                <w:color w:val="auto"/>
                <w:sz w:val="21"/>
                <w:szCs w:val="21"/>
                <w:highlight w:val="none"/>
              </w:rPr>
            </w:pPr>
            <w:r>
              <w:rPr>
                <w:rFonts w:hint="eastAsia"/>
                <w:color w:val="auto"/>
                <w:sz w:val="21"/>
                <w:szCs w:val="21"/>
                <w:highlight w:val="none"/>
              </w:rPr>
              <w:t>投标总价不能高于最高限价</w:t>
            </w:r>
            <w:r>
              <w:rPr>
                <w:rFonts w:hint="eastAsia"/>
                <w:color w:val="auto"/>
                <w:sz w:val="21"/>
                <w:szCs w:val="21"/>
                <w:highlight w:val="none"/>
                <w:lang w:eastAsia="zh-CN"/>
              </w:rPr>
              <w:t>，</w:t>
            </w:r>
            <w:r>
              <w:rPr>
                <w:rFonts w:hint="eastAsia" w:ascii="宋体" w:hAnsi="宋体" w:cs="宋体"/>
                <w:color w:val="auto"/>
                <w:highlight w:val="none"/>
                <w:lang w:eastAsia="zh-CN"/>
              </w:rPr>
              <w:t>单价不超过预算单价。</w:t>
            </w:r>
          </w:p>
        </w:tc>
      </w:tr>
      <w:tr w14:paraId="2A13538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51" w:hRule="atLeast"/>
          <w:jc w:val="center"/>
        </w:trPr>
        <w:tc>
          <w:tcPr>
            <w:tcW w:w="747" w:type="dxa"/>
            <w:vMerge w:val="continue"/>
            <w:vAlign w:val="center"/>
          </w:tcPr>
          <w:p w14:paraId="7B1FFB41">
            <w:pPr>
              <w:ind w:firstLine="522"/>
              <w:jc w:val="center"/>
              <w:rPr>
                <w:color w:val="auto"/>
                <w:sz w:val="21"/>
                <w:szCs w:val="21"/>
                <w:highlight w:val="none"/>
              </w:rPr>
            </w:pPr>
          </w:p>
        </w:tc>
        <w:tc>
          <w:tcPr>
            <w:tcW w:w="781" w:type="dxa"/>
            <w:vMerge w:val="continue"/>
            <w:vAlign w:val="center"/>
          </w:tcPr>
          <w:p w14:paraId="14F6F895">
            <w:pPr>
              <w:ind w:firstLine="522"/>
              <w:jc w:val="center"/>
              <w:rPr>
                <w:rFonts w:cs="宋体"/>
                <w:color w:val="auto"/>
                <w:sz w:val="21"/>
                <w:szCs w:val="21"/>
                <w:highlight w:val="none"/>
              </w:rPr>
            </w:pPr>
          </w:p>
        </w:tc>
        <w:tc>
          <w:tcPr>
            <w:tcW w:w="1944" w:type="dxa"/>
            <w:gridSpan w:val="2"/>
            <w:vAlign w:val="center"/>
          </w:tcPr>
          <w:p w14:paraId="61AB2B4B">
            <w:pPr>
              <w:ind w:firstLine="522"/>
              <w:rPr>
                <w:rFonts w:ascii="宋体" w:hAnsi="宋体" w:cs="宋体"/>
                <w:color w:val="auto"/>
                <w:sz w:val="21"/>
                <w:szCs w:val="21"/>
                <w:highlight w:val="none"/>
              </w:rPr>
            </w:pPr>
            <w:r>
              <w:rPr>
                <w:rFonts w:ascii="宋体" w:hAnsi="宋体" w:cs="宋体"/>
                <w:color w:val="auto"/>
                <w:sz w:val="21"/>
                <w:szCs w:val="21"/>
                <w:highlight w:val="none"/>
              </w:rPr>
              <w:t>技术</w:t>
            </w:r>
          </w:p>
        </w:tc>
        <w:tc>
          <w:tcPr>
            <w:tcW w:w="6068" w:type="dxa"/>
            <w:vAlign w:val="center"/>
          </w:tcPr>
          <w:p w14:paraId="7EA8BACD">
            <w:pPr>
              <w:rPr>
                <w:color w:val="auto"/>
                <w:sz w:val="21"/>
                <w:szCs w:val="21"/>
                <w:highlight w:val="none"/>
              </w:rPr>
            </w:pPr>
            <w:r>
              <w:rPr>
                <w:rFonts w:hint="eastAsia"/>
                <w:color w:val="auto"/>
                <w:sz w:val="21"/>
                <w:szCs w:val="21"/>
                <w:highlight w:val="none"/>
              </w:rPr>
              <w:t>无</w:t>
            </w:r>
            <w:r>
              <w:rPr>
                <w:rFonts w:hint="eastAsia"/>
                <w:color w:val="auto"/>
                <w:sz w:val="21"/>
                <w:szCs w:val="21"/>
                <w:highlight w:val="none"/>
                <w:lang w:eastAsia="zh-CN"/>
              </w:rPr>
              <w:t>采购人</w:t>
            </w:r>
            <w:r>
              <w:rPr>
                <w:rFonts w:hint="eastAsia"/>
                <w:color w:val="auto"/>
                <w:sz w:val="21"/>
                <w:szCs w:val="21"/>
                <w:highlight w:val="none"/>
              </w:rPr>
              <w:t>不能接受的内容。</w:t>
            </w:r>
          </w:p>
        </w:tc>
      </w:tr>
      <w:tr w14:paraId="25ADF5F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264" w:hRule="atLeast"/>
          <w:jc w:val="center"/>
        </w:trPr>
        <w:tc>
          <w:tcPr>
            <w:tcW w:w="747" w:type="dxa"/>
            <w:vMerge w:val="continue"/>
            <w:vAlign w:val="center"/>
          </w:tcPr>
          <w:p w14:paraId="4277D156">
            <w:pPr>
              <w:ind w:firstLine="522"/>
              <w:jc w:val="center"/>
              <w:rPr>
                <w:color w:val="auto"/>
                <w:sz w:val="21"/>
                <w:szCs w:val="21"/>
                <w:highlight w:val="none"/>
              </w:rPr>
            </w:pPr>
          </w:p>
        </w:tc>
        <w:tc>
          <w:tcPr>
            <w:tcW w:w="781" w:type="dxa"/>
            <w:vMerge w:val="continue"/>
            <w:vAlign w:val="center"/>
          </w:tcPr>
          <w:p w14:paraId="09A696AE">
            <w:pPr>
              <w:ind w:firstLine="522"/>
              <w:jc w:val="center"/>
              <w:rPr>
                <w:rFonts w:cs="宋体"/>
                <w:color w:val="auto"/>
                <w:sz w:val="21"/>
                <w:szCs w:val="21"/>
                <w:highlight w:val="none"/>
              </w:rPr>
            </w:pPr>
          </w:p>
        </w:tc>
        <w:tc>
          <w:tcPr>
            <w:tcW w:w="1944" w:type="dxa"/>
            <w:gridSpan w:val="2"/>
            <w:vAlign w:val="center"/>
          </w:tcPr>
          <w:p w14:paraId="56EF3ACC">
            <w:pPr>
              <w:ind w:firstLine="420" w:firstLineChars="200"/>
              <w:rPr>
                <w:color w:val="auto"/>
                <w:sz w:val="21"/>
                <w:szCs w:val="21"/>
                <w:highlight w:val="none"/>
              </w:rPr>
            </w:pPr>
            <w:r>
              <w:rPr>
                <w:color w:val="auto"/>
                <w:sz w:val="21"/>
                <w:szCs w:val="21"/>
                <w:highlight w:val="none"/>
              </w:rPr>
              <w:t>商务资信</w:t>
            </w:r>
          </w:p>
        </w:tc>
        <w:tc>
          <w:tcPr>
            <w:tcW w:w="6068" w:type="dxa"/>
            <w:vAlign w:val="center"/>
          </w:tcPr>
          <w:p w14:paraId="2FD3BB63">
            <w:pPr>
              <w:spacing w:line="44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r>
              <w:rPr>
                <w:rFonts w:hint="eastAsia" w:ascii="宋体" w:hAnsi="宋体" w:eastAsia="宋体" w:cs="宋体"/>
                <w:color w:val="auto"/>
                <w:highlight w:val="none"/>
              </w:rPr>
              <w:t>格式：</w:t>
            </w:r>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按规定的格式、内容及要求编制，内容完整，</w:t>
            </w:r>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编写无潦草或内容模糊不清难以辨认的情况并按要求</w:t>
            </w:r>
            <w:r>
              <w:rPr>
                <w:rFonts w:hint="eastAsia" w:ascii="宋体" w:hAnsi="宋体" w:eastAsia="宋体" w:cs="宋体"/>
                <w:color w:val="auto"/>
                <w:highlight w:val="none"/>
                <w:lang w:val="en-US" w:eastAsia="zh-CN"/>
              </w:rPr>
              <w:t>电子签</w:t>
            </w:r>
            <w:r>
              <w:rPr>
                <w:rFonts w:hint="eastAsia" w:ascii="宋体" w:hAnsi="宋体" w:eastAsia="宋体" w:cs="宋体"/>
                <w:color w:val="auto"/>
                <w:highlight w:val="none"/>
              </w:rPr>
              <w:t>章</w:t>
            </w:r>
            <w:r>
              <w:rPr>
                <w:rFonts w:hint="eastAsia" w:ascii="宋体" w:hAnsi="宋体" w:eastAsia="宋体" w:cs="宋体"/>
                <w:color w:val="auto"/>
                <w:highlight w:val="none"/>
                <w:lang w:eastAsia="zh-CN"/>
              </w:rPr>
              <w:t>。</w:t>
            </w:r>
          </w:p>
          <w:p w14:paraId="61DE6848">
            <w:pPr>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（2）投标函：符合招标文件给定格式及内容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有法定代表人或其委托代理人签名</w:t>
            </w:r>
            <w:r>
              <w:rPr>
                <w:rFonts w:hint="eastAsia" w:ascii="宋体" w:hAnsi="宋体" w:eastAsia="宋体" w:cs="宋体"/>
                <w:color w:val="auto"/>
                <w:highlight w:val="none"/>
                <w:lang w:val="en-US" w:eastAsia="zh-CN"/>
              </w:rPr>
              <w:t>或电子签章</w:t>
            </w:r>
            <w:r>
              <w:rPr>
                <w:rFonts w:hint="eastAsia" w:ascii="宋体" w:hAnsi="宋体" w:eastAsia="宋体" w:cs="宋体"/>
                <w:color w:val="auto"/>
                <w:highlight w:val="none"/>
              </w:rPr>
              <w:t>，并加盖单位</w:t>
            </w:r>
            <w:r>
              <w:rPr>
                <w:rFonts w:hint="eastAsia" w:ascii="宋体" w:hAnsi="宋体" w:eastAsia="宋体" w:cs="宋体"/>
                <w:color w:val="auto"/>
                <w:kern w:val="0"/>
                <w:highlight w:val="none"/>
              </w:rPr>
              <w:t>电子签章</w:t>
            </w:r>
            <w:r>
              <w:rPr>
                <w:rFonts w:hint="eastAsia" w:ascii="宋体" w:hAnsi="宋体" w:eastAsia="宋体" w:cs="宋体"/>
                <w:color w:val="auto"/>
                <w:highlight w:val="none"/>
                <w:lang w:eastAsia="zh-CN"/>
              </w:rPr>
              <w:t>。</w:t>
            </w:r>
          </w:p>
          <w:p w14:paraId="406B39DE">
            <w:pPr>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（3）法定代表人资格证明书：符合招标</w:t>
            </w:r>
            <w:r>
              <w:rPr>
                <w:rFonts w:hint="eastAsia" w:ascii="宋体" w:hAnsi="宋体" w:eastAsia="宋体" w:cs="宋体"/>
                <w:color w:val="auto"/>
                <w:highlight w:val="none"/>
                <w:lang w:eastAsia="zh-CN"/>
              </w:rPr>
              <w:t>文件规</w:t>
            </w:r>
            <w:r>
              <w:rPr>
                <w:rFonts w:hint="eastAsia" w:ascii="宋体" w:hAnsi="宋体" w:eastAsia="宋体" w:cs="宋体"/>
                <w:color w:val="auto"/>
                <w:highlight w:val="none"/>
              </w:rPr>
              <w:t>定格式及内容，并按要求</w:t>
            </w:r>
            <w:r>
              <w:rPr>
                <w:rFonts w:hint="eastAsia" w:ascii="宋体" w:hAnsi="宋体" w:eastAsia="宋体" w:cs="宋体"/>
                <w:color w:val="auto"/>
                <w:highlight w:val="none"/>
                <w:lang w:val="en-US" w:eastAsia="zh-CN"/>
              </w:rPr>
              <w:t>电子签</w:t>
            </w:r>
            <w:r>
              <w:rPr>
                <w:rFonts w:hint="eastAsia" w:ascii="宋体" w:hAnsi="宋体" w:eastAsia="宋体" w:cs="宋体"/>
                <w:color w:val="auto"/>
                <w:highlight w:val="none"/>
              </w:rPr>
              <w:t>章</w:t>
            </w:r>
            <w:r>
              <w:rPr>
                <w:rFonts w:hint="eastAsia" w:ascii="宋体" w:hAnsi="宋体" w:eastAsia="宋体" w:cs="宋体"/>
                <w:color w:val="auto"/>
                <w:highlight w:val="none"/>
                <w:lang w:eastAsia="zh-CN"/>
              </w:rPr>
              <w:t>。</w:t>
            </w:r>
          </w:p>
          <w:p w14:paraId="01AFEB76">
            <w:pPr>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（4）法定代表人授权委托书：符合招标文件给定格式及内容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并按要求</w:t>
            </w:r>
            <w:r>
              <w:rPr>
                <w:rFonts w:hint="eastAsia" w:ascii="宋体" w:hAnsi="宋体" w:eastAsia="宋体" w:cs="宋体"/>
                <w:color w:val="auto"/>
                <w:highlight w:val="none"/>
                <w:lang w:val="en-US" w:eastAsia="zh-CN"/>
              </w:rPr>
              <w:t>电子签</w:t>
            </w:r>
            <w:r>
              <w:rPr>
                <w:rFonts w:hint="eastAsia" w:ascii="宋体" w:hAnsi="宋体" w:eastAsia="宋体" w:cs="宋体"/>
                <w:color w:val="auto"/>
                <w:highlight w:val="none"/>
              </w:rPr>
              <w:t>章（注：投标文件由法定代表人签署，不审查该项）</w:t>
            </w:r>
            <w:r>
              <w:rPr>
                <w:rFonts w:hint="eastAsia" w:ascii="宋体" w:hAnsi="宋体" w:eastAsia="宋体" w:cs="宋体"/>
                <w:color w:val="auto"/>
                <w:highlight w:val="none"/>
                <w:lang w:eastAsia="zh-CN"/>
              </w:rPr>
              <w:t>。</w:t>
            </w:r>
          </w:p>
          <w:p w14:paraId="068717E3">
            <w:pPr>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（5）时间期限等：投标文件有效期、交货及安装调试期</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免费质保期</w:t>
            </w:r>
            <w:r>
              <w:rPr>
                <w:rFonts w:hint="eastAsia" w:ascii="宋体" w:hAnsi="宋体" w:eastAsia="宋体" w:cs="宋体"/>
                <w:color w:val="auto"/>
                <w:highlight w:val="none"/>
              </w:rPr>
              <w:t>、委托期限符合招标文件要求</w:t>
            </w:r>
            <w:r>
              <w:rPr>
                <w:rFonts w:hint="eastAsia" w:ascii="宋体" w:hAnsi="宋体" w:eastAsia="宋体" w:cs="宋体"/>
                <w:color w:val="auto"/>
                <w:highlight w:val="none"/>
                <w:lang w:eastAsia="zh-CN"/>
              </w:rPr>
              <w:t>。</w:t>
            </w:r>
          </w:p>
          <w:p w14:paraId="73F40F6D">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（6）符合法规及招标文件要求：</w:t>
            </w:r>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符合</w:t>
            </w:r>
            <w:r>
              <w:rPr>
                <w:rFonts w:hint="eastAsia" w:ascii="宋体" w:hAnsi="宋体" w:eastAsia="宋体" w:cs="宋体"/>
                <w:color w:val="auto"/>
                <w:highlight w:val="none"/>
                <w:lang w:eastAsia="zh-CN"/>
              </w:rPr>
              <w:t>法律法规</w:t>
            </w:r>
            <w:r>
              <w:rPr>
                <w:rFonts w:hint="eastAsia" w:ascii="宋体" w:hAnsi="宋体" w:eastAsia="宋体" w:cs="宋体"/>
                <w:color w:val="auto"/>
                <w:highlight w:val="none"/>
              </w:rPr>
              <w:t>和招标文件中规定的其他实质性要求。</w:t>
            </w:r>
          </w:p>
          <w:p w14:paraId="55F4A9A6">
            <w:pPr>
              <w:spacing w:line="440" w:lineRule="exact"/>
              <w:rPr>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投标保证金：根据投标人须知前附表要求缴纳投标保证金。</w:t>
            </w:r>
          </w:p>
        </w:tc>
      </w:tr>
      <w:tr w14:paraId="1A4B9DF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236" w:hRule="atLeast"/>
          <w:jc w:val="center"/>
        </w:trPr>
        <w:tc>
          <w:tcPr>
            <w:tcW w:w="747" w:type="dxa"/>
            <w:vMerge w:val="restart"/>
            <w:vAlign w:val="center"/>
          </w:tcPr>
          <w:p w14:paraId="1DC2F9CD">
            <w:pPr>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1.</w:t>
            </w:r>
            <w:r>
              <w:rPr>
                <w:color w:val="auto"/>
                <w:sz w:val="21"/>
                <w:szCs w:val="21"/>
                <w:highlight w:val="none"/>
              </w:rPr>
              <w:t>3</w:t>
            </w:r>
          </w:p>
        </w:tc>
        <w:tc>
          <w:tcPr>
            <w:tcW w:w="781" w:type="dxa"/>
            <w:vMerge w:val="restart"/>
            <w:vAlign w:val="center"/>
          </w:tcPr>
          <w:p w14:paraId="5BF5EFDC">
            <w:pPr>
              <w:spacing w:line="480" w:lineRule="auto"/>
              <w:jc w:val="center"/>
              <w:rPr>
                <w:rFonts w:cs="宋体"/>
                <w:color w:val="auto"/>
                <w:sz w:val="21"/>
                <w:szCs w:val="21"/>
                <w:highlight w:val="none"/>
              </w:rPr>
            </w:pPr>
            <w:r>
              <w:rPr>
                <w:rFonts w:hint="eastAsia" w:cs="宋体"/>
                <w:color w:val="auto"/>
                <w:sz w:val="21"/>
                <w:szCs w:val="21"/>
                <w:highlight w:val="none"/>
              </w:rPr>
              <w:t>详</w:t>
            </w:r>
          </w:p>
          <w:p w14:paraId="04FFA238">
            <w:pPr>
              <w:spacing w:line="480" w:lineRule="auto"/>
              <w:jc w:val="center"/>
              <w:rPr>
                <w:rFonts w:cs="宋体"/>
                <w:color w:val="auto"/>
                <w:sz w:val="21"/>
                <w:szCs w:val="21"/>
                <w:highlight w:val="none"/>
              </w:rPr>
            </w:pPr>
            <w:r>
              <w:rPr>
                <w:rFonts w:hint="eastAsia" w:cs="宋体"/>
                <w:color w:val="auto"/>
                <w:sz w:val="21"/>
                <w:szCs w:val="21"/>
                <w:highlight w:val="none"/>
              </w:rPr>
              <w:t>细</w:t>
            </w:r>
          </w:p>
          <w:p w14:paraId="5DFEE2E8">
            <w:pPr>
              <w:spacing w:line="480" w:lineRule="auto"/>
              <w:jc w:val="center"/>
              <w:rPr>
                <w:rFonts w:cs="宋体"/>
                <w:color w:val="auto"/>
                <w:sz w:val="21"/>
                <w:szCs w:val="21"/>
                <w:highlight w:val="none"/>
              </w:rPr>
            </w:pPr>
            <w:r>
              <w:rPr>
                <w:rFonts w:hint="eastAsia" w:cs="宋体"/>
                <w:color w:val="auto"/>
                <w:sz w:val="21"/>
                <w:szCs w:val="21"/>
                <w:highlight w:val="none"/>
              </w:rPr>
              <w:t>评</w:t>
            </w:r>
          </w:p>
          <w:p w14:paraId="1653D0B3">
            <w:pPr>
              <w:spacing w:line="480" w:lineRule="auto"/>
              <w:jc w:val="center"/>
              <w:rPr>
                <w:color w:val="auto"/>
                <w:sz w:val="21"/>
                <w:szCs w:val="21"/>
                <w:highlight w:val="none"/>
              </w:rPr>
            </w:pPr>
            <w:r>
              <w:rPr>
                <w:rFonts w:hint="eastAsia" w:cs="宋体"/>
                <w:color w:val="auto"/>
                <w:sz w:val="21"/>
                <w:szCs w:val="21"/>
                <w:highlight w:val="none"/>
              </w:rPr>
              <w:t>分</w:t>
            </w:r>
          </w:p>
        </w:tc>
        <w:tc>
          <w:tcPr>
            <w:tcW w:w="1944" w:type="dxa"/>
            <w:gridSpan w:val="2"/>
            <w:vAlign w:val="center"/>
          </w:tcPr>
          <w:p w14:paraId="287A2484">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评分因素</w:t>
            </w:r>
          </w:p>
        </w:tc>
        <w:tc>
          <w:tcPr>
            <w:tcW w:w="6068" w:type="dxa"/>
            <w:vAlign w:val="center"/>
          </w:tcPr>
          <w:p w14:paraId="70D7AC59">
            <w:pPr>
              <w:spacing w:line="440" w:lineRule="exact"/>
              <w:rPr>
                <w:color w:val="auto"/>
                <w:sz w:val="21"/>
                <w:szCs w:val="21"/>
                <w:highlight w:val="none"/>
              </w:rPr>
            </w:pPr>
            <w:r>
              <w:rPr>
                <w:b/>
                <w:color w:val="auto"/>
                <w:sz w:val="21"/>
                <w:szCs w:val="21"/>
                <w:highlight w:val="none"/>
                <w:shd w:val="pct10" w:color="auto" w:fill="FFFFFF"/>
              </w:rPr>
              <w:t>投标人的评标总得分＝</w:t>
            </w:r>
            <w:r>
              <w:rPr>
                <w:rFonts w:hint="eastAsia" w:ascii="宋体" w:hAnsi="宋体" w:cs="宋体"/>
                <w:b/>
                <w:color w:val="auto"/>
                <w:sz w:val="21"/>
                <w:szCs w:val="21"/>
                <w:highlight w:val="none"/>
                <w:shd w:val="pct10" w:color="auto" w:fill="FFFFFF"/>
              </w:rPr>
              <w:t>F1＋F2＋F3</w:t>
            </w:r>
            <w:r>
              <w:rPr>
                <w:rFonts w:hint="eastAsia"/>
                <w:color w:val="auto"/>
                <w:sz w:val="21"/>
                <w:szCs w:val="21"/>
                <w:highlight w:val="none"/>
              </w:rPr>
              <w:t>。</w:t>
            </w:r>
            <w:r>
              <w:rPr>
                <w:color w:val="auto"/>
                <w:sz w:val="21"/>
                <w:szCs w:val="21"/>
                <w:highlight w:val="none"/>
              </w:rPr>
              <w:t xml:space="preserve"> </w:t>
            </w:r>
          </w:p>
          <w:p w14:paraId="1CFBCEB7">
            <w:pPr>
              <w:spacing w:line="440" w:lineRule="exact"/>
              <w:rPr>
                <w:rFonts w:ascii="宋体" w:hAnsi="宋体" w:cs="宋体"/>
                <w:color w:val="auto"/>
                <w:sz w:val="21"/>
                <w:szCs w:val="21"/>
                <w:highlight w:val="none"/>
              </w:rPr>
            </w:pPr>
            <w:r>
              <w:rPr>
                <w:color w:val="auto"/>
                <w:sz w:val="21"/>
                <w:szCs w:val="21"/>
                <w:highlight w:val="none"/>
              </w:rPr>
              <w:t>其中：F1、F2、F3分别为投标报价</w:t>
            </w:r>
            <w:r>
              <w:rPr>
                <w:rFonts w:hint="eastAsia"/>
                <w:color w:val="auto"/>
                <w:sz w:val="21"/>
                <w:szCs w:val="21"/>
                <w:highlight w:val="none"/>
              </w:rPr>
              <w:t>、技术部分</w:t>
            </w:r>
            <w:r>
              <w:rPr>
                <w:color w:val="auto"/>
                <w:sz w:val="21"/>
                <w:szCs w:val="21"/>
                <w:highlight w:val="none"/>
              </w:rPr>
              <w:t>、</w:t>
            </w:r>
            <w:r>
              <w:rPr>
                <w:rFonts w:hint="eastAsia"/>
                <w:color w:val="auto"/>
                <w:sz w:val="21"/>
                <w:szCs w:val="21"/>
                <w:highlight w:val="none"/>
              </w:rPr>
              <w:t>商务部分</w:t>
            </w:r>
            <w:r>
              <w:rPr>
                <w:color w:val="auto"/>
                <w:sz w:val="21"/>
                <w:szCs w:val="21"/>
                <w:highlight w:val="none"/>
              </w:rPr>
              <w:t>评分因素的汇总得分</w:t>
            </w:r>
            <w:r>
              <w:rPr>
                <w:rFonts w:hint="eastAsia" w:ascii="宋体" w:hAnsi="宋体" w:cs="宋体"/>
                <w:color w:val="auto"/>
                <w:sz w:val="21"/>
                <w:szCs w:val="21"/>
                <w:highlight w:val="none"/>
              </w:rPr>
              <w:t>。</w:t>
            </w:r>
          </w:p>
          <w:p w14:paraId="03360A0B">
            <w:pPr>
              <w:widowControl/>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具体分值如下：</w:t>
            </w:r>
          </w:p>
          <w:p w14:paraId="4B2BE704">
            <w:pPr>
              <w:widowControl/>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F1为报价得分，满分</w:t>
            </w:r>
            <w:r>
              <w:rPr>
                <w:rFonts w:hint="eastAsia" w:ascii="宋体" w:hAnsi="宋体" w:cs="宋体"/>
                <w:color w:val="auto"/>
                <w:sz w:val="21"/>
                <w:szCs w:val="21"/>
                <w:highlight w:val="none"/>
                <w:lang w:val="en-US" w:eastAsia="zh-CN"/>
              </w:rPr>
              <w:t>30</w:t>
            </w:r>
            <w:r>
              <w:rPr>
                <w:rFonts w:hint="eastAsia" w:ascii="宋体" w:hAnsi="宋体" w:cs="宋体"/>
                <w:color w:val="auto"/>
                <w:sz w:val="21"/>
                <w:szCs w:val="21"/>
                <w:highlight w:val="none"/>
              </w:rPr>
              <w:t>分；</w:t>
            </w:r>
          </w:p>
          <w:p w14:paraId="6E4A65EF">
            <w:pPr>
              <w:pStyle w:val="10"/>
              <w:spacing w:line="440" w:lineRule="exact"/>
              <w:ind w:firstLine="0"/>
              <w:rPr>
                <w:rFonts w:ascii="宋体" w:hAnsi="宋体" w:cs="宋体"/>
                <w:color w:val="auto"/>
                <w:sz w:val="21"/>
                <w:szCs w:val="21"/>
                <w:highlight w:val="none"/>
              </w:rPr>
            </w:pPr>
            <w:r>
              <w:rPr>
                <w:rFonts w:hint="eastAsia" w:ascii="宋体" w:hAnsi="宋体" w:cs="宋体"/>
                <w:color w:val="auto"/>
                <w:sz w:val="21"/>
                <w:szCs w:val="21"/>
                <w:highlight w:val="none"/>
              </w:rPr>
              <w:t>F2为技术部分得分，满分</w:t>
            </w:r>
            <w:r>
              <w:rPr>
                <w:rFonts w:hint="eastAsia" w:ascii="宋体" w:hAnsi="宋体" w:cs="宋体"/>
                <w:color w:val="auto"/>
                <w:sz w:val="21"/>
                <w:szCs w:val="21"/>
                <w:highlight w:val="none"/>
                <w:lang w:val="en-US" w:eastAsia="zh-CN"/>
              </w:rPr>
              <w:t>59</w:t>
            </w:r>
            <w:r>
              <w:rPr>
                <w:rFonts w:hint="eastAsia" w:ascii="宋体" w:hAnsi="宋体" w:cs="宋体"/>
                <w:color w:val="auto"/>
                <w:sz w:val="21"/>
                <w:szCs w:val="21"/>
                <w:highlight w:val="none"/>
              </w:rPr>
              <w:t>分；</w:t>
            </w:r>
          </w:p>
          <w:p w14:paraId="37357EBB">
            <w:pPr>
              <w:spacing w:line="440" w:lineRule="exact"/>
              <w:rPr>
                <w:color w:val="auto"/>
                <w:sz w:val="21"/>
                <w:szCs w:val="21"/>
                <w:highlight w:val="none"/>
              </w:rPr>
            </w:pPr>
            <w:r>
              <w:rPr>
                <w:rFonts w:hint="eastAsia" w:ascii="宋体" w:hAnsi="宋体" w:cs="宋体"/>
                <w:color w:val="auto"/>
                <w:sz w:val="21"/>
                <w:szCs w:val="21"/>
                <w:highlight w:val="none"/>
              </w:rPr>
              <w:t>F3为商务部分得分，满分</w:t>
            </w:r>
            <w:r>
              <w:rPr>
                <w:rFonts w:hint="eastAsia" w:ascii="宋体" w:hAnsi="宋体" w:cs="宋体"/>
                <w:color w:val="auto"/>
                <w:sz w:val="21"/>
                <w:szCs w:val="21"/>
                <w:highlight w:val="none"/>
                <w:lang w:val="en-US" w:eastAsia="zh-CN"/>
              </w:rPr>
              <w:t>11</w:t>
            </w:r>
            <w:r>
              <w:rPr>
                <w:rFonts w:hint="eastAsia" w:ascii="宋体" w:hAnsi="宋体" w:cs="宋体"/>
                <w:color w:val="auto"/>
                <w:sz w:val="21"/>
                <w:szCs w:val="21"/>
                <w:highlight w:val="none"/>
              </w:rPr>
              <w:t>分。</w:t>
            </w:r>
          </w:p>
        </w:tc>
      </w:tr>
      <w:tr w14:paraId="196D2D2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969" w:hRule="atLeast"/>
          <w:jc w:val="center"/>
        </w:trPr>
        <w:tc>
          <w:tcPr>
            <w:tcW w:w="747" w:type="dxa"/>
            <w:vMerge w:val="continue"/>
            <w:vAlign w:val="center"/>
          </w:tcPr>
          <w:p w14:paraId="61F87C0D">
            <w:pPr>
              <w:ind w:firstLine="522"/>
              <w:rPr>
                <w:color w:val="auto"/>
                <w:sz w:val="21"/>
                <w:szCs w:val="21"/>
                <w:highlight w:val="none"/>
              </w:rPr>
            </w:pPr>
          </w:p>
        </w:tc>
        <w:tc>
          <w:tcPr>
            <w:tcW w:w="781" w:type="dxa"/>
            <w:vMerge w:val="continue"/>
            <w:vAlign w:val="center"/>
          </w:tcPr>
          <w:p w14:paraId="14BBDEB5">
            <w:pPr>
              <w:spacing w:line="480" w:lineRule="auto"/>
              <w:ind w:firstLine="522"/>
              <w:jc w:val="center"/>
              <w:rPr>
                <w:rFonts w:cs="宋体"/>
                <w:color w:val="auto"/>
                <w:sz w:val="21"/>
                <w:szCs w:val="21"/>
                <w:highlight w:val="none"/>
              </w:rPr>
            </w:pPr>
          </w:p>
        </w:tc>
        <w:tc>
          <w:tcPr>
            <w:tcW w:w="1944" w:type="dxa"/>
            <w:gridSpan w:val="2"/>
            <w:vAlign w:val="center"/>
          </w:tcPr>
          <w:p w14:paraId="065B9362">
            <w:pPr>
              <w:pStyle w:val="87"/>
              <w:spacing w:line="276" w:lineRule="auto"/>
              <w:jc w:val="center"/>
              <w:rPr>
                <w:color w:val="auto"/>
                <w:kern w:val="2"/>
                <w:sz w:val="21"/>
                <w:szCs w:val="21"/>
                <w:highlight w:val="none"/>
              </w:rPr>
            </w:pPr>
            <w:r>
              <w:rPr>
                <w:rFonts w:hint="eastAsia"/>
                <w:color w:val="auto"/>
                <w:kern w:val="2"/>
                <w:sz w:val="21"/>
                <w:szCs w:val="21"/>
                <w:highlight w:val="none"/>
              </w:rPr>
              <w:t>F1-报价得分</w:t>
            </w:r>
          </w:p>
          <w:p w14:paraId="0231D0FA">
            <w:pPr>
              <w:pStyle w:val="87"/>
              <w:spacing w:line="276" w:lineRule="auto"/>
              <w:jc w:val="center"/>
              <w:rPr>
                <w:color w:val="auto"/>
                <w:kern w:val="2"/>
                <w:sz w:val="21"/>
                <w:szCs w:val="21"/>
                <w:highlight w:val="none"/>
              </w:rPr>
            </w:pPr>
            <w:r>
              <w:rPr>
                <w:rFonts w:hint="eastAsia"/>
                <w:color w:val="auto"/>
                <w:kern w:val="2"/>
                <w:sz w:val="21"/>
                <w:szCs w:val="21"/>
                <w:highlight w:val="none"/>
              </w:rPr>
              <w:t>（满分</w:t>
            </w:r>
            <w:r>
              <w:rPr>
                <w:rFonts w:hint="eastAsia"/>
                <w:color w:val="auto"/>
                <w:kern w:val="2"/>
                <w:sz w:val="21"/>
                <w:szCs w:val="21"/>
                <w:highlight w:val="none"/>
                <w:lang w:val="en-US" w:eastAsia="zh-CN"/>
              </w:rPr>
              <w:t>30</w:t>
            </w:r>
            <w:r>
              <w:rPr>
                <w:rFonts w:hint="eastAsia"/>
                <w:color w:val="auto"/>
                <w:kern w:val="2"/>
                <w:sz w:val="21"/>
                <w:szCs w:val="21"/>
                <w:highlight w:val="none"/>
              </w:rPr>
              <w:t>分）</w:t>
            </w:r>
          </w:p>
        </w:tc>
        <w:tc>
          <w:tcPr>
            <w:tcW w:w="6068" w:type="dxa"/>
            <w:vAlign w:val="center"/>
          </w:tcPr>
          <w:p w14:paraId="6AB7CB8F">
            <w:pPr>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①评标基准价：通过初步评审的最低有效投标总报价；</w:t>
            </w:r>
          </w:p>
          <w:p w14:paraId="2809298F">
            <w:pPr>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②得分计算：通过初步评审的最低有效投标总报价，其报价分为满分。其他投标人的报价得分统一按照下列公式计算：</w:t>
            </w:r>
          </w:p>
          <w:p w14:paraId="028C090D">
            <w:pPr>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shd w:val="pct15" w:color="auto" w:fill="FFFFFF"/>
              </w:rPr>
              <w:t>投标报价得分＝（评标基准价/该投标人的投标总报价）×</w:t>
            </w:r>
            <w:r>
              <w:rPr>
                <w:rFonts w:hint="eastAsia" w:ascii="宋体" w:hAnsi="宋体" w:cs="宋体"/>
                <w:color w:val="auto"/>
                <w:sz w:val="21"/>
                <w:szCs w:val="21"/>
                <w:highlight w:val="none"/>
                <w:shd w:val="pct15" w:color="auto" w:fill="FFFFFF"/>
                <w:lang w:val="en-US" w:eastAsia="zh-CN"/>
              </w:rPr>
              <w:t>30</w:t>
            </w:r>
          </w:p>
          <w:p w14:paraId="5143F0BE">
            <w:pPr>
              <w:spacing w:line="3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备注1：因落实政府采购政策进行的调整</w:t>
            </w:r>
          </w:p>
          <w:p w14:paraId="32CB52E6">
            <w:pPr>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本项目为专门面向中小企业采购的项目</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不再进行价格扣除优惠</w:t>
            </w:r>
            <w:r>
              <w:rPr>
                <w:rFonts w:hint="eastAsia" w:ascii="宋体" w:hAnsi="宋体" w:eastAsia="宋体" w:cs="宋体"/>
                <w:color w:val="auto"/>
                <w:sz w:val="21"/>
                <w:szCs w:val="21"/>
                <w:highlight w:val="none"/>
              </w:rPr>
              <w:t>。根据财库〔2020〕46号文件，须由中型企业或小型企业或微型企业承接。监狱企业、残疾人福利性单位视同小型企业、微型企业，提供中小企业声明函或监狱企业证明文件或残疾人福利性单位声明函。</w:t>
            </w:r>
          </w:p>
          <w:p w14:paraId="1CFDD2C8">
            <w:pPr>
              <w:pStyle w:val="21"/>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b/>
                <w:color w:val="auto"/>
                <w:spacing w:val="6"/>
                <w:szCs w:val="21"/>
                <w:highlight w:val="none"/>
              </w:rPr>
            </w:pPr>
            <w:r>
              <w:rPr>
                <w:rFonts w:hint="eastAsia" w:ascii="宋体" w:hAnsi="宋体" w:eastAsia="宋体" w:cs="宋体"/>
                <w:b/>
                <w:bCs/>
                <w:color w:val="auto"/>
                <w:spacing w:val="6"/>
                <w:szCs w:val="21"/>
                <w:highlight w:val="none"/>
              </w:rPr>
              <w:t>备注2</w:t>
            </w:r>
            <w:r>
              <w:rPr>
                <w:rFonts w:hint="eastAsia" w:ascii="宋体" w:hAnsi="宋体" w:eastAsia="宋体" w:cs="宋体"/>
                <w:b/>
                <w:bCs/>
                <w:color w:val="auto"/>
                <w:spacing w:val="6"/>
                <w:szCs w:val="21"/>
                <w:highlight w:val="none"/>
                <w:lang w:eastAsia="zh-CN"/>
              </w:rPr>
              <w:t>：</w:t>
            </w:r>
            <w:r>
              <w:rPr>
                <w:rFonts w:hint="eastAsia" w:ascii="宋体" w:hAnsi="宋体" w:eastAsia="宋体" w:cs="宋体"/>
                <w:b/>
                <w:bCs/>
                <w:color w:val="auto"/>
                <w:spacing w:val="6"/>
                <w:sz w:val="21"/>
                <w:szCs w:val="21"/>
                <w:highlight w:val="none"/>
                <w:lang w:eastAsia="zh-CN"/>
              </w:rPr>
              <w:t>异常低价问题</w:t>
            </w:r>
            <w:r>
              <w:rPr>
                <w:rFonts w:hint="eastAsia" w:ascii="宋体" w:hAnsi="宋体" w:eastAsia="宋体" w:cs="宋体"/>
                <w:b/>
                <w:color w:val="auto"/>
                <w:sz w:val="21"/>
                <w:szCs w:val="21"/>
                <w:highlight w:val="none"/>
              </w:rPr>
              <w:t>的处理</w:t>
            </w:r>
          </w:p>
          <w:p w14:paraId="0586D608">
            <w:pPr>
              <w:pStyle w:val="87"/>
              <w:keepNext w:val="0"/>
              <w:keepLines w:val="0"/>
              <w:pageBreakBefore w:val="0"/>
              <w:widowControl w:val="0"/>
              <w:tabs>
                <w:tab w:val="left" w:pos="3186"/>
              </w:tabs>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eastAsia="zh-CN"/>
              </w:rPr>
              <w:t>（</w:t>
            </w:r>
            <w:r>
              <w:rPr>
                <w:rFonts w:hint="eastAsia" w:cs="宋体"/>
                <w:color w:val="auto"/>
                <w:kern w:val="2"/>
                <w:sz w:val="21"/>
                <w:szCs w:val="21"/>
                <w:highlight w:val="none"/>
                <w:lang w:val="en-US" w:eastAsia="zh-CN"/>
              </w:rPr>
              <w:t>1</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政府采购</w:t>
            </w:r>
            <w:r>
              <w:rPr>
                <w:rFonts w:hint="eastAsia" w:cs="宋体"/>
                <w:color w:val="auto"/>
                <w:kern w:val="2"/>
                <w:sz w:val="21"/>
                <w:szCs w:val="21"/>
                <w:highlight w:val="none"/>
                <w:lang w:eastAsia="zh-CN"/>
              </w:rPr>
              <w:t>评标</w:t>
            </w:r>
            <w:r>
              <w:rPr>
                <w:rFonts w:hint="eastAsia" w:ascii="宋体" w:hAnsi="宋体" w:eastAsia="宋体" w:cs="宋体"/>
                <w:color w:val="auto"/>
                <w:kern w:val="2"/>
                <w:sz w:val="21"/>
                <w:szCs w:val="21"/>
                <w:highlight w:val="none"/>
              </w:rPr>
              <w:t>中出现下列情形之一的，</w:t>
            </w:r>
            <w:r>
              <w:rPr>
                <w:rFonts w:hint="eastAsia" w:cs="宋体"/>
                <w:color w:val="auto"/>
                <w:kern w:val="2"/>
                <w:sz w:val="21"/>
                <w:szCs w:val="21"/>
                <w:highlight w:val="none"/>
                <w:lang w:eastAsia="zh-CN"/>
              </w:rPr>
              <w:t>评标委员会</w:t>
            </w:r>
            <w:r>
              <w:rPr>
                <w:rFonts w:hint="eastAsia" w:ascii="宋体" w:hAnsi="宋体" w:eastAsia="宋体" w:cs="宋体"/>
                <w:color w:val="auto"/>
                <w:kern w:val="2"/>
                <w:sz w:val="21"/>
                <w:szCs w:val="21"/>
                <w:highlight w:val="none"/>
              </w:rPr>
              <w:t>应当启动异常低价投标（响应）审查程序：</w:t>
            </w:r>
          </w:p>
          <w:p w14:paraId="63696972">
            <w:pPr>
              <w:pStyle w:val="87"/>
              <w:keepNext w:val="0"/>
              <w:keepLines w:val="0"/>
              <w:pageBreakBefore w:val="0"/>
              <w:widowControl w:val="0"/>
              <w:tabs>
                <w:tab w:val="left" w:pos="3186"/>
              </w:tabs>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rPr>
              <w:t>①</w:t>
            </w:r>
            <w:r>
              <w:rPr>
                <w:rFonts w:hint="eastAsia" w:ascii="宋体" w:hAnsi="宋体" w:eastAsia="宋体" w:cs="宋体"/>
                <w:color w:val="auto"/>
                <w:kern w:val="2"/>
                <w:sz w:val="21"/>
                <w:szCs w:val="21"/>
                <w:highlight w:val="none"/>
              </w:rPr>
              <w:t>投标（响应）报价低于全部通过符合性审查供应商投标（响应）报价平均值50%的，即投标（响应）报价</w:t>
            </w:r>
            <w:r>
              <w:rPr>
                <w:rFonts w:hint="eastAsia"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rPr>
              <w:t>全部通过符合性审查供应商投标（响应）报价平均值×50%；</w:t>
            </w:r>
          </w:p>
          <w:p w14:paraId="33BDA62A">
            <w:pPr>
              <w:pStyle w:val="87"/>
              <w:keepNext w:val="0"/>
              <w:keepLines w:val="0"/>
              <w:pageBreakBefore w:val="0"/>
              <w:widowControl w:val="0"/>
              <w:tabs>
                <w:tab w:val="left" w:pos="3186"/>
              </w:tabs>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rPr>
              <w:t>②</w:t>
            </w:r>
            <w:r>
              <w:rPr>
                <w:rFonts w:hint="eastAsia" w:ascii="宋体" w:hAnsi="宋体" w:eastAsia="宋体" w:cs="宋体"/>
                <w:color w:val="auto"/>
                <w:kern w:val="2"/>
                <w:sz w:val="21"/>
                <w:szCs w:val="21"/>
                <w:highlight w:val="none"/>
              </w:rPr>
              <w:t>投标（响应）报价低于通过符合性审查的次低报价供应商投标（响应）报价50%的，即投标（响应）报价</w:t>
            </w:r>
            <w:r>
              <w:rPr>
                <w:rFonts w:hint="eastAsia"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rPr>
              <w:t>通过符合性审查的次低报价供应商投标（响应）报价×50%；</w:t>
            </w:r>
          </w:p>
          <w:p w14:paraId="0EDA8D5F">
            <w:pPr>
              <w:pStyle w:val="87"/>
              <w:keepNext w:val="0"/>
              <w:keepLines w:val="0"/>
              <w:pageBreakBefore w:val="0"/>
              <w:widowControl w:val="0"/>
              <w:tabs>
                <w:tab w:val="left" w:pos="3186"/>
              </w:tabs>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rPr>
              <w:t>③</w:t>
            </w:r>
            <w:r>
              <w:rPr>
                <w:rFonts w:hint="eastAsia" w:ascii="宋体" w:hAnsi="宋体" w:eastAsia="宋体" w:cs="宋体"/>
                <w:color w:val="auto"/>
                <w:kern w:val="2"/>
                <w:sz w:val="21"/>
                <w:szCs w:val="21"/>
                <w:highlight w:val="none"/>
              </w:rPr>
              <w:t>投标（响应）报价低于采购项目最高限价45%的，即投标（响应）报价</w:t>
            </w:r>
            <w:r>
              <w:rPr>
                <w:rFonts w:hint="eastAsia"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rPr>
              <w:t>采购项目最高限价×45%；</w:t>
            </w:r>
          </w:p>
          <w:p w14:paraId="48CA4C55">
            <w:pPr>
              <w:pStyle w:val="87"/>
              <w:keepNext w:val="0"/>
              <w:keepLines w:val="0"/>
              <w:pageBreakBefore w:val="0"/>
              <w:widowControl w:val="0"/>
              <w:tabs>
                <w:tab w:val="left" w:pos="3186"/>
              </w:tabs>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rPr>
              <w:t>④</w:t>
            </w:r>
            <w:r>
              <w:rPr>
                <w:rFonts w:hint="eastAsia" w:cs="宋体"/>
                <w:color w:val="auto"/>
                <w:kern w:val="2"/>
                <w:sz w:val="21"/>
                <w:szCs w:val="21"/>
                <w:highlight w:val="none"/>
                <w:lang w:eastAsia="zh-CN"/>
              </w:rPr>
              <w:t>评标委员会</w:t>
            </w:r>
            <w:r>
              <w:rPr>
                <w:rFonts w:hint="eastAsia" w:ascii="宋体" w:hAnsi="宋体" w:eastAsia="宋体" w:cs="宋体"/>
                <w:color w:val="auto"/>
                <w:kern w:val="2"/>
                <w:sz w:val="21"/>
                <w:szCs w:val="21"/>
                <w:highlight w:val="none"/>
              </w:rPr>
              <w:t>基于专业判断，认为供应商报价过低，有可能影响产品质量或者不能诚信履约的其他情形。</w:t>
            </w:r>
          </w:p>
          <w:p w14:paraId="2F68DCC4">
            <w:pPr>
              <w:pStyle w:val="87"/>
              <w:keepNext w:val="0"/>
              <w:keepLines w:val="0"/>
              <w:pageBreakBefore w:val="0"/>
              <w:widowControl w:val="0"/>
              <w:tabs>
                <w:tab w:val="left" w:pos="3186"/>
              </w:tabs>
              <w:kinsoku/>
              <w:wordWrap/>
              <w:overflowPunct/>
              <w:topLinePunct w:val="0"/>
              <w:bidi w:val="0"/>
              <w:snapToGrid/>
              <w:spacing w:line="320" w:lineRule="exact"/>
              <w:textAlignment w:val="auto"/>
              <w:rPr>
                <w:rFonts w:hint="eastAsia" w:cs="宋体"/>
                <w:color w:val="auto"/>
                <w:kern w:val="2"/>
                <w:sz w:val="21"/>
                <w:szCs w:val="21"/>
                <w:highlight w:val="none"/>
                <w:lang w:eastAsia="zh-CN"/>
              </w:rPr>
            </w:pPr>
            <w:r>
              <w:rPr>
                <w:rFonts w:hint="eastAsia" w:cs="宋体"/>
                <w:color w:val="auto"/>
                <w:kern w:val="2"/>
                <w:sz w:val="21"/>
                <w:szCs w:val="21"/>
                <w:highlight w:val="none"/>
                <w:lang w:eastAsia="zh-CN"/>
              </w:rPr>
              <w:t>（</w:t>
            </w:r>
            <w:r>
              <w:rPr>
                <w:rFonts w:hint="eastAsia" w:cs="宋体"/>
                <w:color w:val="auto"/>
                <w:kern w:val="2"/>
                <w:sz w:val="21"/>
                <w:szCs w:val="21"/>
                <w:highlight w:val="none"/>
                <w:lang w:val="en-US" w:eastAsia="zh-CN"/>
              </w:rPr>
              <w:t>2</w:t>
            </w:r>
            <w:r>
              <w:rPr>
                <w:rFonts w:hint="eastAsia" w:cs="宋体"/>
                <w:color w:val="auto"/>
                <w:kern w:val="2"/>
                <w:sz w:val="21"/>
                <w:szCs w:val="21"/>
                <w:highlight w:val="none"/>
                <w:lang w:eastAsia="zh-CN"/>
              </w:rPr>
              <w:t>）评标委员会启动异常低价投标（响应）审查后，属于前述第</w:t>
            </w:r>
            <w:r>
              <w:rPr>
                <w:rFonts w:hint="eastAsia" w:cs="宋体"/>
                <w:color w:val="auto"/>
                <w:kern w:val="2"/>
                <w:sz w:val="21"/>
                <w:szCs w:val="21"/>
                <w:highlight w:val="none"/>
                <w:lang w:val="en-US" w:eastAsia="zh-CN"/>
              </w:rPr>
              <w:t>①</w:t>
            </w:r>
            <w:r>
              <w:rPr>
                <w:rFonts w:hint="eastAsia" w:cs="宋体"/>
                <w:color w:val="auto"/>
                <w:kern w:val="2"/>
                <w:sz w:val="21"/>
                <w:szCs w:val="21"/>
                <w:highlight w:val="none"/>
                <w:lang w:eastAsia="zh-CN"/>
              </w:rPr>
              <w:t>项至第</w:t>
            </w:r>
            <w:r>
              <w:rPr>
                <w:rFonts w:hint="eastAsia" w:cs="宋体"/>
                <w:color w:val="auto"/>
                <w:kern w:val="2"/>
                <w:sz w:val="21"/>
                <w:szCs w:val="21"/>
                <w:highlight w:val="none"/>
                <w:lang w:val="en-US" w:eastAsia="zh-CN"/>
              </w:rPr>
              <w:t>④</w:t>
            </w:r>
            <w:r>
              <w:rPr>
                <w:rFonts w:hint="eastAsia" w:cs="宋体"/>
                <w:color w:val="auto"/>
                <w:kern w:val="2"/>
                <w:sz w:val="21"/>
                <w:szCs w:val="21"/>
                <w:highlight w:val="none"/>
                <w:lang w:eastAsia="zh-CN"/>
              </w:rPr>
              <w:t>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s="宋体"/>
                <w:color w:val="auto"/>
                <w:kern w:val="2"/>
                <w:sz w:val="21"/>
                <w:szCs w:val="21"/>
                <w:highlight w:val="none"/>
                <w:lang w:val="en-US" w:eastAsia="zh-CN"/>
              </w:rPr>
              <w:t>③</w:t>
            </w:r>
            <w:r>
              <w:rPr>
                <w:rFonts w:hint="eastAsia" w:cs="宋体"/>
                <w:color w:val="auto"/>
                <w:kern w:val="2"/>
                <w:sz w:val="21"/>
                <w:szCs w:val="21"/>
                <w:highlight w:val="none"/>
                <w:lang w:eastAsia="zh-CN"/>
              </w:rPr>
              <w:t>项情形，供应商已随投标（响应）文件一并提交相关书面说明及必要的证明材料的，在评标现场可不再重复提交。</w:t>
            </w:r>
          </w:p>
          <w:p w14:paraId="061D40AF">
            <w:pPr>
              <w:spacing w:line="276" w:lineRule="auto"/>
              <w:rPr>
                <w:b/>
                <w:color w:val="auto"/>
                <w:sz w:val="21"/>
                <w:szCs w:val="21"/>
                <w:highlight w:val="none"/>
                <w:shd w:val="pct10" w:color="auto" w:fill="FFFFFF"/>
              </w:rPr>
            </w:pPr>
            <w:r>
              <w:rPr>
                <w:rFonts w:hint="eastAsia" w:cs="宋体"/>
                <w:color w:val="auto"/>
                <w:kern w:val="2"/>
                <w:sz w:val="21"/>
                <w:szCs w:val="21"/>
                <w:highlight w:val="none"/>
                <w:lang w:eastAsia="zh-CN"/>
              </w:rPr>
              <w:t>（</w:t>
            </w:r>
            <w:r>
              <w:rPr>
                <w:rFonts w:hint="eastAsia" w:cs="宋体"/>
                <w:color w:val="auto"/>
                <w:kern w:val="2"/>
                <w:sz w:val="21"/>
                <w:szCs w:val="21"/>
                <w:highlight w:val="none"/>
                <w:lang w:val="en-US" w:eastAsia="zh-CN"/>
              </w:rPr>
              <w:t>3</w:t>
            </w:r>
            <w:r>
              <w:rPr>
                <w:rFonts w:hint="eastAsia" w:cs="宋体"/>
                <w:color w:val="auto"/>
                <w:kern w:val="2"/>
                <w:sz w:val="21"/>
                <w:szCs w:val="21"/>
                <w:highlight w:val="none"/>
                <w:lang w:eastAsia="zh-CN"/>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tc>
      </w:tr>
      <w:tr w14:paraId="574006E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990" w:hRule="atLeast"/>
          <w:jc w:val="center"/>
        </w:trPr>
        <w:tc>
          <w:tcPr>
            <w:tcW w:w="747" w:type="dxa"/>
            <w:vMerge w:val="continue"/>
            <w:vAlign w:val="center"/>
          </w:tcPr>
          <w:p w14:paraId="15E7D976">
            <w:pPr>
              <w:rPr>
                <w:color w:val="auto"/>
                <w:sz w:val="21"/>
                <w:szCs w:val="21"/>
                <w:highlight w:val="none"/>
              </w:rPr>
            </w:pPr>
          </w:p>
        </w:tc>
        <w:tc>
          <w:tcPr>
            <w:tcW w:w="781" w:type="dxa"/>
            <w:vMerge w:val="continue"/>
            <w:vAlign w:val="center"/>
          </w:tcPr>
          <w:p w14:paraId="7A8E4B4F">
            <w:pPr>
              <w:rPr>
                <w:rFonts w:cs="宋体"/>
                <w:color w:val="auto"/>
                <w:sz w:val="21"/>
                <w:szCs w:val="21"/>
                <w:highlight w:val="none"/>
              </w:rPr>
            </w:pPr>
          </w:p>
        </w:tc>
        <w:tc>
          <w:tcPr>
            <w:tcW w:w="1084" w:type="dxa"/>
            <w:vMerge w:val="restart"/>
            <w:vAlign w:val="center"/>
          </w:tcPr>
          <w:p w14:paraId="3FEC0A2D">
            <w:pPr>
              <w:widowControl/>
              <w:jc w:val="center"/>
              <w:rPr>
                <w:color w:val="auto"/>
                <w:sz w:val="21"/>
                <w:szCs w:val="21"/>
                <w:highlight w:val="none"/>
              </w:rPr>
            </w:pPr>
            <w:r>
              <w:rPr>
                <w:rFonts w:hint="eastAsia" w:ascii="宋体" w:hAnsi="宋体" w:cs="宋体"/>
                <w:color w:val="auto"/>
                <w:sz w:val="21"/>
                <w:szCs w:val="21"/>
                <w:highlight w:val="none"/>
              </w:rPr>
              <w:t>F</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技术</w:t>
            </w:r>
            <w:r>
              <w:rPr>
                <w:rFonts w:hint="eastAsia" w:ascii="宋体" w:hAnsi="宋体" w:cs="宋体"/>
                <w:color w:val="auto"/>
                <w:sz w:val="21"/>
                <w:szCs w:val="21"/>
                <w:highlight w:val="none"/>
              </w:rPr>
              <w:t>部分（满分</w:t>
            </w:r>
            <w:r>
              <w:rPr>
                <w:rFonts w:hint="eastAsia" w:ascii="宋体" w:hAnsi="宋体" w:cs="宋体"/>
                <w:color w:val="auto"/>
                <w:sz w:val="21"/>
                <w:szCs w:val="21"/>
                <w:highlight w:val="none"/>
                <w:lang w:val="en-US" w:eastAsia="zh-CN"/>
              </w:rPr>
              <w:t>59</w:t>
            </w:r>
            <w:r>
              <w:rPr>
                <w:rFonts w:hint="eastAsia" w:ascii="宋体" w:hAnsi="宋体" w:cs="宋体"/>
                <w:color w:val="auto"/>
                <w:sz w:val="21"/>
                <w:szCs w:val="21"/>
                <w:highlight w:val="none"/>
              </w:rPr>
              <w:t>分）</w:t>
            </w:r>
          </w:p>
        </w:tc>
        <w:tc>
          <w:tcPr>
            <w:tcW w:w="860" w:type="dxa"/>
            <w:vAlign w:val="center"/>
          </w:tcPr>
          <w:p w14:paraId="5F64E127">
            <w:pPr>
              <w:pStyle w:val="87"/>
              <w:spacing w:line="340" w:lineRule="exact"/>
              <w:jc w:val="center"/>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技术参数</w:t>
            </w:r>
          </w:p>
          <w:p w14:paraId="6102452A">
            <w:pPr>
              <w:pStyle w:val="87"/>
              <w:spacing w:line="34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rPr>
              <w:t>（满分</w:t>
            </w:r>
            <w:r>
              <w:rPr>
                <w:rFonts w:hint="eastAsia" w:asciiTheme="minorEastAsia" w:hAnsiTheme="minorEastAsia" w:eastAsiaTheme="minorEastAsia" w:cstheme="minorEastAsia"/>
                <w:color w:val="auto"/>
                <w:kern w:val="2"/>
                <w:sz w:val="21"/>
                <w:szCs w:val="21"/>
                <w:highlight w:val="none"/>
                <w:lang w:val="en-US" w:eastAsia="zh-CN"/>
              </w:rPr>
              <w:t>25</w:t>
            </w:r>
            <w:r>
              <w:rPr>
                <w:rFonts w:hint="eastAsia" w:asciiTheme="minorEastAsia" w:hAnsiTheme="minorEastAsia" w:eastAsiaTheme="minorEastAsia" w:cstheme="minorEastAsia"/>
                <w:color w:val="auto"/>
                <w:kern w:val="2"/>
                <w:sz w:val="21"/>
                <w:szCs w:val="21"/>
                <w:highlight w:val="none"/>
              </w:rPr>
              <w:t>分）</w:t>
            </w:r>
          </w:p>
        </w:tc>
        <w:tc>
          <w:tcPr>
            <w:tcW w:w="6068" w:type="dxa"/>
            <w:vAlign w:val="center"/>
          </w:tcPr>
          <w:p w14:paraId="3C6A3516">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所有技术参数完全满足或优于采购文件要求，无任何负偏离的得满分2</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分，其中每一项</w:t>
            </w:r>
            <w:r>
              <w:rPr>
                <w:rFonts w:hint="eastAsia" w:asciiTheme="minorEastAsia" w:hAnsiTheme="minorEastAsia" w:eastAsiaTheme="minorEastAsia" w:cstheme="minorEastAsia"/>
                <w:color w:val="auto"/>
                <w:sz w:val="21"/>
                <w:szCs w:val="21"/>
                <w:highlight w:val="none"/>
                <w:lang w:val="en-US" w:eastAsia="zh-CN"/>
              </w:rPr>
              <w:t>重要</w:t>
            </w:r>
            <w:r>
              <w:rPr>
                <w:rFonts w:hint="eastAsia" w:asciiTheme="minorEastAsia" w:hAnsiTheme="minorEastAsia" w:eastAsiaTheme="minorEastAsia" w:cstheme="minorEastAsia"/>
                <w:color w:val="auto"/>
                <w:sz w:val="21"/>
                <w:szCs w:val="21"/>
                <w:highlight w:val="none"/>
              </w:rPr>
              <w:t>技术参数</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标注“</w:t>
            </w:r>
            <w:r>
              <w:rPr>
                <w:rFonts w:hint="eastAsia" w:ascii="宋体" w:hAnsi="宋体" w:eastAsia="宋体" w:cs="宋体"/>
                <w:color w:val="auto"/>
                <w:sz w:val="18"/>
                <w:szCs w:val="18"/>
                <w:highlight w:val="none"/>
              </w:rPr>
              <w:t>★</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不满足招标文件技术参数要求的扣</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分，每一项</w:t>
            </w:r>
            <w:r>
              <w:rPr>
                <w:rFonts w:hint="eastAsia" w:asciiTheme="minorEastAsia" w:hAnsiTheme="minorEastAsia" w:eastAsiaTheme="minorEastAsia" w:cstheme="minorEastAsia"/>
                <w:color w:val="auto"/>
                <w:sz w:val="21"/>
                <w:szCs w:val="21"/>
                <w:highlight w:val="none"/>
                <w:lang w:val="en-US" w:eastAsia="zh-CN"/>
              </w:rPr>
              <w:t>普通</w:t>
            </w:r>
            <w:r>
              <w:rPr>
                <w:rFonts w:hint="eastAsia" w:asciiTheme="minorEastAsia" w:hAnsiTheme="minorEastAsia" w:eastAsiaTheme="minorEastAsia" w:cstheme="minorEastAsia"/>
                <w:color w:val="auto"/>
                <w:sz w:val="21"/>
                <w:szCs w:val="21"/>
                <w:highlight w:val="none"/>
              </w:rPr>
              <w:t>技术参数</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未标注“</w:t>
            </w:r>
            <w:r>
              <w:rPr>
                <w:rFonts w:hint="eastAsia" w:ascii="宋体" w:hAnsi="宋体" w:eastAsia="宋体" w:cs="宋体"/>
                <w:color w:val="auto"/>
                <w:sz w:val="18"/>
                <w:szCs w:val="18"/>
                <w:highlight w:val="none"/>
              </w:rPr>
              <w:t>★</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不满足招标文件技术参数要求的扣</w:t>
            </w:r>
            <w:r>
              <w:rPr>
                <w:rFonts w:hint="eastAsia" w:asciiTheme="minorEastAsia" w:hAnsiTheme="minorEastAsia" w:eastAsiaTheme="minorEastAsia" w:cstheme="minorEastAsia"/>
                <w:color w:val="auto"/>
                <w:sz w:val="21"/>
                <w:szCs w:val="21"/>
                <w:highlight w:val="none"/>
                <w:lang w:val="en-US" w:eastAsia="zh-CN"/>
              </w:rPr>
              <w:t>0.1</w:t>
            </w:r>
            <w:r>
              <w:rPr>
                <w:rFonts w:hint="eastAsia" w:asciiTheme="minorEastAsia" w:hAnsiTheme="minorEastAsia" w:eastAsiaTheme="minorEastAsia" w:cstheme="minorEastAsia"/>
                <w:color w:val="auto"/>
                <w:sz w:val="21"/>
                <w:szCs w:val="21"/>
                <w:highlight w:val="none"/>
              </w:rPr>
              <w:t>分，扣完为止。</w:t>
            </w:r>
          </w:p>
          <w:p w14:paraId="4B5C159D">
            <w:pPr>
              <w:rPr>
                <w:rFonts w:hint="eastAsia" w:ascii="宋体" w:hAnsi="宋体" w:eastAsia="宋体" w:cs="宋体"/>
                <w:b w:val="0"/>
                <w:bCs/>
                <w:color w:val="auto"/>
                <w:kern w:val="2"/>
                <w:sz w:val="21"/>
                <w:szCs w:val="21"/>
                <w:highlight w:val="none"/>
                <w:lang w:val="en-US" w:eastAsia="zh-CN" w:bidi="ar-SA"/>
              </w:rPr>
            </w:pPr>
            <w:r>
              <w:rPr>
                <w:rFonts w:hint="eastAsia" w:asciiTheme="minorEastAsia" w:hAnsiTheme="minorEastAsia" w:eastAsiaTheme="minorEastAsia" w:cstheme="minorEastAsia"/>
                <w:b/>
                <w:color w:val="auto"/>
                <w:sz w:val="21"/>
                <w:szCs w:val="21"/>
                <w:highlight w:val="none"/>
              </w:rPr>
              <w:t>备注：投标人拷贝招标文件</w:t>
            </w:r>
            <w:r>
              <w:rPr>
                <w:rFonts w:hint="eastAsia" w:asciiTheme="minorEastAsia" w:hAnsiTheme="minorEastAsia" w:eastAsiaTheme="minorEastAsia" w:cstheme="minorEastAsia"/>
                <w:b/>
                <w:color w:val="auto"/>
                <w:sz w:val="21"/>
                <w:szCs w:val="21"/>
                <w:highlight w:val="none"/>
                <w:lang w:val="en-US" w:eastAsia="zh-CN"/>
              </w:rPr>
              <w:t>第五章</w:t>
            </w:r>
            <w:r>
              <w:rPr>
                <w:rFonts w:hint="eastAsia" w:asciiTheme="minorEastAsia" w:hAnsiTheme="minorEastAsia" w:eastAsiaTheme="minorEastAsia" w:cstheme="minorEastAsia"/>
                <w:b/>
                <w:color w:val="auto"/>
                <w:sz w:val="21"/>
                <w:szCs w:val="21"/>
                <w:highlight w:val="none"/>
              </w:rPr>
              <w:t>技术参数而无技术参数证明材料的或投标技术参数证明材料与投标技术参数响应偏离表不对应的，在正常打分的基础上扣减5分。</w:t>
            </w:r>
          </w:p>
        </w:tc>
      </w:tr>
      <w:tr w14:paraId="18C77AB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990" w:hRule="atLeast"/>
          <w:jc w:val="center"/>
        </w:trPr>
        <w:tc>
          <w:tcPr>
            <w:tcW w:w="747" w:type="dxa"/>
            <w:vMerge w:val="continue"/>
            <w:vAlign w:val="center"/>
          </w:tcPr>
          <w:p w14:paraId="737B2217">
            <w:pPr>
              <w:rPr>
                <w:color w:val="auto"/>
                <w:sz w:val="21"/>
                <w:szCs w:val="21"/>
                <w:highlight w:val="none"/>
              </w:rPr>
            </w:pPr>
          </w:p>
        </w:tc>
        <w:tc>
          <w:tcPr>
            <w:tcW w:w="781" w:type="dxa"/>
            <w:vMerge w:val="continue"/>
            <w:vAlign w:val="center"/>
          </w:tcPr>
          <w:p w14:paraId="102BDE6A">
            <w:pPr>
              <w:rPr>
                <w:rFonts w:cs="宋体"/>
                <w:color w:val="auto"/>
                <w:sz w:val="21"/>
                <w:szCs w:val="21"/>
                <w:highlight w:val="none"/>
              </w:rPr>
            </w:pPr>
          </w:p>
        </w:tc>
        <w:tc>
          <w:tcPr>
            <w:tcW w:w="1084" w:type="dxa"/>
            <w:vMerge w:val="continue"/>
            <w:vAlign w:val="center"/>
          </w:tcPr>
          <w:p w14:paraId="290B7658">
            <w:pPr>
              <w:widowControl/>
              <w:jc w:val="center"/>
              <w:rPr>
                <w:rFonts w:hint="eastAsia" w:ascii="宋体" w:hAnsi="宋体" w:cs="宋体"/>
                <w:color w:val="auto"/>
                <w:sz w:val="21"/>
                <w:szCs w:val="21"/>
                <w:highlight w:val="none"/>
              </w:rPr>
            </w:pPr>
          </w:p>
        </w:tc>
        <w:tc>
          <w:tcPr>
            <w:tcW w:w="860" w:type="dxa"/>
            <w:vAlign w:val="center"/>
          </w:tcPr>
          <w:p w14:paraId="1525DED2">
            <w:pPr>
              <w:pStyle w:val="87"/>
              <w:spacing w:line="340" w:lineRule="exact"/>
              <w:jc w:val="center"/>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项目实施方案（满分</w:t>
            </w:r>
            <w:r>
              <w:rPr>
                <w:rFonts w:hint="eastAsia" w:asciiTheme="minorEastAsia" w:hAnsiTheme="minorEastAsia" w:eastAsiaTheme="minorEastAsia" w:cstheme="minorEastAsia"/>
                <w:color w:val="auto"/>
                <w:kern w:val="2"/>
                <w:sz w:val="21"/>
                <w:szCs w:val="21"/>
                <w:highlight w:val="none"/>
                <w:lang w:val="en-US" w:eastAsia="zh-CN"/>
              </w:rPr>
              <w:t>25</w:t>
            </w:r>
            <w:r>
              <w:rPr>
                <w:rFonts w:hint="eastAsia" w:asciiTheme="minorEastAsia" w:hAnsiTheme="minorEastAsia" w:eastAsiaTheme="minorEastAsia" w:cstheme="minorEastAsia"/>
                <w:color w:val="auto"/>
                <w:kern w:val="2"/>
                <w:sz w:val="21"/>
                <w:szCs w:val="21"/>
                <w:highlight w:val="none"/>
              </w:rPr>
              <w:t>分）</w:t>
            </w:r>
          </w:p>
        </w:tc>
        <w:tc>
          <w:tcPr>
            <w:tcW w:w="6068" w:type="dxa"/>
            <w:vAlign w:val="center"/>
          </w:tcPr>
          <w:p w14:paraId="66925F97">
            <w:pPr>
              <w:pStyle w:val="13"/>
              <w:rPr>
                <w:rFonts w:hint="eastAsia" w:asciiTheme="majorEastAsia" w:hAnsiTheme="majorEastAsia" w:eastAsiaTheme="majorEastAsia"/>
                <w:b/>
                <w:color w:val="auto"/>
                <w:sz w:val="21"/>
                <w:szCs w:val="21"/>
                <w:highlight w:val="none"/>
              </w:rPr>
            </w:pPr>
            <w:r>
              <w:rPr>
                <w:rFonts w:hint="eastAsia" w:ascii="宋体" w:hAnsi="宋体" w:eastAsia="宋体" w:cs="宋体"/>
                <w:b/>
                <w:bCs/>
                <w:color w:val="auto"/>
                <w:kern w:val="2"/>
                <w:sz w:val="21"/>
                <w:szCs w:val="22"/>
                <w:highlight w:val="none"/>
                <w:lang w:val="en-US" w:eastAsia="zh-CN" w:bidi="ar-SA"/>
              </w:rPr>
              <w:t>依据本项目采购需求和特点，分项评审，其内容包含但不限于：</w:t>
            </w:r>
            <w:r>
              <w:rPr>
                <w:rFonts w:hint="eastAsia" w:asciiTheme="majorEastAsia" w:hAnsiTheme="majorEastAsia" w:eastAsiaTheme="majorEastAsia"/>
                <w:b/>
                <w:color w:val="auto"/>
                <w:sz w:val="21"/>
                <w:szCs w:val="21"/>
                <w:highlight w:val="none"/>
              </w:rPr>
              <w:t>①组织运输方案；②人员配置与职责；③进度计划；④供货保障措施；⑤验收措施。</w:t>
            </w:r>
          </w:p>
          <w:p w14:paraId="79FE38D2">
            <w:pPr>
              <w:pStyle w:val="13"/>
              <w:rPr>
                <w:rFonts w:hint="eastAsia" w:ascii="宋体" w:hAnsi="宋体" w:eastAsia="宋体" w:cs="宋体"/>
                <w:b w:val="0"/>
                <w:bCs/>
                <w:color w:val="auto"/>
                <w:kern w:val="2"/>
                <w:sz w:val="21"/>
                <w:szCs w:val="21"/>
                <w:highlight w:val="none"/>
                <w:lang w:val="en-US" w:eastAsia="zh-CN" w:bidi="ar-SA"/>
              </w:rPr>
            </w:pPr>
            <w:r>
              <w:rPr>
                <w:rFonts w:hint="eastAsia" w:asciiTheme="minorEastAsia" w:hAnsiTheme="minorEastAsia" w:eastAsiaTheme="minorEastAsia" w:cstheme="minorEastAsia"/>
                <w:b w:val="0"/>
                <w:color w:val="auto"/>
                <w:kern w:val="2"/>
                <w:sz w:val="21"/>
                <w:szCs w:val="21"/>
                <w:highlight w:val="none"/>
                <w:lang w:val="en-US" w:eastAsia="zh-CN" w:bidi="ar-SA"/>
              </w:rPr>
              <w:t>第一个档次（5分</w:t>
            </w:r>
            <w:r>
              <w:rPr>
                <w:rFonts w:hint="eastAsia" w:ascii="宋体" w:hAnsi="宋体" w:eastAsia="宋体" w:cs="宋体"/>
                <w:b w:val="0"/>
                <w:bCs/>
                <w:color w:val="auto"/>
                <w:kern w:val="2"/>
                <w:sz w:val="21"/>
                <w:szCs w:val="21"/>
                <w:highlight w:val="none"/>
                <w:lang w:val="en-US" w:eastAsia="zh-CN" w:bidi="ar-SA"/>
              </w:rPr>
              <w:t>）：每一项内容详实完整、要素齐全，紧密结合本项目实际需求制定，针对性较强，流程清晰、措施具体可行，可直接指导项目实施，具备较强的可操作性。</w:t>
            </w:r>
          </w:p>
          <w:p w14:paraId="576D8CC0">
            <w:pPr>
              <w:pStyle w:val="13"/>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第二个档次（3分）：每一项内容完整，能够满足项目实施基本需求，结合项目特点制定，具备一定针对性，方案合理可行。</w:t>
            </w:r>
          </w:p>
          <w:p w14:paraId="2AA90137">
            <w:pPr>
              <w:pStyle w:val="13"/>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第三个档次（2分）：每一项内容基本满足项目实施需求，为通用性内容，未结合本项目实际情况，缺乏针对性。</w:t>
            </w:r>
          </w:p>
          <w:p w14:paraId="31AEABC2">
            <w:pPr>
              <w:pStyle w:val="13"/>
              <w:rPr>
                <w:rFonts w:hint="eastAsia" w:asciiTheme="minorEastAsia" w:hAnsiTheme="minorEastAsia" w:eastAsiaTheme="minorEastAsia" w:cstheme="minorEastAsia"/>
                <w:b w:val="0"/>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第四个档次（1分）：每一项内容简略粗糙、不够详细或存在表述不清、逻辑矛盾、明显不合理内容，难</w:t>
            </w:r>
            <w:r>
              <w:rPr>
                <w:rFonts w:hint="eastAsia" w:asciiTheme="minorEastAsia" w:hAnsiTheme="minorEastAsia" w:eastAsiaTheme="minorEastAsia" w:cstheme="minorEastAsia"/>
                <w:b w:val="0"/>
                <w:color w:val="auto"/>
                <w:kern w:val="2"/>
                <w:sz w:val="21"/>
                <w:szCs w:val="21"/>
                <w:highlight w:val="none"/>
                <w:lang w:val="en-US" w:eastAsia="zh-CN" w:bidi="ar-SA"/>
              </w:rPr>
              <w:t>以支撑项目实施。</w:t>
            </w:r>
          </w:p>
          <w:p w14:paraId="5D683982">
            <w:pPr>
              <w:keepNext w:val="0"/>
              <w:keepLines w:val="0"/>
              <w:pageBreakBefore w:val="0"/>
              <w:widowControl w:val="0"/>
              <w:kinsoku/>
              <w:wordWrap/>
              <w:overflowPunct/>
              <w:topLinePunct w:val="0"/>
              <w:bidi w:val="0"/>
              <w:adjustRightInd/>
              <w:snapToGrid/>
              <w:spacing w:line="360" w:lineRule="exact"/>
              <w:textAlignment w:val="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第五档次（0分）：</w:t>
            </w:r>
            <w:r>
              <w:rPr>
                <w:rFonts w:hint="eastAsia" w:ascii="宋体" w:hAnsi="宋体" w:eastAsia="宋体" w:cs="宋体"/>
                <w:bCs/>
                <w:color w:val="auto"/>
                <w:sz w:val="21"/>
                <w:szCs w:val="21"/>
                <w:highlight w:val="none"/>
              </w:rPr>
              <w:t>每一项</w:t>
            </w:r>
            <w:r>
              <w:rPr>
                <w:rFonts w:hint="eastAsia" w:ascii="宋体" w:hAnsi="宋体" w:cs="宋体"/>
                <w:bCs/>
                <w:color w:val="auto"/>
                <w:sz w:val="21"/>
                <w:szCs w:val="21"/>
                <w:highlight w:val="none"/>
                <w:lang w:val="en-US" w:eastAsia="zh-CN"/>
              </w:rPr>
              <w:t>内容未提供的不得分</w:t>
            </w:r>
          </w:p>
          <w:p w14:paraId="6AF4D64F">
            <w:pPr>
              <w:pStyle w:val="13"/>
              <w:rPr>
                <w:rFonts w:hint="eastAsia" w:asciiTheme="majorEastAsia" w:hAnsiTheme="majorEastAsia" w:eastAsiaTheme="majorEastAsia"/>
                <w:b/>
                <w:color w:val="auto"/>
                <w:sz w:val="21"/>
                <w:szCs w:val="21"/>
                <w:highlight w:val="none"/>
              </w:rPr>
            </w:pPr>
            <w:r>
              <w:rPr>
                <w:rFonts w:hint="eastAsia" w:ascii="宋体" w:hAnsi="宋体" w:eastAsia="宋体" w:cs="宋体"/>
                <w:b/>
                <w:bCs w:val="0"/>
                <w:color w:val="auto"/>
                <w:sz w:val="21"/>
                <w:szCs w:val="21"/>
                <w:highlight w:val="none"/>
                <w:lang w:val="en-US" w:eastAsia="zh-CN"/>
              </w:rPr>
              <w:t>备</w:t>
            </w:r>
            <w:r>
              <w:rPr>
                <w:rFonts w:hint="eastAsia" w:ascii="宋体" w:hAnsi="宋体" w:eastAsia="宋体" w:cs="宋体"/>
                <w:b/>
                <w:bCs w:val="0"/>
                <w:color w:val="auto"/>
                <w:sz w:val="21"/>
                <w:szCs w:val="21"/>
                <w:highlight w:val="none"/>
              </w:rPr>
              <w:t>注：</w:t>
            </w:r>
            <w:r>
              <w:rPr>
                <w:rFonts w:hint="eastAsia" w:ascii="宋体" w:hAnsi="宋体" w:eastAsia="宋体" w:cs="宋体"/>
                <w:b/>
                <w:bCs w:val="0"/>
                <w:color w:val="auto"/>
                <w:sz w:val="21"/>
                <w:szCs w:val="21"/>
                <w:highlight w:val="none"/>
                <w:lang w:val="en-US" w:eastAsia="zh-CN"/>
              </w:rPr>
              <w:t>分</w:t>
            </w:r>
            <w:r>
              <w:rPr>
                <w:rFonts w:hint="eastAsia" w:ascii="宋体" w:hAnsi="宋体" w:eastAsia="宋体" w:cs="宋体"/>
                <w:b/>
                <w:bCs w:val="0"/>
                <w:color w:val="auto"/>
                <w:sz w:val="21"/>
                <w:szCs w:val="21"/>
                <w:highlight w:val="none"/>
              </w:rPr>
              <w:t>项内容累计计分，满分</w:t>
            </w:r>
            <w:r>
              <w:rPr>
                <w:rFonts w:hint="eastAsia" w:ascii="宋体" w:hAnsi="宋体" w:cs="宋体"/>
                <w:b/>
                <w:bCs w:val="0"/>
                <w:color w:val="auto"/>
                <w:sz w:val="21"/>
                <w:szCs w:val="21"/>
                <w:highlight w:val="none"/>
                <w:lang w:val="en-US" w:eastAsia="zh-CN"/>
              </w:rPr>
              <w:t>25</w:t>
            </w:r>
            <w:r>
              <w:rPr>
                <w:rFonts w:hint="eastAsia" w:ascii="宋体" w:hAnsi="宋体" w:eastAsia="宋体" w:cs="宋体"/>
                <w:b/>
                <w:bCs w:val="0"/>
                <w:color w:val="auto"/>
                <w:sz w:val="21"/>
                <w:szCs w:val="21"/>
                <w:highlight w:val="none"/>
              </w:rPr>
              <w:t>分。</w:t>
            </w:r>
          </w:p>
        </w:tc>
      </w:tr>
      <w:tr w14:paraId="7FB194D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990" w:hRule="atLeast"/>
          <w:jc w:val="center"/>
        </w:trPr>
        <w:tc>
          <w:tcPr>
            <w:tcW w:w="747" w:type="dxa"/>
            <w:vMerge w:val="continue"/>
            <w:vAlign w:val="center"/>
          </w:tcPr>
          <w:p w14:paraId="04E36D85">
            <w:pPr>
              <w:rPr>
                <w:color w:val="auto"/>
                <w:sz w:val="21"/>
                <w:szCs w:val="21"/>
                <w:highlight w:val="none"/>
              </w:rPr>
            </w:pPr>
          </w:p>
        </w:tc>
        <w:tc>
          <w:tcPr>
            <w:tcW w:w="781" w:type="dxa"/>
            <w:vMerge w:val="continue"/>
            <w:vAlign w:val="center"/>
          </w:tcPr>
          <w:p w14:paraId="1A69F319">
            <w:pPr>
              <w:rPr>
                <w:rFonts w:cs="宋体"/>
                <w:color w:val="auto"/>
                <w:sz w:val="21"/>
                <w:szCs w:val="21"/>
                <w:highlight w:val="none"/>
              </w:rPr>
            </w:pPr>
          </w:p>
        </w:tc>
        <w:tc>
          <w:tcPr>
            <w:tcW w:w="1084" w:type="dxa"/>
            <w:vMerge w:val="continue"/>
            <w:vAlign w:val="center"/>
          </w:tcPr>
          <w:p w14:paraId="17465E1E">
            <w:pPr>
              <w:widowControl/>
              <w:jc w:val="center"/>
              <w:rPr>
                <w:color w:val="auto"/>
                <w:sz w:val="21"/>
                <w:szCs w:val="21"/>
                <w:highlight w:val="none"/>
              </w:rPr>
            </w:pPr>
          </w:p>
        </w:tc>
        <w:tc>
          <w:tcPr>
            <w:tcW w:w="860" w:type="dxa"/>
            <w:vAlign w:val="center"/>
          </w:tcPr>
          <w:p w14:paraId="0E0B8395">
            <w:pPr>
              <w:pStyle w:val="87"/>
              <w:spacing w:line="340" w:lineRule="exact"/>
              <w:jc w:val="center"/>
              <w:rPr>
                <w:rFonts w:hint="eastAsia" w:ascii="宋体" w:hAnsi="宋体" w:cs="宋体"/>
                <w:color w:val="auto"/>
                <w:sz w:val="21"/>
                <w:szCs w:val="21"/>
                <w:highlight w:val="none"/>
              </w:rPr>
            </w:pPr>
            <w:r>
              <w:rPr>
                <w:rFonts w:hint="eastAsia" w:asciiTheme="minorEastAsia" w:hAnsiTheme="minorEastAsia" w:eastAsiaTheme="minorEastAsia" w:cstheme="minorEastAsia"/>
                <w:color w:val="auto"/>
                <w:sz w:val="21"/>
                <w:szCs w:val="21"/>
                <w:highlight w:val="none"/>
              </w:rPr>
              <w:t>质量承诺及保障措施（满分</w:t>
            </w: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分）</w:t>
            </w:r>
          </w:p>
        </w:tc>
        <w:tc>
          <w:tcPr>
            <w:tcW w:w="6068" w:type="dxa"/>
            <w:vAlign w:val="center"/>
          </w:tcPr>
          <w:p w14:paraId="020B6C40">
            <w:pPr>
              <w:pStyle w:val="87"/>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2"/>
                <w:highlight w:val="none"/>
                <w:lang w:val="en-US" w:eastAsia="zh-CN" w:bidi="ar-SA"/>
              </w:rPr>
              <w:t>依据本项目采购需求和特点，分项评审，其内容包含但不限于：</w:t>
            </w:r>
            <w:r>
              <w:rPr>
                <w:rFonts w:hint="eastAsia" w:ascii="宋体" w:hAnsi="宋体" w:eastAsia="宋体" w:cs="宋体"/>
                <w:b/>
                <w:bCs/>
                <w:color w:val="auto"/>
                <w:sz w:val="21"/>
                <w:szCs w:val="21"/>
                <w:highlight w:val="none"/>
              </w:rPr>
              <w:t>①质量承诺</w:t>
            </w:r>
            <w:r>
              <w:rPr>
                <w:rFonts w:hint="eastAsia" w:ascii="宋体" w:hAnsi="宋体" w:eastAsia="宋体" w:cs="宋体"/>
                <w:b/>
                <w:bCs/>
                <w:color w:val="auto"/>
                <w:sz w:val="21"/>
                <w:szCs w:val="21"/>
                <w:highlight w:val="none"/>
                <w:lang w:val="en-US" w:eastAsia="zh-CN"/>
              </w:rPr>
              <w:t>及质量保障措施；</w:t>
            </w:r>
            <w:r>
              <w:rPr>
                <w:rFonts w:hint="eastAsia" w:ascii="宋体" w:hAnsi="宋体" w:eastAsia="宋体" w:cs="宋体"/>
                <w:b/>
                <w:bCs/>
                <w:color w:val="auto"/>
                <w:sz w:val="21"/>
                <w:szCs w:val="21"/>
                <w:highlight w:val="none"/>
              </w:rPr>
              <w:t>②</w:t>
            </w:r>
            <w:r>
              <w:rPr>
                <w:rFonts w:hint="eastAsia" w:ascii="宋体" w:hAnsi="宋体" w:eastAsia="宋体" w:cs="宋体"/>
                <w:b/>
                <w:bCs/>
                <w:color w:val="auto"/>
                <w:sz w:val="21"/>
                <w:szCs w:val="21"/>
                <w:highlight w:val="none"/>
                <w:lang w:val="en-US" w:eastAsia="zh-CN"/>
              </w:rPr>
              <w:t>质量违约处罚措施</w:t>
            </w:r>
            <w:r>
              <w:rPr>
                <w:rFonts w:hint="eastAsia" w:ascii="宋体" w:hAnsi="宋体" w:eastAsia="宋体" w:cs="宋体"/>
                <w:b/>
                <w:bCs/>
                <w:color w:val="auto"/>
                <w:kern w:val="2"/>
                <w:sz w:val="21"/>
                <w:szCs w:val="21"/>
                <w:highlight w:val="none"/>
                <w:lang w:eastAsia="zh-CN"/>
              </w:rPr>
              <w:t>。</w:t>
            </w:r>
          </w:p>
          <w:p w14:paraId="14D98EA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 w:val="0"/>
                <w:bCs/>
                <w:color w:val="auto"/>
                <w:sz w:val="21"/>
                <w:szCs w:val="21"/>
                <w:highlight w:val="none"/>
              </w:rPr>
              <w:t>第一档次（</w:t>
            </w:r>
            <w:r>
              <w:rPr>
                <w:rFonts w:hint="eastAsia" w:ascii="宋体" w:hAnsi="宋体" w:cs="宋体"/>
                <w:b w:val="0"/>
                <w:bCs/>
                <w:color w:val="auto"/>
                <w:sz w:val="21"/>
                <w:szCs w:val="21"/>
                <w:highlight w:val="none"/>
                <w:lang w:val="en-US" w:eastAsia="zh-CN"/>
              </w:rPr>
              <w:t>4.5</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eastAsia="宋体" w:cs="宋体"/>
                <w:bCs/>
                <w:color w:val="auto"/>
                <w:sz w:val="21"/>
                <w:szCs w:val="21"/>
                <w:highlight w:val="none"/>
                <w:lang w:val="en-US" w:eastAsia="zh-CN"/>
              </w:rPr>
              <w:t>阐述</w:t>
            </w:r>
            <w:r>
              <w:rPr>
                <w:rFonts w:hint="eastAsia" w:ascii="宋体" w:hAnsi="宋体" w:eastAsia="宋体" w:cs="宋体"/>
                <w:bCs/>
                <w:color w:val="auto"/>
                <w:sz w:val="21"/>
                <w:szCs w:val="21"/>
                <w:highlight w:val="none"/>
              </w:rPr>
              <w:t>完整全面、详细具体，科学规范，具有可实施性及</w:t>
            </w:r>
            <w:r>
              <w:rPr>
                <w:rFonts w:hint="eastAsia" w:ascii="宋体" w:hAnsi="宋体" w:eastAsia="宋体" w:cs="宋体"/>
                <w:bCs/>
                <w:color w:val="auto"/>
                <w:sz w:val="21"/>
                <w:szCs w:val="21"/>
                <w:highlight w:val="none"/>
                <w:lang w:eastAsia="zh-CN"/>
              </w:rPr>
              <w:t>针对性</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 xml:space="preserve"> </w:t>
            </w:r>
          </w:p>
          <w:p w14:paraId="7E720F58">
            <w:pPr>
              <w:pStyle w:val="13"/>
              <w:rPr>
                <w:rFonts w:hint="eastAsia" w:ascii="宋体" w:hAnsi="宋体" w:eastAsia="宋体" w:cs="宋体"/>
                <w:b w:val="0"/>
                <w:bCs w:val="0"/>
                <w:color w:val="auto"/>
                <w:sz w:val="21"/>
                <w:szCs w:val="21"/>
                <w:highlight w:val="none"/>
              </w:rPr>
            </w:pPr>
            <w:r>
              <w:rPr>
                <w:rFonts w:hint="eastAsia" w:ascii="宋体" w:hAnsi="宋体" w:eastAsia="宋体" w:cs="宋体"/>
                <w:b w:val="0"/>
                <w:bCs/>
                <w:color w:val="auto"/>
                <w:sz w:val="21"/>
                <w:szCs w:val="21"/>
                <w:highlight w:val="none"/>
              </w:rPr>
              <w:t>第二档次（</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分）：</w:t>
            </w:r>
            <w:r>
              <w:rPr>
                <w:rFonts w:hint="eastAsia" w:ascii="宋体" w:hAnsi="宋体" w:eastAsia="宋体" w:cs="宋体"/>
                <w:b w:val="0"/>
                <w:bCs w:val="0"/>
                <w:color w:val="auto"/>
                <w:sz w:val="21"/>
                <w:szCs w:val="21"/>
                <w:highlight w:val="none"/>
              </w:rPr>
              <w:t>每一项内容</w:t>
            </w:r>
            <w:r>
              <w:rPr>
                <w:rFonts w:hint="eastAsia" w:ascii="宋体" w:hAnsi="宋体" w:eastAsia="宋体" w:cs="宋体"/>
                <w:b w:val="0"/>
                <w:bCs w:val="0"/>
                <w:color w:val="auto"/>
                <w:sz w:val="21"/>
                <w:szCs w:val="21"/>
                <w:highlight w:val="none"/>
                <w:lang w:val="en-US" w:eastAsia="zh-CN"/>
              </w:rPr>
              <w:t>阐述</w:t>
            </w:r>
            <w:r>
              <w:rPr>
                <w:rFonts w:hint="eastAsia" w:ascii="宋体" w:hAnsi="宋体" w:eastAsia="宋体" w:cs="宋体"/>
                <w:b w:val="0"/>
                <w:bCs w:val="0"/>
                <w:color w:val="auto"/>
                <w:sz w:val="21"/>
                <w:szCs w:val="21"/>
                <w:highlight w:val="none"/>
              </w:rPr>
              <w:t>相对简略，</w:t>
            </w:r>
            <w:r>
              <w:rPr>
                <w:rFonts w:hint="eastAsia" w:ascii="宋体" w:hAnsi="宋体" w:eastAsia="宋体" w:cs="宋体"/>
                <w:b w:val="0"/>
                <w:bCs w:val="0"/>
                <w:color w:val="auto"/>
                <w:sz w:val="21"/>
                <w:szCs w:val="21"/>
                <w:highlight w:val="none"/>
                <w:lang w:val="en-US" w:eastAsia="zh-CN"/>
              </w:rPr>
              <w:t>无不合理内容</w:t>
            </w:r>
            <w:r>
              <w:rPr>
                <w:rFonts w:hint="eastAsia" w:ascii="宋体" w:hAnsi="宋体" w:eastAsia="宋体" w:cs="宋体"/>
                <w:b w:val="0"/>
                <w:bCs w:val="0"/>
                <w:color w:val="auto"/>
                <w:sz w:val="21"/>
                <w:szCs w:val="21"/>
                <w:highlight w:val="none"/>
              </w:rPr>
              <w:t>，具有通用普适性的。</w:t>
            </w:r>
          </w:p>
          <w:p w14:paraId="1469D56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第</w:t>
            </w:r>
            <w:r>
              <w:rPr>
                <w:rFonts w:hint="eastAsia" w:ascii="宋体" w:hAnsi="宋体" w:eastAsia="宋体" w:cs="宋体"/>
                <w:b w:val="0"/>
                <w:bCs/>
                <w:color w:val="auto"/>
                <w:sz w:val="21"/>
                <w:szCs w:val="21"/>
                <w:highlight w:val="none"/>
                <w:lang w:val="en-US" w:eastAsia="zh-CN"/>
              </w:rPr>
              <w:t>三</w:t>
            </w:r>
            <w:r>
              <w:rPr>
                <w:rFonts w:hint="eastAsia" w:ascii="宋体" w:hAnsi="宋体" w:eastAsia="宋体" w:cs="宋体"/>
                <w:b w:val="0"/>
                <w:bCs/>
                <w:color w:val="auto"/>
                <w:sz w:val="21"/>
                <w:szCs w:val="21"/>
                <w:highlight w:val="none"/>
              </w:rPr>
              <w:t>档次（</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eastAsia="宋体" w:cs="宋体"/>
                <w:bCs/>
                <w:color w:val="auto"/>
                <w:sz w:val="21"/>
                <w:szCs w:val="21"/>
                <w:highlight w:val="none"/>
                <w:lang w:val="en-US" w:eastAsia="zh-CN"/>
              </w:rPr>
              <w:t>阐述</w:t>
            </w:r>
            <w:r>
              <w:rPr>
                <w:rFonts w:hint="eastAsia" w:ascii="宋体" w:hAnsi="宋体" w:eastAsia="宋体" w:cs="宋体"/>
                <w:bCs/>
                <w:color w:val="auto"/>
                <w:sz w:val="21"/>
                <w:szCs w:val="21"/>
                <w:highlight w:val="none"/>
              </w:rPr>
              <w:t>不全或</w:t>
            </w:r>
            <w:r>
              <w:rPr>
                <w:rFonts w:hint="eastAsia" w:ascii="宋体" w:hAnsi="宋体" w:eastAsia="宋体" w:cs="宋体"/>
                <w:bCs/>
                <w:color w:val="auto"/>
                <w:sz w:val="21"/>
                <w:szCs w:val="21"/>
                <w:highlight w:val="none"/>
                <w:lang w:val="en-US" w:eastAsia="zh-CN"/>
              </w:rPr>
              <w:t>存在不合理内容的</w:t>
            </w:r>
            <w:r>
              <w:rPr>
                <w:rFonts w:hint="eastAsia" w:ascii="宋体" w:hAnsi="宋体" w:eastAsia="宋体" w:cs="宋体"/>
                <w:bCs/>
                <w:color w:val="auto"/>
                <w:sz w:val="21"/>
                <w:szCs w:val="21"/>
                <w:highlight w:val="none"/>
              </w:rPr>
              <w:t>。</w:t>
            </w:r>
          </w:p>
          <w:p w14:paraId="2A00BD6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第</w:t>
            </w:r>
            <w:r>
              <w:rPr>
                <w:rFonts w:hint="eastAsia" w:ascii="宋体" w:hAnsi="宋体" w:eastAsia="宋体" w:cs="宋体"/>
                <w:b w:val="0"/>
                <w:bCs/>
                <w:color w:val="auto"/>
                <w:sz w:val="21"/>
                <w:szCs w:val="21"/>
                <w:highlight w:val="none"/>
                <w:lang w:val="en-US" w:eastAsia="zh-CN"/>
              </w:rPr>
              <w:t>四</w:t>
            </w:r>
            <w:r>
              <w:rPr>
                <w:rFonts w:hint="eastAsia" w:ascii="宋体" w:hAnsi="宋体" w:eastAsia="宋体" w:cs="宋体"/>
                <w:b w:val="0"/>
                <w:bCs/>
                <w:color w:val="auto"/>
                <w:sz w:val="21"/>
                <w:szCs w:val="21"/>
                <w:highlight w:val="none"/>
              </w:rPr>
              <w:t>档次（</w:t>
            </w:r>
            <w:r>
              <w:rPr>
                <w:rFonts w:hint="eastAsia" w:ascii="宋体" w:hAnsi="宋体" w:cs="宋体"/>
                <w:b w:val="0"/>
                <w:bCs/>
                <w:color w:val="auto"/>
                <w:sz w:val="21"/>
                <w:szCs w:val="21"/>
                <w:highlight w:val="none"/>
                <w:lang w:val="en-US" w:eastAsia="zh-CN"/>
              </w:rPr>
              <w:t>0</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cs="宋体"/>
                <w:bCs/>
                <w:color w:val="auto"/>
                <w:sz w:val="21"/>
                <w:szCs w:val="21"/>
                <w:highlight w:val="none"/>
                <w:lang w:val="en-US" w:eastAsia="zh-CN"/>
              </w:rPr>
              <w:t>缺失或</w:t>
            </w:r>
            <w:r>
              <w:rPr>
                <w:rFonts w:hint="eastAsia" w:ascii="宋体" w:hAnsi="宋体" w:eastAsia="宋体" w:cs="宋体"/>
                <w:bCs/>
                <w:color w:val="auto"/>
                <w:sz w:val="21"/>
                <w:szCs w:val="21"/>
                <w:highlight w:val="none"/>
                <w:lang w:val="en-US" w:eastAsia="zh-CN"/>
              </w:rPr>
              <w:t>阐述错误，不具可实施性的</w:t>
            </w:r>
            <w:r>
              <w:rPr>
                <w:rFonts w:hint="eastAsia" w:ascii="宋体" w:hAnsi="宋体" w:eastAsia="宋体" w:cs="宋体"/>
                <w:bCs/>
                <w:color w:val="auto"/>
                <w:sz w:val="21"/>
                <w:szCs w:val="21"/>
                <w:highlight w:val="none"/>
              </w:rPr>
              <w:t>。</w:t>
            </w:r>
          </w:p>
          <w:p w14:paraId="5F25E252">
            <w:pPr>
              <w:pStyle w:val="13"/>
              <w:rPr>
                <w:rFonts w:hint="eastAsia" w:ascii="宋体" w:hAnsi="宋体" w:cs="宋体"/>
                <w:b/>
                <w:color w:val="auto"/>
                <w:sz w:val="21"/>
                <w:szCs w:val="21"/>
                <w:highlight w:val="none"/>
              </w:rPr>
            </w:pPr>
            <w:r>
              <w:rPr>
                <w:rFonts w:hint="eastAsia" w:ascii="宋体" w:hAnsi="宋体" w:eastAsia="宋体" w:cs="宋体"/>
                <w:b/>
                <w:bCs w:val="0"/>
                <w:color w:val="auto"/>
                <w:sz w:val="21"/>
                <w:szCs w:val="21"/>
                <w:highlight w:val="none"/>
                <w:lang w:val="en-US" w:eastAsia="zh-CN"/>
              </w:rPr>
              <w:t>备</w:t>
            </w:r>
            <w:r>
              <w:rPr>
                <w:rFonts w:hint="eastAsia" w:ascii="宋体" w:hAnsi="宋体" w:eastAsia="宋体" w:cs="宋体"/>
                <w:b/>
                <w:bCs w:val="0"/>
                <w:color w:val="auto"/>
                <w:sz w:val="21"/>
                <w:szCs w:val="21"/>
                <w:highlight w:val="none"/>
              </w:rPr>
              <w:t>注：</w:t>
            </w:r>
            <w:r>
              <w:rPr>
                <w:rFonts w:hint="eastAsia" w:ascii="宋体" w:hAnsi="宋体" w:eastAsia="宋体" w:cs="宋体"/>
                <w:b/>
                <w:bCs w:val="0"/>
                <w:color w:val="auto"/>
                <w:sz w:val="21"/>
                <w:szCs w:val="21"/>
                <w:highlight w:val="none"/>
                <w:lang w:val="en-US" w:eastAsia="zh-CN"/>
              </w:rPr>
              <w:t>分</w:t>
            </w:r>
            <w:r>
              <w:rPr>
                <w:rFonts w:hint="eastAsia" w:ascii="宋体" w:hAnsi="宋体" w:eastAsia="宋体" w:cs="宋体"/>
                <w:b/>
                <w:bCs w:val="0"/>
                <w:color w:val="auto"/>
                <w:sz w:val="21"/>
                <w:szCs w:val="21"/>
                <w:highlight w:val="none"/>
              </w:rPr>
              <w:t>项内容累计计分，满分</w:t>
            </w:r>
            <w:r>
              <w:rPr>
                <w:rFonts w:hint="eastAsia" w:ascii="宋体" w:hAnsi="宋体" w:cs="宋体"/>
                <w:b/>
                <w:bCs w:val="0"/>
                <w:color w:val="auto"/>
                <w:sz w:val="21"/>
                <w:szCs w:val="21"/>
                <w:highlight w:val="none"/>
                <w:lang w:val="en-US" w:eastAsia="zh-CN"/>
              </w:rPr>
              <w:t>9</w:t>
            </w:r>
            <w:r>
              <w:rPr>
                <w:rFonts w:hint="eastAsia" w:ascii="宋体" w:hAnsi="宋体" w:eastAsia="宋体" w:cs="宋体"/>
                <w:b/>
                <w:bCs w:val="0"/>
                <w:color w:val="auto"/>
                <w:sz w:val="21"/>
                <w:szCs w:val="21"/>
                <w:highlight w:val="none"/>
              </w:rPr>
              <w:t>分。</w:t>
            </w:r>
          </w:p>
        </w:tc>
      </w:tr>
      <w:tr w14:paraId="67ADC6F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7" w:hRule="atLeast"/>
          <w:jc w:val="center"/>
        </w:trPr>
        <w:tc>
          <w:tcPr>
            <w:tcW w:w="747" w:type="dxa"/>
            <w:vMerge w:val="continue"/>
            <w:vAlign w:val="center"/>
          </w:tcPr>
          <w:p w14:paraId="0D9B9751">
            <w:pPr>
              <w:rPr>
                <w:rFonts w:hint="eastAsia" w:eastAsia="宋体"/>
                <w:color w:val="auto"/>
                <w:sz w:val="21"/>
                <w:szCs w:val="21"/>
                <w:highlight w:val="none"/>
                <w:lang w:eastAsia="zh-CN"/>
              </w:rPr>
            </w:pPr>
            <w:r>
              <w:rPr>
                <w:rFonts w:hint="eastAsia"/>
                <w:color w:val="auto"/>
                <w:sz w:val="21"/>
                <w:szCs w:val="21"/>
                <w:highlight w:val="none"/>
                <w:lang w:eastAsia="zh-CN"/>
              </w:rPr>
              <w:t>、</w:t>
            </w:r>
          </w:p>
        </w:tc>
        <w:tc>
          <w:tcPr>
            <w:tcW w:w="781" w:type="dxa"/>
            <w:vMerge w:val="continue"/>
            <w:vAlign w:val="center"/>
          </w:tcPr>
          <w:p w14:paraId="004CF766">
            <w:pPr>
              <w:rPr>
                <w:rFonts w:cs="宋体"/>
                <w:color w:val="auto"/>
                <w:sz w:val="21"/>
                <w:szCs w:val="21"/>
                <w:highlight w:val="none"/>
              </w:rPr>
            </w:pPr>
          </w:p>
        </w:tc>
        <w:tc>
          <w:tcPr>
            <w:tcW w:w="1084" w:type="dxa"/>
            <w:vMerge w:val="restart"/>
            <w:tcBorders>
              <w:top w:val="single" w:color="auto" w:sz="4" w:space="0"/>
            </w:tcBorders>
            <w:vAlign w:val="center"/>
          </w:tcPr>
          <w:p w14:paraId="4D7E060C">
            <w:pPr>
              <w:widowControl/>
              <w:jc w:val="center"/>
              <w:rPr>
                <w:color w:val="auto"/>
                <w:sz w:val="21"/>
                <w:szCs w:val="21"/>
                <w:highlight w:val="none"/>
              </w:rPr>
            </w:pPr>
            <w:r>
              <w:rPr>
                <w:rFonts w:hint="eastAsia" w:ascii="宋体" w:hAnsi="宋体" w:cs="宋体"/>
                <w:color w:val="auto"/>
                <w:sz w:val="21"/>
                <w:szCs w:val="21"/>
                <w:highlight w:val="none"/>
              </w:rPr>
              <w:t>F</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-商务部分（满分</w:t>
            </w:r>
            <w:r>
              <w:rPr>
                <w:rFonts w:hint="eastAsia" w:ascii="宋体" w:hAnsi="宋体" w:cs="宋体"/>
                <w:color w:val="auto"/>
                <w:sz w:val="21"/>
                <w:szCs w:val="21"/>
                <w:highlight w:val="none"/>
                <w:lang w:val="en-US" w:eastAsia="zh-CN"/>
              </w:rPr>
              <w:t>11</w:t>
            </w:r>
            <w:r>
              <w:rPr>
                <w:rFonts w:hint="eastAsia" w:ascii="宋体" w:hAnsi="宋体" w:cs="宋体"/>
                <w:color w:val="auto"/>
                <w:sz w:val="21"/>
                <w:szCs w:val="21"/>
                <w:highlight w:val="none"/>
              </w:rPr>
              <w:t>分）</w:t>
            </w:r>
          </w:p>
        </w:tc>
        <w:tc>
          <w:tcPr>
            <w:tcW w:w="860" w:type="dxa"/>
            <w:vAlign w:val="center"/>
          </w:tcPr>
          <w:p w14:paraId="034AA8D1">
            <w:pPr>
              <w:pStyle w:val="87"/>
              <w:spacing w:line="340" w:lineRule="exact"/>
              <w:jc w:val="center"/>
              <w:rPr>
                <w:rFonts w:hint="eastAsia" w:ascii="宋体" w:hAnsi="宋体" w:cs="宋体"/>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售后服务方案（满分</w:t>
            </w:r>
            <w:r>
              <w:rPr>
                <w:rFonts w:hint="eastAsia" w:asciiTheme="minorEastAsia" w:hAnsiTheme="minorEastAsia" w:eastAsiaTheme="minorEastAsia" w:cstheme="minorEastAsia"/>
                <w:color w:val="auto"/>
                <w:kern w:val="2"/>
                <w:sz w:val="21"/>
                <w:szCs w:val="21"/>
                <w:highlight w:val="none"/>
                <w:lang w:val="en-US" w:eastAsia="zh-CN"/>
              </w:rPr>
              <w:t>8</w:t>
            </w:r>
            <w:r>
              <w:rPr>
                <w:rFonts w:hint="eastAsia" w:asciiTheme="minorEastAsia" w:hAnsiTheme="minorEastAsia" w:eastAsiaTheme="minorEastAsia" w:cstheme="minorEastAsia"/>
                <w:color w:val="auto"/>
                <w:kern w:val="2"/>
                <w:sz w:val="21"/>
                <w:szCs w:val="21"/>
                <w:highlight w:val="none"/>
              </w:rPr>
              <w:t>分）</w:t>
            </w:r>
          </w:p>
        </w:tc>
        <w:tc>
          <w:tcPr>
            <w:tcW w:w="6068" w:type="dxa"/>
            <w:vAlign w:val="center"/>
          </w:tcPr>
          <w:p w14:paraId="57CC84BB">
            <w:pPr>
              <w:pStyle w:val="87"/>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2"/>
                <w:highlight w:val="none"/>
                <w:lang w:val="en-US" w:eastAsia="zh-CN" w:bidi="ar-SA"/>
              </w:rPr>
              <w:t>依据本项目采购需求和特点，分项评审，其内容包含但不限于：</w:t>
            </w:r>
            <w:r>
              <w:rPr>
                <w:rFonts w:hint="eastAsia" w:ascii="宋体" w:hAnsi="宋体" w:eastAsia="宋体" w:cs="宋体"/>
                <w:b/>
                <w:bCs/>
                <w:color w:val="auto"/>
                <w:sz w:val="21"/>
                <w:szCs w:val="21"/>
                <w:highlight w:val="none"/>
              </w:rPr>
              <w:t>①售后服务体系</w:t>
            </w:r>
            <w:r>
              <w:rPr>
                <w:rFonts w:hint="eastAsia" w:ascii="宋体" w:hAnsi="宋体" w:eastAsia="宋体" w:cs="宋体"/>
                <w:b/>
                <w:bCs/>
                <w:color w:val="auto"/>
                <w:sz w:val="21"/>
                <w:szCs w:val="21"/>
                <w:highlight w:val="none"/>
                <w:lang w:val="en-US" w:eastAsia="zh-CN"/>
              </w:rPr>
              <w:t>及资源投入；</w:t>
            </w:r>
            <w:r>
              <w:rPr>
                <w:rFonts w:hint="eastAsia" w:ascii="宋体" w:hAnsi="宋体" w:eastAsia="宋体" w:cs="宋体"/>
                <w:b/>
                <w:bCs/>
                <w:color w:val="auto"/>
                <w:sz w:val="21"/>
                <w:szCs w:val="21"/>
                <w:highlight w:val="none"/>
              </w:rPr>
              <w:t>②</w:t>
            </w:r>
            <w:r>
              <w:rPr>
                <w:rFonts w:hint="eastAsia" w:ascii="宋体" w:hAnsi="宋体" w:eastAsia="宋体" w:cs="宋体"/>
                <w:b/>
                <w:bCs/>
                <w:color w:val="auto"/>
                <w:sz w:val="21"/>
                <w:szCs w:val="21"/>
                <w:highlight w:val="none"/>
                <w:lang w:val="en-US" w:eastAsia="zh-CN"/>
              </w:rPr>
              <w:t>售后服务保障措施；③售后服务响应承诺；④售后服务违约承诺。</w:t>
            </w:r>
          </w:p>
          <w:p w14:paraId="386AA2C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第一档次（</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eastAsia="宋体" w:cs="宋体"/>
                <w:bCs/>
                <w:color w:val="auto"/>
                <w:sz w:val="21"/>
                <w:szCs w:val="21"/>
                <w:highlight w:val="none"/>
                <w:lang w:val="en-US" w:eastAsia="zh-CN"/>
              </w:rPr>
              <w:t>阐述</w:t>
            </w:r>
            <w:r>
              <w:rPr>
                <w:rFonts w:hint="eastAsia" w:ascii="宋体" w:hAnsi="宋体" w:eastAsia="宋体" w:cs="宋体"/>
                <w:bCs/>
                <w:color w:val="auto"/>
                <w:sz w:val="21"/>
                <w:szCs w:val="21"/>
                <w:highlight w:val="none"/>
              </w:rPr>
              <w:t>完整全面、详细具体，科学规范，具有可实施性及</w:t>
            </w:r>
            <w:r>
              <w:rPr>
                <w:rFonts w:hint="eastAsia" w:ascii="宋体" w:hAnsi="宋体" w:eastAsia="宋体" w:cs="宋体"/>
                <w:bCs/>
                <w:color w:val="auto"/>
                <w:sz w:val="21"/>
                <w:szCs w:val="21"/>
                <w:highlight w:val="none"/>
                <w:lang w:eastAsia="zh-CN"/>
              </w:rPr>
              <w:t>针对性</w:t>
            </w:r>
            <w:r>
              <w:rPr>
                <w:rFonts w:hint="eastAsia" w:ascii="宋体" w:hAnsi="宋体" w:eastAsia="宋体" w:cs="宋体"/>
                <w:bCs/>
                <w:color w:val="auto"/>
                <w:sz w:val="21"/>
                <w:szCs w:val="21"/>
                <w:highlight w:val="none"/>
              </w:rPr>
              <w:t>。</w:t>
            </w:r>
          </w:p>
          <w:p w14:paraId="123B9D8A">
            <w:pPr>
              <w:pStyle w:val="13"/>
              <w:rPr>
                <w:rFonts w:hint="eastAsia" w:ascii="宋体" w:hAnsi="宋体" w:eastAsia="宋体" w:cs="宋体"/>
                <w:b w:val="0"/>
                <w:bCs w:val="0"/>
                <w:color w:val="auto"/>
                <w:sz w:val="21"/>
                <w:szCs w:val="21"/>
                <w:highlight w:val="none"/>
              </w:rPr>
            </w:pPr>
            <w:r>
              <w:rPr>
                <w:rFonts w:hint="eastAsia" w:ascii="宋体" w:hAnsi="宋体" w:eastAsia="宋体" w:cs="宋体"/>
                <w:b w:val="0"/>
                <w:bCs/>
                <w:color w:val="auto"/>
                <w:sz w:val="21"/>
                <w:szCs w:val="21"/>
                <w:highlight w:val="none"/>
              </w:rPr>
              <w:t>第二档次（</w:t>
            </w:r>
            <w:r>
              <w:rPr>
                <w:rFonts w:hint="eastAsia" w:ascii="宋体" w:hAnsi="宋体" w:eastAsia="宋体" w:cs="宋体"/>
                <w:b w:val="0"/>
                <w:bCs/>
                <w:color w:val="auto"/>
                <w:sz w:val="21"/>
                <w:szCs w:val="21"/>
                <w:highlight w:val="none"/>
                <w:lang w:val="en-US" w:eastAsia="zh-CN"/>
              </w:rPr>
              <w:t>1.5</w:t>
            </w:r>
            <w:r>
              <w:rPr>
                <w:rFonts w:hint="eastAsia" w:ascii="宋体" w:hAnsi="宋体" w:eastAsia="宋体" w:cs="宋体"/>
                <w:b w:val="0"/>
                <w:bCs/>
                <w:color w:val="auto"/>
                <w:sz w:val="21"/>
                <w:szCs w:val="21"/>
                <w:highlight w:val="none"/>
              </w:rPr>
              <w:t>分）：</w:t>
            </w:r>
            <w:r>
              <w:rPr>
                <w:rFonts w:hint="eastAsia" w:ascii="宋体" w:hAnsi="宋体" w:eastAsia="宋体" w:cs="宋体"/>
                <w:b w:val="0"/>
                <w:bCs w:val="0"/>
                <w:color w:val="auto"/>
                <w:sz w:val="21"/>
                <w:szCs w:val="21"/>
                <w:highlight w:val="none"/>
              </w:rPr>
              <w:t>每一项内容</w:t>
            </w:r>
            <w:r>
              <w:rPr>
                <w:rFonts w:hint="eastAsia" w:ascii="宋体" w:hAnsi="宋体" w:eastAsia="宋体" w:cs="宋体"/>
                <w:b w:val="0"/>
                <w:bCs w:val="0"/>
                <w:color w:val="auto"/>
                <w:sz w:val="21"/>
                <w:szCs w:val="21"/>
                <w:highlight w:val="none"/>
                <w:lang w:val="en-US" w:eastAsia="zh-CN"/>
              </w:rPr>
              <w:t>阐述</w:t>
            </w:r>
            <w:r>
              <w:rPr>
                <w:rFonts w:hint="eastAsia" w:ascii="宋体" w:hAnsi="宋体" w:eastAsia="宋体" w:cs="宋体"/>
                <w:b w:val="0"/>
                <w:bCs w:val="0"/>
                <w:color w:val="auto"/>
                <w:sz w:val="21"/>
                <w:szCs w:val="21"/>
                <w:highlight w:val="none"/>
              </w:rPr>
              <w:t>相对简略，</w:t>
            </w:r>
            <w:r>
              <w:rPr>
                <w:rFonts w:hint="eastAsia" w:ascii="宋体" w:hAnsi="宋体" w:eastAsia="宋体" w:cs="宋体"/>
                <w:b w:val="0"/>
                <w:bCs w:val="0"/>
                <w:color w:val="auto"/>
                <w:sz w:val="21"/>
                <w:szCs w:val="21"/>
                <w:highlight w:val="none"/>
                <w:lang w:val="en-US" w:eastAsia="zh-CN"/>
              </w:rPr>
              <w:t>无不合理内容</w:t>
            </w:r>
            <w:r>
              <w:rPr>
                <w:rFonts w:hint="eastAsia" w:ascii="宋体" w:hAnsi="宋体" w:eastAsia="宋体" w:cs="宋体"/>
                <w:b w:val="0"/>
                <w:bCs w:val="0"/>
                <w:color w:val="auto"/>
                <w:sz w:val="21"/>
                <w:szCs w:val="21"/>
                <w:highlight w:val="none"/>
              </w:rPr>
              <w:t>，具有通用普适性的。</w:t>
            </w:r>
          </w:p>
          <w:p w14:paraId="7ECE4C7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第</w:t>
            </w:r>
            <w:r>
              <w:rPr>
                <w:rFonts w:hint="eastAsia" w:ascii="宋体" w:hAnsi="宋体" w:eastAsia="宋体" w:cs="宋体"/>
                <w:b w:val="0"/>
                <w:bCs/>
                <w:color w:val="auto"/>
                <w:sz w:val="21"/>
                <w:szCs w:val="21"/>
                <w:highlight w:val="none"/>
                <w:lang w:val="en-US" w:eastAsia="zh-CN"/>
              </w:rPr>
              <w:t>三</w:t>
            </w:r>
            <w:r>
              <w:rPr>
                <w:rFonts w:hint="eastAsia" w:ascii="宋体" w:hAnsi="宋体" w:eastAsia="宋体" w:cs="宋体"/>
                <w:b w:val="0"/>
                <w:bCs/>
                <w:color w:val="auto"/>
                <w:sz w:val="21"/>
                <w:szCs w:val="21"/>
                <w:highlight w:val="none"/>
              </w:rPr>
              <w:t>档次（</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eastAsia="宋体" w:cs="宋体"/>
                <w:bCs/>
                <w:color w:val="auto"/>
                <w:sz w:val="21"/>
                <w:szCs w:val="21"/>
                <w:highlight w:val="none"/>
                <w:lang w:val="en-US" w:eastAsia="zh-CN"/>
              </w:rPr>
              <w:t>阐述</w:t>
            </w:r>
            <w:r>
              <w:rPr>
                <w:rFonts w:hint="eastAsia" w:ascii="宋体" w:hAnsi="宋体" w:eastAsia="宋体" w:cs="宋体"/>
                <w:bCs/>
                <w:color w:val="auto"/>
                <w:sz w:val="21"/>
                <w:szCs w:val="21"/>
                <w:highlight w:val="none"/>
              </w:rPr>
              <w:t>不全或</w:t>
            </w:r>
            <w:r>
              <w:rPr>
                <w:rFonts w:hint="eastAsia" w:ascii="宋体" w:hAnsi="宋体" w:eastAsia="宋体" w:cs="宋体"/>
                <w:bCs/>
                <w:color w:val="auto"/>
                <w:sz w:val="21"/>
                <w:szCs w:val="21"/>
                <w:highlight w:val="none"/>
                <w:lang w:val="en-US" w:eastAsia="zh-CN"/>
              </w:rPr>
              <w:t>存在不合理内容的</w:t>
            </w:r>
            <w:r>
              <w:rPr>
                <w:rFonts w:hint="eastAsia" w:ascii="宋体" w:hAnsi="宋体" w:eastAsia="宋体" w:cs="宋体"/>
                <w:bCs/>
                <w:color w:val="auto"/>
                <w:sz w:val="21"/>
                <w:szCs w:val="21"/>
                <w:highlight w:val="none"/>
              </w:rPr>
              <w:t>。</w:t>
            </w:r>
          </w:p>
          <w:p w14:paraId="6BD0DF2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w:t>
            </w:r>
            <w:r>
              <w:rPr>
                <w:rFonts w:hint="eastAsia" w:ascii="宋体" w:hAnsi="宋体" w:eastAsia="宋体" w:cs="宋体"/>
                <w:b w:val="0"/>
                <w:bCs/>
                <w:color w:val="auto"/>
                <w:sz w:val="21"/>
                <w:szCs w:val="21"/>
                <w:highlight w:val="none"/>
                <w:lang w:val="en-US" w:eastAsia="zh-CN"/>
              </w:rPr>
              <w:t>四</w:t>
            </w:r>
            <w:r>
              <w:rPr>
                <w:rFonts w:hint="eastAsia" w:ascii="宋体" w:hAnsi="宋体" w:eastAsia="宋体" w:cs="宋体"/>
                <w:b w:val="0"/>
                <w:bCs/>
                <w:color w:val="auto"/>
                <w:sz w:val="21"/>
                <w:szCs w:val="21"/>
                <w:highlight w:val="none"/>
              </w:rPr>
              <w:t>档次（0分）：</w:t>
            </w:r>
            <w:r>
              <w:rPr>
                <w:rFonts w:hint="eastAsia" w:ascii="宋体" w:hAnsi="宋体" w:eastAsia="宋体" w:cs="宋体"/>
                <w:bCs/>
                <w:color w:val="auto"/>
                <w:sz w:val="21"/>
                <w:szCs w:val="21"/>
                <w:highlight w:val="none"/>
              </w:rPr>
              <w:t>每一项内容缺失</w:t>
            </w:r>
            <w:r>
              <w:rPr>
                <w:rFonts w:hint="eastAsia" w:ascii="宋体" w:hAnsi="宋体" w:eastAsia="宋体" w:cs="宋体"/>
                <w:bCs/>
                <w:color w:val="auto"/>
                <w:sz w:val="21"/>
                <w:szCs w:val="21"/>
                <w:highlight w:val="none"/>
                <w:lang w:val="en-US" w:eastAsia="zh-CN"/>
              </w:rPr>
              <w:t>或者阐述错误，不具可实施性的</w:t>
            </w:r>
            <w:r>
              <w:rPr>
                <w:rFonts w:hint="eastAsia" w:ascii="宋体" w:hAnsi="宋体" w:eastAsia="宋体" w:cs="宋体"/>
                <w:bCs/>
                <w:color w:val="auto"/>
                <w:sz w:val="21"/>
                <w:szCs w:val="21"/>
                <w:highlight w:val="none"/>
              </w:rPr>
              <w:t>。</w:t>
            </w:r>
          </w:p>
          <w:p w14:paraId="16EA5A53">
            <w:pPr>
              <w:pStyle w:val="13"/>
              <w:rPr>
                <w:rFonts w:hint="eastAsia" w:asciiTheme="majorEastAsia" w:hAnsiTheme="majorEastAsia" w:eastAsiaTheme="majorEastAsia"/>
                <w:b/>
                <w:bCs/>
                <w:color w:val="auto"/>
                <w:sz w:val="21"/>
                <w:szCs w:val="21"/>
                <w:highlight w:val="none"/>
              </w:rPr>
            </w:pPr>
            <w:r>
              <w:rPr>
                <w:rFonts w:hint="eastAsia" w:ascii="宋体" w:hAnsi="宋体" w:eastAsia="宋体" w:cs="宋体"/>
                <w:b/>
                <w:bCs w:val="0"/>
                <w:color w:val="auto"/>
                <w:sz w:val="21"/>
                <w:szCs w:val="21"/>
                <w:highlight w:val="none"/>
                <w:lang w:val="en-US" w:eastAsia="zh-CN"/>
              </w:rPr>
              <w:t>备</w:t>
            </w:r>
            <w:r>
              <w:rPr>
                <w:rFonts w:hint="eastAsia" w:ascii="宋体" w:hAnsi="宋体" w:eastAsia="宋体" w:cs="宋体"/>
                <w:b/>
                <w:bCs w:val="0"/>
                <w:color w:val="auto"/>
                <w:sz w:val="21"/>
                <w:szCs w:val="21"/>
                <w:highlight w:val="none"/>
              </w:rPr>
              <w:t>注：</w:t>
            </w:r>
            <w:r>
              <w:rPr>
                <w:rFonts w:hint="eastAsia" w:ascii="宋体" w:hAnsi="宋体" w:eastAsia="宋体" w:cs="宋体"/>
                <w:b/>
                <w:bCs w:val="0"/>
                <w:color w:val="auto"/>
                <w:sz w:val="21"/>
                <w:szCs w:val="21"/>
                <w:highlight w:val="none"/>
                <w:lang w:val="en-US" w:eastAsia="zh-CN"/>
              </w:rPr>
              <w:t>分</w:t>
            </w:r>
            <w:r>
              <w:rPr>
                <w:rFonts w:hint="eastAsia" w:ascii="宋体" w:hAnsi="宋体" w:eastAsia="宋体" w:cs="宋体"/>
                <w:b/>
                <w:bCs w:val="0"/>
                <w:color w:val="auto"/>
                <w:sz w:val="21"/>
                <w:szCs w:val="21"/>
                <w:highlight w:val="none"/>
              </w:rPr>
              <w:t>项内容累计计分，满分</w:t>
            </w:r>
            <w:r>
              <w:rPr>
                <w:rFonts w:hint="eastAsia" w:cs="宋体"/>
                <w:b/>
                <w:bCs w:val="0"/>
                <w:color w:val="auto"/>
                <w:sz w:val="21"/>
                <w:szCs w:val="21"/>
                <w:highlight w:val="none"/>
                <w:lang w:val="en-US" w:eastAsia="zh-CN"/>
              </w:rPr>
              <w:t>8</w:t>
            </w:r>
            <w:r>
              <w:rPr>
                <w:rFonts w:hint="eastAsia" w:ascii="宋体" w:hAnsi="宋体" w:eastAsia="宋体" w:cs="宋体"/>
                <w:b/>
                <w:bCs w:val="0"/>
                <w:color w:val="auto"/>
                <w:sz w:val="21"/>
                <w:szCs w:val="21"/>
                <w:highlight w:val="none"/>
              </w:rPr>
              <w:t>分。</w:t>
            </w:r>
          </w:p>
        </w:tc>
      </w:tr>
      <w:tr w14:paraId="6C54424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7" w:hRule="atLeast"/>
          <w:jc w:val="center"/>
        </w:trPr>
        <w:tc>
          <w:tcPr>
            <w:tcW w:w="747" w:type="dxa"/>
            <w:vAlign w:val="center"/>
          </w:tcPr>
          <w:p w14:paraId="052E2AFE">
            <w:pPr>
              <w:rPr>
                <w:rFonts w:hint="eastAsia"/>
                <w:color w:val="auto"/>
                <w:sz w:val="21"/>
                <w:szCs w:val="21"/>
                <w:highlight w:val="none"/>
                <w:lang w:eastAsia="zh-CN"/>
              </w:rPr>
            </w:pPr>
          </w:p>
        </w:tc>
        <w:tc>
          <w:tcPr>
            <w:tcW w:w="781" w:type="dxa"/>
            <w:vAlign w:val="center"/>
          </w:tcPr>
          <w:p w14:paraId="1E56351B">
            <w:pPr>
              <w:rPr>
                <w:rFonts w:cs="宋体"/>
                <w:color w:val="auto"/>
                <w:sz w:val="21"/>
                <w:szCs w:val="21"/>
                <w:highlight w:val="none"/>
              </w:rPr>
            </w:pPr>
          </w:p>
        </w:tc>
        <w:tc>
          <w:tcPr>
            <w:tcW w:w="1084" w:type="dxa"/>
            <w:vMerge w:val="continue"/>
            <w:vAlign w:val="center"/>
          </w:tcPr>
          <w:p w14:paraId="6E7586DF">
            <w:pPr>
              <w:widowControl/>
              <w:jc w:val="center"/>
              <w:rPr>
                <w:rFonts w:hint="eastAsia" w:ascii="宋体" w:hAnsi="宋体" w:cs="宋体"/>
                <w:color w:val="auto"/>
                <w:sz w:val="21"/>
                <w:szCs w:val="21"/>
                <w:highlight w:val="none"/>
              </w:rPr>
            </w:pPr>
          </w:p>
        </w:tc>
        <w:tc>
          <w:tcPr>
            <w:tcW w:w="860" w:type="dxa"/>
            <w:vAlign w:val="center"/>
          </w:tcPr>
          <w:p w14:paraId="55F09388">
            <w:pPr>
              <w:widowControl/>
              <w:jc w:val="center"/>
              <w:rPr>
                <w:rFonts w:hint="eastAsia" w:asciiTheme="minorEastAsia" w:hAnsiTheme="minorEastAsia" w:eastAsiaTheme="minorEastAsia" w:cstheme="minorEastAsia"/>
                <w:color w:val="auto"/>
                <w:spacing w:val="6"/>
                <w:sz w:val="21"/>
                <w:szCs w:val="21"/>
                <w:highlight w:val="none"/>
              </w:rPr>
            </w:pPr>
            <w:r>
              <w:rPr>
                <w:rFonts w:hint="eastAsia" w:asciiTheme="minorEastAsia" w:hAnsiTheme="minorEastAsia" w:eastAsiaTheme="minorEastAsia" w:cstheme="minorEastAsia"/>
                <w:color w:val="auto"/>
                <w:spacing w:val="6"/>
                <w:sz w:val="21"/>
                <w:szCs w:val="21"/>
                <w:highlight w:val="none"/>
              </w:rPr>
              <w:t>投标人业绩（满分</w:t>
            </w:r>
            <w:r>
              <w:rPr>
                <w:rFonts w:hint="eastAsia" w:asciiTheme="minorEastAsia" w:hAnsiTheme="minorEastAsia" w:eastAsiaTheme="minorEastAsia" w:cstheme="minorEastAsia"/>
                <w:color w:val="auto"/>
                <w:spacing w:val="6"/>
                <w:sz w:val="21"/>
                <w:szCs w:val="21"/>
                <w:highlight w:val="none"/>
                <w:lang w:val="en-US" w:eastAsia="zh-CN"/>
              </w:rPr>
              <w:t>3</w:t>
            </w:r>
            <w:r>
              <w:rPr>
                <w:rFonts w:hint="eastAsia" w:asciiTheme="minorEastAsia" w:hAnsiTheme="minorEastAsia" w:eastAsiaTheme="minorEastAsia" w:cstheme="minorEastAsia"/>
                <w:color w:val="auto"/>
                <w:spacing w:val="6"/>
                <w:sz w:val="21"/>
                <w:szCs w:val="21"/>
                <w:highlight w:val="none"/>
              </w:rPr>
              <w:t>分）</w:t>
            </w:r>
          </w:p>
        </w:tc>
        <w:tc>
          <w:tcPr>
            <w:tcW w:w="6068" w:type="dxa"/>
            <w:vAlign w:val="center"/>
          </w:tcPr>
          <w:p w14:paraId="241F8A75">
            <w:pPr>
              <w:pStyle w:val="87"/>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投标人每提供一份近年</w:t>
            </w:r>
            <w:r>
              <w:rPr>
                <w:rFonts w:hint="eastAsia" w:asciiTheme="minorEastAsia" w:hAnsiTheme="minorEastAsia" w:eastAsiaTheme="minorEastAsia" w:cstheme="minorEastAsia"/>
                <w:bCs/>
                <w:color w:val="auto"/>
                <w:kern w:val="2"/>
                <w:sz w:val="21"/>
                <w:szCs w:val="21"/>
                <w:highlight w:val="none"/>
                <w:lang w:val="en-US" w:eastAsia="zh-CN"/>
              </w:rPr>
              <w:t>承接</w:t>
            </w:r>
            <w:r>
              <w:rPr>
                <w:rFonts w:hint="eastAsia" w:asciiTheme="minorEastAsia" w:hAnsiTheme="minorEastAsia" w:eastAsiaTheme="minorEastAsia" w:cstheme="minorEastAsia"/>
                <w:bCs/>
                <w:color w:val="auto"/>
                <w:kern w:val="2"/>
                <w:sz w:val="21"/>
                <w:szCs w:val="21"/>
                <w:highlight w:val="none"/>
              </w:rPr>
              <w:t>类似项目业绩证明材料的得</w:t>
            </w:r>
            <w:r>
              <w:rPr>
                <w:rFonts w:hint="eastAsia" w:asciiTheme="minorEastAsia" w:hAnsiTheme="minorEastAsia" w:eastAsiaTheme="minorEastAsia" w:cstheme="minorEastAsia"/>
                <w:bCs/>
                <w:color w:val="auto"/>
                <w:kern w:val="2"/>
                <w:sz w:val="21"/>
                <w:szCs w:val="21"/>
                <w:highlight w:val="none"/>
                <w:lang w:val="en-US" w:eastAsia="zh-CN"/>
              </w:rPr>
              <w:t>1.5</w:t>
            </w:r>
            <w:r>
              <w:rPr>
                <w:rFonts w:hint="eastAsia" w:asciiTheme="minorEastAsia" w:hAnsiTheme="minorEastAsia" w:eastAsiaTheme="minorEastAsia" w:cstheme="minorEastAsia"/>
                <w:bCs/>
                <w:color w:val="auto"/>
                <w:kern w:val="2"/>
                <w:sz w:val="21"/>
                <w:szCs w:val="21"/>
                <w:highlight w:val="none"/>
              </w:rPr>
              <w:t>分，满分</w:t>
            </w:r>
            <w:r>
              <w:rPr>
                <w:rFonts w:hint="eastAsia" w:asciiTheme="minorEastAsia" w:hAnsiTheme="minorEastAsia" w:eastAsiaTheme="minorEastAsia" w:cstheme="minorEastAsia"/>
                <w:bCs/>
                <w:color w:val="auto"/>
                <w:kern w:val="2"/>
                <w:sz w:val="21"/>
                <w:szCs w:val="21"/>
                <w:highlight w:val="none"/>
                <w:lang w:val="en-US" w:eastAsia="zh-CN"/>
              </w:rPr>
              <w:t>3</w:t>
            </w:r>
            <w:r>
              <w:rPr>
                <w:rFonts w:hint="eastAsia" w:asciiTheme="minorEastAsia" w:hAnsiTheme="minorEastAsia" w:eastAsiaTheme="minorEastAsia" w:cstheme="minorEastAsia"/>
                <w:bCs/>
                <w:color w:val="auto"/>
                <w:kern w:val="2"/>
                <w:sz w:val="21"/>
                <w:szCs w:val="21"/>
                <w:highlight w:val="none"/>
              </w:rPr>
              <w:t>分。</w:t>
            </w:r>
          </w:p>
          <w:p w14:paraId="7DA8EA9B">
            <w:pPr>
              <w:pStyle w:val="87"/>
              <w:rPr>
                <w:rFonts w:hint="eastAsia"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备注：</w:t>
            </w:r>
          </w:p>
          <w:p w14:paraId="49612C12">
            <w:pPr>
              <w:pStyle w:val="87"/>
              <w:rPr>
                <w:rFonts w:hint="eastAsia" w:asciiTheme="minorEastAsia" w:hAnsiTheme="minorEastAsia" w:eastAsiaTheme="minorEastAsia" w:cstheme="minorEastAsia"/>
                <w:b/>
                <w:bCs/>
                <w:color w:val="auto"/>
                <w:kern w:val="2"/>
                <w:sz w:val="21"/>
                <w:szCs w:val="21"/>
                <w:highlight w:val="none"/>
                <w:lang w:eastAsia="zh-CN"/>
              </w:rPr>
            </w:pPr>
            <w:r>
              <w:rPr>
                <w:rFonts w:hint="eastAsia" w:asciiTheme="minorEastAsia" w:hAnsiTheme="minorEastAsia" w:eastAsiaTheme="minorEastAsia" w:cstheme="minorEastAsia"/>
                <w:b/>
                <w:bCs/>
                <w:color w:val="auto"/>
                <w:kern w:val="2"/>
                <w:sz w:val="21"/>
                <w:szCs w:val="21"/>
                <w:highlight w:val="none"/>
                <w:lang w:eastAsia="zh-CN"/>
              </w:rPr>
              <w:t>①近年指202</w:t>
            </w:r>
            <w:r>
              <w:rPr>
                <w:rFonts w:hint="eastAsia" w:asciiTheme="minorEastAsia" w:hAnsiTheme="minorEastAsia" w:eastAsiaTheme="minorEastAsia" w:cstheme="minorEastAsia"/>
                <w:b/>
                <w:bCs/>
                <w:color w:val="auto"/>
                <w:kern w:val="2"/>
                <w:sz w:val="21"/>
                <w:szCs w:val="21"/>
                <w:highlight w:val="none"/>
                <w:lang w:val="en-US" w:eastAsia="zh-CN"/>
              </w:rPr>
              <w:t>3</w:t>
            </w:r>
            <w:r>
              <w:rPr>
                <w:rFonts w:hint="eastAsia" w:asciiTheme="minorEastAsia" w:hAnsiTheme="minorEastAsia" w:eastAsiaTheme="minorEastAsia" w:cstheme="minorEastAsia"/>
                <w:b/>
                <w:bCs/>
                <w:color w:val="auto"/>
                <w:kern w:val="2"/>
                <w:sz w:val="21"/>
                <w:szCs w:val="21"/>
                <w:highlight w:val="none"/>
                <w:lang w:eastAsia="zh-CN"/>
              </w:rPr>
              <w:t>年1月1日至投标截止时间前（以中标</w:t>
            </w:r>
            <w:r>
              <w:rPr>
                <w:rFonts w:hint="eastAsia" w:asciiTheme="minorEastAsia" w:hAnsiTheme="minorEastAsia" w:eastAsiaTheme="minorEastAsia" w:cstheme="minorEastAsia"/>
                <w:b/>
                <w:bCs/>
                <w:color w:val="auto"/>
                <w:kern w:val="2"/>
                <w:sz w:val="21"/>
                <w:szCs w:val="21"/>
                <w:highlight w:val="none"/>
                <w:lang w:val="en-US" w:eastAsia="zh-CN"/>
              </w:rPr>
              <w:t>/成交</w:t>
            </w:r>
            <w:r>
              <w:rPr>
                <w:rFonts w:hint="eastAsia" w:asciiTheme="minorEastAsia" w:hAnsiTheme="minorEastAsia" w:eastAsiaTheme="minorEastAsia" w:cstheme="minorEastAsia"/>
                <w:b/>
                <w:bCs/>
                <w:color w:val="auto"/>
                <w:kern w:val="2"/>
                <w:sz w:val="21"/>
                <w:szCs w:val="21"/>
                <w:highlight w:val="none"/>
                <w:lang w:eastAsia="zh-CN"/>
              </w:rPr>
              <w:t>通知书时间或合同签订时间为准）；</w:t>
            </w:r>
          </w:p>
          <w:p w14:paraId="2DD4F1B1">
            <w:pPr>
              <w:pStyle w:val="87"/>
              <w:rPr>
                <w:rFonts w:hint="eastAsia" w:asciiTheme="minorEastAsia" w:hAnsiTheme="minorEastAsia" w:eastAsiaTheme="minorEastAsia" w:cstheme="minorEastAsia"/>
                <w:b/>
                <w:bCs/>
                <w:color w:val="auto"/>
                <w:kern w:val="2"/>
                <w:sz w:val="21"/>
                <w:szCs w:val="21"/>
                <w:highlight w:val="none"/>
                <w:lang w:eastAsia="zh-CN"/>
              </w:rPr>
            </w:pPr>
            <w:r>
              <w:rPr>
                <w:rFonts w:hint="eastAsia" w:asciiTheme="minorEastAsia" w:hAnsiTheme="minorEastAsia" w:eastAsiaTheme="minorEastAsia" w:cstheme="minorEastAsia"/>
                <w:b/>
                <w:bCs/>
                <w:color w:val="auto"/>
                <w:kern w:val="2"/>
                <w:sz w:val="21"/>
                <w:szCs w:val="21"/>
                <w:highlight w:val="none"/>
                <w:lang w:eastAsia="zh-CN"/>
              </w:rPr>
              <w:t>②类似业绩指仪器</w:t>
            </w:r>
            <w:r>
              <w:rPr>
                <w:rFonts w:hint="eastAsia" w:asciiTheme="minorEastAsia" w:hAnsiTheme="minorEastAsia" w:eastAsiaTheme="minorEastAsia" w:cstheme="minorEastAsia"/>
                <w:b/>
                <w:bCs/>
                <w:color w:val="auto"/>
                <w:kern w:val="2"/>
                <w:sz w:val="21"/>
                <w:szCs w:val="21"/>
                <w:highlight w:val="none"/>
                <w:lang w:val="en-US" w:eastAsia="zh-CN"/>
              </w:rPr>
              <w:t>或</w:t>
            </w:r>
            <w:r>
              <w:rPr>
                <w:rFonts w:hint="eastAsia" w:asciiTheme="minorEastAsia" w:hAnsiTheme="minorEastAsia" w:eastAsiaTheme="minorEastAsia" w:cstheme="minorEastAsia"/>
                <w:b/>
                <w:bCs/>
                <w:color w:val="auto"/>
                <w:kern w:val="2"/>
                <w:sz w:val="21"/>
                <w:szCs w:val="21"/>
                <w:highlight w:val="none"/>
                <w:lang w:eastAsia="zh-CN"/>
              </w:rPr>
              <w:t>设备类供货业绩，金额不限；</w:t>
            </w:r>
          </w:p>
          <w:p w14:paraId="3D7CC5F0">
            <w:pPr>
              <w:pStyle w:val="87"/>
              <w:rPr>
                <w:rFonts w:hint="eastAsia" w:asciiTheme="minorEastAsia" w:hAnsiTheme="minorEastAsia" w:eastAsiaTheme="minorEastAsia" w:cstheme="minorEastAsia"/>
                <w:b/>
                <w:bCs/>
                <w:color w:val="auto"/>
                <w:kern w:val="2"/>
                <w:sz w:val="21"/>
                <w:szCs w:val="21"/>
                <w:highlight w:val="none"/>
                <w:lang w:eastAsia="zh-CN"/>
              </w:rPr>
            </w:pPr>
            <w:r>
              <w:rPr>
                <w:rFonts w:hint="eastAsia" w:asciiTheme="minorEastAsia" w:hAnsiTheme="minorEastAsia" w:eastAsiaTheme="minorEastAsia" w:cstheme="minorEastAsia"/>
                <w:b/>
                <w:bCs/>
                <w:color w:val="auto"/>
                <w:kern w:val="2"/>
                <w:sz w:val="21"/>
                <w:szCs w:val="21"/>
                <w:highlight w:val="none"/>
                <w:lang w:eastAsia="zh-CN"/>
              </w:rPr>
              <w:t>③业绩证明材料为中标通知书或合同（合同首页、关键信息页、标的及金额所在页及合同签字盖章页）扫描件加盖电子签章。</w:t>
            </w:r>
          </w:p>
          <w:p w14:paraId="4E372858">
            <w:pPr>
              <w:pStyle w:val="87"/>
              <w:rPr>
                <w:rFonts w:hint="eastAsia"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fldChar w:fldCharType="begin"/>
            </w:r>
            <w:r>
              <w:rPr>
                <w:rFonts w:hint="eastAsia" w:asciiTheme="minorEastAsia" w:hAnsiTheme="minorEastAsia" w:eastAsiaTheme="minorEastAsia" w:cstheme="minorEastAsia"/>
                <w:b/>
                <w:bCs/>
                <w:color w:val="auto"/>
                <w:kern w:val="2"/>
                <w:sz w:val="21"/>
                <w:szCs w:val="21"/>
                <w:highlight w:val="none"/>
              </w:rPr>
              <w:instrText xml:space="preserve"> = 4 \* GB3 </w:instrText>
            </w:r>
            <w:r>
              <w:rPr>
                <w:rFonts w:hint="eastAsia" w:asciiTheme="minorEastAsia" w:hAnsiTheme="minorEastAsia" w:eastAsiaTheme="minorEastAsia" w:cstheme="minorEastAsia"/>
                <w:b/>
                <w:bCs/>
                <w:color w:val="auto"/>
                <w:kern w:val="2"/>
                <w:sz w:val="21"/>
                <w:szCs w:val="21"/>
                <w:highlight w:val="none"/>
              </w:rPr>
              <w:fldChar w:fldCharType="separate"/>
            </w:r>
            <w:r>
              <w:rPr>
                <w:rFonts w:hint="eastAsia" w:asciiTheme="minorEastAsia" w:hAnsiTheme="minorEastAsia" w:eastAsiaTheme="minorEastAsia" w:cstheme="minorEastAsia"/>
                <w:b/>
                <w:bCs/>
                <w:color w:val="auto"/>
                <w:kern w:val="2"/>
                <w:sz w:val="21"/>
                <w:szCs w:val="21"/>
                <w:highlight w:val="none"/>
              </w:rPr>
              <w:t>④</w:t>
            </w:r>
            <w:r>
              <w:rPr>
                <w:rFonts w:hint="eastAsia" w:asciiTheme="minorEastAsia" w:hAnsiTheme="minorEastAsia" w:eastAsiaTheme="minorEastAsia" w:cstheme="minorEastAsia"/>
                <w:b/>
                <w:bCs/>
                <w:color w:val="auto"/>
                <w:kern w:val="2"/>
                <w:sz w:val="21"/>
                <w:szCs w:val="21"/>
                <w:highlight w:val="none"/>
              </w:rPr>
              <w:fldChar w:fldCharType="end"/>
            </w:r>
            <w:r>
              <w:rPr>
                <w:rFonts w:hint="eastAsia" w:asciiTheme="minorEastAsia" w:hAnsiTheme="minorEastAsia" w:eastAsiaTheme="minorEastAsia" w:cstheme="minorEastAsia"/>
                <w:b/>
                <w:bCs/>
                <w:color w:val="auto"/>
                <w:kern w:val="2"/>
                <w:sz w:val="21"/>
                <w:szCs w:val="21"/>
                <w:highlight w:val="none"/>
              </w:rPr>
              <w:t>无证明材料或证明材料不齐全、无法体现业绩内容的，不得分。</w:t>
            </w:r>
          </w:p>
        </w:tc>
      </w:tr>
    </w:tbl>
    <w:p w14:paraId="6C0E7CB3">
      <w:pPr>
        <w:rPr>
          <w:color w:val="auto"/>
          <w:sz w:val="21"/>
          <w:szCs w:val="21"/>
          <w:highlight w:val="none"/>
        </w:rPr>
      </w:pPr>
    </w:p>
    <w:p w14:paraId="5BB6B1C6">
      <w:pPr>
        <w:widowControl/>
        <w:ind w:firstLine="520"/>
        <w:jc w:val="left"/>
        <w:rPr>
          <w:b/>
          <w:color w:val="auto"/>
          <w:highlight w:val="none"/>
        </w:rPr>
      </w:pPr>
      <w:r>
        <w:rPr>
          <w:b/>
          <w:color w:val="auto"/>
          <w:highlight w:val="none"/>
        </w:rPr>
        <w:br w:type="page"/>
      </w:r>
    </w:p>
    <w:p w14:paraId="0ACECF67">
      <w:pPr>
        <w:ind w:firstLine="600"/>
        <w:rPr>
          <w:b/>
          <w:color w:val="auto"/>
          <w:sz w:val="28"/>
          <w:szCs w:val="28"/>
          <w:highlight w:val="none"/>
        </w:rPr>
      </w:pPr>
      <w:bookmarkStart w:id="186" w:name="_Toc525998733"/>
      <w:bookmarkStart w:id="187" w:name="_Toc530405542"/>
      <w:r>
        <w:rPr>
          <w:rFonts w:hint="eastAsia"/>
          <w:b/>
          <w:color w:val="auto"/>
          <w:sz w:val="28"/>
          <w:szCs w:val="28"/>
          <w:highlight w:val="none"/>
          <w:lang w:eastAsia="zh-CN"/>
        </w:rPr>
        <w:t>1.</w:t>
      </w:r>
      <w:r>
        <w:rPr>
          <w:rFonts w:hint="eastAsia"/>
          <w:b/>
          <w:color w:val="auto"/>
          <w:sz w:val="28"/>
          <w:szCs w:val="28"/>
          <w:highlight w:val="none"/>
        </w:rPr>
        <w:t>评标方法</w:t>
      </w:r>
      <w:bookmarkEnd w:id="186"/>
      <w:bookmarkEnd w:id="187"/>
    </w:p>
    <w:p w14:paraId="3AF7470F">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本次评标采用综合评分法。评标委员会对满足招标文件实质性要求的投标文件，按照本章第2.2款规定的评分标准进行打分，并按得分由高到低顺序推荐中标候选人。若评标总得分相同，则按</w:t>
      </w:r>
      <w:r>
        <w:rPr>
          <w:rFonts w:hint="eastAsia" w:ascii="宋体" w:hAnsi="宋体" w:cs="宋体"/>
          <w:color w:val="auto"/>
          <w:szCs w:val="21"/>
          <w:highlight w:val="none"/>
          <w:lang w:val="en-US" w:eastAsia="zh-CN"/>
        </w:rPr>
        <w:t>投标总价</w:t>
      </w:r>
      <w:r>
        <w:rPr>
          <w:rFonts w:hint="eastAsia" w:ascii="宋体" w:hAnsi="宋体" w:cs="宋体"/>
          <w:color w:val="auto"/>
          <w:szCs w:val="21"/>
          <w:highlight w:val="none"/>
        </w:rPr>
        <w:t>由高到低顺序排列；若评标总得分相同且投标报价相同时，按第二项评审因素得分高低顺序排列，以此类推</w:t>
      </w:r>
      <w:r>
        <w:rPr>
          <w:rFonts w:ascii="宋体" w:hAnsi="宋体" w:cs="宋体"/>
          <w:color w:val="auto"/>
          <w:szCs w:val="21"/>
          <w:highlight w:val="none"/>
        </w:rPr>
        <w:t>。</w:t>
      </w:r>
    </w:p>
    <w:p w14:paraId="3B6DDD78">
      <w:pPr>
        <w:ind w:firstLine="600"/>
        <w:rPr>
          <w:b/>
          <w:color w:val="auto"/>
          <w:sz w:val="28"/>
          <w:szCs w:val="28"/>
          <w:highlight w:val="none"/>
        </w:rPr>
      </w:pPr>
      <w:bookmarkStart w:id="188" w:name="_Toc530405543"/>
      <w:bookmarkStart w:id="189" w:name="_Toc525998734"/>
      <w:r>
        <w:rPr>
          <w:rFonts w:hint="eastAsia"/>
          <w:b/>
          <w:color w:val="auto"/>
          <w:sz w:val="28"/>
          <w:szCs w:val="28"/>
          <w:highlight w:val="none"/>
          <w:lang w:eastAsia="zh-CN"/>
        </w:rPr>
        <w:t>2.</w:t>
      </w:r>
      <w:r>
        <w:rPr>
          <w:rFonts w:hint="eastAsia"/>
          <w:b/>
          <w:color w:val="auto"/>
          <w:sz w:val="28"/>
          <w:szCs w:val="28"/>
          <w:highlight w:val="none"/>
        </w:rPr>
        <w:t>评审标准</w:t>
      </w:r>
      <w:bookmarkEnd w:id="188"/>
      <w:bookmarkEnd w:id="189"/>
    </w:p>
    <w:p w14:paraId="00D62854">
      <w:pPr>
        <w:ind w:firstLine="560" w:firstLineChars="200"/>
        <w:rPr>
          <w:rFonts w:ascii="宋体" w:hAnsi="宋体" w:cs="宋体"/>
          <w:color w:val="auto"/>
          <w:szCs w:val="28"/>
          <w:highlight w:val="none"/>
        </w:rPr>
      </w:pPr>
      <w:bookmarkStart w:id="190" w:name="_Toc525998735"/>
      <w:bookmarkStart w:id="191" w:name="_Toc530405544"/>
      <w:r>
        <w:rPr>
          <w:rFonts w:hint="eastAsia"/>
          <w:b/>
          <w:color w:val="auto"/>
          <w:sz w:val="28"/>
          <w:szCs w:val="28"/>
          <w:highlight w:val="none"/>
        </w:rPr>
        <w:t>2.1初步评审标准</w:t>
      </w:r>
      <w:bookmarkEnd w:id="190"/>
      <w:bookmarkEnd w:id="191"/>
    </w:p>
    <w:p w14:paraId="32D5C8ED">
      <w:pPr>
        <w:spacing w:line="360" w:lineRule="auto"/>
        <w:ind w:firstLine="420" w:firstLineChars="200"/>
        <w:jc w:val="left"/>
        <w:rPr>
          <w:rFonts w:hint="eastAsia" w:ascii="宋体"/>
          <w:color w:val="auto"/>
          <w:szCs w:val="21"/>
          <w:highlight w:val="none"/>
        </w:rPr>
      </w:pPr>
      <w:r>
        <w:rPr>
          <w:rFonts w:hint="eastAsia" w:ascii="宋体"/>
          <w:color w:val="auto"/>
          <w:szCs w:val="21"/>
          <w:highlight w:val="none"/>
        </w:rPr>
        <w:t>2.1.1 资格评审标准：</w:t>
      </w:r>
      <w:r>
        <w:rPr>
          <w:rFonts w:ascii="宋体"/>
          <w:color w:val="auto"/>
          <w:szCs w:val="21"/>
          <w:highlight w:val="none"/>
        </w:rPr>
        <w:t>依据法律法规和招标文件的规定，对投标文件中的资格证明等进行审查，以确定投标</w:t>
      </w:r>
      <w:r>
        <w:rPr>
          <w:rFonts w:hint="eastAsia" w:ascii="宋体"/>
          <w:color w:val="auto"/>
          <w:szCs w:val="21"/>
          <w:highlight w:val="none"/>
        </w:rPr>
        <w:t>人</w:t>
      </w:r>
      <w:r>
        <w:rPr>
          <w:rFonts w:ascii="宋体"/>
          <w:color w:val="auto"/>
          <w:szCs w:val="21"/>
          <w:highlight w:val="none"/>
        </w:rPr>
        <w:t>是否具备投标资格</w:t>
      </w:r>
      <w:r>
        <w:rPr>
          <w:rFonts w:hint="eastAsia" w:ascii="宋体"/>
          <w:color w:val="auto"/>
          <w:szCs w:val="21"/>
          <w:highlight w:val="none"/>
        </w:rPr>
        <w:t>；见评标办法前附表。</w:t>
      </w:r>
    </w:p>
    <w:p w14:paraId="62C02773">
      <w:pPr>
        <w:widowControl w:val="0"/>
        <w:tabs>
          <w:tab w:val="left" w:pos="2472"/>
        </w:tabs>
        <w:spacing w:line="360" w:lineRule="auto"/>
        <w:ind w:firstLine="420" w:firstLineChars="200"/>
        <w:jc w:val="both"/>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（1）开标结束后，采购人或者采购代理机构将依法对投标人的资格进行审查，合格投标人不足3家的，不得评标。</w:t>
      </w:r>
    </w:p>
    <w:p w14:paraId="0DB8A796">
      <w:pPr>
        <w:widowControl w:val="0"/>
        <w:tabs>
          <w:tab w:val="left" w:pos="2472"/>
        </w:tabs>
        <w:spacing w:line="360" w:lineRule="auto"/>
        <w:ind w:firstLine="420" w:firstLineChars="200"/>
        <w:jc w:val="both"/>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（2）采购人或者采购代理机构按照招标文件第一章《招标公告》中“二、申请人的资格要求”和第二章《投标人须知前附表》中“5.投标人资格要求”的规定对投标文件中的资格审查部分进行审查。</w:t>
      </w:r>
    </w:p>
    <w:p w14:paraId="1E64F33F">
      <w:pPr>
        <w:widowControl w:val="0"/>
        <w:tabs>
          <w:tab w:val="left" w:pos="2472"/>
        </w:tabs>
        <w:spacing w:line="360" w:lineRule="auto"/>
        <w:ind w:firstLine="420" w:firstLineChars="200"/>
        <w:jc w:val="both"/>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（3）如投标人未满足投标人资格要求提供虚假材料，一经查实，视为未实质性响应招标文件，投标人投标文件将按无效处理。</w:t>
      </w:r>
    </w:p>
    <w:p w14:paraId="5BE84599">
      <w:pPr>
        <w:widowControl w:val="0"/>
        <w:tabs>
          <w:tab w:val="left" w:pos="2472"/>
        </w:tabs>
        <w:spacing w:line="360" w:lineRule="auto"/>
        <w:ind w:firstLine="420" w:firstLineChars="200"/>
        <w:jc w:val="both"/>
        <w:rPr>
          <w:color w:val="auto"/>
          <w:highlight w:val="none"/>
        </w:rPr>
      </w:pPr>
      <w:r>
        <w:rPr>
          <w:rFonts w:hint="eastAsia" w:ascii="宋体" w:hAnsi="Times New Roman" w:eastAsia="宋体" w:cs="Times New Roman"/>
          <w:color w:val="auto"/>
          <w:kern w:val="2"/>
          <w:sz w:val="21"/>
          <w:szCs w:val="21"/>
          <w:highlight w:val="none"/>
          <w:lang w:val="en-US" w:eastAsia="zh-CN" w:bidi="ar-SA"/>
        </w:rPr>
        <w:t>（4）采购人或者采购代理机构在资格审查过程中发现投标人有一项不符合上述规定的，该投标文件按无效投标处理。</w:t>
      </w:r>
    </w:p>
    <w:p w14:paraId="4E89FE98">
      <w:pPr>
        <w:pStyle w:val="21"/>
        <w:tabs>
          <w:tab w:val="left" w:pos="2472"/>
        </w:tabs>
        <w:spacing w:line="360" w:lineRule="auto"/>
        <w:ind w:firstLine="420" w:firstLineChars="200"/>
        <w:rPr>
          <w:color w:val="auto"/>
          <w:szCs w:val="21"/>
          <w:highlight w:val="none"/>
        </w:rPr>
      </w:pPr>
      <w:r>
        <w:rPr>
          <w:rFonts w:hint="eastAsia"/>
          <w:color w:val="auto"/>
          <w:szCs w:val="21"/>
          <w:highlight w:val="none"/>
        </w:rPr>
        <w:t>2.1.2 符合性评审标准：</w:t>
      </w:r>
      <w:r>
        <w:rPr>
          <w:color w:val="auto"/>
          <w:szCs w:val="21"/>
          <w:highlight w:val="none"/>
        </w:rPr>
        <w:t>依据招标文件的规定，从投标文件的有效性、完整性和对招标文件的响应程度进行审查，以确定是否对招标文件的实质性要求作出响应</w:t>
      </w:r>
      <w:r>
        <w:rPr>
          <w:rFonts w:hint="eastAsia"/>
          <w:color w:val="auto"/>
          <w:szCs w:val="21"/>
          <w:highlight w:val="none"/>
        </w:rPr>
        <w:t>；见评标办法前附表。</w:t>
      </w:r>
    </w:p>
    <w:p w14:paraId="1EF8F209">
      <w:pPr>
        <w:pStyle w:val="21"/>
        <w:tabs>
          <w:tab w:val="left" w:pos="2472"/>
        </w:tabs>
        <w:spacing w:line="360" w:lineRule="auto"/>
        <w:ind w:firstLine="420" w:firstLineChars="200"/>
        <w:rPr>
          <w:color w:val="auto"/>
          <w:szCs w:val="21"/>
          <w:highlight w:val="none"/>
        </w:rPr>
      </w:pPr>
      <w:r>
        <w:rPr>
          <w:rFonts w:hint="eastAsia"/>
          <w:color w:val="auto"/>
          <w:szCs w:val="21"/>
          <w:highlight w:val="none"/>
        </w:rPr>
        <w:t>2.1.3其他</w:t>
      </w:r>
    </w:p>
    <w:p w14:paraId="4F6A1923">
      <w:pPr>
        <w:pStyle w:val="88"/>
        <w:spacing w:line="360" w:lineRule="auto"/>
        <w:ind w:left="1" w:firstLine="420" w:firstLineChars="200"/>
        <w:rPr>
          <w:rFonts w:hAnsi="Times New Roman" w:cs="Times New Roman"/>
          <w:color w:val="auto"/>
          <w:kern w:val="2"/>
          <w:sz w:val="21"/>
          <w:szCs w:val="21"/>
          <w:highlight w:val="none"/>
        </w:rPr>
      </w:pPr>
      <w:r>
        <w:rPr>
          <w:rFonts w:hint="eastAsia" w:hAnsi="Times New Roman" w:cs="Times New Roman"/>
          <w:color w:val="auto"/>
          <w:kern w:val="2"/>
          <w:sz w:val="21"/>
          <w:szCs w:val="21"/>
          <w:highlight w:val="none"/>
        </w:rPr>
        <w:t>（1）利害关系投标人处理。单位负责人为同一人或者存在直接控股、管理关系的不同投标人不得参加同一合同项下的采购活动。采购项目实行资格预审的，单位负责人为同一人或者存在直接控股、管理关系的不同投标人可以参加资格预审，但只能由投标人确定其中一家符合条件的投标人参加后续的采购活动，否则，其投标文件作为无效处理。</w:t>
      </w:r>
    </w:p>
    <w:p w14:paraId="345333B3">
      <w:pPr>
        <w:pStyle w:val="88"/>
        <w:spacing w:line="360" w:lineRule="auto"/>
        <w:ind w:left="1" w:firstLine="420" w:firstLineChars="200"/>
        <w:rPr>
          <w:rFonts w:hAnsi="Times New Roman" w:cs="Times New Roman"/>
          <w:color w:val="auto"/>
          <w:kern w:val="2"/>
          <w:sz w:val="21"/>
          <w:szCs w:val="21"/>
          <w:highlight w:val="none"/>
        </w:rPr>
      </w:pPr>
      <w:r>
        <w:rPr>
          <w:rFonts w:hint="eastAsia" w:hAnsi="Times New Roman" w:cs="Times New Roman"/>
          <w:color w:val="auto"/>
          <w:kern w:val="2"/>
          <w:sz w:val="21"/>
          <w:szCs w:val="21"/>
          <w:highlight w:val="none"/>
        </w:rPr>
        <w:t>（2）利害关系授权代表处理。两家以上的投标人不得在同一合同项下的采购项目中，委托同一个自然人、同一家庭的人员、同一单位的人员作为其授权代表，否则，其投标文件作为无效处理。</w:t>
      </w:r>
    </w:p>
    <w:p w14:paraId="76F327A6">
      <w:pPr>
        <w:pStyle w:val="88"/>
        <w:spacing w:line="360" w:lineRule="auto"/>
        <w:ind w:left="1" w:firstLine="420" w:firstLineChars="200"/>
        <w:rPr>
          <w:rFonts w:hAnsi="Times New Roman" w:cs="Times New Roman"/>
          <w:color w:val="auto"/>
          <w:kern w:val="2"/>
          <w:sz w:val="21"/>
          <w:szCs w:val="21"/>
          <w:highlight w:val="none"/>
        </w:rPr>
      </w:pPr>
      <w:r>
        <w:rPr>
          <w:rFonts w:hint="eastAsia" w:hAnsi="Times New Roman" w:cs="Times New Roman"/>
          <w:color w:val="auto"/>
          <w:kern w:val="2"/>
          <w:sz w:val="21"/>
          <w:szCs w:val="21"/>
          <w:highlight w:val="none"/>
        </w:rPr>
        <w:t>（3）前期参与投标人处理。为采购项目提供整体设计、规范编制或者项目管理、监理、检测等服务的投标人，不得再参加该采购项目的其他采购活动。投标人为</w:t>
      </w:r>
      <w:r>
        <w:rPr>
          <w:rFonts w:hint="eastAsia" w:hAnsi="Times New Roman" w:cs="Times New Roman"/>
          <w:color w:val="auto"/>
          <w:kern w:val="2"/>
          <w:sz w:val="21"/>
          <w:szCs w:val="21"/>
          <w:highlight w:val="none"/>
          <w:lang w:eastAsia="zh-CN"/>
        </w:rPr>
        <w:t>采购人</w:t>
      </w:r>
      <w:r>
        <w:rPr>
          <w:rFonts w:hint="eastAsia" w:hAnsi="Times New Roman" w:cs="Times New Roman"/>
          <w:color w:val="auto"/>
          <w:kern w:val="2"/>
          <w:sz w:val="21"/>
          <w:szCs w:val="21"/>
          <w:highlight w:val="none"/>
        </w:rPr>
        <w:t>、</w:t>
      </w:r>
      <w:r>
        <w:rPr>
          <w:rFonts w:hint="eastAsia" w:hAnsi="Times New Roman" w:cs="Times New Roman"/>
          <w:color w:val="auto"/>
          <w:kern w:val="2"/>
          <w:sz w:val="21"/>
          <w:szCs w:val="21"/>
          <w:highlight w:val="none"/>
          <w:lang w:eastAsia="zh-CN"/>
        </w:rPr>
        <w:t>采购代理</w:t>
      </w:r>
      <w:r>
        <w:rPr>
          <w:rFonts w:hint="eastAsia" w:hAnsi="Times New Roman" w:cs="Times New Roman"/>
          <w:color w:val="auto"/>
          <w:kern w:val="2"/>
          <w:sz w:val="21"/>
          <w:szCs w:val="21"/>
          <w:highlight w:val="none"/>
        </w:rPr>
        <w:t>机构在确定采购需求、编制采购文件过程中提供咨询论证，其提供的咨询论证意见成为采购文件中规定的投标人资格条件、技术服务商务要求、评标因素和标准、采购合同等实质性内容条款的，视同为采购项目提供规范编制。</w:t>
      </w:r>
    </w:p>
    <w:p w14:paraId="69451266">
      <w:pPr>
        <w:pStyle w:val="88"/>
        <w:spacing w:line="360" w:lineRule="auto"/>
        <w:ind w:left="1" w:firstLine="420" w:firstLineChars="200"/>
        <w:rPr>
          <w:rFonts w:hAnsi="Times New Roman" w:cs="Times New Roman"/>
          <w:color w:val="auto"/>
          <w:kern w:val="2"/>
          <w:sz w:val="21"/>
          <w:szCs w:val="21"/>
          <w:highlight w:val="none"/>
        </w:rPr>
      </w:pPr>
      <w:r>
        <w:rPr>
          <w:rFonts w:hint="eastAsia" w:hAnsi="Times New Roman" w:cs="Times New Roman"/>
          <w:color w:val="auto"/>
          <w:kern w:val="2"/>
          <w:sz w:val="21"/>
          <w:szCs w:val="21"/>
          <w:highlight w:val="none"/>
        </w:rPr>
        <w:t>（4）投标人实际控制人或者中高级管理人员，同时是</w:t>
      </w:r>
      <w:r>
        <w:rPr>
          <w:rFonts w:hint="eastAsia" w:hAnsi="Times New Roman" w:cs="Times New Roman"/>
          <w:color w:val="auto"/>
          <w:kern w:val="2"/>
          <w:sz w:val="21"/>
          <w:szCs w:val="21"/>
          <w:highlight w:val="none"/>
          <w:lang w:eastAsia="zh-CN"/>
        </w:rPr>
        <w:t>采购代理</w:t>
      </w:r>
      <w:r>
        <w:rPr>
          <w:rFonts w:hint="eastAsia" w:hAnsi="Times New Roman" w:cs="Times New Roman"/>
          <w:color w:val="auto"/>
          <w:kern w:val="2"/>
          <w:sz w:val="21"/>
          <w:szCs w:val="21"/>
          <w:highlight w:val="none"/>
        </w:rPr>
        <w:t>机构工作人员，不得参与本项目采购活动。</w:t>
      </w:r>
    </w:p>
    <w:p w14:paraId="19DFC014">
      <w:pPr>
        <w:pStyle w:val="88"/>
        <w:spacing w:line="360" w:lineRule="auto"/>
        <w:ind w:left="1" w:firstLine="420" w:firstLineChars="200"/>
        <w:rPr>
          <w:rFonts w:hAnsi="Times New Roman" w:cs="Times New Roman"/>
          <w:color w:val="auto"/>
          <w:kern w:val="2"/>
          <w:sz w:val="21"/>
          <w:szCs w:val="21"/>
          <w:highlight w:val="none"/>
        </w:rPr>
      </w:pPr>
      <w:r>
        <w:rPr>
          <w:rFonts w:hint="eastAsia" w:hAnsi="Times New Roman" w:cs="Times New Roman"/>
          <w:color w:val="auto"/>
          <w:kern w:val="2"/>
          <w:sz w:val="21"/>
          <w:szCs w:val="21"/>
          <w:highlight w:val="none"/>
        </w:rPr>
        <w:t>（5）同一母公司的两家以上的子公司只能组成联合体参加本项目同一合同项下的采购活动，不得以不同投标人身份同时参加本项目同一合同项下的采购活动。</w:t>
      </w:r>
    </w:p>
    <w:p w14:paraId="37D87DC2">
      <w:pPr>
        <w:pStyle w:val="88"/>
        <w:spacing w:line="360" w:lineRule="auto"/>
        <w:ind w:left="1" w:firstLine="420" w:firstLineChars="200"/>
        <w:rPr>
          <w:rFonts w:hAnsi="Times New Roman" w:cs="Times New Roman"/>
          <w:color w:val="auto"/>
          <w:kern w:val="2"/>
          <w:sz w:val="21"/>
          <w:szCs w:val="21"/>
          <w:highlight w:val="none"/>
        </w:rPr>
      </w:pPr>
      <w:r>
        <w:rPr>
          <w:rFonts w:hint="eastAsia" w:hAnsi="Times New Roman" w:cs="Times New Roman"/>
          <w:color w:val="auto"/>
          <w:kern w:val="2"/>
          <w:sz w:val="21"/>
          <w:szCs w:val="21"/>
          <w:highlight w:val="none"/>
        </w:rPr>
        <w:t>（6）投标人与</w:t>
      </w:r>
      <w:r>
        <w:rPr>
          <w:rFonts w:hint="eastAsia" w:hAnsi="Times New Roman" w:cs="Times New Roman"/>
          <w:color w:val="auto"/>
          <w:kern w:val="2"/>
          <w:sz w:val="21"/>
          <w:szCs w:val="21"/>
          <w:highlight w:val="none"/>
          <w:lang w:eastAsia="zh-CN"/>
        </w:rPr>
        <w:t>采购代理</w:t>
      </w:r>
      <w:r>
        <w:rPr>
          <w:rFonts w:hint="eastAsia" w:hAnsi="Times New Roman" w:cs="Times New Roman"/>
          <w:color w:val="auto"/>
          <w:kern w:val="2"/>
          <w:sz w:val="21"/>
          <w:szCs w:val="21"/>
          <w:highlight w:val="none"/>
        </w:rPr>
        <w:t>机构存在关联关系，或者是</w:t>
      </w:r>
      <w:r>
        <w:rPr>
          <w:rFonts w:hint="eastAsia" w:hAnsi="Times New Roman" w:cs="Times New Roman"/>
          <w:color w:val="auto"/>
          <w:kern w:val="2"/>
          <w:sz w:val="21"/>
          <w:szCs w:val="21"/>
          <w:highlight w:val="none"/>
          <w:lang w:eastAsia="zh-CN"/>
        </w:rPr>
        <w:t>采购代理</w:t>
      </w:r>
      <w:r>
        <w:rPr>
          <w:rFonts w:hint="eastAsia" w:hAnsi="Times New Roman" w:cs="Times New Roman"/>
          <w:color w:val="auto"/>
          <w:kern w:val="2"/>
          <w:sz w:val="21"/>
          <w:szCs w:val="21"/>
          <w:highlight w:val="none"/>
        </w:rPr>
        <w:t>机构的母公司或子公司，不得参加本项目采购活动。</w:t>
      </w:r>
    </w:p>
    <w:p w14:paraId="075D41B0">
      <w:pPr>
        <w:pStyle w:val="88"/>
        <w:spacing w:line="360" w:lineRule="auto"/>
        <w:ind w:left="1" w:firstLine="420" w:firstLineChars="200"/>
        <w:rPr>
          <w:rFonts w:hAnsi="Times New Roman" w:cs="Times New Roman"/>
          <w:color w:val="auto"/>
          <w:kern w:val="2"/>
          <w:sz w:val="21"/>
          <w:szCs w:val="21"/>
          <w:highlight w:val="none"/>
        </w:rPr>
      </w:pPr>
      <w:r>
        <w:rPr>
          <w:rFonts w:hint="eastAsia" w:hAnsi="Times New Roman" w:cs="Times New Roman"/>
          <w:color w:val="auto"/>
          <w:kern w:val="2"/>
          <w:sz w:val="21"/>
          <w:szCs w:val="21"/>
          <w:highlight w:val="none"/>
        </w:rPr>
        <w:t>（7）回避。采购活动中，</w:t>
      </w:r>
      <w:r>
        <w:rPr>
          <w:rFonts w:hint="eastAsia" w:hAnsi="Times New Roman" w:cs="Times New Roman"/>
          <w:color w:val="auto"/>
          <w:kern w:val="2"/>
          <w:sz w:val="21"/>
          <w:szCs w:val="21"/>
          <w:highlight w:val="none"/>
          <w:lang w:eastAsia="zh-CN"/>
        </w:rPr>
        <w:t>采购人</w:t>
      </w:r>
      <w:r>
        <w:rPr>
          <w:rFonts w:hint="eastAsia" w:hAnsi="Times New Roman" w:cs="Times New Roman"/>
          <w:color w:val="auto"/>
          <w:kern w:val="2"/>
          <w:sz w:val="21"/>
          <w:szCs w:val="21"/>
          <w:highlight w:val="none"/>
        </w:rPr>
        <w:t>员及相关人员与投标人有下列利害关系之一的，应当回避：</w:t>
      </w:r>
    </w:p>
    <w:p w14:paraId="1FADB7FC">
      <w:pPr>
        <w:pStyle w:val="88"/>
        <w:spacing w:line="360" w:lineRule="auto"/>
        <w:ind w:left="1" w:firstLine="420" w:firstLineChars="200"/>
        <w:rPr>
          <w:rFonts w:hAnsi="宋体"/>
          <w:color w:val="auto"/>
          <w:kern w:val="2"/>
          <w:sz w:val="21"/>
          <w:szCs w:val="21"/>
          <w:highlight w:val="none"/>
        </w:rPr>
      </w:pPr>
      <w:r>
        <w:rPr>
          <w:rFonts w:hint="eastAsia" w:hAnsi="宋体"/>
          <w:color w:val="auto"/>
          <w:kern w:val="2"/>
          <w:sz w:val="21"/>
          <w:szCs w:val="21"/>
          <w:highlight w:val="none"/>
        </w:rPr>
        <w:t>①参加采购活动前3年内与投标人存在劳动关系；</w:t>
      </w:r>
    </w:p>
    <w:p w14:paraId="6677F71E">
      <w:pPr>
        <w:pStyle w:val="88"/>
        <w:spacing w:line="360" w:lineRule="auto"/>
        <w:ind w:left="1" w:firstLine="420" w:firstLineChars="200"/>
        <w:rPr>
          <w:rFonts w:hAnsi="宋体"/>
          <w:color w:val="auto"/>
          <w:kern w:val="2"/>
          <w:sz w:val="21"/>
          <w:szCs w:val="21"/>
          <w:highlight w:val="none"/>
        </w:rPr>
      </w:pPr>
      <w:r>
        <w:rPr>
          <w:rFonts w:hint="eastAsia" w:hAnsi="宋体"/>
          <w:color w:val="auto"/>
          <w:kern w:val="2"/>
          <w:sz w:val="21"/>
          <w:szCs w:val="21"/>
          <w:highlight w:val="none"/>
        </w:rPr>
        <w:t>②参加采购活动前3年内担任投标人的董事、监事；</w:t>
      </w:r>
    </w:p>
    <w:p w14:paraId="2350190F">
      <w:pPr>
        <w:pStyle w:val="88"/>
        <w:spacing w:line="360" w:lineRule="auto"/>
        <w:ind w:left="1" w:firstLine="420" w:firstLineChars="200"/>
        <w:rPr>
          <w:rFonts w:hAnsi="宋体"/>
          <w:color w:val="auto"/>
          <w:kern w:val="2"/>
          <w:sz w:val="21"/>
          <w:szCs w:val="21"/>
          <w:highlight w:val="none"/>
        </w:rPr>
      </w:pPr>
      <w:r>
        <w:rPr>
          <w:rFonts w:hint="eastAsia" w:hAnsi="宋体"/>
          <w:color w:val="auto"/>
          <w:kern w:val="2"/>
          <w:sz w:val="21"/>
          <w:szCs w:val="21"/>
          <w:highlight w:val="none"/>
        </w:rPr>
        <w:t>③参加采购活动前3年内是投标人的控股股东或者实际控制人；</w:t>
      </w:r>
    </w:p>
    <w:p w14:paraId="52DE2226">
      <w:pPr>
        <w:pStyle w:val="88"/>
        <w:spacing w:line="360" w:lineRule="auto"/>
        <w:ind w:left="1" w:firstLine="420" w:firstLineChars="200"/>
        <w:rPr>
          <w:rFonts w:hAnsi="宋体"/>
          <w:color w:val="auto"/>
          <w:kern w:val="2"/>
          <w:sz w:val="21"/>
          <w:szCs w:val="21"/>
          <w:highlight w:val="none"/>
        </w:rPr>
      </w:pPr>
      <w:r>
        <w:rPr>
          <w:rFonts w:hint="eastAsia" w:hAnsi="宋体"/>
          <w:color w:val="auto"/>
          <w:kern w:val="2"/>
          <w:sz w:val="21"/>
          <w:szCs w:val="21"/>
          <w:highlight w:val="none"/>
        </w:rPr>
        <w:t>④与投标人的法定代表人（单位负责人）或者负责人有夫妻、直系血亲、三代以内旁系血亲或者近姻亲关系；</w:t>
      </w:r>
    </w:p>
    <w:p w14:paraId="2ED0F382">
      <w:pPr>
        <w:pStyle w:val="88"/>
        <w:spacing w:line="360" w:lineRule="auto"/>
        <w:ind w:left="1" w:firstLine="420" w:firstLineChars="200"/>
        <w:rPr>
          <w:rFonts w:hAnsi="Times New Roman" w:cs="Times New Roman"/>
          <w:color w:val="auto"/>
          <w:kern w:val="2"/>
          <w:sz w:val="21"/>
          <w:szCs w:val="21"/>
          <w:highlight w:val="none"/>
        </w:rPr>
      </w:pPr>
      <w:r>
        <w:rPr>
          <w:rFonts w:hint="eastAsia" w:hAnsi="宋体"/>
          <w:color w:val="auto"/>
          <w:kern w:val="2"/>
          <w:sz w:val="21"/>
          <w:szCs w:val="21"/>
          <w:highlight w:val="none"/>
        </w:rPr>
        <w:t>⑤与投标人有其他</w:t>
      </w:r>
      <w:r>
        <w:rPr>
          <w:rFonts w:hint="eastAsia" w:hAnsi="Times New Roman" w:cs="Times New Roman"/>
          <w:color w:val="auto"/>
          <w:kern w:val="2"/>
          <w:sz w:val="21"/>
          <w:szCs w:val="21"/>
          <w:highlight w:val="none"/>
        </w:rPr>
        <w:t>可能影响采购活动公平、公正进行的关系。</w:t>
      </w:r>
    </w:p>
    <w:p w14:paraId="211A84B1">
      <w:pPr>
        <w:pStyle w:val="88"/>
        <w:spacing w:line="360" w:lineRule="auto"/>
        <w:ind w:left="1" w:firstLine="420" w:firstLineChars="200"/>
        <w:rPr>
          <w:rFonts w:hAnsi="Times New Roman" w:cs="Times New Roman"/>
          <w:color w:val="auto"/>
          <w:kern w:val="2"/>
          <w:sz w:val="21"/>
          <w:szCs w:val="21"/>
          <w:highlight w:val="none"/>
        </w:rPr>
      </w:pPr>
      <w:r>
        <w:rPr>
          <w:rFonts w:hint="eastAsia" w:hAnsi="Times New Roman" w:cs="Times New Roman"/>
          <w:color w:val="auto"/>
          <w:kern w:val="2"/>
          <w:sz w:val="21"/>
          <w:szCs w:val="21"/>
          <w:highlight w:val="none"/>
        </w:rPr>
        <w:t>本项目采购活动中需要依法回避的</w:t>
      </w:r>
      <w:r>
        <w:rPr>
          <w:rFonts w:hint="eastAsia" w:hAnsi="Times New Roman" w:cs="Times New Roman"/>
          <w:color w:val="auto"/>
          <w:kern w:val="2"/>
          <w:sz w:val="21"/>
          <w:szCs w:val="21"/>
          <w:highlight w:val="none"/>
          <w:lang w:eastAsia="zh-CN"/>
        </w:rPr>
        <w:t>采购人</w:t>
      </w:r>
      <w:r>
        <w:rPr>
          <w:rFonts w:hint="eastAsia" w:hAnsi="Times New Roman" w:cs="Times New Roman"/>
          <w:color w:val="auto"/>
          <w:kern w:val="2"/>
          <w:sz w:val="21"/>
          <w:szCs w:val="21"/>
          <w:highlight w:val="none"/>
        </w:rPr>
        <w:t>员是指</w:t>
      </w:r>
      <w:r>
        <w:rPr>
          <w:rFonts w:hint="eastAsia" w:hAnsi="Times New Roman" w:cs="Times New Roman"/>
          <w:color w:val="auto"/>
          <w:kern w:val="2"/>
          <w:sz w:val="21"/>
          <w:szCs w:val="21"/>
          <w:highlight w:val="none"/>
          <w:lang w:eastAsia="zh-CN"/>
        </w:rPr>
        <w:t>采购人</w:t>
      </w:r>
      <w:r>
        <w:rPr>
          <w:rFonts w:hint="eastAsia" w:hAnsi="Times New Roman" w:cs="Times New Roman"/>
          <w:color w:val="auto"/>
          <w:kern w:val="2"/>
          <w:sz w:val="21"/>
          <w:szCs w:val="21"/>
          <w:highlight w:val="none"/>
        </w:rPr>
        <w:t>内部负责采购项目的具体经办工作人员和直接分管采购项目的负责人，以及</w:t>
      </w:r>
      <w:r>
        <w:rPr>
          <w:rFonts w:hint="eastAsia" w:hAnsi="Times New Roman" w:cs="Times New Roman"/>
          <w:color w:val="auto"/>
          <w:kern w:val="2"/>
          <w:sz w:val="21"/>
          <w:szCs w:val="21"/>
          <w:highlight w:val="none"/>
          <w:lang w:eastAsia="zh-CN"/>
        </w:rPr>
        <w:t>采购代理</w:t>
      </w:r>
      <w:r>
        <w:rPr>
          <w:rFonts w:hint="eastAsia" w:hAnsi="Times New Roman" w:cs="Times New Roman"/>
          <w:color w:val="auto"/>
          <w:kern w:val="2"/>
          <w:sz w:val="21"/>
          <w:szCs w:val="21"/>
          <w:highlight w:val="none"/>
        </w:rPr>
        <w:t>机构负责采购项目的具体经办工作人员和直接分管采购活动的负责人。本项目采购活动中需要依法回避的相关人员是指评标委员会成员。</w:t>
      </w:r>
    </w:p>
    <w:p w14:paraId="11613233">
      <w:pPr>
        <w:pStyle w:val="88"/>
        <w:spacing w:line="360" w:lineRule="auto"/>
        <w:ind w:left="1" w:firstLine="420" w:firstLineChars="200"/>
        <w:rPr>
          <w:rFonts w:hAnsi="Times New Roman" w:cs="Times New Roman"/>
          <w:color w:val="auto"/>
          <w:kern w:val="2"/>
          <w:sz w:val="21"/>
          <w:szCs w:val="21"/>
          <w:highlight w:val="none"/>
        </w:rPr>
      </w:pPr>
      <w:r>
        <w:rPr>
          <w:rFonts w:hint="eastAsia" w:hAnsi="Times New Roman" w:cs="Times New Roman"/>
          <w:color w:val="auto"/>
          <w:kern w:val="2"/>
          <w:sz w:val="21"/>
          <w:szCs w:val="21"/>
          <w:highlight w:val="none"/>
        </w:rPr>
        <w:t>投标人认为</w:t>
      </w:r>
      <w:r>
        <w:rPr>
          <w:rFonts w:hint="eastAsia" w:hAnsi="Times New Roman" w:cs="Times New Roman"/>
          <w:color w:val="auto"/>
          <w:kern w:val="2"/>
          <w:sz w:val="21"/>
          <w:szCs w:val="21"/>
          <w:highlight w:val="none"/>
          <w:lang w:eastAsia="zh-CN"/>
        </w:rPr>
        <w:t>采购人</w:t>
      </w:r>
      <w:r>
        <w:rPr>
          <w:rFonts w:hint="eastAsia" w:hAnsi="Times New Roman" w:cs="Times New Roman"/>
          <w:color w:val="auto"/>
          <w:kern w:val="2"/>
          <w:sz w:val="21"/>
          <w:szCs w:val="21"/>
          <w:highlight w:val="none"/>
        </w:rPr>
        <w:t>员及相关人员与其他投标人有利害关系的，可以向</w:t>
      </w:r>
      <w:r>
        <w:rPr>
          <w:rFonts w:hint="eastAsia" w:hAnsi="Times New Roman" w:cs="Times New Roman"/>
          <w:color w:val="auto"/>
          <w:kern w:val="2"/>
          <w:sz w:val="21"/>
          <w:szCs w:val="21"/>
          <w:highlight w:val="none"/>
          <w:lang w:eastAsia="zh-CN"/>
        </w:rPr>
        <w:t>采购代理</w:t>
      </w:r>
      <w:r>
        <w:rPr>
          <w:rFonts w:hint="eastAsia" w:hAnsi="Times New Roman" w:cs="Times New Roman"/>
          <w:color w:val="auto"/>
          <w:kern w:val="2"/>
          <w:sz w:val="21"/>
          <w:szCs w:val="21"/>
          <w:highlight w:val="none"/>
        </w:rPr>
        <w:t>机构书面提出回避申请，并说明理由。</w:t>
      </w:r>
      <w:r>
        <w:rPr>
          <w:rFonts w:hint="eastAsia" w:hAnsi="Times New Roman" w:cs="Times New Roman"/>
          <w:color w:val="auto"/>
          <w:kern w:val="2"/>
          <w:sz w:val="21"/>
          <w:szCs w:val="21"/>
          <w:highlight w:val="none"/>
          <w:lang w:eastAsia="zh-CN"/>
        </w:rPr>
        <w:t>采购代理</w:t>
      </w:r>
      <w:r>
        <w:rPr>
          <w:rFonts w:hint="eastAsia" w:hAnsi="Times New Roman" w:cs="Times New Roman"/>
          <w:color w:val="auto"/>
          <w:kern w:val="2"/>
          <w:sz w:val="21"/>
          <w:szCs w:val="21"/>
          <w:highlight w:val="none"/>
        </w:rPr>
        <w:t>机构将及时询问被申请回避人员，有利害关系的被申请回避人员应当回避。</w:t>
      </w:r>
    </w:p>
    <w:p w14:paraId="58CF9555">
      <w:pPr>
        <w:pStyle w:val="88"/>
        <w:spacing w:line="360" w:lineRule="auto"/>
        <w:ind w:left="1" w:firstLine="420" w:firstLineChars="200"/>
        <w:rPr>
          <w:rFonts w:hint="eastAsia" w:ascii="宋体" w:hAnsi="Times New Roman" w:eastAsia="宋体" w:cs="Times New Roman"/>
          <w:color w:val="auto"/>
          <w:kern w:val="2"/>
          <w:sz w:val="21"/>
          <w:szCs w:val="21"/>
          <w:highlight w:val="none"/>
        </w:rPr>
      </w:pPr>
      <w:r>
        <w:rPr>
          <w:rFonts w:hint="eastAsia" w:ascii="宋体" w:hAnsi="Times New Roman" w:eastAsia="宋体" w:cs="Times New Roman"/>
          <w:color w:val="auto"/>
          <w:kern w:val="2"/>
          <w:sz w:val="21"/>
          <w:szCs w:val="21"/>
          <w:highlight w:val="none"/>
        </w:rPr>
        <w:t>（8）根据《财政部关于在政府采购活动中查询及使用信用记录的通知》（财库〔2016〕125号）的要求，采购代理机构将通过“信用中国”网站（www.creditchina.gov.cn）、“中国政府采购网”网站（www.ccgp.gov.cn）等渠道查询投标人的信用记录【查询时间为开标时间当天，查询结果以采购代理机构查询结果为准，并将查询记录和证据留存】，拒绝列入失信被执行人、重大税收违法失信主体、政府采购活动严重违法失信行为记录名单中的投标人参加本项目的投标活动（此部分由采购代理机构查询即可，投标人无需提供）。</w:t>
      </w:r>
    </w:p>
    <w:p w14:paraId="794BB587">
      <w:pPr>
        <w:pStyle w:val="88"/>
        <w:spacing w:line="360" w:lineRule="auto"/>
        <w:ind w:left="1" w:firstLine="420" w:firstLineChars="200"/>
        <w:rPr>
          <w:rFonts w:hint="eastAsia" w:ascii="宋体" w:hAnsi="Times New Roman" w:eastAsia="宋体" w:cs="Times New Roman"/>
          <w:color w:val="auto"/>
          <w:kern w:val="2"/>
          <w:sz w:val="21"/>
          <w:szCs w:val="21"/>
          <w:highlight w:val="none"/>
        </w:rPr>
      </w:pPr>
      <w:bookmarkStart w:id="192" w:name="_Toc530405545"/>
      <w:bookmarkStart w:id="193" w:name="_Toc525998736"/>
      <w:r>
        <w:rPr>
          <w:rFonts w:hint="eastAsia" w:ascii="宋体" w:hAnsi="Times New Roman" w:eastAsia="宋体" w:cs="Times New Roman"/>
          <w:color w:val="auto"/>
          <w:kern w:val="2"/>
          <w:sz w:val="21"/>
          <w:szCs w:val="21"/>
          <w:highlight w:val="none"/>
        </w:rPr>
        <w:t>（9）投标文件未满足招标文件实质性要求的为重大偏差，不予修正和澄清，其投标文件按无效标书处理。未满足招标文件非实质性要求的为细微偏差，可修正和澄清。</w:t>
      </w:r>
    </w:p>
    <w:p w14:paraId="7E658AFA">
      <w:pPr>
        <w:pStyle w:val="88"/>
        <w:spacing w:line="360" w:lineRule="auto"/>
        <w:ind w:left="1" w:firstLine="420" w:firstLineChars="200"/>
        <w:rPr>
          <w:rFonts w:hint="eastAsia" w:ascii="宋体" w:hAnsi="Times New Roman" w:eastAsia="宋体" w:cs="Times New Roman"/>
          <w:color w:val="auto"/>
          <w:kern w:val="2"/>
          <w:sz w:val="21"/>
          <w:szCs w:val="21"/>
          <w:highlight w:val="none"/>
        </w:rPr>
      </w:pPr>
      <w:r>
        <w:rPr>
          <w:rFonts w:hint="eastAsia" w:ascii="宋体" w:hAnsi="Times New Roman" w:eastAsia="宋体" w:cs="Times New Roman"/>
          <w:color w:val="auto"/>
          <w:kern w:val="2"/>
          <w:sz w:val="21"/>
          <w:szCs w:val="21"/>
          <w:highlight w:val="none"/>
        </w:rPr>
        <w:t>（10）提供相同品牌产品处理。提供相同品牌产品且通过资格审查、有效性、完整性和响应程度审查的不同投标人参加同一合同项下投标的，按一家投标人计算，评审后得分最高的同品牌投标人获得中标人推荐资格；评审得分相同的，由</w:t>
      </w:r>
      <w:r>
        <w:rPr>
          <w:rFonts w:hint="eastAsia" w:hAnsi="Times New Roman" w:cs="Times New Roman"/>
          <w:color w:val="auto"/>
          <w:kern w:val="2"/>
          <w:sz w:val="21"/>
          <w:szCs w:val="21"/>
          <w:highlight w:val="none"/>
          <w:lang w:eastAsia="zh-CN"/>
        </w:rPr>
        <w:t>采购人</w:t>
      </w:r>
      <w:r>
        <w:rPr>
          <w:rFonts w:hint="eastAsia" w:ascii="宋体" w:hAnsi="Times New Roman" w:eastAsia="宋体" w:cs="Times New Roman"/>
          <w:color w:val="auto"/>
          <w:kern w:val="2"/>
          <w:sz w:val="21"/>
          <w:szCs w:val="21"/>
          <w:highlight w:val="none"/>
        </w:rPr>
        <w:t>或者</w:t>
      </w:r>
      <w:r>
        <w:rPr>
          <w:rFonts w:hint="eastAsia" w:hAnsi="Times New Roman" w:cs="Times New Roman"/>
          <w:color w:val="auto"/>
          <w:kern w:val="2"/>
          <w:sz w:val="21"/>
          <w:szCs w:val="21"/>
          <w:highlight w:val="none"/>
          <w:lang w:eastAsia="zh-CN"/>
        </w:rPr>
        <w:t>采购人</w:t>
      </w:r>
      <w:r>
        <w:rPr>
          <w:rFonts w:hint="eastAsia" w:ascii="宋体" w:hAnsi="Times New Roman" w:eastAsia="宋体" w:cs="Times New Roman"/>
          <w:color w:val="auto"/>
          <w:kern w:val="2"/>
          <w:sz w:val="21"/>
          <w:szCs w:val="21"/>
          <w:highlight w:val="none"/>
        </w:rPr>
        <w:t>委托评标委员会按照招标文件规定的方式确定一个投标人获得中标人推荐资格，招标文件未规定的采取随机抽取方式确定，其他同品牌投标人不作为中标候选人。</w:t>
      </w:r>
    </w:p>
    <w:p w14:paraId="29C076B5">
      <w:pPr>
        <w:pStyle w:val="88"/>
        <w:spacing w:line="360" w:lineRule="auto"/>
        <w:ind w:left="1" w:firstLine="420" w:firstLineChars="200"/>
        <w:rPr>
          <w:rFonts w:hint="default" w:ascii="宋体" w:hAnsi="Times New Roman" w:eastAsia="宋体" w:cs="Times New Roman"/>
          <w:b/>
          <w:bCs/>
          <w:color w:val="auto"/>
          <w:kern w:val="2"/>
          <w:sz w:val="21"/>
          <w:szCs w:val="21"/>
          <w:highlight w:val="none"/>
          <w:lang w:val="en-US" w:eastAsia="zh-CN"/>
        </w:rPr>
      </w:pPr>
      <w:r>
        <w:rPr>
          <w:rFonts w:hint="eastAsia" w:ascii="宋体" w:hAnsi="Times New Roman" w:eastAsia="宋体" w:cs="Times New Roman"/>
          <w:b/>
          <w:bCs/>
          <w:color w:val="auto"/>
          <w:kern w:val="2"/>
          <w:sz w:val="21"/>
          <w:szCs w:val="21"/>
          <w:highlight w:val="none"/>
        </w:rPr>
        <w:t>本次采购项目的核心产品：</w:t>
      </w:r>
      <w:r>
        <w:rPr>
          <w:rFonts w:hint="eastAsia" w:hAnsi="Times New Roman" w:cs="Times New Roman"/>
          <w:b/>
          <w:bCs/>
          <w:color w:val="auto"/>
          <w:kern w:val="2"/>
          <w:sz w:val="21"/>
          <w:szCs w:val="21"/>
          <w:highlight w:val="none"/>
          <w:lang w:val="en-US" w:eastAsia="zh-CN"/>
        </w:rPr>
        <w:t>自动化接种繁育机</w:t>
      </w:r>
      <w:r>
        <w:rPr>
          <w:rFonts w:hint="eastAsia" w:ascii="宋体" w:hAnsi="Times New Roman" w:eastAsia="宋体" w:cs="Times New Roman"/>
          <w:b/>
          <w:bCs/>
          <w:color w:val="auto"/>
          <w:kern w:val="2"/>
          <w:sz w:val="21"/>
          <w:szCs w:val="21"/>
          <w:highlight w:val="none"/>
          <w:lang w:val="en-US" w:eastAsia="zh-CN"/>
        </w:rPr>
        <w:t>。</w:t>
      </w:r>
    </w:p>
    <w:p w14:paraId="646446B4">
      <w:pPr>
        <w:pStyle w:val="88"/>
        <w:spacing w:line="360" w:lineRule="auto"/>
        <w:ind w:left="1" w:firstLine="420" w:firstLineChars="200"/>
        <w:rPr>
          <w:rFonts w:hint="eastAsia" w:ascii="宋体" w:hAnsi="Times New Roman" w:eastAsia="宋体" w:cs="Times New Roman"/>
          <w:color w:val="auto"/>
          <w:kern w:val="2"/>
          <w:sz w:val="21"/>
          <w:szCs w:val="21"/>
          <w:highlight w:val="none"/>
        </w:rPr>
      </w:pPr>
      <w:r>
        <w:rPr>
          <w:rFonts w:hint="eastAsia" w:ascii="宋体" w:hAnsi="Times New Roman" w:eastAsia="宋体" w:cs="Times New Roman"/>
          <w:color w:val="auto"/>
          <w:kern w:val="2"/>
          <w:sz w:val="21"/>
          <w:szCs w:val="21"/>
          <w:highlight w:val="none"/>
        </w:rPr>
        <w:t>非单一产品采购项目中，多家投标人提供的所有核心产品品牌相同的，视为提供相同品牌产品。</w:t>
      </w:r>
    </w:p>
    <w:p w14:paraId="6A721473">
      <w:pPr>
        <w:ind w:firstLine="600"/>
        <w:rPr>
          <w:b/>
          <w:color w:val="auto"/>
          <w:sz w:val="28"/>
          <w:szCs w:val="28"/>
          <w:highlight w:val="none"/>
        </w:rPr>
      </w:pPr>
      <w:r>
        <w:rPr>
          <w:rFonts w:hint="eastAsia"/>
          <w:b/>
          <w:color w:val="auto"/>
          <w:sz w:val="28"/>
          <w:szCs w:val="28"/>
          <w:highlight w:val="none"/>
        </w:rPr>
        <w:t>2.2分值构成与评分标准</w:t>
      </w:r>
      <w:bookmarkEnd w:id="192"/>
      <w:bookmarkEnd w:id="193"/>
    </w:p>
    <w:p w14:paraId="358761EF">
      <w:pPr>
        <w:pStyle w:val="21"/>
        <w:tabs>
          <w:tab w:val="left" w:pos="2472"/>
        </w:tabs>
        <w:spacing w:line="360" w:lineRule="auto"/>
        <w:ind w:firstLine="420" w:firstLineChars="200"/>
        <w:rPr>
          <w:color w:val="auto"/>
          <w:szCs w:val="21"/>
          <w:highlight w:val="none"/>
        </w:rPr>
      </w:pPr>
      <w:r>
        <w:rPr>
          <w:rFonts w:hint="eastAsia"/>
          <w:color w:val="auto"/>
          <w:szCs w:val="21"/>
          <w:highlight w:val="none"/>
        </w:rPr>
        <w:t>2.2.1 分值构成：见评标办法前附表</w:t>
      </w:r>
    </w:p>
    <w:p w14:paraId="25C4E5B8">
      <w:pPr>
        <w:pStyle w:val="21"/>
        <w:tabs>
          <w:tab w:val="left" w:pos="2472"/>
        </w:tabs>
        <w:spacing w:line="360" w:lineRule="auto"/>
        <w:ind w:firstLine="420" w:firstLineChars="200"/>
        <w:rPr>
          <w:color w:val="auto"/>
          <w:szCs w:val="21"/>
          <w:highlight w:val="none"/>
        </w:rPr>
      </w:pPr>
      <w:r>
        <w:rPr>
          <w:rFonts w:hint="eastAsia"/>
          <w:color w:val="auto"/>
          <w:szCs w:val="21"/>
          <w:highlight w:val="none"/>
        </w:rPr>
        <w:t>2.2.2 投标报价评标基准价计算方法：见评标办法前附表。</w:t>
      </w:r>
    </w:p>
    <w:p w14:paraId="0DAD79CC">
      <w:pPr>
        <w:pStyle w:val="21"/>
        <w:tabs>
          <w:tab w:val="left" w:pos="2472"/>
        </w:tabs>
        <w:spacing w:line="360" w:lineRule="auto"/>
        <w:ind w:firstLine="420" w:firstLineChars="200"/>
        <w:rPr>
          <w:color w:val="auto"/>
          <w:szCs w:val="21"/>
          <w:highlight w:val="none"/>
        </w:rPr>
      </w:pPr>
      <w:r>
        <w:rPr>
          <w:rFonts w:hint="eastAsia"/>
          <w:color w:val="auto"/>
          <w:szCs w:val="21"/>
          <w:highlight w:val="none"/>
        </w:rPr>
        <w:t>2.2.3 评分标准</w:t>
      </w:r>
    </w:p>
    <w:p w14:paraId="53263231">
      <w:pPr>
        <w:pStyle w:val="21"/>
        <w:tabs>
          <w:tab w:val="left" w:pos="2472"/>
        </w:tabs>
        <w:spacing w:line="360" w:lineRule="auto"/>
        <w:ind w:firstLine="420" w:firstLineChars="200"/>
        <w:rPr>
          <w:color w:val="auto"/>
          <w:szCs w:val="21"/>
          <w:highlight w:val="none"/>
        </w:rPr>
      </w:pPr>
      <w:r>
        <w:rPr>
          <w:color w:val="auto"/>
          <w:szCs w:val="21"/>
          <w:highlight w:val="none"/>
        </w:rPr>
        <w:t>按招标文件中规定的评标方法和标准，对资格</w:t>
      </w:r>
      <w:r>
        <w:rPr>
          <w:rFonts w:hint="eastAsia"/>
          <w:color w:val="auto"/>
          <w:szCs w:val="21"/>
          <w:highlight w:val="none"/>
        </w:rPr>
        <w:t>评审</w:t>
      </w:r>
      <w:r>
        <w:rPr>
          <w:color w:val="auto"/>
          <w:szCs w:val="21"/>
          <w:highlight w:val="none"/>
        </w:rPr>
        <w:t>和符合性</w:t>
      </w:r>
      <w:r>
        <w:rPr>
          <w:rFonts w:hint="eastAsia"/>
          <w:color w:val="auto"/>
          <w:szCs w:val="21"/>
          <w:highlight w:val="none"/>
        </w:rPr>
        <w:t>评审</w:t>
      </w:r>
      <w:r>
        <w:rPr>
          <w:color w:val="auto"/>
          <w:szCs w:val="21"/>
          <w:highlight w:val="none"/>
        </w:rPr>
        <w:t>合格的投标文件进行商务和技术评估，综合比较与评价</w:t>
      </w:r>
      <w:r>
        <w:rPr>
          <w:rFonts w:hint="eastAsia"/>
          <w:color w:val="auto"/>
          <w:szCs w:val="21"/>
          <w:highlight w:val="none"/>
        </w:rPr>
        <w:t>，详见评标办法前附表。</w:t>
      </w:r>
    </w:p>
    <w:p w14:paraId="7B606CA5">
      <w:pPr>
        <w:ind w:firstLine="600"/>
        <w:rPr>
          <w:b/>
          <w:color w:val="auto"/>
          <w:sz w:val="28"/>
          <w:szCs w:val="28"/>
          <w:highlight w:val="none"/>
        </w:rPr>
      </w:pPr>
      <w:bookmarkStart w:id="194" w:name="_Toc525998737"/>
      <w:bookmarkStart w:id="195" w:name="_Toc530405546"/>
      <w:r>
        <w:rPr>
          <w:rFonts w:hint="eastAsia"/>
          <w:b/>
          <w:color w:val="auto"/>
          <w:sz w:val="28"/>
          <w:szCs w:val="28"/>
          <w:highlight w:val="none"/>
          <w:lang w:eastAsia="zh-CN"/>
        </w:rPr>
        <w:t>3.</w:t>
      </w:r>
      <w:r>
        <w:rPr>
          <w:rFonts w:hint="eastAsia"/>
          <w:b/>
          <w:color w:val="auto"/>
          <w:sz w:val="28"/>
          <w:szCs w:val="28"/>
          <w:highlight w:val="none"/>
        </w:rPr>
        <w:t>评标程序</w:t>
      </w:r>
      <w:bookmarkEnd w:id="194"/>
      <w:bookmarkEnd w:id="195"/>
    </w:p>
    <w:p w14:paraId="3D34F6E5">
      <w:pPr>
        <w:ind w:firstLine="600"/>
        <w:rPr>
          <w:b/>
          <w:color w:val="auto"/>
          <w:sz w:val="28"/>
          <w:szCs w:val="28"/>
          <w:highlight w:val="none"/>
        </w:rPr>
      </w:pPr>
      <w:bookmarkStart w:id="196" w:name="_Toc525998738"/>
      <w:bookmarkStart w:id="197" w:name="_Toc530405547"/>
      <w:r>
        <w:rPr>
          <w:rFonts w:hint="eastAsia"/>
          <w:b/>
          <w:color w:val="auto"/>
          <w:sz w:val="28"/>
          <w:szCs w:val="28"/>
          <w:highlight w:val="none"/>
        </w:rPr>
        <w:t>3.1 初步评审</w:t>
      </w:r>
      <w:bookmarkEnd w:id="196"/>
      <w:bookmarkEnd w:id="197"/>
    </w:p>
    <w:p w14:paraId="33F079E5">
      <w:pPr>
        <w:pStyle w:val="21"/>
        <w:tabs>
          <w:tab w:val="left" w:pos="2472"/>
        </w:tabs>
        <w:spacing w:line="360" w:lineRule="auto"/>
        <w:ind w:firstLine="420" w:firstLineChars="200"/>
        <w:rPr>
          <w:color w:val="auto"/>
          <w:szCs w:val="21"/>
          <w:highlight w:val="none"/>
        </w:rPr>
      </w:pPr>
      <w:r>
        <w:rPr>
          <w:rFonts w:hint="eastAsia"/>
          <w:color w:val="auto"/>
          <w:szCs w:val="21"/>
          <w:highlight w:val="none"/>
        </w:rPr>
        <w:t>3.1.1 评标委员会依据本章第2.1.1项、第2.1.2项规定的标准对投标文件进行初步评审。有一项不符合评审标准的，作废标处理。</w:t>
      </w:r>
    </w:p>
    <w:p w14:paraId="2B8123B4">
      <w:pPr>
        <w:pStyle w:val="21"/>
        <w:tabs>
          <w:tab w:val="left" w:pos="2472"/>
        </w:tabs>
        <w:spacing w:line="360" w:lineRule="auto"/>
        <w:ind w:firstLine="420" w:firstLineChars="200"/>
        <w:rPr>
          <w:color w:val="auto"/>
          <w:szCs w:val="21"/>
          <w:highlight w:val="none"/>
        </w:rPr>
      </w:pPr>
      <w:r>
        <w:rPr>
          <w:rFonts w:hint="eastAsia"/>
          <w:color w:val="auto"/>
          <w:szCs w:val="21"/>
          <w:highlight w:val="none"/>
        </w:rPr>
        <w:t>3.1.2 投标人有以下情形之一的，其投标作废标处理：</w:t>
      </w:r>
    </w:p>
    <w:p w14:paraId="14437E3E">
      <w:pPr>
        <w:pStyle w:val="21"/>
        <w:tabs>
          <w:tab w:val="left" w:pos="2472"/>
        </w:tabs>
        <w:spacing w:line="360" w:lineRule="auto"/>
        <w:ind w:firstLine="420" w:firstLineChars="200"/>
        <w:rPr>
          <w:color w:val="auto"/>
          <w:szCs w:val="21"/>
          <w:highlight w:val="none"/>
        </w:rPr>
      </w:pPr>
      <w:r>
        <w:rPr>
          <w:rFonts w:hint="eastAsia"/>
          <w:color w:val="auto"/>
          <w:szCs w:val="21"/>
          <w:highlight w:val="none"/>
        </w:rPr>
        <w:t>（1）串通投标或弄虚作假或有其他违法行为的；</w:t>
      </w:r>
    </w:p>
    <w:p w14:paraId="7C4EDFCB">
      <w:pPr>
        <w:pStyle w:val="21"/>
        <w:tabs>
          <w:tab w:val="left" w:pos="2472"/>
        </w:tabs>
        <w:spacing w:line="360" w:lineRule="auto"/>
        <w:ind w:firstLine="420" w:firstLineChars="200"/>
        <w:rPr>
          <w:color w:val="auto"/>
          <w:szCs w:val="21"/>
          <w:highlight w:val="none"/>
        </w:rPr>
      </w:pPr>
      <w:r>
        <w:rPr>
          <w:rFonts w:hint="eastAsia"/>
          <w:color w:val="auto"/>
          <w:szCs w:val="21"/>
          <w:highlight w:val="none"/>
        </w:rPr>
        <w:t>（2）不按评标委员会要求澄清、说明或补正的。</w:t>
      </w:r>
    </w:p>
    <w:p w14:paraId="78EC75B0">
      <w:pPr>
        <w:pStyle w:val="21"/>
        <w:tabs>
          <w:tab w:val="left" w:pos="2472"/>
        </w:tabs>
        <w:spacing w:line="360" w:lineRule="auto"/>
        <w:ind w:firstLine="420" w:firstLineChars="200"/>
        <w:rPr>
          <w:color w:val="auto"/>
          <w:szCs w:val="21"/>
          <w:highlight w:val="none"/>
        </w:rPr>
      </w:pPr>
      <w:r>
        <w:rPr>
          <w:rFonts w:hint="eastAsia"/>
          <w:color w:val="auto"/>
          <w:szCs w:val="21"/>
          <w:highlight w:val="none"/>
        </w:rPr>
        <w:t>3.1.3 投标文件如果出现计算或表达上的错误，修正错误的原则如下：</w:t>
      </w:r>
    </w:p>
    <w:p w14:paraId="226BE663">
      <w:pPr>
        <w:pStyle w:val="21"/>
        <w:tabs>
          <w:tab w:val="left" w:pos="2472"/>
        </w:tabs>
        <w:spacing w:line="360" w:lineRule="auto"/>
        <w:ind w:firstLine="420" w:firstLineChars="200"/>
        <w:rPr>
          <w:color w:val="auto"/>
          <w:szCs w:val="21"/>
          <w:highlight w:val="none"/>
        </w:rPr>
      </w:pPr>
      <w:r>
        <w:rPr>
          <w:rFonts w:hint="eastAsia"/>
          <w:color w:val="auto"/>
          <w:szCs w:val="21"/>
          <w:highlight w:val="none"/>
        </w:rPr>
        <w:t>（1）开标时，投标文件中开标一览表、投标函内容、投标报价表中明细表内容不一致的，以开标一览表为准。</w:t>
      </w:r>
    </w:p>
    <w:p w14:paraId="20722AC6">
      <w:pPr>
        <w:pStyle w:val="21"/>
        <w:tabs>
          <w:tab w:val="left" w:pos="2472"/>
        </w:tabs>
        <w:spacing w:line="360" w:lineRule="auto"/>
        <w:ind w:firstLine="420" w:firstLineChars="200"/>
        <w:rPr>
          <w:color w:val="auto"/>
          <w:szCs w:val="21"/>
          <w:highlight w:val="none"/>
        </w:rPr>
      </w:pPr>
      <w:r>
        <w:rPr>
          <w:rFonts w:hint="eastAsia"/>
          <w:color w:val="auto"/>
          <w:szCs w:val="21"/>
          <w:highlight w:val="none"/>
        </w:rPr>
        <w:t>（2）投标文件的大写金额和小写金额不一致的，以大写金额为准；</w:t>
      </w:r>
    </w:p>
    <w:p w14:paraId="56DFBA5B">
      <w:pPr>
        <w:pStyle w:val="21"/>
        <w:tabs>
          <w:tab w:val="left" w:pos="2472"/>
        </w:tabs>
        <w:spacing w:line="360" w:lineRule="auto"/>
        <w:ind w:firstLine="420" w:firstLineChars="200"/>
        <w:rPr>
          <w:color w:val="auto"/>
          <w:szCs w:val="21"/>
          <w:highlight w:val="none"/>
        </w:rPr>
      </w:pPr>
      <w:r>
        <w:rPr>
          <w:rFonts w:hint="eastAsia"/>
          <w:color w:val="auto"/>
          <w:szCs w:val="21"/>
          <w:highlight w:val="none"/>
        </w:rPr>
        <w:t>（3）总价金额与按单价汇总金额不一致的，以单价金额计算结果为准；</w:t>
      </w:r>
    </w:p>
    <w:p w14:paraId="5FFD1963">
      <w:pPr>
        <w:pStyle w:val="21"/>
        <w:tabs>
          <w:tab w:val="left" w:pos="2472"/>
        </w:tabs>
        <w:spacing w:line="360" w:lineRule="auto"/>
        <w:ind w:firstLine="420" w:firstLineChars="200"/>
        <w:rPr>
          <w:color w:val="auto"/>
          <w:szCs w:val="21"/>
          <w:highlight w:val="none"/>
        </w:rPr>
      </w:pPr>
      <w:r>
        <w:rPr>
          <w:rFonts w:hint="eastAsia"/>
          <w:color w:val="auto"/>
          <w:szCs w:val="21"/>
          <w:highlight w:val="none"/>
        </w:rPr>
        <w:t>（4）单价金额小数点有明显错位的，应以总价为准，并修改单价；</w:t>
      </w:r>
    </w:p>
    <w:p w14:paraId="0BC3CD20">
      <w:pPr>
        <w:pStyle w:val="21"/>
        <w:tabs>
          <w:tab w:val="left" w:pos="2472"/>
        </w:tabs>
        <w:spacing w:line="360" w:lineRule="auto"/>
        <w:ind w:firstLine="420" w:firstLineChars="200"/>
        <w:rPr>
          <w:color w:val="auto"/>
          <w:szCs w:val="21"/>
          <w:highlight w:val="none"/>
        </w:rPr>
      </w:pPr>
      <w:r>
        <w:rPr>
          <w:rFonts w:hint="eastAsia"/>
          <w:color w:val="auto"/>
          <w:szCs w:val="21"/>
          <w:highlight w:val="none"/>
        </w:rPr>
        <w:t>（5）对不同文字文本投标文件的解释发生异议的，以中文文本为准。</w:t>
      </w:r>
    </w:p>
    <w:p w14:paraId="71A0F626">
      <w:pPr>
        <w:pStyle w:val="21"/>
        <w:tabs>
          <w:tab w:val="left" w:pos="2472"/>
        </w:tabs>
        <w:spacing w:line="360" w:lineRule="auto"/>
        <w:ind w:firstLine="420" w:firstLineChars="200"/>
        <w:rPr>
          <w:color w:val="auto"/>
          <w:szCs w:val="21"/>
          <w:highlight w:val="none"/>
        </w:rPr>
      </w:pPr>
      <w:r>
        <w:rPr>
          <w:rFonts w:hint="eastAsia"/>
          <w:color w:val="auto"/>
          <w:szCs w:val="21"/>
          <w:highlight w:val="none"/>
        </w:rPr>
        <w:t>（6）按上述修正错误的原则及方法调整或修正投标文件的投标报价</w:t>
      </w:r>
      <w:r>
        <w:rPr>
          <w:rFonts w:hint="eastAsia"/>
          <w:color w:val="auto"/>
          <w:szCs w:val="21"/>
          <w:highlight w:val="none"/>
          <w:lang w:eastAsia="zh-CN"/>
        </w:rPr>
        <w:t>，经</w:t>
      </w:r>
      <w:r>
        <w:rPr>
          <w:rFonts w:hint="eastAsia"/>
          <w:color w:val="auto"/>
          <w:szCs w:val="21"/>
          <w:highlight w:val="none"/>
        </w:rPr>
        <w:t>投标人同意后，调整后的投标报价对投标人起约束作用。如果投标人不接受修正后的报价，则其投标将被拒绝。</w:t>
      </w:r>
    </w:p>
    <w:p w14:paraId="4710127B">
      <w:pPr>
        <w:ind w:firstLine="600"/>
        <w:rPr>
          <w:b/>
          <w:color w:val="auto"/>
          <w:sz w:val="28"/>
          <w:szCs w:val="28"/>
          <w:highlight w:val="none"/>
        </w:rPr>
      </w:pPr>
      <w:bookmarkStart w:id="198" w:name="_Toc530405548"/>
      <w:bookmarkStart w:id="199" w:name="_Toc525998739"/>
      <w:r>
        <w:rPr>
          <w:rFonts w:hint="eastAsia"/>
          <w:b/>
          <w:color w:val="auto"/>
          <w:sz w:val="28"/>
          <w:szCs w:val="28"/>
          <w:highlight w:val="none"/>
        </w:rPr>
        <w:t>3.2 详细评审</w:t>
      </w:r>
      <w:bookmarkEnd w:id="198"/>
      <w:bookmarkEnd w:id="199"/>
    </w:p>
    <w:p w14:paraId="4EA1CA21">
      <w:pPr>
        <w:pStyle w:val="21"/>
        <w:tabs>
          <w:tab w:val="left" w:pos="2472"/>
        </w:tabs>
        <w:spacing w:line="360" w:lineRule="auto"/>
        <w:ind w:firstLine="420" w:firstLineChars="200"/>
        <w:rPr>
          <w:color w:val="auto"/>
          <w:szCs w:val="21"/>
          <w:highlight w:val="none"/>
        </w:rPr>
      </w:pPr>
      <w:r>
        <w:rPr>
          <w:rFonts w:hint="eastAsia"/>
          <w:color w:val="auto"/>
          <w:szCs w:val="21"/>
          <w:highlight w:val="none"/>
        </w:rPr>
        <w:t>3.2.1 评标委员会</w:t>
      </w:r>
      <w:r>
        <w:rPr>
          <w:color w:val="auto"/>
          <w:szCs w:val="21"/>
          <w:highlight w:val="none"/>
        </w:rPr>
        <w:t>按</w:t>
      </w:r>
      <w:r>
        <w:rPr>
          <w:rFonts w:hint="eastAsia"/>
          <w:color w:val="auto"/>
          <w:szCs w:val="21"/>
          <w:highlight w:val="none"/>
        </w:rPr>
        <w:t>本章第2.2款规定的量化因素和分值进行打分，并计算出投标人的评标总得分。</w:t>
      </w:r>
    </w:p>
    <w:p w14:paraId="2FD43ED6">
      <w:pPr>
        <w:spacing w:line="360" w:lineRule="auto"/>
        <w:ind w:firstLine="420" w:firstLineChars="200"/>
        <w:jc w:val="left"/>
        <w:rPr>
          <w:rFonts w:ascii="宋体"/>
          <w:color w:val="auto"/>
          <w:szCs w:val="21"/>
          <w:highlight w:val="none"/>
        </w:rPr>
      </w:pPr>
      <w:r>
        <w:rPr>
          <w:rFonts w:hint="eastAsia" w:ascii="宋体"/>
          <w:color w:val="auto"/>
          <w:szCs w:val="21"/>
          <w:highlight w:val="none"/>
        </w:rPr>
        <w:t>3.2.2 除报价得分以外的部分由评标委员会成员独立评分，计算各投标人得分的算术平均值计入各投标人总分。评分分值计算保留小数点后两位，小数点后第三位“四舍五入”。</w:t>
      </w:r>
    </w:p>
    <w:p w14:paraId="7C7B7254">
      <w:pPr>
        <w:spacing w:line="360" w:lineRule="auto"/>
        <w:ind w:firstLine="420" w:firstLineChars="200"/>
        <w:jc w:val="left"/>
        <w:rPr>
          <w:rFonts w:ascii="宋体"/>
          <w:color w:val="auto"/>
          <w:szCs w:val="21"/>
          <w:highlight w:val="none"/>
        </w:rPr>
      </w:pPr>
      <w:r>
        <w:rPr>
          <w:rFonts w:hint="eastAsia" w:ascii="宋体"/>
          <w:color w:val="auto"/>
          <w:szCs w:val="21"/>
          <w:highlight w:val="none"/>
        </w:rPr>
        <w:t>3.2.3 评标委员会发现投标人的报价明显不合理或低于成本，有可能影响服务质量和不能诚信履约的，应当要求该投标人在规定时间内作出书面说明并提供相应的证明材料。投标人不能合理说明或者不能提供相应证明材料的，由评标委员会认定该投标人以低于成本报价竞标，其投标作废标处理。</w:t>
      </w:r>
    </w:p>
    <w:p w14:paraId="26DDF182">
      <w:pPr>
        <w:ind w:firstLine="600"/>
        <w:rPr>
          <w:b/>
          <w:color w:val="auto"/>
          <w:sz w:val="28"/>
          <w:szCs w:val="28"/>
          <w:highlight w:val="none"/>
        </w:rPr>
      </w:pPr>
      <w:bookmarkStart w:id="200" w:name="_Toc530405549"/>
      <w:bookmarkStart w:id="201" w:name="_Toc525998740"/>
      <w:r>
        <w:rPr>
          <w:rFonts w:hint="eastAsia"/>
          <w:b/>
          <w:color w:val="auto"/>
          <w:sz w:val="28"/>
          <w:szCs w:val="28"/>
          <w:highlight w:val="none"/>
        </w:rPr>
        <w:t>3.3 投标文件的澄清和补正统计分数原则</w:t>
      </w:r>
      <w:bookmarkEnd w:id="200"/>
      <w:bookmarkEnd w:id="201"/>
      <w:r>
        <w:rPr>
          <w:rFonts w:hint="eastAsia"/>
          <w:b/>
          <w:color w:val="auto"/>
          <w:sz w:val="28"/>
          <w:szCs w:val="28"/>
          <w:highlight w:val="none"/>
        </w:rPr>
        <w:t xml:space="preserve"> </w:t>
      </w:r>
    </w:p>
    <w:p w14:paraId="2B86DEC5">
      <w:pPr>
        <w:spacing w:line="360" w:lineRule="auto"/>
        <w:ind w:firstLine="420" w:firstLineChars="200"/>
        <w:jc w:val="left"/>
        <w:rPr>
          <w:rFonts w:ascii="宋体"/>
          <w:color w:val="auto"/>
          <w:szCs w:val="21"/>
          <w:highlight w:val="none"/>
        </w:rPr>
      </w:pPr>
      <w:r>
        <w:rPr>
          <w:rFonts w:hint="eastAsia" w:ascii="宋体"/>
          <w:color w:val="auto"/>
          <w:szCs w:val="21"/>
          <w:highlight w:val="none"/>
        </w:rPr>
        <w:t>3.3.1 在评标过程中，评标委员会可以书面形式</w:t>
      </w:r>
      <w:r>
        <w:rPr>
          <w:rFonts w:ascii="宋体"/>
          <w:color w:val="auto"/>
          <w:szCs w:val="21"/>
          <w:highlight w:val="none"/>
        </w:rPr>
        <w:t>（应当由评标委员会专家签字）</w:t>
      </w:r>
      <w:r>
        <w:rPr>
          <w:rFonts w:hint="eastAsia" w:ascii="宋体"/>
          <w:color w:val="auto"/>
          <w:szCs w:val="21"/>
          <w:highlight w:val="none"/>
        </w:rPr>
        <w:t>要求投标人对所递交的投标文件</w:t>
      </w:r>
      <w:r>
        <w:rPr>
          <w:rFonts w:ascii="宋体"/>
          <w:color w:val="auto"/>
          <w:szCs w:val="21"/>
          <w:highlight w:val="none"/>
        </w:rPr>
        <w:t>中含义不明确、同类问题表述不一致或者有明显文字和计算错误的内容，</w:t>
      </w:r>
      <w:r>
        <w:rPr>
          <w:rFonts w:hint="eastAsia" w:ascii="宋体"/>
          <w:color w:val="auto"/>
          <w:szCs w:val="21"/>
          <w:highlight w:val="none"/>
        </w:rPr>
        <w:t>进行书面澄清或说明，或者对细微偏差进行补正。评标委员会不接受投标人主动提出的澄清、说明或补正。</w:t>
      </w:r>
    </w:p>
    <w:p w14:paraId="701CFD89">
      <w:pPr>
        <w:spacing w:line="460" w:lineRule="exact"/>
        <w:ind w:firstLine="420" w:firstLineChars="200"/>
        <w:jc w:val="left"/>
        <w:rPr>
          <w:rFonts w:ascii="宋体"/>
          <w:color w:val="auto"/>
          <w:szCs w:val="21"/>
          <w:highlight w:val="none"/>
        </w:rPr>
      </w:pPr>
      <w:r>
        <w:rPr>
          <w:rFonts w:hint="eastAsia" w:ascii="宋体"/>
          <w:color w:val="auto"/>
          <w:szCs w:val="21"/>
          <w:highlight w:val="none"/>
        </w:rPr>
        <w:t>3.3.2 投标人的澄清、说明和补正</w:t>
      </w:r>
      <w:r>
        <w:rPr>
          <w:rFonts w:ascii="宋体"/>
          <w:color w:val="auto"/>
          <w:szCs w:val="21"/>
          <w:highlight w:val="none"/>
        </w:rPr>
        <w:t>应当采用书面形式，由</w:t>
      </w:r>
      <w:r>
        <w:rPr>
          <w:rFonts w:hint="eastAsia" w:ascii="宋体"/>
          <w:color w:val="auto"/>
          <w:szCs w:val="21"/>
          <w:highlight w:val="none"/>
        </w:rPr>
        <w:t>法定代表人或</w:t>
      </w:r>
      <w:r>
        <w:rPr>
          <w:rFonts w:ascii="宋体"/>
          <w:color w:val="auto"/>
          <w:szCs w:val="21"/>
          <w:highlight w:val="none"/>
        </w:rPr>
        <w:t>其授权的代表签字，</w:t>
      </w:r>
      <w:r>
        <w:rPr>
          <w:rFonts w:hint="eastAsia" w:ascii="宋体"/>
          <w:color w:val="auto"/>
          <w:szCs w:val="21"/>
          <w:highlight w:val="none"/>
        </w:rPr>
        <w:t>并不得改变投标文件的实质性内容（算术性错误修正的除外）。投标人的书面澄清、说明和补正属于投标文件的组成部分。</w:t>
      </w:r>
    </w:p>
    <w:p w14:paraId="23376609">
      <w:pPr>
        <w:spacing w:line="460" w:lineRule="exact"/>
        <w:ind w:firstLine="420" w:firstLineChars="200"/>
        <w:jc w:val="left"/>
        <w:rPr>
          <w:rFonts w:ascii="宋体"/>
          <w:color w:val="auto"/>
          <w:szCs w:val="21"/>
          <w:highlight w:val="none"/>
        </w:rPr>
      </w:pPr>
      <w:r>
        <w:rPr>
          <w:rFonts w:hint="eastAsia" w:ascii="宋体"/>
          <w:color w:val="auto"/>
          <w:szCs w:val="21"/>
          <w:highlight w:val="none"/>
        </w:rPr>
        <w:t>3.3.3 评标委员会对投标人提交的澄清、说明或补正有疑问的，可以要求投标人进一步澄清、说明或补正，直至满足评标委员会的要求。</w:t>
      </w:r>
    </w:p>
    <w:p w14:paraId="1F522516">
      <w:pPr>
        <w:spacing w:line="460" w:lineRule="exact"/>
        <w:ind w:firstLine="600"/>
        <w:rPr>
          <w:b/>
          <w:color w:val="auto"/>
          <w:sz w:val="28"/>
          <w:szCs w:val="28"/>
          <w:highlight w:val="none"/>
        </w:rPr>
      </w:pPr>
      <w:bookmarkStart w:id="202" w:name="_Toc525998741"/>
      <w:bookmarkStart w:id="203" w:name="_Toc530405550"/>
      <w:r>
        <w:rPr>
          <w:rFonts w:hint="eastAsia"/>
          <w:b/>
          <w:color w:val="auto"/>
          <w:sz w:val="28"/>
          <w:szCs w:val="28"/>
          <w:highlight w:val="none"/>
        </w:rPr>
        <w:t>3.4 评标结果</w:t>
      </w:r>
      <w:bookmarkEnd w:id="202"/>
      <w:bookmarkEnd w:id="203"/>
    </w:p>
    <w:p w14:paraId="2D659137">
      <w:pPr>
        <w:spacing w:line="460" w:lineRule="exact"/>
        <w:ind w:firstLine="420" w:firstLineChars="200"/>
        <w:jc w:val="left"/>
        <w:rPr>
          <w:rFonts w:ascii="宋体"/>
          <w:color w:val="auto"/>
          <w:szCs w:val="21"/>
          <w:highlight w:val="none"/>
        </w:rPr>
      </w:pPr>
      <w:r>
        <w:rPr>
          <w:rFonts w:hint="eastAsia" w:ascii="宋体"/>
          <w:color w:val="auto"/>
          <w:szCs w:val="21"/>
          <w:highlight w:val="none"/>
        </w:rPr>
        <w:t>3.4.1 评标委员会按得分由高到低顺序推荐中标候选人，并提出书面评标报告。</w:t>
      </w:r>
    </w:p>
    <w:p w14:paraId="2C80A4C0">
      <w:pPr>
        <w:spacing w:line="460" w:lineRule="exact"/>
        <w:ind w:firstLine="420" w:firstLineChars="200"/>
        <w:jc w:val="left"/>
        <w:rPr>
          <w:rFonts w:ascii="宋体"/>
          <w:color w:val="auto"/>
          <w:szCs w:val="21"/>
          <w:highlight w:val="none"/>
        </w:rPr>
      </w:pPr>
      <w:r>
        <w:rPr>
          <w:rFonts w:hint="eastAsia" w:ascii="宋体"/>
          <w:color w:val="auto"/>
          <w:szCs w:val="21"/>
          <w:highlight w:val="none"/>
        </w:rPr>
        <w:t xml:space="preserve">3.4.2 </w:t>
      </w:r>
      <w:r>
        <w:rPr>
          <w:rFonts w:hint="eastAsia" w:ascii="宋体"/>
          <w:color w:val="auto"/>
          <w:szCs w:val="21"/>
          <w:highlight w:val="none"/>
          <w:lang w:eastAsia="zh-CN"/>
        </w:rPr>
        <w:t>采购人</w:t>
      </w:r>
      <w:r>
        <w:rPr>
          <w:rFonts w:hint="eastAsia" w:ascii="宋体"/>
          <w:color w:val="auto"/>
          <w:szCs w:val="21"/>
          <w:highlight w:val="none"/>
        </w:rPr>
        <w:t>根据评标委员会提出的书面评标报告和推荐的中标候选人名单，确定中标人。</w:t>
      </w:r>
    </w:p>
    <w:p w14:paraId="5E3D3550">
      <w:pPr>
        <w:spacing w:line="460" w:lineRule="exact"/>
        <w:ind w:firstLine="600"/>
        <w:rPr>
          <w:b/>
          <w:color w:val="auto"/>
          <w:sz w:val="28"/>
          <w:szCs w:val="28"/>
          <w:highlight w:val="none"/>
        </w:rPr>
      </w:pPr>
      <w:r>
        <w:rPr>
          <w:rFonts w:hint="eastAsia"/>
          <w:b/>
          <w:color w:val="auto"/>
          <w:sz w:val="28"/>
          <w:szCs w:val="28"/>
          <w:highlight w:val="none"/>
        </w:rPr>
        <w:t>3.5评审工作纪律</w:t>
      </w:r>
    </w:p>
    <w:p w14:paraId="6D33168D">
      <w:pPr>
        <w:spacing w:line="460" w:lineRule="exact"/>
        <w:ind w:firstLine="420" w:firstLineChars="200"/>
        <w:jc w:val="left"/>
        <w:rPr>
          <w:rFonts w:ascii="宋体"/>
          <w:color w:val="auto"/>
          <w:szCs w:val="21"/>
          <w:highlight w:val="none"/>
        </w:rPr>
      </w:pPr>
      <w:r>
        <w:rPr>
          <w:rFonts w:hint="eastAsia" w:ascii="宋体"/>
          <w:color w:val="auto"/>
          <w:szCs w:val="21"/>
          <w:highlight w:val="none"/>
        </w:rPr>
        <w:t>3.5.1对评审内容和评审办法要严格保密，不得向投标</w:t>
      </w:r>
      <w:r>
        <w:rPr>
          <w:rFonts w:hint="eastAsia" w:ascii="宋体"/>
          <w:color w:val="auto"/>
          <w:szCs w:val="21"/>
          <w:highlight w:val="none"/>
          <w:lang w:eastAsia="zh-CN"/>
        </w:rPr>
        <w:t>人</w:t>
      </w:r>
      <w:r>
        <w:rPr>
          <w:rFonts w:hint="eastAsia" w:ascii="宋体"/>
          <w:color w:val="auto"/>
          <w:szCs w:val="21"/>
          <w:highlight w:val="none"/>
        </w:rPr>
        <w:t>或与该过程无关的其他人员泄露；</w:t>
      </w:r>
    </w:p>
    <w:p w14:paraId="5BF50CEB">
      <w:pPr>
        <w:spacing w:line="460" w:lineRule="exact"/>
        <w:ind w:firstLine="420" w:firstLineChars="200"/>
        <w:jc w:val="left"/>
        <w:rPr>
          <w:rFonts w:ascii="宋体"/>
          <w:color w:val="auto"/>
          <w:szCs w:val="21"/>
          <w:highlight w:val="none"/>
        </w:rPr>
      </w:pPr>
      <w:r>
        <w:rPr>
          <w:rFonts w:hint="eastAsia" w:ascii="宋体"/>
          <w:color w:val="auto"/>
          <w:szCs w:val="21"/>
          <w:highlight w:val="none"/>
        </w:rPr>
        <w:t>3.5.2评审期间的一切资料，包括评审意见、评审记录和评审结论，一律不得向外</w:t>
      </w:r>
      <w:r>
        <w:rPr>
          <w:rFonts w:hint="eastAsia" w:ascii="宋体"/>
          <w:color w:val="auto"/>
          <w:szCs w:val="21"/>
          <w:highlight w:val="none"/>
          <w:lang w:eastAsia="zh-CN"/>
        </w:rPr>
        <w:t>传播</w:t>
      </w:r>
      <w:r>
        <w:rPr>
          <w:rFonts w:hint="eastAsia" w:ascii="宋体"/>
          <w:color w:val="auto"/>
          <w:szCs w:val="21"/>
          <w:highlight w:val="none"/>
        </w:rPr>
        <w:t>和泄露；</w:t>
      </w:r>
    </w:p>
    <w:p w14:paraId="62FD6A36">
      <w:pPr>
        <w:spacing w:line="460" w:lineRule="exact"/>
        <w:ind w:firstLine="420" w:firstLineChars="200"/>
        <w:jc w:val="left"/>
        <w:rPr>
          <w:rFonts w:ascii="宋体"/>
          <w:color w:val="auto"/>
          <w:szCs w:val="21"/>
          <w:highlight w:val="none"/>
        </w:rPr>
      </w:pPr>
      <w:r>
        <w:rPr>
          <w:rFonts w:hint="eastAsia" w:ascii="宋体"/>
          <w:color w:val="auto"/>
          <w:szCs w:val="21"/>
          <w:highlight w:val="none"/>
        </w:rPr>
        <w:t>3.5.3任何属于投标人文件审查、澄清、评价和比较的资料，不得向投标人或与该过程无关的其他人员泄露；</w:t>
      </w:r>
    </w:p>
    <w:p w14:paraId="2EE08777">
      <w:pPr>
        <w:spacing w:line="460" w:lineRule="exact"/>
        <w:ind w:firstLine="420" w:firstLineChars="200"/>
        <w:jc w:val="left"/>
        <w:rPr>
          <w:rFonts w:ascii="宋体"/>
          <w:color w:val="auto"/>
          <w:szCs w:val="21"/>
          <w:highlight w:val="none"/>
        </w:rPr>
      </w:pPr>
      <w:r>
        <w:rPr>
          <w:rFonts w:hint="eastAsia" w:ascii="宋体"/>
          <w:color w:val="auto"/>
          <w:szCs w:val="21"/>
          <w:highlight w:val="none"/>
        </w:rPr>
        <w:t>3.5.4所有资料（包括招标</w:t>
      </w:r>
      <w:r>
        <w:rPr>
          <w:rFonts w:hint="eastAsia" w:ascii="宋体"/>
          <w:color w:val="auto"/>
          <w:szCs w:val="21"/>
          <w:highlight w:val="none"/>
          <w:lang w:eastAsia="zh-CN"/>
        </w:rPr>
        <w:t>、</w:t>
      </w:r>
      <w:r>
        <w:rPr>
          <w:rFonts w:hint="eastAsia" w:ascii="宋体"/>
          <w:color w:val="auto"/>
          <w:szCs w:val="21"/>
          <w:highlight w:val="none"/>
        </w:rPr>
        <w:t>采购文件、投标</w:t>
      </w:r>
      <w:r>
        <w:rPr>
          <w:rFonts w:hint="eastAsia" w:ascii="宋体"/>
          <w:color w:val="auto"/>
          <w:szCs w:val="21"/>
          <w:highlight w:val="none"/>
          <w:lang w:val="en-US" w:eastAsia="zh-CN"/>
        </w:rPr>
        <w:t>/</w:t>
      </w:r>
      <w:r>
        <w:rPr>
          <w:rFonts w:hint="eastAsia" w:ascii="宋体"/>
          <w:color w:val="auto"/>
          <w:szCs w:val="21"/>
          <w:highlight w:val="none"/>
        </w:rPr>
        <w:t>响应文件、评审表格及各种文字记录）在评审结束后均应分别整理、存档备查，任何人不得复制和保留；</w:t>
      </w:r>
    </w:p>
    <w:p w14:paraId="76B99EA5">
      <w:pPr>
        <w:spacing w:line="460" w:lineRule="exact"/>
        <w:ind w:firstLine="420" w:firstLineChars="200"/>
        <w:jc w:val="left"/>
        <w:rPr>
          <w:rFonts w:ascii="宋体"/>
          <w:color w:val="auto"/>
          <w:szCs w:val="21"/>
          <w:highlight w:val="none"/>
        </w:rPr>
      </w:pPr>
      <w:r>
        <w:rPr>
          <w:rFonts w:hint="eastAsia" w:ascii="宋体"/>
          <w:color w:val="auto"/>
          <w:szCs w:val="21"/>
          <w:highlight w:val="none"/>
        </w:rPr>
        <w:t>3.5.5评审结束后，与会人员不得向外界透露评审人员的评审意见，如因此造成的后果由责任者承担；</w:t>
      </w:r>
    </w:p>
    <w:p w14:paraId="4A08058B">
      <w:pPr>
        <w:spacing w:line="460" w:lineRule="exact"/>
        <w:ind w:firstLine="420" w:firstLineChars="200"/>
        <w:jc w:val="left"/>
        <w:rPr>
          <w:rFonts w:ascii="宋体"/>
          <w:color w:val="auto"/>
          <w:szCs w:val="21"/>
          <w:highlight w:val="none"/>
        </w:rPr>
      </w:pPr>
      <w:r>
        <w:rPr>
          <w:rFonts w:hint="eastAsia" w:ascii="宋体"/>
          <w:color w:val="auto"/>
          <w:szCs w:val="21"/>
          <w:highlight w:val="none"/>
        </w:rPr>
        <w:t>3.5.6评审期间，评审人员不得外出，确需外出时应事先请假；</w:t>
      </w:r>
    </w:p>
    <w:p w14:paraId="30C98B06">
      <w:pPr>
        <w:spacing w:line="460" w:lineRule="exact"/>
        <w:ind w:firstLine="420" w:firstLineChars="200"/>
        <w:jc w:val="left"/>
        <w:rPr>
          <w:rFonts w:ascii="宋体"/>
          <w:color w:val="auto"/>
          <w:szCs w:val="21"/>
          <w:highlight w:val="none"/>
        </w:rPr>
      </w:pPr>
      <w:r>
        <w:rPr>
          <w:rFonts w:hint="eastAsia" w:ascii="宋体"/>
          <w:color w:val="auto"/>
          <w:szCs w:val="21"/>
          <w:highlight w:val="none"/>
        </w:rPr>
        <w:t>3.5.7评审期间，所有与会人员均不得私自以任何方式和投标人进行联系，</w:t>
      </w:r>
      <w:r>
        <w:rPr>
          <w:rFonts w:hint="eastAsia" w:ascii="宋体"/>
          <w:color w:val="auto"/>
          <w:szCs w:val="21"/>
          <w:highlight w:val="none"/>
          <w:lang w:eastAsia="zh-CN"/>
        </w:rPr>
        <w:t>需要</w:t>
      </w:r>
      <w:r>
        <w:rPr>
          <w:rFonts w:hint="eastAsia" w:ascii="宋体"/>
          <w:color w:val="auto"/>
          <w:szCs w:val="21"/>
          <w:highlight w:val="none"/>
        </w:rPr>
        <w:t>询问、澄清的问题由评审委员会统一组织办理；</w:t>
      </w:r>
    </w:p>
    <w:p w14:paraId="3EE743BD">
      <w:pPr>
        <w:spacing w:line="460" w:lineRule="exact"/>
        <w:ind w:firstLine="420" w:firstLineChars="200"/>
        <w:jc w:val="left"/>
        <w:rPr>
          <w:rFonts w:ascii="宋体"/>
          <w:color w:val="auto"/>
          <w:szCs w:val="21"/>
          <w:highlight w:val="none"/>
        </w:rPr>
      </w:pPr>
      <w:r>
        <w:rPr>
          <w:rFonts w:hint="eastAsia" w:ascii="宋体"/>
          <w:color w:val="auto"/>
          <w:szCs w:val="21"/>
          <w:highlight w:val="none"/>
        </w:rPr>
        <w:t>3.5.8评审期间，未经允许评审委员会以外的任何单位或部门不得参加评审和采访评审工作；</w:t>
      </w:r>
    </w:p>
    <w:p w14:paraId="491E8C57">
      <w:pPr>
        <w:spacing w:line="460" w:lineRule="exact"/>
        <w:ind w:firstLine="420" w:firstLineChars="200"/>
        <w:jc w:val="left"/>
        <w:rPr>
          <w:rFonts w:ascii="宋体"/>
          <w:color w:val="auto"/>
          <w:szCs w:val="21"/>
          <w:highlight w:val="none"/>
        </w:rPr>
      </w:pPr>
      <w:r>
        <w:rPr>
          <w:rFonts w:hint="eastAsia" w:ascii="宋体"/>
          <w:color w:val="auto"/>
          <w:szCs w:val="21"/>
          <w:highlight w:val="none"/>
        </w:rPr>
        <w:t>3.5.9在评审工作开始前，将手机等通讯工具或相关电子设备交由</w:t>
      </w:r>
      <w:r>
        <w:rPr>
          <w:rFonts w:hint="eastAsia" w:ascii="宋体"/>
          <w:color w:val="auto"/>
          <w:szCs w:val="21"/>
          <w:highlight w:val="none"/>
          <w:lang w:eastAsia="zh-CN"/>
        </w:rPr>
        <w:t>采购人</w:t>
      </w:r>
      <w:r>
        <w:rPr>
          <w:rFonts w:hint="eastAsia" w:ascii="宋体"/>
          <w:color w:val="auto"/>
          <w:szCs w:val="21"/>
          <w:highlight w:val="none"/>
        </w:rPr>
        <w:t>或</w:t>
      </w:r>
      <w:r>
        <w:rPr>
          <w:rFonts w:hint="eastAsia" w:ascii="宋体"/>
          <w:color w:val="auto"/>
          <w:szCs w:val="21"/>
          <w:highlight w:val="none"/>
          <w:lang w:eastAsia="zh-CN"/>
        </w:rPr>
        <w:t>采购代理</w:t>
      </w:r>
      <w:r>
        <w:rPr>
          <w:rFonts w:hint="eastAsia" w:ascii="宋体"/>
          <w:color w:val="auto"/>
          <w:szCs w:val="21"/>
          <w:highlight w:val="none"/>
        </w:rPr>
        <w:t>机构统一保管；</w:t>
      </w:r>
    </w:p>
    <w:p w14:paraId="33FAC7EA">
      <w:pPr>
        <w:spacing w:line="460" w:lineRule="exact"/>
        <w:ind w:firstLine="420" w:firstLineChars="200"/>
        <w:jc w:val="left"/>
        <w:rPr>
          <w:rFonts w:ascii="宋体"/>
          <w:color w:val="auto"/>
          <w:szCs w:val="21"/>
          <w:highlight w:val="none"/>
        </w:rPr>
      </w:pPr>
      <w:r>
        <w:rPr>
          <w:rFonts w:hint="eastAsia" w:ascii="宋体"/>
          <w:color w:val="auto"/>
          <w:szCs w:val="21"/>
          <w:highlight w:val="none"/>
        </w:rPr>
        <w:t>3.5.10评审委员会成员和评审工作有关人员不得干预或者影响正常评审工作，不得明示或者暗示其倾向性、引导性意见，不得修改或细化采购文件确定的评审程序、评审方法、评审因素和评审标准，不得接受投标人主动提出的澄清和解释，不得征询</w:t>
      </w:r>
      <w:r>
        <w:rPr>
          <w:rFonts w:hint="eastAsia" w:ascii="宋体"/>
          <w:color w:val="auto"/>
          <w:szCs w:val="21"/>
          <w:highlight w:val="none"/>
          <w:lang w:eastAsia="zh-CN"/>
        </w:rPr>
        <w:t>采购人</w:t>
      </w:r>
      <w:r>
        <w:rPr>
          <w:rFonts w:hint="eastAsia" w:ascii="宋体"/>
          <w:color w:val="auto"/>
          <w:szCs w:val="21"/>
          <w:highlight w:val="none"/>
        </w:rPr>
        <w:t>代表的倾向性意见，不得协商评分，不得记录、复制或带走任何评审资料。评审结果汇总完成后，</w:t>
      </w:r>
      <w:r>
        <w:rPr>
          <w:rFonts w:hint="eastAsia" w:ascii="宋体"/>
          <w:color w:val="auto"/>
          <w:szCs w:val="21"/>
          <w:highlight w:val="none"/>
          <w:lang w:eastAsia="zh-CN"/>
        </w:rPr>
        <w:t>采购人</w:t>
      </w:r>
      <w:r>
        <w:rPr>
          <w:rFonts w:hint="eastAsia" w:ascii="宋体"/>
          <w:color w:val="auto"/>
          <w:szCs w:val="21"/>
          <w:highlight w:val="none"/>
        </w:rPr>
        <w:t>、</w:t>
      </w:r>
      <w:r>
        <w:rPr>
          <w:rFonts w:hint="eastAsia" w:ascii="宋体"/>
          <w:color w:val="auto"/>
          <w:szCs w:val="21"/>
          <w:highlight w:val="none"/>
          <w:lang w:eastAsia="zh-CN"/>
        </w:rPr>
        <w:t>采购代理</w:t>
      </w:r>
      <w:r>
        <w:rPr>
          <w:rFonts w:hint="eastAsia" w:ascii="宋体"/>
          <w:color w:val="auto"/>
          <w:szCs w:val="21"/>
          <w:highlight w:val="none"/>
        </w:rPr>
        <w:t>机构和评审委员会均不得修改评审结果或者要求重新评审，但资格性检查认定错误、分值汇总计算错误、分项评分超出评分标准范围、客观分评分不一致、经评审委员会一致认定评分畸高、畸低的情形除外。出现上述除外情形的，评审委员会应当现场修改评审结果，并在评审报告中明确记载。</w:t>
      </w:r>
    </w:p>
    <w:p w14:paraId="36D41B79">
      <w:pPr>
        <w:spacing w:line="460" w:lineRule="exact"/>
        <w:ind w:firstLine="600"/>
        <w:rPr>
          <w:b/>
          <w:color w:val="auto"/>
          <w:sz w:val="28"/>
          <w:szCs w:val="28"/>
          <w:highlight w:val="none"/>
        </w:rPr>
      </w:pPr>
      <w:bookmarkStart w:id="204" w:name="_Toc530405551"/>
      <w:bookmarkStart w:id="205" w:name="_Toc525998742"/>
      <w:r>
        <w:rPr>
          <w:rFonts w:hint="eastAsia"/>
          <w:b/>
          <w:color w:val="auto"/>
          <w:sz w:val="28"/>
          <w:szCs w:val="28"/>
          <w:highlight w:val="none"/>
        </w:rPr>
        <w:t>3.6 特殊情况</w:t>
      </w:r>
      <w:bookmarkEnd w:id="204"/>
      <w:bookmarkEnd w:id="205"/>
    </w:p>
    <w:p w14:paraId="022EC508">
      <w:pPr>
        <w:spacing w:line="460" w:lineRule="exact"/>
        <w:ind w:firstLine="420" w:firstLineChars="200"/>
        <w:jc w:val="left"/>
        <w:rPr>
          <w:rFonts w:ascii="宋体"/>
          <w:color w:val="auto"/>
          <w:szCs w:val="21"/>
          <w:highlight w:val="none"/>
        </w:rPr>
      </w:pPr>
      <w:r>
        <w:rPr>
          <w:rFonts w:hint="eastAsia" w:ascii="宋体"/>
          <w:color w:val="auto"/>
          <w:szCs w:val="21"/>
          <w:highlight w:val="none"/>
        </w:rPr>
        <w:t>评标过程中若遇特殊情况由评标委员会成员讨论决定。</w:t>
      </w:r>
    </w:p>
    <w:p w14:paraId="0631D167">
      <w:pPr>
        <w:spacing w:line="440" w:lineRule="exact"/>
        <w:ind w:firstLine="522"/>
        <w:rPr>
          <w:color w:val="auto"/>
          <w:highlight w:val="none"/>
        </w:rPr>
      </w:pPr>
    </w:p>
    <w:sectPr>
      <w:headerReference r:id="rId14" w:type="default"/>
      <w:footerReference r:id="rId15" w:type="default"/>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DejaVu Sans">
    <w:altName w:val="Segoe Print"/>
    <w:panose1 w:val="00000000000000000000"/>
    <w:charset w:val="00"/>
    <w:family w:val="auto"/>
    <w:pitch w:val="default"/>
    <w:sig w:usb0="00000000" w:usb1="00000000" w:usb2="0A246029" w:usb3="0400200C" w:csb0="600001FF" w:csb1="DFFF0000"/>
  </w:font>
  <w:font w:name="Segoe Print">
    <w:panose1 w:val="02000600000000000000"/>
    <w:charset w:val="00"/>
    <w:family w:val="auto"/>
    <w:pitch w:val="default"/>
    <w:sig w:usb0="0000028F" w:usb1="00000000" w:usb2="00000000" w:usb3="00000000" w:csb0="2000009F" w:csb1="47010000"/>
  </w:font>
  <w:font w:name="方正黑体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小标宋简体">
    <w:altName w:val="等线"/>
    <w:panose1 w:val="00000000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方正小标宋_GBK">
    <w:altName w:val="Arial Unicode MS"/>
    <w:panose1 w:val="03000509000000000000"/>
    <w:charset w:val="86"/>
    <w:family w:val="script"/>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3197535"/>
    </w:sdtPr>
    <w:sdtContent>
      <w:p w14:paraId="76360F56">
        <w:pPr>
          <w:pStyle w:val="24"/>
          <w:jc w:val="center"/>
        </w:pPr>
        <w:r>
          <w:fldChar w:fldCharType="begin"/>
        </w:r>
        <w:r>
          <w:instrText xml:space="preserve">PAGE   \* MERGEFORMAT</w:instrText>
        </w:r>
        <w:r>
          <w:fldChar w:fldCharType="separate"/>
        </w:r>
        <w:r>
          <w:rPr>
            <w:lang w:val="zh-CN"/>
          </w:rPr>
          <w:t>13</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96556">
    <w:pPr>
      <w:pStyle w:val="24"/>
      <w:framePr w:wrap="around" w:vAnchor="text" w:hAnchor="margin" w:xAlign="right" w:y="1"/>
      <w:rPr>
        <w:rStyle w:val="36"/>
      </w:rPr>
    </w:pPr>
    <w:r>
      <w:fldChar w:fldCharType="begin"/>
    </w:r>
    <w:r>
      <w:rPr>
        <w:rStyle w:val="36"/>
      </w:rPr>
      <w:instrText xml:space="preserve">PAGE  </w:instrText>
    </w:r>
    <w:r>
      <w:fldChar w:fldCharType="separate"/>
    </w:r>
    <w:r>
      <w:rPr>
        <w:rStyle w:val="36"/>
      </w:rPr>
      <w:t>29</w:t>
    </w:r>
    <w:r>
      <w:fldChar w:fldCharType="end"/>
    </w:r>
  </w:p>
  <w:p w14:paraId="07F18A1C">
    <w:pPr>
      <w:pStyle w:val="24"/>
      <w:ind w:right="360"/>
      <w:rPr>
        <w:sz w:val="21"/>
      </w:rPr>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a:noFill/>
                      </a:ln>
                    </wps:spPr>
                    <wps:txbx>
                      <w:txbxContent>
                        <w:p w14:paraId="2E29D903">
                          <w:pPr>
                            <w:pStyle w:val="24"/>
                            <w:rPr>
                              <w:rStyle w:val="36"/>
                            </w:rPr>
                          </w:pPr>
                          <w:r>
                            <w:fldChar w:fldCharType="begin"/>
                          </w:r>
                          <w:r>
                            <w:rPr>
                              <w:rStyle w:val="36"/>
                            </w:rPr>
                            <w:instrText xml:space="preserve">PAGE  </w:instrText>
                          </w:r>
                          <w:r>
                            <w:fldChar w:fldCharType="separate"/>
                          </w:r>
                          <w:r>
                            <w:rPr>
                              <w:rStyle w:val="36"/>
                            </w:rPr>
                            <w:t>29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1312;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ls+CbNAQAAlgMAAA4AAABkcnMvZTJvRG9jLnhtbK1TzY7TMBC+I+07&#10;WL5v3ay2LERNV6BqV0gIkBYewHXsxpL/5HGb9AXgDThx4c5z9TkYO2kXlsseuDiTmck33/d5srwd&#10;rCF7GUF719BqNqdEOuFb7bYN/fL57vIVJZC4a7nxTjb0IIHeri5eLPtQyyvfedPKSBDEQd2HhnYp&#10;hZoxEJ20HGY+SIdF5aPlCV/jlrWR94huDbuaz1+y3sc2RC8kAGbXY5FOiPE5gF4pLeTai52VLo2o&#10;URqeUBJ0OgBdFbZKSZE+KgUyEdNQVJrKiUMw3uSTrZa83kYeOi0mCvw5FJ5oslw7HHqGWvPEyS7q&#10;f6CsFtGDV2kmvGWjkOIIqqjmT7x56HiQRQtaDeFsOvw/WPFh/ykS3eImUOK4xQs/fv92/PHr+PMr&#10;qbI9fYAaux4C9qXhrR9y65QHTGbVg4o2P1EPwTqaezibK4dEBCYXN9UCCwIr1fXN68Uig7DHb0OE&#10;dC+9JTloaMSrK47y/XtIY+upJY9y/k4bg3leG/dXAjFzhmXiI8EcpWEzTKw3vj2gmB5vvaEOl5wS&#10;886hqXlBTkE8BZtTsAtRbzukVhVeEN7sEpIo3PKEEXYajNdV1E2rlffhz/fS9fg7rX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tCQbNAAAAACAQAADwAAAAAAAAABACAAAAAiAAAAZHJzL2Rvd25y&#10;ZXYueG1sUEsBAhQAFAAAAAgAh07iQMls+CbNAQAAlgMAAA4AAAAAAAAAAQAgAAAAHwEAAGRycy9l&#10;Mm9Eb2MueG1sUEsFBgAAAAAGAAYAWQEAAF4FAAAAAA==&#10;">
              <v:fill on="f" focussize="0,0"/>
              <v:stroke on="f"/>
              <v:imagedata o:title=""/>
              <o:lock v:ext="edit" aspectratio="f"/>
              <v:textbox inset="0mm,0mm,0mm,0mm" style="mso-fit-shape-to-text:t;">
                <w:txbxContent>
                  <w:p w14:paraId="2E29D903">
                    <w:pPr>
                      <w:pStyle w:val="24"/>
                      <w:rPr>
                        <w:rStyle w:val="36"/>
                      </w:rPr>
                    </w:pPr>
                    <w:r>
                      <w:fldChar w:fldCharType="begin"/>
                    </w:r>
                    <w:r>
                      <w:rPr>
                        <w:rStyle w:val="36"/>
                      </w:rPr>
                      <w:instrText xml:space="preserve">PAGE  </w:instrText>
                    </w:r>
                    <w:r>
                      <w:fldChar w:fldCharType="separate"/>
                    </w:r>
                    <w:r>
                      <w:rPr>
                        <w:rStyle w:val="36"/>
                      </w:rPr>
                      <w:t>29</w:t>
                    </w:r>
                    <w: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2" name="文本框 2"/>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a:noFill/>
                      </a:ln>
                    </wps:spPr>
                    <wps:txbx>
                      <w:txbxContent>
                        <w:p w14:paraId="70D0F67D">
                          <w:pPr>
                            <w:pStyle w:val="24"/>
                            <w:rPr>
                              <w:rStyle w:val="36"/>
                              <w:sz w:val="21"/>
                            </w:rPr>
                          </w:pPr>
                          <w:r>
                            <w:rPr>
                              <w:sz w:val="21"/>
                            </w:rPr>
                            <w:fldChar w:fldCharType="begin"/>
                          </w:r>
                          <w:r>
                            <w:rPr>
                              <w:rStyle w:val="36"/>
                              <w:sz w:val="21"/>
                            </w:rPr>
                            <w:instrText xml:space="preserve">PAGE  </w:instrText>
                          </w:r>
                          <w:r>
                            <w:rPr>
                              <w:sz w:val="21"/>
                            </w:rPr>
                            <w:fldChar w:fldCharType="separate"/>
                          </w:r>
                          <w:r>
                            <w:rPr>
                              <w:rStyle w:val="36"/>
                              <w:sz w:val="21"/>
                            </w:rPr>
                            <w:t>29</w:t>
                          </w:r>
                          <w:r>
                            <w:rPr>
                              <w:sz w:val="21"/>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j3SWoM4BAACXAwAADgAAAGRycy9lMm9Eb2MueG1srVNLbtswEN0X6B0I&#10;7mvaMtoUguWghZGiQNEUSHoAmqIsAvyBQ1vyBdobdJVN9jmXz9EhJTlNssmiG3k0M3rz3pvx6rI3&#10;mhxkAOVsRRezOSXSClcru6voz9urdx8pgchtzbWzsqJHCfRy/fbNqvOlLFzrdC0DQRALZecr2sbo&#10;S8ZAtNJwmDkvLRYbFwyP+Bp2rA68Q3SjWTGff2CdC7UPTkgAzG6GIh0Rw2sAXdMoITdO7I20cUAN&#10;UvOIkqBVHug6s20aKeJ104CMRFcUlcb8xCEYb9OTrVe83AXuWyVGCvw1FJ5pMlxZHHqG2vDIyT6o&#10;F1BGieDANXEmnGGDkOwIqljMn3lz03Ivsxa0GvzZdPh/sOL74Ucgqq5oQYnlBhd++vP7dPdwuv9F&#10;imRP56HErhuPfbH/7Ho8mikPmEyq+yaY9It6CNbR3OPZXNlHItJHy+XyPVYElhYXxUWRzWePH/sA&#10;8Yt0hqSgogF3ly3lh28QkQi2Ti1plnVXSuu8P22fJLAxZVhiPjBMUey3/Shn6+ojqulw7RW1eOWU&#10;6K8WXU0XMgVhCrZTsPdB7Vqktsi8wH/aRySRuaUJA+w4GPeVKY+3lQ7i3/fc9fh/Wv8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sqsuUc8AAAADAQAADwAAAAAAAAABACAAAAAiAAAAZHJzL2Rvd25y&#10;ZXYueG1sUEsBAhQAFAAAAAgAh07iQI90lqDOAQAAlwMAAA4AAAAAAAAAAQAgAAAAHgEAAGRycy9l&#10;Mm9Eb2MueG1sUEsFBgAAAAAGAAYAWQEAAF4FAAAAAA==&#10;">
              <v:fill on="f" focussize="0,0"/>
              <v:stroke on="f"/>
              <v:imagedata o:title=""/>
              <o:lock v:ext="edit" aspectratio="f"/>
              <v:textbox inset="0mm,0mm,0mm,0mm" style="mso-fit-shape-to-text:t;">
                <w:txbxContent>
                  <w:p w14:paraId="70D0F67D">
                    <w:pPr>
                      <w:pStyle w:val="24"/>
                      <w:rPr>
                        <w:rStyle w:val="36"/>
                        <w:sz w:val="21"/>
                      </w:rPr>
                    </w:pPr>
                    <w:r>
                      <w:rPr>
                        <w:sz w:val="21"/>
                      </w:rPr>
                      <w:fldChar w:fldCharType="begin"/>
                    </w:r>
                    <w:r>
                      <w:rPr>
                        <w:rStyle w:val="36"/>
                        <w:sz w:val="21"/>
                      </w:rPr>
                      <w:instrText xml:space="preserve">PAGE  </w:instrText>
                    </w:r>
                    <w:r>
                      <w:rPr>
                        <w:sz w:val="21"/>
                      </w:rPr>
                      <w:fldChar w:fldCharType="separate"/>
                    </w:r>
                    <w:r>
                      <w:rPr>
                        <w:rStyle w:val="36"/>
                        <w:sz w:val="21"/>
                      </w:rPr>
                      <w:t>29</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3183647"/>
      <w:showingPlcHdr/>
    </w:sdtPr>
    <w:sdtContent>
      <w:p w14:paraId="37209520">
        <w:pPr>
          <w:pStyle w:val="24"/>
          <w:jc w:val="center"/>
        </w:pPr>
        <w:r>
          <w:t xml:space="preserve">     </w:t>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AD42E">
    <w:pPr>
      <w:spacing w:line="1" w:lineRule="exact"/>
    </w:pPr>
    <w:r>
      <w:pict>
        <v:shape id="文本框 7" o:spid="_x0000_s1025"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path/>
          <v:fill on="f" focussize="0,0"/>
          <v:stroke on="f" weight="0.5pt" joinstyle="miter"/>
          <v:imagedata o:title=""/>
          <o:lock v:ext="edit"/>
          <v:textbox inset="0mm,0mm,0mm,0mm" style="mso-fit-shape-to-text:t;">
            <w:txbxContent>
              <w:p w14:paraId="0B81B760">
                <w:pPr>
                  <w:pStyle w:val="24"/>
                </w:pPr>
                <w:r>
                  <w:rPr>
                    <w:rFonts w:hint="eastAsia"/>
                  </w:rPr>
                  <w:fldChar w:fldCharType="begin"/>
                </w:r>
                <w:r>
                  <w:rPr>
                    <w:rFonts w:hint="eastAsia"/>
                  </w:rPr>
                  <w:instrText xml:space="preserve"> PAGE  \* MERGEFORMAT </w:instrText>
                </w:r>
                <w:r>
                  <w:rPr>
                    <w:rFonts w:hint="eastAsia"/>
                  </w:rPr>
                  <w:fldChar w:fldCharType="separate"/>
                </w:r>
                <w:r>
                  <w:t>50</w:t>
                </w:r>
                <w:r>
                  <w:rPr>
                    <w:rFonts w:hint="eastAsia"/>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76DFE">
    <w:pPr>
      <w:pStyle w:val="24"/>
      <w:framePr w:wrap="around" w:vAnchor="text" w:hAnchor="margin" w:xAlign="center" w:y="1"/>
      <w:rPr>
        <w:rStyle w:val="36"/>
      </w:rPr>
    </w:pPr>
    <w:r>
      <w:fldChar w:fldCharType="begin"/>
    </w:r>
    <w:r>
      <w:rPr>
        <w:rStyle w:val="36"/>
      </w:rPr>
      <w:instrText xml:space="preserve">PAGE  </w:instrText>
    </w:r>
    <w:r>
      <w:fldChar w:fldCharType="separate"/>
    </w:r>
    <w:r>
      <w:rPr>
        <w:rStyle w:val="36"/>
      </w:rPr>
      <w:t>1</w:t>
    </w:r>
    <w:r>
      <w:fldChar w:fldCharType="end"/>
    </w:r>
  </w:p>
  <w:p w14:paraId="58A39EFC">
    <w:pPr>
      <w:pStyle w:val="2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5B36B">
    <w:pPr>
      <w:pStyle w:val="24"/>
      <w:framePr w:wrap="around" w:vAnchor="text" w:hAnchor="margin" w:xAlign="center" w:y="1"/>
      <w:rPr>
        <w:rStyle w:val="36"/>
      </w:rPr>
    </w:pPr>
    <w:r>
      <w:fldChar w:fldCharType="begin"/>
    </w:r>
    <w:r>
      <w:rPr>
        <w:rStyle w:val="36"/>
      </w:rPr>
      <w:instrText xml:space="preserve">PAGE  </w:instrText>
    </w:r>
    <w:r>
      <w:fldChar w:fldCharType="separate"/>
    </w:r>
    <w:r>
      <w:rPr>
        <w:rStyle w:val="36"/>
      </w:rPr>
      <w:t>1</w:t>
    </w:r>
    <w:r>
      <w:fldChar w:fldCharType="end"/>
    </w:r>
  </w:p>
  <w:p w14:paraId="0AF0E272">
    <w:pPr>
      <w:pStyle w:val="24"/>
    </w:pPr>
  </w:p>
  <w:p w14:paraId="562BE955"/>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753549"/>
    </w:sdtPr>
    <w:sdtContent>
      <w:p w14:paraId="0AFD8072">
        <w:pPr>
          <w:pStyle w:val="24"/>
          <w:jc w:val="center"/>
        </w:pPr>
        <w:r>
          <w:fldChar w:fldCharType="begin"/>
        </w:r>
        <w:r>
          <w:instrText xml:space="preserve">PAGE   \* MERGEFORMAT</w:instrText>
        </w:r>
        <w:r>
          <w:fldChar w:fldCharType="separate"/>
        </w:r>
        <w:r>
          <w:rPr>
            <w:lang w:val="zh-CN"/>
          </w:rPr>
          <w:t>61</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94127941"/>
    </w:sdtPr>
    <w:sdtContent>
      <w:p w14:paraId="1BF44B56">
        <w:pPr>
          <w:pStyle w:val="24"/>
          <w:jc w:val="center"/>
        </w:pPr>
        <w:r>
          <w:fldChar w:fldCharType="begin"/>
        </w:r>
        <w:r>
          <w:instrText xml:space="preserve">PAGE   \* MERGEFORMAT</w:instrText>
        </w:r>
        <w:r>
          <w:fldChar w:fldCharType="separate"/>
        </w:r>
        <w:r>
          <w:rPr>
            <w:lang w:val="zh-CN"/>
          </w:rPr>
          <w:t>76</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E3ED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045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AA6D7"/>
  <w:p w14:paraId="75DF687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F987D"/>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4E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E4294"/>
    <w:multiLevelType w:val="singleLevel"/>
    <w:tmpl w:val="8ABE4294"/>
    <w:lvl w:ilvl="0" w:tentative="0">
      <w:start w:val="1"/>
      <w:numFmt w:val="decimal"/>
      <w:suff w:val="nothing"/>
      <w:lvlText w:val="（%1）"/>
      <w:lvlJc w:val="left"/>
    </w:lvl>
  </w:abstractNum>
  <w:abstractNum w:abstractNumId="1">
    <w:nsid w:val="CF092B84"/>
    <w:multiLevelType w:val="multilevel"/>
    <w:tmpl w:val="CF092B84"/>
    <w:lvl w:ilvl="0" w:tentative="0">
      <w:start w:val="1"/>
      <w:numFmt w:val="decimal"/>
      <w:lvlText w:val="%1."/>
      <w:lvlJc w:val="left"/>
      <w:rPr>
        <w:rFonts w:ascii="宋体" w:hAnsi="宋体" w:eastAsia="宋体" w:cs="宋体"/>
        <w:b/>
        <w:bCs/>
        <w:i w:val="0"/>
        <w:iCs w:val="0"/>
        <w:smallCaps w:val="0"/>
        <w:strike w:val="0"/>
        <w:color w:val="000000"/>
        <w:spacing w:val="0"/>
        <w:w w:val="100"/>
        <w:position w:val="0"/>
        <w:sz w:val="20"/>
        <w:szCs w:val="20"/>
        <w:u w:val="none"/>
        <w:shd w:val="clear" w:color="auto" w:fill="auto"/>
        <w:lang w:val="en-US" w:eastAsia="en-US" w:bidi="en-US"/>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E8001497"/>
    <w:multiLevelType w:val="singleLevel"/>
    <w:tmpl w:val="E8001497"/>
    <w:lvl w:ilvl="0" w:tentative="0">
      <w:start w:val="1"/>
      <w:numFmt w:val="chineseCounting"/>
      <w:suff w:val="nothing"/>
      <w:lvlText w:val="%1、"/>
      <w:lvlJc w:val="left"/>
      <w:rPr>
        <w:rFonts w:hint="eastAsia"/>
      </w:rPr>
    </w:lvl>
  </w:abstractNum>
  <w:abstractNum w:abstractNumId="3">
    <w:nsid w:val="6E1C690E"/>
    <w:multiLevelType w:val="multilevel"/>
    <w:tmpl w:val="6E1C690E"/>
    <w:lvl w:ilvl="0" w:tentative="0">
      <w:start w:val="1"/>
      <w:numFmt w:val="chineseCountingThousand"/>
      <w:lvlText w:val="%1、"/>
      <w:lvlJc w:val="left"/>
      <w:pPr>
        <w:ind w:left="0" w:firstLine="0"/>
      </w:pPr>
      <w:rPr>
        <w:rFonts w:hint="eastAsia" w:ascii="黑体" w:hAnsi="黑体" w:eastAsia="黑体" w:cs="宋体"/>
        <w:b w:val="0"/>
        <w:i w:val="0"/>
        <w:sz w:val="32"/>
        <w:szCs w:val="44"/>
      </w:rPr>
    </w:lvl>
    <w:lvl w:ilvl="1" w:tentative="0">
      <w:start w:val="1"/>
      <w:numFmt w:val="decimal"/>
      <w:isLgl/>
      <w:lvlText w:val="%2"/>
      <w:lvlJc w:val="left"/>
      <w:pPr>
        <w:ind w:left="0" w:firstLine="0"/>
      </w:pPr>
      <w:rPr>
        <w:rFonts w:hint="eastAsia" w:eastAsia="仿宋"/>
        <w:b w:val="0"/>
        <w:i w:val="0"/>
        <w:sz w:val="30"/>
      </w:rPr>
    </w:lvl>
    <w:lvl w:ilvl="2" w:tentative="0">
      <w:start w:val="1"/>
      <w:numFmt w:val="decimal"/>
      <w:isLgl/>
      <w:lvlText w:val="%2.%3"/>
      <w:lvlJc w:val="left"/>
      <w:pPr>
        <w:ind w:left="0" w:firstLine="0"/>
      </w:pPr>
      <w:rPr>
        <w:rFonts w:hint="eastAsia" w:eastAsia="仿宋"/>
        <w:sz w:val="28"/>
      </w:rPr>
    </w:lvl>
    <w:lvl w:ilvl="3" w:tentative="0">
      <w:start w:val="1"/>
      <w:numFmt w:val="decimal"/>
      <w:isLgl/>
      <w:lvlText w:val="%2.%3.%4"/>
      <w:lvlJc w:val="left"/>
      <w:pPr>
        <w:ind w:left="0" w:firstLine="0"/>
      </w:pPr>
      <w:rPr>
        <w:rFonts w:hint="eastAsia" w:eastAsia="仿宋"/>
        <w:b w:val="0"/>
        <w:i w:val="0"/>
        <w:iCs w:val="0"/>
        <w:caps w:val="0"/>
        <w:smallCaps w:val="0"/>
        <w:strike w:val="0"/>
        <w:dstrike w:val="0"/>
        <w:vanish w:val="0"/>
        <w:color w:val="000000"/>
        <w:spacing w:val="0"/>
        <w:position w:val="0"/>
        <w:sz w:val="28"/>
        <w:u w:val="none"/>
        <w:vertAlign w:val="baseline"/>
        <w:lang w:bidi="zh-CN"/>
        <w14:shadow w14:blurRad="0" w14:dist="0" w14:dir="0" w14:sx="0" w14:sy="0" w14:kx="0" w14:ky="0" w14:algn="none">
          <w14:srgbClr w14:val="000000"/>
        </w14:shadow>
      </w:rPr>
    </w:lvl>
    <w:lvl w:ilvl="4" w:tentative="0">
      <w:start w:val="1"/>
      <w:numFmt w:val="decimal"/>
      <w:pStyle w:val="6"/>
      <w:isLgl/>
      <w:lvlText w:val="%2.%3.%4.%5"/>
      <w:lvlJc w:val="left"/>
      <w:pPr>
        <w:ind w:left="0" w:firstLine="0"/>
      </w:pPr>
      <w:rPr>
        <w:rFonts w:hint="eastAsia" w:eastAsia="仿宋"/>
        <w:b w:val="0"/>
        <w:i w:val="0"/>
        <w:sz w:val="28"/>
        <w:szCs w:val="28"/>
      </w:rPr>
    </w:lvl>
    <w:lvl w:ilvl="5" w:tentative="0">
      <w:start w:val="1"/>
      <w:numFmt w:val="decimal"/>
      <w:pStyle w:val="7"/>
      <w:isLgl/>
      <w:lvlText w:val="%2.%3.%4.%5.%6"/>
      <w:lvlJc w:val="left"/>
      <w:pPr>
        <w:ind w:left="0" w:firstLine="0"/>
      </w:pPr>
      <w:rPr>
        <w:rFonts w:hint="eastAsia" w:eastAsia="仿宋"/>
        <w:b w:val="0"/>
        <w:i w:val="0"/>
        <w:sz w:val="28"/>
      </w:rPr>
    </w:lvl>
    <w:lvl w:ilvl="6" w:tentative="0">
      <w:start w:val="1"/>
      <w:numFmt w:val="decimal"/>
      <w:pStyle w:val="8"/>
      <w:isLgl/>
      <w:lvlText w:val="%2.%3.%4.%5.%6.%7"/>
      <w:lvlJc w:val="left"/>
      <w:pPr>
        <w:ind w:left="0" w:firstLine="0"/>
      </w:pPr>
      <w:rPr>
        <w:rFonts w:hint="eastAsia" w:eastAsia="仿宋"/>
        <w:b w:val="0"/>
        <w:i w:val="0"/>
        <w:sz w:val="28"/>
      </w:rPr>
    </w:lvl>
    <w:lvl w:ilvl="7" w:tentative="0">
      <w:start w:val="1"/>
      <w:numFmt w:val="decimal"/>
      <w:pStyle w:val="9"/>
      <w:isLgl/>
      <w:lvlText w:val="%2.%3.%4.%5.%6.%7.%8"/>
      <w:lvlJc w:val="left"/>
      <w:pPr>
        <w:ind w:left="0" w:firstLine="0"/>
      </w:pPr>
      <w:rPr>
        <w:rFonts w:hint="eastAsia" w:eastAsia="仿宋"/>
        <w:b w:val="0"/>
        <w:i w:val="0"/>
        <w:sz w:val="28"/>
      </w:rPr>
    </w:lvl>
    <w:lvl w:ilvl="8" w:tentative="0">
      <w:start w:val="1"/>
      <w:numFmt w:val="decimal"/>
      <w:isLgl/>
      <w:lvlText w:val="%1.%2.%3.%4.%5.%6.%7.%8.%9"/>
      <w:lvlJc w:val="left"/>
      <w:pPr>
        <w:ind w:left="0" w:firstLine="0"/>
      </w:pPr>
      <w:rPr>
        <w:rFonts w:hint="eastAsia"/>
      </w:rPr>
    </w:lvl>
  </w:abstractNum>
  <w:abstractNum w:abstractNumId="4">
    <w:nsid w:val="7D3690FF"/>
    <w:multiLevelType w:val="singleLevel"/>
    <w:tmpl w:val="7D3690FF"/>
    <w:lvl w:ilvl="0" w:tentative="0">
      <w:start w:val="1"/>
      <w:numFmt w:val="decimal"/>
      <w:lvlText w:val="%1."/>
      <w:lvlJc w:val="left"/>
      <w:pPr>
        <w:tabs>
          <w:tab w:val="left" w:pos="312"/>
        </w:tabs>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67"/>
  <w:displayHorizontalDrawingGridEvery w:val="1"/>
  <w:displayVerticalDrawingGridEvery w:val="2"/>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iYzUxMDgxYzQzNjY4NDA2ZDI2ZDQzZGNlYWEwYzkifQ=="/>
  </w:docVars>
  <w:rsids>
    <w:rsidRoot w:val="00D27694"/>
    <w:rsid w:val="00012595"/>
    <w:rsid w:val="0002561E"/>
    <w:rsid w:val="00027B16"/>
    <w:rsid w:val="000325C0"/>
    <w:rsid w:val="000342C1"/>
    <w:rsid w:val="000524B4"/>
    <w:rsid w:val="0005691C"/>
    <w:rsid w:val="00061CAD"/>
    <w:rsid w:val="00064727"/>
    <w:rsid w:val="00067FA9"/>
    <w:rsid w:val="0007115B"/>
    <w:rsid w:val="0008179F"/>
    <w:rsid w:val="00083C4F"/>
    <w:rsid w:val="00084771"/>
    <w:rsid w:val="0008764F"/>
    <w:rsid w:val="00087E57"/>
    <w:rsid w:val="000951DD"/>
    <w:rsid w:val="0009705E"/>
    <w:rsid w:val="000C05CD"/>
    <w:rsid w:val="000C0F2B"/>
    <w:rsid w:val="000D33B8"/>
    <w:rsid w:val="000D4547"/>
    <w:rsid w:val="000D5EE7"/>
    <w:rsid w:val="000E188D"/>
    <w:rsid w:val="000F24D1"/>
    <w:rsid w:val="000F2CC3"/>
    <w:rsid w:val="000F2E1B"/>
    <w:rsid w:val="000F3F8B"/>
    <w:rsid w:val="000F44FF"/>
    <w:rsid w:val="00107669"/>
    <w:rsid w:val="00113C1A"/>
    <w:rsid w:val="00113C32"/>
    <w:rsid w:val="00133DF5"/>
    <w:rsid w:val="00142860"/>
    <w:rsid w:val="00142E12"/>
    <w:rsid w:val="001430EB"/>
    <w:rsid w:val="00146F7E"/>
    <w:rsid w:val="001504E3"/>
    <w:rsid w:val="001617C0"/>
    <w:rsid w:val="00162C29"/>
    <w:rsid w:val="00172E78"/>
    <w:rsid w:val="001759D6"/>
    <w:rsid w:val="001812A6"/>
    <w:rsid w:val="00190D0C"/>
    <w:rsid w:val="00192B6E"/>
    <w:rsid w:val="0019596B"/>
    <w:rsid w:val="001A2DB5"/>
    <w:rsid w:val="001A437B"/>
    <w:rsid w:val="001B58CE"/>
    <w:rsid w:val="001B676D"/>
    <w:rsid w:val="001C1824"/>
    <w:rsid w:val="001D0BFA"/>
    <w:rsid w:val="001D45C8"/>
    <w:rsid w:val="001D5FB4"/>
    <w:rsid w:val="001E087D"/>
    <w:rsid w:val="001E4B97"/>
    <w:rsid w:val="001E5518"/>
    <w:rsid w:val="001E6C76"/>
    <w:rsid w:val="001E779A"/>
    <w:rsid w:val="001F5348"/>
    <w:rsid w:val="002103BF"/>
    <w:rsid w:val="00225E73"/>
    <w:rsid w:val="00242228"/>
    <w:rsid w:val="00250B30"/>
    <w:rsid w:val="00256E94"/>
    <w:rsid w:val="00257018"/>
    <w:rsid w:val="00260476"/>
    <w:rsid w:val="00260492"/>
    <w:rsid w:val="002625D4"/>
    <w:rsid w:val="00270BE1"/>
    <w:rsid w:val="002723C6"/>
    <w:rsid w:val="00275CBF"/>
    <w:rsid w:val="0028054A"/>
    <w:rsid w:val="00281491"/>
    <w:rsid w:val="00282101"/>
    <w:rsid w:val="00282934"/>
    <w:rsid w:val="002839DD"/>
    <w:rsid w:val="0028405F"/>
    <w:rsid w:val="002841F7"/>
    <w:rsid w:val="00286102"/>
    <w:rsid w:val="002875C9"/>
    <w:rsid w:val="00291DC3"/>
    <w:rsid w:val="00292534"/>
    <w:rsid w:val="00296EC5"/>
    <w:rsid w:val="002A49BB"/>
    <w:rsid w:val="002B2D96"/>
    <w:rsid w:val="002B3237"/>
    <w:rsid w:val="002B5871"/>
    <w:rsid w:val="002B79D8"/>
    <w:rsid w:val="002C1DB6"/>
    <w:rsid w:val="002C2C25"/>
    <w:rsid w:val="002C3A32"/>
    <w:rsid w:val="002C4A77"/>
    <w:rsid w:val="002C5931"/>
    <w:rsid w:val="002D0CC5"/>
    <w:rsid w:val="002D269B"/>
    <w:rsid w:val="002D3D0F"/>
    <w:rsid w:val="002E2A92"/>
    <w:rsid w:val="002E2CE6"/>
    <w:rsid w:val="002F3F66"/>
    <w:rsid w:val="002F446E"/>
    <w:rsid w:val="00306EA4"/>
    <w:rsid w:val="0030757A"/>
    <w:rsid w:val="0031391F"/>
    <w:rsid w:val="00327B67"/>
    <w:rsid w:val="00330BFC"/>
    <w:rsid w:val="00331764"/>
    <w:rsid w:val="003347E3"/>
    <w:rsid w:val="00336EB1"/>
    <w:rsid w:val="00341481"/>
    <w:rsid w:val="003430FF"/>
    <w:rsid w:val="00343228"/>
    <w:rsid w:val="0034343E"/>
    <w:rsid w:val="00343E15"/>
    <w:rsid w:val="00344A6D"/>
    <w:rsid w:val="00347103"/>
    <w:rsid w:val="00354657"/>
    <w:rsid w:val="00355E78"/>
    <w:rsid w:val="003752C8"/>
    <w:rsid w:val="0038254F"/>
    <w:rsid w:val="00386837"/>
    <w:rsid w:val="00386A51"/>
    <w:rsid w:val="00387AFC"/>
    <w:rsid w:val="00391A40"/>
    <w:rsid w:val="0039748C"/>
    <w:rsid w:val="00397AB6"/>
    <w:rsid w:val="003A26C3"/>
    <w:rsid w:val="003A3550"/>
    <w:rsid w:val="003A526C"/>
    <w:rsid w:val="003B0156"/>
    <w:rsid w:val="003B1B0C"/>
    <w:rsid w:val="003D0DF1"/>
    <w:rsid w:val="003D39BC"/>
    <w:rsid w:val="003D3EAD"/>
    <w:rsid w:val="003E0816"/>
    <w:rsid w:val="003E1842"/>
    <w:rsid w:val="003E3E62"/>
    <w:rsid w:val="003E4E70"/>
    <w:rsid w:val="003E50D5"/>
    <w:rsid w:val="003F4030"/>
    <w:rsid w:val="0040768A"/>
    <w:rsid w:val="00410CB1"/>
    <w:rsid w:val="0041183F"/>
    <w:rsid w:val="00411933"/>
    <w:rsid w:val="00411D06"/>
    <w:rsid w:val="0042088D"/>
    <w:rsid w:val="004220C8"/>
    <w:rsid w:val="00423930"/>
    <w:rsid w:val="00424E86"/>
    <w:rsid w:val="00426063"/>
    <w:rsid w:val="004300A4"/>
    <w:rsid w:val="00432802"/>
    <w:rsid w:val="00436D2D"/>
    <w:rsid w:val="00443541"/>
    <w:rsid w:val="00447D60"/>
    <w:rsid w:val="0045179B"/>
    <w:rsid w:val="0045586C"/>
    <w:rsid w:val="0045634E"/>
    <w:rsid w:val="00456F7B"/>
    <w:rsid w:val="00466997"/>
    <w:rsid w:val="004670A7"/>
    <w:rsid w:val="00467370"/>
    <w:rsid w:val="00470208"/>
    <w:rsid w:val="00482BB8"/>
    <w:rsid w:val="00491F62"/>
    <w:rsid w:val="00496818"/>
    <w:rsid w:val="00496A13"/>
    <w:rsid w:val="004A463C"/>
    <w:rsid w:val="004A64E3"/>
    <w:rsid w:val="004B1A65"/>
    <w:rsid w:val="004C2592"/>
    <w:rsid w:val="004D286E"/>
    <w:rsid w:val="004E1E81"/>
    <w:rsid w:val="004E6935"/>
    <w:rsid w:val="004F0958"/>
    <w:rsid w:val="00502315"/>
    <w:rsid w:val="0050232B"/>
    <w:rsid w:val="005048C7"/>
    <w:rsid w:val="00505461"/>
    <w:rsid w:val="005279E2"/>
    <w:rsid w:val="00541BCF"/>
    <w:rsid w:val="005544EC"/>
    <w:rsid w:val="00560973"/>
    <w:rsid w:val="00563274"/>
    <w:rsid w:val="00565016"/>
    <w:rsid w:val="00565BBC"/>
    <w:rsid w:val="0058547B"/>
    <w:rsid w:val="005931AF"/>
    <w:rsid w:val="005948A0"/>
    <w:rsid w:val="00597216"/>
    <w:rsid w:val="005972B8"/>
    <w:rsid w:val="005A63AA"/>
    <w:rsid w:val="005A64F8"/>
    <w:rsid w:val="005B0B70"/>
    <w:rsid w:val="005B6405"/>
    <w:rsid w:val="005C086F"/>
    <w:rsid w:val="005C097E"/>
    <w:rsid w:val="005C65A6"/>
    <w:rsid w:val="005C661B"/>
    <w:rsid w:val="005D469A"/>
    <w:rsid w:val="005E296C"/>
    <w:rsid w:val="005E3734"/>
    <w:rsid w:val="005E554C"/>
    <w:rsid w:val="005F40C7"/>
    <w:rsid w:val="005F5339"/>
    <w:rsid w:val="005F65CD"/>
    <w:rsid w:val="00601271"/>
    <w:rsid w:val="006013AF"/>
    <w:rsid w:val="0060215F"/>
    <w:rsid w:val="006022BF"/>
    <w:rsid w:val="006029E5"/>
    <w:rsid w:val="0060327D"/>
    <w:rsid w:val="00610F68"/>
    <w:rsid w:val="00612345"/>
    <w:rsid w:val="00613726"/>
    <w:rsid w:val="006161AF"/>
    <w:rsid w:val="00617D8F"/>
    <w:rsid w:val="006231EE"/>
    <w:rsid w:val="00625BD5"/>
    <w:rsid w:val="00631302"/>
    <w:rsid w:val="00631581"/>
    <w:rsid w:val="00635496"/>
    <w:rsid w:val="0063555F"/>
    <w:rsid w:val="00640A10"/>
    <w:rsid w:val="00644F8B"/>
    <w:rsid w:val="006534F3"/>
    <w:rsid w:val="0066302A"/>
    <w:rsid w:val="00673E4B"/>
    <w:rsid w:val="00677027"/>
    <w:rsid w:val="006811E2"/>
    <w:rsid w:val="0068199A"/>
    <w:rsid w:val="00682598"/>
    <w:rsid w:val="00687AC2"/>
    <w:rsid w:val="006941A7"/>
    <w:rsid w:val="00696701"/>
    <w:rsid w:val="006A1BF7"/>
    <w:rsid w:val="006A55E6"/>
    <w:rsid w:val="006A5DFB"/>
    <w:rsid w:val="006A73DE"/>
    <w:rsid w:val="006A7851"/>
    <w:rsid w:val="006B3F4C"/>
    <w:rsid w:val="006B40BC"/>
    <w:rsid w:val="006B50BD"/>
    <w:rsid w:val="006C4CAE"/>
    <w:rsid w:val="006C5310"/>
    <w:rsid w:val="006C63FB"/>
    <w:rsid w:val="006D1D20"/>
    <w:rsid w:val="006D6BF5"/>
    <w:rsid w:val="006D7DFE"/>
    <w:rsid w:val="006E5325"/>
    <w:rsid w:val="006E727D"/>
    <w:rsid w:val="006F1C67"/>
    <w:rsid w:val="006F2395"/>
    <w:rsid w:val="006F29CB"/>
    <w:rsid w:val="0071159C"/>
    <w:rsid w:val="00712563"/>
    <w:rsid w:val="0071602D"/>
    <w:rsid w:val="007233DF"/>
    <w:rsid w:val="007241A6"/>
    <w:rsid w:val="00724DF8"/>
    <w:rsid w:val="00735F14"/>
    <w:rsid w:val="00741D69"/>
    <w:rsid w:val="00745E42"/>
    <w:rsid w:val="00751B14"/>
    <w:rsid w:val="00751D6A"/>
    <w:rsid w:val="0075476C"/>
    <w:rsid w:val="007547A2"/>
    <w:rsid w:val="00755141"/>
    <w:rsid w:val="007569C5"/>
    <w:rsid w:val="007616B5"/>
    <w:rsid w:val="00762F69"/>
    <w:rsid w:val="00765B69"/>
    <w:rsid w:val="0076645B"/>
    <w:rsid w:val="00771F6F"/>
    <w:rsid w:val="00776A83"/>
    <w:rsid w:val="00777E3E"/>
    <w:rsid w:val="00777EB5"/>
    <w:rsid w:val="00781520"/>
    <w:rsid w:val="00786E02"/>
    <w:rsid w:val="007929CD"/>
    <w:rsid w:val="00792F02"/>
    <w:rsid w:val="00796B73"/>
    <w:rsid w:val="00797F6B"/>
    <w:rsid w:val="007A2541"/>
    <w:rsid w:val="007A26F1"/>
    <w:rsid w:val="007A3DD8"/>
    <w:rsid w:val="007A5F8F"/>
    <w:rsid w:val="007C69AF"/>
    <w:rsid w:val="007D59F5"/>
    <w:rsid w:val="007E1556"/>
    <w:rsid w:val="007E6F88"/>
    <w:rsid w:val="007F3B78"/>
    <w:rsid w:val="007F5C52"/>
    <w:rsid w:val="007F5DA8"/>
    <w:rsid w:val="007F61FC"/>
    <w:rsid w:val="007F6D1E"/>
    <w:rsid w:val="007F74CE"/>
    <w:rsid w:val="007F7799"/>
    <w:rsid w:val="007F78B8"/>
    <w:rsid w:val="00801295"/>
    <w:rsid w:val="008024CE"/>
    <w:rsid w:val="0081415B"/>
    <w:rsid w:val="00815618"/>
    <w:rsid w:val="00825395"/>
    <w:rsid w:val="008323F9"/>
    <w:rsid w:val="00834A30"/>
    <w:rsid w:val="00841741"/>
    <w:rsid w:val="00851868"/>
    <w:rsid w:val="008538BF"/>
    <w:rsid w:val="00853B40"/>
    <w:rsid w:val="00854F2A"/>
    <w:rsid w:val="00855B35"/>
    <w:rsid w:val="008646E6"/>
    <w:rsid w:val="00867E5B"/>
    <w:rsid w:val="00870DF7"/>
    <w:rsid w:val="00872857"/>
    <w:rsid w:val="00875158"/>
    <w:rsid w:val="00880A35"/>
    <w:rsid w:val="00882881"/>
    <w:rsid w:val="00885D25"/>
    <w:rsid w:val="008937C9"/>
    <w:rsid w:val="00894FEA"/>
    <w:rsid w:val="008A0F33"/>
    <w:rsid w:val="008A24FE"/>
    <w:rsid w:val="008A6291"/>
    <w:rsid w:val="008A77BC"/>
    <w:rsid w:val="008B7A83"/>
    <w:rsid w:val="008C34E6"/>
    <w:rsid w:val="008D7E47"/>
    <w:rsid w:val="008E6574"/>
    <w:rsid w:val="008F1B2F"/>
    <w:rsid w:val="009034A9"/>
    <w:rsid w:val="00905463"/>
    <w:rsid w:val="009065F5"/>
    <w:rsid w:val="00906E3D"/>
    <w:rsid w:val="00911300"/>
    <w:rsid w:val="009234FF"/>
    <w:rsid w:val="00925C9B"/>
    <w:rsid w:val="00930AED"/>
    <w:rsid w:val="009358D8"/>
    <w:rsid w:val="009361C9"/>
    <w:rsid w:val="009375E1"/>
    <w:rsid w:val="00941250"/>
    <w:rsid w:val="009422D3"/>
    <w:rsid w:val="00942971"/>
    <w:rsid w:val="00954225"/>
    <w:rsid w:val="00955E07"/>
    <w:rsid w:val="00960D14"/>
    <w:rsid w:val="00973FB8"/>
    <w:rsid w:val="00974614"/>
    <w:rsid w:val="00975D66"/>
    <w:rsid w:val="009765B1"/>
    <w:rsid w:val="009803F7"/>
    <w:rsid w:val="00984F99"/>
    <w:rsid w:val="009874F0"/>
    <w:rsid w:val="0099229E"/>
    <w:rsid w:val="009922C6"/>
    <w:rsid w:val="009956E4"/>
    <w:rsid w:val="00996B1D"/>
    <w:rsid w:val="009978B2"/>
    <w:rsid w:val="009A2334"/>
    <w:rsid w:val="009A31AF"/>
    <w:rsid w:val="009A580A"/>
    <w:rsid w:val="009A62E7"/>
    <w:rsid w:val="009A6513"/>
    <w:rsid w:val="009A6F35"/>
    <w:rsid w:val="009B508B"/>
    <w:rsid w:val="009C4F77"/>
    <w:rsid w:val="009C5CE3"/>
    <w:rsid w:val="009C76CE"/>
    <w:rsid w:val="009D3E31"/>
    <w:rsid w:val="009D4499"/>
    <w:rsid w:val="009D59BC"/>
    <w:rsid w:val="009E363A"/>
    <w:rsid w:val="009F089D"/>
    <w:rsid w:val="009F74FE"/>
    <w:rsid w:val="00A03679"/>
    <w:rsid w:val="00A03D1F"/>
    <w:rsid w:val="00A046E7"/>
    <w:rsid w:val="00A1142A"/>
    <w:rsid w:val="00A11B32"/>
    <w:rsid w:val="00A14E03"/>
    <w:rsid w:val="00A21A18"/>
    <w:rsid w:val="00A21BB6"/>
    <w:rsid w:val="00A2614D"/>
    <w:rsid w:val="00A27ACA"/>
    <w:rsid w:val="00A3470B"/>
    <w:rsid w:val="00A36CAF"/>
    <w:rsid w:val="00A373E7"/>
    <w:rsid w:val="00A41995"/>
    <w:rsid w:val="00A44596"/>
    <w:rsid w:val="00A506DA"/>
    <w:rsid w:val="00A511BE"/>
    <w:rsid w:val="00A60531"/>
    <w:rsid w:val="00A629EE"/>
    <w:rsid w:val="00A62C08"/>
    <w:rsid w:val="00A62F84"/>
    <w:rsid w:val="00A822FB"/>
    <w:rsid w:val="00AA187F"/>
    <w:rsid w:val="00AA6737"/>
    <w:rsid w:val="00AB16AB"/>
    <w:rsid w:val="00AB1B2D"/>
    <w:rsid w:val="00AB224E"/>
    <w:rsid w:val="00AB2557"/>
    <w:rsid w:val="00AB43E2"/>
    <w:rsid w:val="00AB6AEF"/>
    <w:rsid w:val="00AC1043"/>
    <w:rsid w:val="00AC38C5"/>
    <w:rsid w:val="00AE250B"/>
    <w:rsid w:val="00AE65DA"/>
    <w:rsid w:val="00AF676C"/>
    <w:rsid w:val="00B02B4A"/>
    <w:rsid w:val="00B07538"/>
    <w:rsid w:val="00B134C0"/>
    <w:rsid w:val="00B22DAB"/>
    <w:rsid w:val="00B236A3"/>
    <w:rsid w:val="00B300B7"/>
    <w:rsid w:val="00B32311"/>
    <w:rsid w:val="00B32858"/>
    <w:rsid w:val="00B35E76"/>
    <w:rsid w:val="00B423E0"/>
    <w:rsid w:val="00B51BBF"/>
    <w:rsid w:val="00B51DEB"/>
    <w:rsid w:val="00B52DE7"/>
    <w:rsid w:val="00B53C0D"/>
    <w:rsid w:val="00B6198D"/>
    <w:rsid w:val="00B67C5E"/>
    <w:rsid w:val="00B75D5D"/>
    <w:rsid w:val="00B9313A"/>
    <w:rsid w:val="00B9384B"/>
    <w:rsid w:val="00B9686F"/>
    <w:rsid w:val="00BA24C2"/>
    <w:rsid w:val="00BA38F5"/>
    <w:rsid w:val="00BB678E"/>
    <w:rsid w:val="00BC047B"/>
    <w:rsid w:val="00BC1B97"/>
    <w:rsid w:val="00BC2C1E"/>
    <w:rsid w:val="00BC3963"/>
    <w:rsid w:val="00BC7594"/>
    <w:rsid w:val="00BD116F"/>
    <w:rsid w:val="00BD37C0"/>
    <w:rsid w:val="00BD6F1A"/>
    <w:rsid w:val="00BD7D9A"/>
    <w:rsid w:val="00BF00BB"/>
    <w:rsid w:val="00BF11BB"/>
    <w:rsid w:val="00BF369C"/>
    <w:rsid w:val="00BF50E3"/>
    <w:rsid w:val="00C0129F"/>
    <w:rsid w:val="00C02E6A"/>
    <w:rsid w:val="00C02EB6"/>
    <w:rsid w:val="00C046EC"/>
    <w:rsid w:val="00C05B3B"/>
    <w:rsid w:val="00C067DD"/>
    <w:rsid w:val="00C10CCA"/>
    <w:rsid w:val="00C11035"/>
    <w:rsid w:val="00C1472D"/>
    <w:rsid w:val="00C14DCF"/>
    <w:rsid w:val="00C151BC"/>
    <w:rsid w:val="00C16895"/>
    <w:rsid w:val="00C173BA"/>
    <w:rsid w:val="00C216CA"/>
    <w:rsid w:val="00C21A2C"/>
    <w:rsid w:val="00C22349"/>
    <w:rsid w:val="00C22CFD"/>
    <w:rsid w:val="00C30909"/>
    <w:rsid w:val="00C32D6D"/>
    <w:rsid w:val="00C37BF3"/>
    <w:rsid w:val="00C45BB0"/>
    <w:rsid w:val="00C51F9E"/>
    <w:rsid w:val="00C5256E"/>
    <w:rsid w:val="00C54456"/>
    <w:rsid w:val="00C56303"/>
    <w:rsid w:val="00C620DE"/>
    <w:rsid w:val="00C77912"/>
    <w:rsid w:val="00C80754"/>
    <w:rsid w:val="00C8176F"/>
    <w:rsid w:val="00C84D87"/>
    <w:rsid w:val="00C919C3"/>
    <w:rsid w:val="00CA436B"/>
    <w:rsid w:val="00CA448B"/>
    <w:rsid w:val="00CA4D98"/>
    <w:rsid w:val="00CA7DDC"/>
    <w:rsid w:val="00CB160B"/>
    <w:rsid w:val="00CC0484"/>
    <w:rsid w:val="00CC55B0"/>
    <w:rsid w:val="00CD16B6"/>
    <w:rsid w:val="00CD468F"/>
    <w:rsid w:val="00CD5C26"/>
    <w:rsid w:val="00CD787B"/>
    <w:rsid w:val="00CE15DE"/>
    <w:rsid w:val="00CE78AD"/>
    <w:rsid w:val="00CF3752"/>
    <w:rsid w:val="00CF4E08"/>
    <w:rsid w:val="00CF4F74"/>
    <w:rsid w:val="00D01278"/>
    <w:rsid w:val="00D03C29"/>
    <w:rsid w:val="00D10F1D"/>
    <w:rsid w:val="00D141DD"/>
    <w:rsid w:val="00D1511E"/>
    <w:rsid w:val="00D1688A"/>
    <w:rsid w:val="00D20314"/>
    <w:rsid w:val="00D225DE"/>
    <w:rsid w:val="00D2322E"/>
    <w:rsid w:val="00D27694"/>
    <w:rsid w:val="00D30111"/>
    <w:rsid w:val="00D31B5E"/>
    <w:rsid w:val="00D439EC"/>
    <w:rsid w:val="00D442A2"/>
    <w:rsid w:val="00D46979"/>
    <w:rsid w:val="00D54BCC"/>
    <w:rsid w:val="00D60C7E"/>
    <w:rsid w:val="00D63376"/>
    <w:rsid w:val="00D67B59"/>
    <w:rsid w:val="00D70E85"/>
    <w:rsid w:val="00D71F44"/>
    <w:rsid w:val="00D74BD9"/>
    <w:rsid w:val="00D815E9"/>
    <w:rsid w:val="00D85A73"/>
    <w:rsid w:val="00D96064"/>
    <w:rsid w:val="00DA1140"/>
    <w:rsid w:val="00DA7E9F"/>
    <w:rsid w:val="00DB2033"/>
    <w:rsid w:val="00DC19A0"/>
    <w:rsid w:val="00DC2754"/>
    <w:rsid w:val="00DC2FCE"/>
    <w:rsid w:val="00DD0C98"/>
    <w:rsid w:val="00DD24F7"/>
    <w:rsid w:val="00DD2A55"/>
    <w:rsid w:val="00DD79BA"/>
    <w:rsid w:val="00DE1BE7"/>
    <w:rsid w:val="00DE1EF7"/>
    <w:rsid w:val="00DE4CC3"/>
    <w:rsid w:val="00DE7F3B"/>
    <w:rsid w:val="00DF082F"/>
    <w:rsid w:val="00DF1CAD"/>
    <w:rsid w:val="00DF357D"/>
    <w:rsid w:val="00DF7918"/>
    <w:rsid w:val="00E006FC"/>
    <w:rsid w:val="00E04D2D"/>
    <w:rsid w:val="00E13F9E"/>
    <w:rsid w:val="00E15480"/>
    <w:rsid w:val="00E15925"/>
    <w:rsid w:val="00E15E44"/>
    <w:rsid w:val="00E21D57"/>
    <w:rsid w:val="00E233BB"/>
    <w:rsid w:val="00E264EC"/>
    <w:rsid w:val="00E265E6"/>
    <w:rsid w:val="00E27B06"/>
    <w:rsid w:val="00E314EC"/>
    <w:rsid w:val="00E4435F"/>
    <w:rsid w:val="00E52C0C"/>
    <w:rsid w:val="00E55EA6"/>
    <w:rsid w:val="00E607F5"/>
    <w:rsid w:val="00E61F39"/>
    <w:rsid w:val="00E62F59"/>
    <w:rsid w:val="00E66F0C"/>
    <w:rsid w:val="00E71869"/>
    <w:rsid w:val="00E767DB"/>
    <w:rsid w:val="00E807AF"/>
    <w:rsid w:val="00E84FCC"/>
    <w:rsid w:val="00E864E7"/>
    <w:rsid w:val="00E87537"/>
    <w:rsid w:val="00E90F92"/>
    <w:rsid w:val="00E91A74"/>
    <w:rsid w:val="00E9615F"/>
    <w:rsid w:val="00E97052"/>
    <w:rsid w:val="00EA28E0"/>
    <w:rsid w:val="00EA4E40"/>
    <w:rsid w:val="00EA6056"/>
    <w:rsid w:val="00EA6759"/>
    <w:rsid w:val="00EC062C"/>
    <w:rsid w:val="00EC2A15"/>
    <w:rsid w:val="00EC5025"/>
    <w:rsid w:val="00EC5F0C"/>
    <w:rsid w:val="00EC7C1B"/>
    <w:rsid w:val="00ED1A27"/>
    <w:rsid w:val="00ED2C91"/>
    <w:rsid w:val="00EF0904"/>
    <w:rsid w:val="00EF4A64"/>
    <w:rsid w:val="00F004C3"/>
    <w:rsid w:val="00F125CE"/>
    <w:rsid w:val="00F17BCB"/>
    <w:rsid w:val="00F21ECB"/>
    <w:rsid w:val="00F23A9D"/>
    <w:rsid w:val="00F2511F"/>
    <w:rsid w:val="00F257E5"/>
    <w:rsid w:val="00F3503A"/>
    <w:rsid w:val="00F41FF5"/>
    <w:rsid w:val="00F428C7"/>
    <w:rsid w:val="00F459F7"/>
    <w:rsid w:val="00F526A1"/>
    <w:rsid w:val="00F56506"/>
    <w:rsid w:val="00F6090C"/>
    <w:rsid w:val="00F66F3B"/>
    <w:rsid w:val="00F72067"/>
    <w:rsid w:val="00F76FB9"/>
    <w:rsid w:val="00F81F0B"/>
    <w:rsid w:val="00F84D01"/>
    <w:rsid w:val="00F8653A"/>
    <w:rsid w:val="00F86815"/>
    <w:rsid w:val="00F87CA0"/>
    <w:rsid w:val="00F93248"/>
    <w:rsid w:val="00F95ED4"/>
    <w:rsid w:val="00FA6A8F"/>
    <w:rsid w:val="00FA6B8E"/>
    <w:rsid w:val="00FB0B86"/>
    <w:rsid w:val="00FB19FB"/>
    <w:rsid w:val="00FB1F9E"/>
    <w:rsid w:val="00FB6730"/>
    <w:rsid w:val="00FC38D1"/>
    <w:rsid w:val="00FC4803"/>
    <w:rsid w:val="00FC68EF"/>
    <w:rsid w:val="00FD0D95"/>
    <w:rsid w:val="00FD2B45"/>
    <w:rsid w:val="00FD577E"/>
    <w:rsid w:val="00FD6D94"/>
    <w:rsid w:val="012515C4"/>
    <w:rsid w:val="016A6FD7"/>
    <w:rsid w:val="016D6AC7"/>
    <w:rsid w:val="017463F9"/>
    <w:rsid w:val="01763BCE"/>
    <w:rsid w:val="01891B53"/>
    <w:rsid w:val="019B1886"/>
    <w:rsid w:val="01BA2252"/>
    <w:rsid w:val="01C20BC1"/>
    <w:rsid w:val="01DD59FB"/>
    <w:rsid w:val="01EA636A"/>
    <w:rsid w:val="01FC2DC5"/>
    <w:rsid w:val="0213141D"/>
    <w:rsid w:val="02151188"/>
    <w:rsid w:val="02183765"/>
    <w:rsid w:val="02184C85"/>
    <w:rsid w:val="023F2212"/>
    <w:rsid w:val="024164DA"/>
    <w:rsid w:val="024261A6"/>
    <w:rsid w:val="02426589"/>
    <w:rsid w:val="02447828"/>
    <w:rsid w:val="028A3101"/>
    <w:rsid w:val="02AE2312"/>
    <w:rsid w:val="02AF7D01"/>
    <w:rsid w:val="02B26E88"/>
    <w:rsid w:val="02D57BE8"/>
    <w:rsid w:val="02D7069C"/>
    <w:rsid w:val="02D92666"/>
    <w:rsid w:val="02FA25DD"/>
    <w:rsid w:val="031501B1"/>
    <w:rsid w:val="03247659"/>
    <w:rsid w:val="033B50CF"/>
    <w:rsid w:val="03563CB7"/>
    <w:rsid w:val="035E0DBD"/>
    <w:rsid w:val="036A7762"/>
    <w:rsid w:val="036C5C5C"/>
    <w:rsid w:val="03704807"/>
    <w:rsid w:val="037B196F"/>
    <w:rsid w:val="037D567F"/>
    <w:rsid w:val="03802AE2"/>
    <w:rsid w:val="03822CFE"/>
    <w:rsid w:val="039B5B6E"/>
    <w:rsid w:val="03B94246"/>
    <w:rsid w:val="03BB1D6C"/>
    <w:rsid w:val="03C03826"/>
    <w:rsid w:val="03C2759E"/>
    <w:rsid w:val="03DB41BC"/>
    <w:rsid w:val="03E72B61"/>
    <w:rsid w:val="03EA2651"/>
    <w:rsid w:val="03F914B2"/>
    <w:rsid w:val="04062E89"/>
    <w:rsid w:val="04073203"/>
    <w:rsid w:val="04092587"/>
    <w:rsid w:val="040A684F"/>
    <w:rsid w:val="04253689"/>
    <w:rsid w:val="045F6B9B"/>
    <w:rsid w:val="04695C6C"/>
    <w:rsid w:val="04762137"/>
    <w:rsid w:val="047F723D"/>
    <w:rsid w:val="04836CFC"/>
    <w:rsid w:val="04862D7A"/>
    <w:rsid w:val="04902092"/>
    <w:rsid w:val="0495080F"/>
    <w:rsid w:val="049F168E"/>
    <w:rsid w:val="04A42800"/>
    <w:rsid w:val="04A96068"/>
    <w:rsid w:val="04DA4474"/>
    <w:rsid w:val="05015EA4"/>
    <w:rsid w:val="052D0A47"/>
    <w:rsid w:val="054933A7"/>
    <w:rsid w:val="056F2E0E"/>
    <w:rsid w:val="05780D78"/>
    <w:rsid w:val="057D1AFC"/>
    <w:rsid w:val="05864D4E"/>
    <w:rsid w:val="059960DD"/>
    <w:rsid w:val="05B922DB"/>
    <w:rsid w:val="05D42645"/>
    <w:rsid w:val="05D62E8D"/>
    <w:rsid w:val="05E337FC"/>
    <w:rsid w:val="05F94DCD"/>
    <w:rsid w:val="05FE4192"/>
    <w:rsid w:val="060A6FDB"/>
    <w:rsid w:val="0612484F"/>
    <w:rsid w:val="06130D19"/>
    <w:rsid w:val="061D0ABC"/>
    <w:rsid w:val="06230B53"/>
    <w:rsid w:val="063821A9"/>
    <w:rsid w:val="063D115E"/>
    <w:rsid w:val="06420522"/>
    <w:rsid w:val="064918B1"/>
    <w:rsid w:val="06495287"/>
    <w:rsid w:val="064C52F5"/>
    <w:rsid w:val="06662200"/>
    <w:rsid w:val="067508F8"/>
    <w:rsid w:val="067A4160"/>
    <w:rsid w:val="067C5011"/>
    <w:rsid w:val="068B693D"/>
    <w:rsid w:val="068C740F"/>
    <w:rsid w:val="06A50DBA"/>
    <w:rsid w:val="06A74829"/>
    <w:rsid w:val="06B07B82"/>
    <w:rsid w:val="06C156E1"/>
    <w:rsid w:val="06C74ECC"/>
    <w:rsid w:val="06D118A6"/>
    <w:rsid w:val="06D86978"/>
    <w:rsid w:val="06EC66E0"/>
    <w:rsid w:val="0700541D"/>
    <w:rsid w:val="07261BF2"/>
    <w:rsid w:val="0727754E"/>
    <w:rsid w:val="07293490"/>
    <w:rsid w:val="072C7501"/>
    <w:rsid w:val="072E0AA7"/>
    <w:rsid w:val="0733430F"/>
    <w:rsid w:val="075F5104"/>
    <w:rsid w:val="076D7821"/>
    <w:rsid w:val="07716AF9"/>
    <w:rsid w:val="07944DAE"/>
    <w:rsid w:val="07A82607"/>
    <w:rsid w:val="07C80EFB"/>
    <w:rsid w:val="07CD206E"/>
    <w:rsid w:val="07DC08C0"/>
    <w:rsid w:val="07DC4465"/>
    <w:rsid w:val="07E56035"/>
    <w:rsid w:val="07ED44BE"/>
    <w:rsid w:val="08030185"/>
    <w:rsid w:val="080A32C2"/>
    <w:rsid w:val="08251EAA"/>
    <w:rsid w:val="082C3D59"/>
    <w:rsid w:val="083D3697"/>
    <w:rsid w:val="083E11BD"/>
    <w:rsid w:val="08530483"/>
    <w:rsid w:val="08591B53"/>
    <w:rsid w:val="085B58CB"/>
    <w:rsid w:val="08744BDF"/>
    <w:rsid w:val="0874698D"/>
    <w:rsid w:val="08896BA5"/>
    <w:rsid w:val="089D2CA0"/>
    <w:rsid w:val="08A74FB5"/>
    <w:rsid w:val="08AE6343"/>
    <w:rsid w:val="08BD20E2"/>
    <w:rsid w:val="08BD6586"/>
    <w:rsid w:val="08BF4B31"/>
    <w:rsid w:val="08D03299"/>
    <w:rsid w:val="08D84504"/>
    <w:rsid w:val="08DC4C5E"/>
    <w:rsid w:val="08DF64FD"/>
    <w:rsid w:val="08FF26FB"/>
    <w:rsid w:val="09067F2D"/>
    <w:rsid w:val="090B10A0"/>
    <w:rsid w:val="091A5787"/>
    <w:rsid w:val="09271C52"/>
    <w:rsid w:val="093A1985"/>
    <w:rsid w:val="0949606C"/>
    <w:rsid w:val="095A5B83"/>
    <w:rsid w:val="09611D4A"/>
    <w:rsid w:val="096D1D5A"/>
    <w:rsid w:val="097529BD"/>
    <w:rsid w:val="0983332C"/>
    <w:rsid w:val="09A514F4"/>
    <w:rsid w:val="09E65669"/>
    <w:rsid w:val="09EC7123"/>
    <w:rsid w:val="09FE6E56"/>
    <w:rsid w:val="0A081A83"/>
    <w:rsid w:val="0A347112"/>
    <w:rsid w:val="0A522CFE"/>
    <w:rsid w:val="0A587D41"/>
    <w:rsid w:val="0A5A1386"/>
    <w:rsid w:val="0A622F41"/>
    <w:rsid w:val="0A641E54"/>
    <w:rsid w:val="0A7F7F97"/>
    <w:rsid w:val="0A913826"/>
    <w:rsid w:val="0AA35095"/>
    <w:rsid w:val="0AAD66B4"/>
    <w:rsid w:val="0AC8421B"/>
    <w:rsid w:val="0ACF0C60"/>
    <w:rsid w:val="0AE93662"/>
    <w:rsid w:val="0AF10769"/>
    <w:rsid w:val="0B0B182B"/>
    <w:rsid w:val="0B297F03"/>
    <w:rsid w:val="0B3F14D4"/>
    <w:rsid w:val="0B436A56"/>
    <w:rsid w:val="0B462863"/>
    <w:rsid w:val="0B494C05"/>
    <w:rsid w:val="0B815649"/>
    <w:rsid w:val="0B8909A2"/>
    <w:rsid w:val="0BC639A4"/>
    <w:rsid w:val="0BC8278A"/>
    <w:rsid w:val="0BCA3494"/>
    <w:rsid w:val="0BCD088E"/>
    <w:rsid w:val="0BD46426"/>
    <w:rsid w:val="0BD465DB"/>
    <w:rsid w:val="0BF31422"/>
    <w:rsid w:val="0BF64289"/>
    <w:rsid w:val="0BFC73C5"/>
    <w:rsid w:val="0C4C20FB"/>
    <w:rsid w:val="0C54227B"/>
    <w:rsid w:val="0C547201"/>
    <w:rsid w:val="0C5745FC"/>
    <w:rsid w:val="0C607954"/>
    <w:rsid w:val="0C85560D"/>
    <w:rsid w:val="0C9D4705"/>
    <w:rsid w:val="0CDD0FA5"/>
    <w:rsid w:val="0CEB1394"/>
    <w:rsid w:val="0CF35E35"/>
    <w:rsid w:val="0CF84031"/>
    <w:rsid w:val="0CFF0F1B"/>
    <w:rsid w:val="0D004C93"/>
    <w:rsid w:val="0D0C188A"/>
    <w:rsid w:val="0D3A33DE"/>
    <w:rsid w:val="0D411534"/>
    <w:rsid w:val="0D4E3C51"/>
    <w:rsid w:val="0D6671EC"/>
    <w:rsid w:val="0D6A2A1F"/>
    <w:rsid w:val="0D75742F"/>
    <w:rsid w:val="0D7F226D"/>
    <w:rsid w:val="0D9378B6"/>
    <w:rsid w:val="0DAF0B93"/>
    <w:rsid w:val="0DB8556E"/>
    <w:rsid w:val="0DD00B0A"/>
    <w:rsid w:val="0DD95C10"/>
    <w:rsid w:val="0DFD5ABA"/>
    <w:rsid w:val="0E0C7BC1"/>
    <w:rsid w:val="0E3416FD"/>
    <w:rsid w:val="0E344E76"/>
    <w:rsid w:val="0E43752E"/>
    <w:rsid w:val="0E460DCC"/>
    <w:rsid w:val="0E4806A0"/>
    <w:rsid w:val="0E603C3C"/>
    <w:rsid w:val="0E7B2823"/>
    <w:rsid w:val="0E7E2314"/>
    <w:rsid w:val="0E884F40"/>
    <w:rsid w:val="0E927B6D"/>
    <w:rsid w:val="0EB421D9"/>
    <w:rsid w:val="0EE46AFC"/>
    <w:rsid w:val="0EEF3211"/>
    <w:rsid w:val="0EF16F8A"/>
    <w:rsid w:val="0EF80E8F"/>
    <w:rsid w:val="0F025937"/>
    <w:rsid w:val="0F0547E3"/>
    <w:rsid w:val="0F0E3698"/>
    <w:rsid w:val="0F144360"/>
    <w:rsid w:val="0F421593"/>
    <w:rsid w:val="0F44530B"/>
    <w:rsid w:val="0F474DFC"/>
    <w:rsid w:val="0F582B65"/>
    <w:rsid w:val="0F5A4B2F"/>
    <w:rsid w:val="0F672DA8"/>
    <w:rsid w:val="0F6B6D3C"/>
    <w:rsid w:val="0F7554C5"/>
    <w:rsid w:val="0FD85A54"/>
    <w:rsid w:val="0FF3154F"/>
    <w:rsid w:val="0FF665BB"/>
    <w:rsid w:val="101008FD"/>
    <w:rsid w:val="10340BFA"/>
    <w:rsid w:val="10394744"/>
    <w:rsid w:val="103B628C"/>
    <w:rsid w:val="1045758D"/>
    <w:rsid w:val="10484987"/>
    <w:rsid w:val="1070206F"/>
    <w:rsid w:val="1081433D"/>
    <w:rsid w:val="108654B0"/>
    <w:rsid w:val="10C5247C"/>
    <w:rsid w:val="10C761F4"/>
    <w:rsid w:val="10D34B99"/>
    <w:rsid w:val="10DB1C9F"/>
    <w:rsid w:val="10DD6D2D"/>
    <w:rsid w:val="10DD77C5"/>
    <w:rsid w:val="10EA3C90"/>
    <w:rsid w:val="10F36003"/>
    <w:rsid w:val="11290C5D"/>
    <w:rsid w:val="114F7F97"/>
    <w:rsid w:val="11561326"/>
    <w:rsid w:val="115A7068"/>
    <w:rsid w:val="115D3896"/>
    <w:rsid w:val="11685F57"/>
    <w:rsid w:val="11691059"/>
    <w:rsid w:val="116C6D9B"/>
    <w:rsid w:val="117B1445"/>
    <w:rsid w:val="118916FB"/>
    <w:rsid w:val="1196636A"/>
    <w:rsid w:val="11B60016"/>
    <w:rsid w:val="11E64458"/>
    <w:rsid w:val="121511E1"/>
    <w:rsid w:val="12260CF8"/>
    <w:rsid w:val="125E4936"/>
    <w:rsid w:val="12632DCE"/>
    <w:rsid w:val="126B7053"/>
    <w:rsid w:val="129245E0"/>
    <w:rsid w:val="1292638E"/>
    <w:rsid w:val="12977AFE"/>
    <w:rsid w:val="129C545E"/>
    <w:rsid w:val="12C86253"/>
    <w:rsid w:val="12CD73C6"/>
    <w:rsid w:val="12D9220E"/>
    <w:rsid w:val="12E9710D"/>
    <w:rsid w:val="12ED5CBA"/>
    <w:rsid w:val="12FB3F33"/>
    <w:rsid w:val="130628D8"/>
    <w:rsid w:val="13070B2A"/>
    <w:rsid w:val="131119A8"/>
    <w:rsid w:val="131D034D"/>
    <w:rsid w:val="13427DB4"/>
    <w:rsid w:val="134C0C32"/>
    <w:rsid w:val="134F26C3"/>
    <w:rsid w:val="13573133"/>
    <w:rsid w:val="135A334F"/>
    <w:rsid w:val="136C6BDF"/>
    <w:rsid w:val="13710699"/>
    <w:rsid w:val="137F4C8C"/>
    <w:rsid w:val="13954387"/>
    <w:rsid w:val="1399374C"/>
    <w:rsid w:val="139B74C4"/>
    <w:rsid w:val="13A17282"/>
    <w:rsid w:val="13BA2040"/>
    <w:rsid w:val="13CB5D21"/>
    <w:rsid w:val="13CE1647"/>
    <w:rsid w:val="13FA68E0"/>
    <w:rsid w:val="14060DE1"/>
    <w:rsid w:val="14065285"/>
    <w:rsid w:val="140839CF"/>
    <w:rsid w:val="140F6F8F"/>
    <w:rsid w:val="14215C1B"/>
    <w:rsid w:val="14302302"/>
    <w:rsid w:val="144162BD"/>
    <w:rsid w:val="1474716C"/>
    <w:rsid w:val="148D45F4"/>
    <w:rsid w:val="14A979BF"/>
    <w:rsid w:val="14AB3CAB"/>
    <w:rsid w:val="14B95E54"/>
    <w:rsid w:val="14BA1BCC"/>
    <w:rsid w:val="14BE16BC"/>
    <w:rsid w:val="14CD59AD"/>
    <w:rsid w:val="14D233B9"/>
    <w:rsid w:val="14DB226E"/>
    <w:rsid w:val="14DE3B0C"/>
    <w:rsid w:val="14EF7AC7"/>
    <w:rsid w:val="14FC0436"/>
    <w:rsid w:val="150F0169"/>
    <w:rsid w:val="151707C6"/>
    <w:rsid w:val="151872A2"/>
    <w:rsid w:val="15237771"/>
    <w:rsid w:val="15485429"/>
    <w:rsid w:val="154F67B8"/>
    <w:rsid w:val="155B6F0B"/>
    <w:rsid w:val="157D50D3"/>
    <w:rsid w:val="158D108E"/>
    <w:rsid w:val="159E329B"/>
    <w:rsid w:val="15BB5BFB"/>
    <w:rsid w:val="15BD5E17"/>
    <w:rsid w:val="15C42D02"/>
    <w:rsid w:val="15D55AC0"/>
    <w:rsid w:val="15D8055B"/>
    <w:rsid w:val="15D849FF"/>
    <w:rsid w:val="15DB44F0"/>
    <w:rsid w:val="15E45152"/>
    <w:rsid w:val="15FC6940"/>
    <w:rsid w:val="161547DB"/>
    <w:rsid w:val="161D68B6"/>
    <w:rsid w:val="16351E52"/>
    <w:rsid w:val="163A700E"/>
    <w:rsid w:val="163C6D3C"/>
    <w:rsid w:val="16461969"/>
    <w:rsid w:val="16500A3A"/>
    <w:rsid w:val="16565924"/>
    <w:rsid w:val="165B2F3A"/>
    <w:rsid w:val="166242C9"/>
    <w:rsid w:val="1667420A"/>
    <w:rsid w:val="16692514"/>
    <w:rsid w:val="16726C02"/>
    <w:rsid w:val="16781D3E"/>
    <w:rsid w:val="16983ABF"/>
    <w:rsid w:val="169F551D"/>
    <w:rsid w:val="16A448E1"/>
    <w:rsid w:val="16AB3EC2"/>
    <w:rsid w:val="16B31A52"/>
    <w:rsid w:val="16BF171B"/>
    <w:rsid w:val="16BF628D"/>
    <w:rsid w:val="16E3540A"/>
    <w:rsid w:val="17147CB9"/>
    <w:rsid w:val="1739327C"/>
    <w:rsid w:val="1740460A"/>
    <w:rsid w:val="174340FA"/>
    <w:rsid w:val="17514A69"/>
    <w:rsid w:val="179901BE"/>
    <w:rsid w:val="17A4103D"/>
    <w:rsid w:val="17BB0135"/>
    <w:rsid w:val="17BF5E77"/>
    <w:rsid w:val="17C92852"/>
    <w:rsid w:val="17CA481C"/>
    <w:rsid w:val="17CE1006"/>
    <w:rsid w:val="17E7717C"/>
    <w:rsid w:val="17ED041F"/>
    <w:rsid w:val="17F72AB1"/>
    <w:rsid w:val="18001FEB"/>
    <w:rsid w:val="18115FA7"/>
    <w:rsid w:val="1820443C"/>
    <w:rsid w:val="182E6B59"/>
    <w:rsid w:val="18564C7C"/>
    <w:rsid w:val="18610CDC"/>
    <w:rsid w:val="187C78C4"/>
    <w:rsid w:val="188B4249"/>
    <w:rsid w:val="18BE20EB"/>
    <w:rsid w:val="18BE612E"/>
    <w:rsid w:val="18CB084B"/>
    <w:rsid w:val="18DF7E53"/>
    <w:rsid w:val="18E35B95"/>
    <w:rsid w:val="18FF4F6D"/>
    <w:rsid w:val="192166BD"/>
    <w:rsid w:val="193B5C7A"/>
    <w:rsid w:val="193C3833"/>
    <w:rsid w:val="194F4FD8"/>
    <w:rsid w:val="19573E8D"/>
    <w:rsid w:val="198C7FDB"/>
    <w:rsid w:val="199B021E"/>
    <w:rsid w:val="199C5D44"/>
    <w:rsid w:val="19B94B48"/>
    <w:rsid w:val="19BC1F42"/>
    <w:rsid w:val="19C15D47"/>
    <w:rsid w:val="19D84FCE"/>
    <w:rsid w:val="1A097E40"/>
    <w:rsid w:val="1A147FD0"/>
    <w:rsid w:val="1A1678A4"/>
    <w:rsid w:val="1A1D50D7"/>
    <w:rsid w:val="1A20750F"/>
    <w:rsid w:val="1A231FC1"/>
    <w:rsid w:val="1A3A17E5"/>
    <w:rsid w:val="1A604FC3"/>
    <w:rsid w:val="1A7D3DC7"/>
    <w:rsid w:val="1A8C6FD9"/>
    <w:rsid w:val="1A937147"/>
    <w:rsid w:val="1A954C6D"/>
    <w:rsid w:val="1A9829AF"/>
    <w:rsid w:val="1ABC044C"/>
    <w:rsid w:val="1AC50DC4"/>
    <w:rsid w:val="1AF23E6D"/>
    <w:rsid w:val="1AFE6CB6"/>
    <w:rsid w:val="1B045DCF"/>
    <w:rsid w:val="1B140288"/>
    <w:rsid w:val="1B1464DA"/>
    <w:rsid w:val="1B177D78"/>
    <w:rsid w:val="1B255B2C"/>
    <w:rsid w:val="1B295DED"/>
    <w:rsid w:val="1B2D6CE6"/>
    <w:rsid w:val="1B33736D"/>
    <w:rsid w:val="1B4C57EB"/>
    <w:rsid w:val="1B561283"/>
    <w:rsid w:val="1B5B5EB7"/>
    <w:rsid w:val="1B5E7755"/>
    <w:rsid w:val="1B662AAD"/>
    <w:rsid w:val="1B8371BB"/>
    <w:rsid w:val="1B8B6070"/>
    <w:rsid w:val="1BA3160C"/>
    <w:rsid w:val="1BA3751A"/>
    <w:rsid w:val="1BAD248A"/>
    <w:rsid w:val="1BB34F4A"/>
    <w:rsid w:val="1BC22BFD"/>
    <w:rsid w:val="1BCB0C5B"/>
    <w:rsid w:val="1BD417C5"/>
    <w:rsid w:val="1BF400B9"/>
    <w:rsid w:val="1C0302FC"/>
    <w:rsid w:val="1C133F51"/>
    <w:rsid w:val="1C1642E7"/>
    <w:rsid w:val="1C1B73F4"/>
    <w:rsid w:val="1C4129D2"/>
    <w:rsid w:val="1C4921B3"/>
    <w:rsid w:val="1C4A7CD9"/>
    <w:rsid w:val="1C6074FD"/>
    <w:rsid w:val="1C7B7E93"/>
    <w:rsid w:val="1C84143D"/>
    <w:rsid w:val="1C872CDB"/>
    <w:rsid w:val="1C876837"/>
    <w:rsid w:val="1CA90EA4"/>
    <w:rsid w:val="1CC63804"/>
    <w:rsid w:val="1CD46877"/>
    <w:rsid w:val="1CDF0421"/>
    <w:rsid w:val="1CE1063D"/>
    <w:rsid w:val="1CE94D49"/>
    <w:rsid w:val="1CFF2872"/>
    <w:rsid w:val="1D005368"/>
    <w:rsid w:val="1D0205B4"/>
    <w:rsid w:val="1D0B7468"/>
    <w:rsid w:val="1D0E0D07"/>
    <w:rsid w:val="1D2030BF"/>
    <w:rsid w:val="1D37200B"/>
    <w:rsid w:val="1D6D3C7F"/>
    <w:rsid w:val="1D756FD8"/>
    <w:rsid w:val="1D7F1C04"/>
    <w:rsid w:val="1D880AB9"/>
    <w:rsid w:val="1D976F4E"/>
    <w:rsid w:val="1DA84CB7"/>
    <w:rsid w:val="1DB160B1"/>
    <w:rsid w:val="1DF60118"/>
    <w:rsid w:val="1E00078C"/>
    <w:rsid w:val="1E0968DC"/>
    <w:rsid w:val="1E0C3498"/>
    <w:rsid w:val="1E155F45"/>
    <w:rsid w:val="1E1862E1"/>
    <w:rsid w:val="1E1F1B54"/>
    <w:rsid w:val="1E220F0E"/>
    <w:rsid w:val="1E285DF8"/>
    <w:rsid w:val="1E326C77"/>
    <w:rsid w:val="1E377F98"/>
    <w:rsid w:val="1E3824DF"/>
    <w:rsid w:val="1E6257AE"/>
    <w:rsid w:val="1E8C45D9"/>
    <w:rsid w:val="1E960FB4"/>
    <w:rsid w:val="1EB11208"/>
    <w:rsid w:val="1EB853CE"/>
    <w:rsid w:val="1ED65854"/>
    <w:rsid w:val="1EDA5344"/>
    <w:rsid w:val="1EE2069D"/>
    <w:rsid w:val="1EFA3C38"/>
    <w:rsid w:val="1EFC175F"/>
    <w:rsid w:val="1F016D75"/>
    <w:rsid w:val="1F0B7BF4"/>
    <w:rsid w:val="1F240CB5"/>
    <w:rsid w:val="1F4153C3"/>
    <w:rsid w:val="1F531646"/>
    <w:rsid w:val="1F5C21FD"/>
    <w:rsid w:val="1F8A4FBC"/>
    <w:rsid w:val="1F9574BD"/>
    <w:rsid w:val="1FA45952"/>
    <w:rsid w:val="1FB02549"/>
    <w:rsid w:val="1FC81641"/>
    <w:rsid w:val="1FD9384E"/>
    <w:rsid w:val="1FE346CD"/>
    <w:rsid w:val="1FFA4E14"/>
    <w:rsid w:val="203E7B55"/>
    <w:rsid w:val="20513280"/>
    <w:rsid w:val="206E043A"/>
    <w:rsid w:val="20823833"/>
    <w:rsid w:val="208A4B48"/>
    <w:rsid w:val="2093791C"/>
    <w:rsid w:val="20971013"/>
    <w:rsid w:val="209D0D1F"/>
    <w:rsid w:val="20AF0CAD"/>
    <w:rsid w:val="20B66BBF"/>
    <w:rsid w:val="20CA763A"/>
    <w:rsid w:val="20CF13CE"/>
    <w:rsid w:val="20D34741"/>
    <w:rsid w:val="20E73D48"/>
    <w:rsid w:val="20FF1092"/>
    <w:rsid w:val="210668C5"/>
    <w:rsid w:val="210C1A01"/>
    <w:rsid w:val="21132D8F"/>
    <w:rsid w:val="21156B08"/>
    <w:rsid w:val="21244F9D"/>
    <w:rsid w:val="21333432"/>
    <w:rsid w:val="21336F8E"/>
    <w:rsid w:val="213D1BBA"/>
    <w:rsid w:val="21425423"/>
    <w:rsid w:val="21574DB1"/>
    <w:rsid w:val="215950FE"/>
    <w:rsid w:val="215C6F6C"/>
    <w:rsid w:val="21667363"/>
    <w:rsid w:val="216A0EB4"/>
    <w:rsid w:val="217750CC"/>
    <w:rsid w:val="21893052"/>
    <w:rsid w:val="21B24356"/>
    <w:rsid w:val="21C127EB"/>
    <w:rsid w:val="21C978F2"/>
    <w:rsid w:val="21D26EA7"/>
    <w:rsid w:val="21D70261"/>
    <w:rsid w:val="21DE514B"/>
    <w:rsid w:val="21EB5ABA"/>
    <w:rsid w:val="21EF55AB"/>
    <w:rsid w:val="21F229A5"/>
    <w:rsid w:val="21FC7CDC"/>
    <w:rsid w:val="220628F4"/>
    <w:rsid w:val="220D5A31"/>
    <w:rsid w:val="222C2718"/>
    <w:rsid w:val="22317971"/>
    <w:rsid w:val="22356D36"/>
    <w:rsid w:val="226338A3"/>
    <w:rsid w:val="2288155B"/>
    <w:rsid w:val="22964E9C"/>
    <w:rsid w:val="22A243CB"/>
    <w:rsid w:val="22AE0FC2"/>
    <w:rsid w:val="22AF4D3A"/>
    <w:rsid w:val="22B91715"/>
    <w:rsid w:val="22C04851"/>
    <w:rsid w:val="22CE5939"/>
    <w:rsid w:val="22D30A28"/>
    <w:rsid w:val="22DD3655"/>
    <w:rsid w:val="22E06CA1"/>
    <w:rsid w:val="230D7DB3"/>
    <w:rsid w:val="2322375E"/>
    <w:rsid w:val="23582CDC"/>
    <w:rsid w:val="23607DE2"/>
    <w:rsid w:val="23694EE9"/>
    <w:rsid w:val="239A7798"/>
    <w:rsid w:val="23A302E1"/>
    <w:rsid w:val="23B32608"/>
    <w:rsid w:val="23B819CC"/>
    <w:rsid w:val="23CB5BA3"/>
    <w:rsid w:val="23D83E1C"/>
    <w:rsid w:val="23F171DD"/>
    <w:rsid w:val="23F944BF"/>
    <w:rsid w:val="24316771"/>
    <w:rsid w:val="24383F19"/>
    <w:rsid w:val="243B4AD7"/>
    <w:rsid w:val="244119C2"/>
    <w:rsid w:val="245C5FE8"/>
    <w:rsid w:val="24912949"/>
    <w:rsid w:val="249E0BC2"/>
    <w:rsid w:val="24CF3471"/>
    <w:rsid w:val="24EF141E"/>
    <w:rsid w:val="24FB6014"/>
    <w:rsid w:val="250A64A0"/>
    <w:rsid w:val="2527505B"/>
    <w:rsid w:val="253432D4"/>
    <w:rsid w:val="254259F1"/>
    <w:rsid w:val="2547125A"/>
    <w:rsid w:val="256A4F48"/>
    <w:rsid w:val="257B169F"/>
    <w:rsid w:val="257F09F3"/>
    <w:rsid w:val="257F6C45"/>
    <w:rsid w:val="25CD6ECB"/>
    <w:rsid w:val="25D0124F"/>
    <w:rsid w:val="25DA20CE"/>
    <w:rsid w:val="25F52A64"/>
    <w:rsid w:val="25F807A6"/>
    <w:rsid w:val="26290CB5"/>
    <w:rsid w:val="263B7010"/>
    <w:rsid w:val="26423351"/>
    <w:rsid w:val="267442D0"/>
    <w:rsid w:val="267E0CAB"/>
    <w:rsid w:val="268F110A"/>
    <w:rsid w:val="269229A8"/>
    <w:rsid w:val="26944000"/>
    <w:rsid w:val="26AC31FA"/>
    <w:rsid w:val="26B96187"/>
    <w:rsid w:val="26BE379D"/>
    <w:rsid w:val="26DB60FD"/>
    <w:rsid w:val="26E86A6C"/>
    <w:rsid w:val="26EB3E67"/>
    <w:rsid w:val="26F15921"/>
    <w:rsid w:val="27054F28"/>
    <w:rsid w:val="27197B4D"/>
    <w:rsid w:val="27201D62"/>
    <w:rsid w:val="272B6529"/>
    <w:rsid w:val="272C6959"/>
    <w:rsid w:val="27343A60"/>
    <w:rsid w:val="275F0ADD"/>
    <w:rsid w:val="278A3680"/>
    <w:rsid w:val="2792313A"/>
    <w:rsid w:val="279B3ADF"/>
    <w:rsid w:val="27B23302"/>
    <w:rsid w:val="27B54BA0"/>
    <w:rsid w:val="27D05112"/>
    <w:rsid w:val="27E234BC"/>
    <w:rsid w:val="27EE00B2"/>
    <w:rsid w:val="27F82CDF"/>
    <w:rsid w:val="280A2CD0"/>
    <w:rsid w:val="28213FE4"/>
    <w:rsid w:val="28235AD5"/>
    <w:rsid w:val="282835C4"/>
    <w:rsid w:val="28333D17"/>
    <w:rsid w:val="28665E9B"/>
    <w:rsid w:val="287C11F9"/>
    <w:rsid w:val="28AD5878"/>
    <w:rsid w:val="28D728F5"/>
    <w:rsid w:val="28D76D98"/>
    <w:rsid w:val="28F61252"/>
    <w:rsid w:val="28FB4835"/>
    <w:rsid w:val="29057462"/>
    <w:rsid w:val="29096346"/>
    <w:rsid w:val="2919115F"/>
    <w:rsid w:val="2927562A"/>
    <w:rsid w:val="293D4E4D"/>
    <w:rsid w:val="293E0BC6"/>
    <w:rsid w:val="293E2974"/>
    <w:rsid w:val="2941154D"/>
    <w:rsid w:val="29522056"/>
    <w:rsid w:val="296A19BB"/>
    <w:rsid w:val="29AC3D81"/>
    <w:rsid w:val="29B80978"/>
    <w:rsid w:val="29CE1522"/>
    <w:rsid w:val="29D86924"/>
    <w:rsid w:val="29DB4666"/>
    <w:rsid w:val="29F64FFC"/>
    <w:rsid w:val="29FF2103"/>
    <w:rsid w:val="29FF7CB5"/>
    <w:rsid w:val="2A061965"/>
    <w:rsid w:val="2A467D32"/>
    <w:rsid w:val="2A4D7312"/>
    <w:rsid w:val="2A5B7D43"/>
    <w:rsid w:val="2A685EFA"/>
    <w:rsid w:val="2A706CFE"/>
    <w:rsid w:val="2A720B27"/>
    <w:rsid w:val="2A8F1200"/>
    <w:rsid w:val="2A9F7442"/>
    <w:rsid w:val="2AA80AEB"/>
    <w:rsid w:val="2AB033FD"/>
    <w:rsid w:val="2ABE39B7"/>
    <w:rsid w:val="2AC2171C"/>
    <w:rsid w:val="2AC86999"/>
    <w:rsid w:val="2ACB0237"/>
    <w:rsid w:val="2AF27EBA"/>
    <w:rsid w:val="2AF50EB8"/>
    <w:rsid w:val="2AFE04E8"/>
    <w:rsid w:val="2B1E0CAF"/>
    <w:rsid w:val="2B234F0D"/>
    <w:rsid w:val="2B404781"/>
    <w:rsid w:val="2B4104F9"/>
    <w:rsid w:val="2B4324C3"/>
    <w:rsid w:val="2B5841C1"/>
    <w:rsid w:val="2B5E4C51"/>
    <w:rsid w:val="2B606BD1"/>
    <w:rsid w:val="2B722FE5"/>
    <w:rsid w:val="2B8A7B31"/>
    <w:rsid w:val="2B98280F"/>
    <w:rsid w:val="2BA44205"/>
    <w:rsid w:val="2BA50A88"/>
    <w:rsid w:val="2BD723E5"/>
    <w:rsid w:val="2BD870AF"/>
    <w:rsid w:val="2C2548FA"/>
    <w:rsid w:val="2C4F6AFD"/>
    <w:rsid w:val="2C6B7F24"/>
    <w:rsid w:val="2C8043FC"/>
    <w:rsid w:val="2CE15473"/>
    <w:rsid w:val="2CE61358"/>
    <w:rsid w:val="2D0A7F39"/>
    <w:rsid w:val="2D173C07"/>
    <w:rsid w:val="2D4349FC"/>
    <w:rsid w:val="2D550175"/>
    <w:rsid w:val="2D5C161A"/>
    <w:rsid w:val="2DA059AB"/>
    <w:rsid w:val="2DAC4350"/>
    <w:rsid w:val="2DB244BE"/>
    <w:rsid w:val="2DC85380"/>
    <w:rsid w:val="2DC93154"/>
    <w:rsid w:val="2DD65871"/>
    <w:rsid w:val="2DE674FD"/>
    <w:rsid w:val="2DEF248E"/>
    <w:rsid w:val="2E020414"/>
    <w:rsid w:val="2E0E500A"/>
    <w:rsid w:val="2E11294C"/>
    <w:rsid w:val="2E2417BE"/>
    <w:rsid w:val="2E536EC1"/>
    <w:rsid w:val="2E6115DE"/>
    <w:rsid w:val="2E8C5F2F"/>
    <w:rsid w:val="2E935510"/>
    <w:rsid w:val="2E962A21"/>
    <w:rsid w:val="2EA339A5"/>
    <w:rsid w:val="2EA65243"/>
    <w:rsid w:val="2EAC496F"/>
    <w:rsid w:val="2EF22236"/>
    <w:rsid w:val="2F087CAC"/>
    <w:rsid w:val="2F2B74F6"/>
    <w:rsid w:val="2F320885"/>
    <w:rsid w:val="2F3C1703"/>
    <w:rsid w:val="2F416D1A"/>
    <w:rsid w:val="2F527179"/>
    <w:rsid w:val="2F590ACA"/>
    <w:rsid w:val="2F6F7D2B"/>
    <w:rsid w:val="2F715851"/>
    <w:rsid w:val="2F723377"/>
    <w:rsid w:val="2F8F1814"/>
    <w:rsid w:val="2F9F5292"/>
    <w:rsid w:val="2FA31782"/>
    <w:rsid w:val="2FA554FB"/>
    <w:rsid w:val="2FC33BD3"/>
    <w:rsid w:val="2FEA115F"/>
    <w:rsid w:val="300466C5"/>
    <w:rsid w:val="302C1778"/>
    <w:rsid w:val="303643A5"/>
    <w:rsid w:val="30474804"/>
    <w:rsid w:val="304C5976"/>
    <w:rsid w:val="30803872"/>
    <w:rsid w:val="30A6332F"/>
    <w:rsid w:val="30BB2AFC"/>
    <w:rsid w:val="30C145B6"/>
    <w:rsid w:val="30CF4362"/>
    <w:rsid w:val="30EC0F07"/>
    <w:rsid w:val="30F754F2"/>
    <w:rsid w:val="31083F93"/>
    <w:rsid w:val="312E1520"/>
    <w:rsid w:val="31321010"/>
    <w:rsid w:val="31540F86"/>
    <w:rsid w:val="31624F2A"/>
    <w:rsid w:val="316D029A"/>
    <w:rsid w:val="318850D4"/>
    <w:rsid w:val="3196684B"/>
    <w:rsid w:val="31A6681F"/>
    <w:rsid w:val="31AB40A0"/>
    <w:rsid w:val="31AF3D3F"/>
    <w:rsid w:val="31D04385"/>
    <w:rsid w:val="31D67BED"/>
    <w:rsid w:val="3216448E"/>
    <w:rsid w:val="323668DE"/>
    <w:rsid w:val="326660F9"/>
    <w:rsid w:val="326F3B9E"/>
    <w:rsid w:val="32785148"/>
    <w:rsid w:val="32851613"/>
    <w:rsid w:val="32990C1B"/>
    <w:rsid w:val="32A7158A"/>
    <w:rsid w:val="32B36180"/>
    <w:rsid w:val="32D22AAA"/>
    <w:rsid w:val="32E3674C"/>
    <w:rsid w:val="32EA70EF"/>
    <w:rsid w:val="32EB591A"/>
    <w:rsid w:val="32EC3440"/>
    <w:rsid w:val="32EE71B8"/>
    <w:rsid w:val="32FC7B27"/>
    <w:rsid w:val="330E33B7"/>
    <w:rsid w:val="3333106F"/>
    <w:rsid w:val="333A41AC"/>
    <w:rsid w:val="336748DD"/>
    <w:rsid w:val="336D27D3"/>
    <w:rsid w:val="337909AA"/>
    <w:rsid w:val="338B51B6"/>
    <w:rsid w:val="3390201E"/>
    <w:rsid w:val="33AF4B9A"/>
    <w:rsid w:val="33BA52ED"/>
    <w:rsid w:val="33BE6B8B"/>
    <w:rsid w:val="33C5689E"/>
    <w:rsid w:val="33C65A3F"/>
    <w:rsid w:val="33C90654"/>
    <w:rsid w:val="33D740F0"/>
    <w:rsid w:val="33DC3D09"/>
    <w:rsid w:val="33DC5263"/>
    <w:rsid w:val="33DF6B01"/>
    <w:rsid w:val="33E365F1"/>
    <w:rsid w:val="33FE78CF"/>
    <w:rsid w:val="340B05C3"/>
    <w:rsid w:val="340C64BD"/>
    <w:rsid w:val="340F73E6"/>
    <w:rsid w:val="3422536C"/>
    <w:rsid w:val="343B642D"/>
    <w:rsid w:val="344F3C87"/>
    <w:rsid w:val="347656B7"/>
    <w:rsid w:val="34767465"/>
    <w:rsid w:val="347D3FB3"/>
    <w:rsid w:val="347D4D5E"/>
    <w:rsid w:val="347E456C"/>
    <w:rsid w:val="347E631A"/>
    <w:rsid w:val="34CC52D7"/>
    <w:rsid w:val="34E70363"/>
    <w:rsid w:val="34EC28B8"/>
    <w:rsid w:val="34FA1E45"/>
    <w:rsid w:val="35044A71"/>
    <w:rsid w:val="3511718E"/>
    <w:rsid w:val="353115DE"/>
    <w:rsid w:val="354E03E2"/>
    <w:rsid w:val="354E3F3E"/>
    <w:rsid w:val="355157DD"/>
    <w:rsid w:val="3558300F"/>
    <w:rsid w:val="35891A89"/>
    <w:rsid w:val="35A85D44"/>
    <w:rsid w:val="35B71AE4"/>
    <w:rsid w:val="35C10BB4"/>
    <w:rsid w:val="35E6686D"/>
    <w:rsid w:val="35EE6D79"/>
    <w:rsid w:val="35EF5721"/>
    <w:rsid w:val="35FC7E3E"/>
    <w:rsid w:val="361231BE"/>
    <w:rsid w:val="362B4280"/>
    <w:rsid w:val="36315D3A"/>
    <w:rsid w:val="36407D2B"/>
    <w:rsid w:val="3647730B"/>
    <w:rsid w:val="3651512A"/>
    <w:rsid w:val="368B6F9F"/>
    <w:rsid w:val="369D1489"/>
    <w:rsid w:val="36A4650C"/>
    <w:rsid w:val="36B733EB"/>
    <w:rsid w:val="36BC2D27"/>
    <w:rsid w:val="36C416DE"/>
    <w:rsid w:val="36CF7301"/>
    <w:rsid w:val="36D82485"/>
    <w:rsid w:val="36E032BC"/>
    <w:rsid w:val="36EE3C2B"/>
    <w:rsid w:val="36EF34FF"/>
    <w:rsid w:val="36F40B16"/>
    <w:rsid w:val="36FF3742"/>
    <w:rsid w:val="37023232"/>
    <w:rsid w:val="371F3DE4"/>
    <w:rsid w:val="37227431"/>
    <w:rsid w:val="372E04CB"/>
    <w:rsid w:val="37305FF2"/>
    <w:rsid w:val="375D2B5F"/>
    <w:rsid w:val="37702892"/>
    <w:rsid w:val="37A91900"/>
    <w:rsid w:val="37AE6F16"/>
    <w:rsid w:val="37BF2ED1"/>
    <w:rsid w:val="37CD55EE"/>
    <w:rsid w:val="37D72911"/>
    <w:rsid w:val="38042FDA"/>
    <w:rsid w:val="38123949"/>
    <w:rsid w:val="381948B8"/>
    <w:rsid w:val="38196A86"/>
    <w:rsid w:val="382C67A7"/>
    <w:rsid w:val="38334291"/>
    <w:rsid w:val="384A4E91"/>
    <w:rsid w:val="384D4981"/>
    <w:rsid w:val="38791C2F"/>
    <w:rsid w:val="38A74091"/>
    <w:rsid w:val="38B467AE"/>
    <w:rsid w:val="38C56C0D"/>
    <w:rsid w:val="38D429AD"/>
    <w:rsid w:val="38D64977"/>
    <w:rsid w:val="38D96215"/>
    <w:rsid w:val="38DE55D9"/>
    <w:rsid w:val="38E01351"/>
    <w:rsid w:val="38F66DC7"/>
    <w:rsid w:val="38F848ED"/>
    <w:rsid w:val="39227BBC"/>
    <w:rsid w:val="39406294"/>
    <w:rsid w:val="394144E6"/>
    <w:rsid w:val="39494A89"/>
    <w:rsid w:val="39671A73"/>
    <w:rsid w:val="396E1053"/>
    <w:rsid w:val="396E4BAF"/>
    <w:rsid w:val="39754676"/>
    <w:rsid w:val="39796ACA"/>
    <w:rsid w:val="39995128"/>
    <w:rsid w:val="399D7242"/>
    <w:rsid w:val="39CE564E"/>
    <w:rsid w:val="39D30EB6"/>
    <w:rsid w:val="39E01FC3"/>
    <w:rsid w:val="39E3734B"/>
    <w:rsid w:val="39E44E71"/>
    <w:rsid w:val="3A086DB2"/>
    <w:rsid w:val="3A39340F"/>
    <w:rsid w:val="3A414072"/>
    <w:rsid w:val="3A483652"/>
    <w:rsid w:val="3A555D6F"/>
    <w:rsid w:val="3A570783"/>
    <w:rsid w:val="3A633EFE"/>
    <w:rsid w:val="3A7527C3"/>
    <w:rsid w:val="3A80103E"/>
    <w:rsid w:val="3A9F34A2"/>
    <w:rsid w:val="3AC90310"/>
    <w:rsid w:val="3ACA4067"/>
    <w:rsid w:val="3ADE7B13"/>
    <w:rsid w:val="3AE27603"/>
    <w:rsid w:val="3AE8273F"/>
    <w:rsid w:val="3AEE41FA"/>
    <w:rsid w:val="3B1479D8"/>
    <w:rsid w:val="3B247C1B"/>
    <w:rsid w:val="3B375CE3"/>
    <w:rsid w:val="3B451940"/>
    <w:rsid w:val="3B5B5607"/>
    <w:rsid w:val="3B651FE2"/>
    <w:rsid w:val="3B66227F"/>
    <w:rsid w:val="3B7A3CDF"/>
    <w:rsid w:val="3BC136BC"/>
    <w:rsid w:val="3BC767F9"/>
    <w:rsid w:val="3BD056AD"/>
    <w:rsid w:val="3BE92C13"/>
    <w:rsid w:val="3C080EA1"/>
    <w:rsid w:val="3C153A08"/>
    <w:rsid w:val="3C1F03E3"/>
    <w:rsid w:val="3C3814A4"/>
    <w:rsid w:val="3C395948"/>
    <w:rsid w:val="3C3A65C9"/>
    <w:rsid w:val="3C454CB2"/>
    <w:rsid w:val="3C4A30D4"/>
    <w:rsid w:val="3C58127E"/>
    <w:rsid w:val="3C67007A"/>
    <w:rsid w:val="3C82547E"/>
    <w:rsid w:val="3C8F4B18"/>
    <w:rsid w:val="3CBB45AF"/>
    <w:rsid w:val="3CC66AB0"/>
    <w:rsid w:val="3CCD7E3F"/>
    <w:rsid w:val="3CD825B8"/>
    <w:rsid w:val="3CE07B72"/>
    <w:rsid w:val="3CE6634A"/>
    <w:rsid w:val="3CF33D49"/>
    <w:rsid w:val="3D05582A"/>
    <w:rsid w:val="3D0C30E6"/>
    <w:rsid w:val="3D474095"/>
    <w:rsid w:val="3D54230E"/>
    <w:rsid w:val="3D6562C9"/>
    <w:rsid w:val="3D6C7658"/>
    <w:rsid w:val="3D8449A1"/>
    <w:rsid w:val="3D8D4C40"/>
    <w:rsid w:val="3DB55462"/>
    <w:rsid w:val="3DC94AAA"/>
    <w:rsid w:val="3DDA0A65"/>
    <w:rsid w:val="3DE23DBE"/>
    <w:rsid w:val="3DE25B6C"/>
    <w:rsid w:val="3DF24001"/>
    <w:rsid w:val="3E261EFC"/>
    <w:rsid w:val="3E481343"/>
    <w:rsid w:val="3E587BDC"/>
    <w:rsid w:val="3E6A003B"/>
    <w:rsid w:val="3E725142"/>
    <w:rsid w:val="3E7569E0"/>
    <w:rsid w:val="3E7C1B1C"/>
    <w:rsid w:val="3E7F33BB"/>
    <w:rsid w:val="3E8E61E1"/>
    <w:rsid w:val="3E9027CA"/>
    <w:rsid w:val="3E952BDE"/>
    <w:rsid w:val="3E970704"/>
    <w:rsid w:val="3EAE3090"/>
    <w:rsid w:val="3EB70DA6"/>
    <w:rsid w:val="3EC126C5"/>
    <w:rsid w:val="3ED41958"/>
    <w:rsid w:val="3ED935D4"/>
    <w:rsid w:val="3F1B1335"/>
    <w:rsid w:val="3F2E10A7"/>
    <w:rsid w:val="3F4F0FDF"/>
    <w:rsid w:val="3F7153F9"/>
    <w:rsid w:val="3F925140"/>
    <w:rsid w:val="3FBB6674"/>
    <w:rsid w:val="3FC01EDD"/>
    <w:rsid w:val="3FC96FE3"/>
    <w:rsid w:val="3FD55988"/>
    <w:rsid w:val="3FE67B95"/>
    <w:rsid w:val="3FED79AA"/>
    <w:rsid w:val="3FF676AC"/>
    <w:rsid w:val="40152228"/>
    <w:rsid w:val="40155D85"/>
    <w:rsid w:val="401F09B1"/>
    <w:rsid w:val="40300E10"/>
    <w:rsid w:val="40387CC5"/>
    <w:rsid w:val="40553F5C"/>
    <w:rsid w:val="406665E0"/>
    <w:rsid w:val="406B009A"/>
    <w:rsid w:val="40703903"/>
    <w:rsid w:val="40704361"/>
    <w:rsid w:val="40784565"/>
    <w:rsid w:val="40A610D2"/>
    <w:rsid w:val="40BD4839"/>
    <w:rsid w:val="40DC4AF4"/>
    <w:rsid w:val="40DE6ABE"/>
    <w:rsid w:val="40E340D5"/>
    <w:rsid w:val="40F41E3E"/>
    <w:rsid w:val="40FA4F7A"/>
    <w:rsid w:val="40FB0537"/>
    <w:rsid w:val="41055DF9"/>
    <w:rsid w:val="410858E9"/>
    <w:rsid w:val="413761CE"/>
    <w:rsid w:val="415C79E3"/>
    <w:rsid w:val="417411D1"/>
    <w:rsid w:val="41782A6F"/>
    <w:rsid w:val="41790595"/>
    <w:rsid w:val="417C34B1"/>
    <w:rsid w:val="418238EE"/>
    <w:rsid w:val="418F7DB9"/>
    <w:rsid w:val="419B050B"/>
    <w:rsid w:val="41A15A5D"/>
    <w:rsid w:val="41A41AB6"/>
    <w:rsid w:val="41BB6E00"/>
    <w:rsid w:val="41F235E8"/>
    <w:rsid w:val="41F83873"/>
    <w:rsid w:val="41F8595E"/>
    <w:rsid w:val="4218760A"/>
    <w:rsid w:val="42204EB5"/>
    <w:rsid w:val="422229DB"/>
    <w:rsid w:val="42237338"/>
    <w:rsid w:val="42291FBB"/>
    <w:rsid w:val="423746D8"/>
    <w:rsid w:val="423B584A"/>
    <w:rsid w:val="424B0183"/>
    <w:rsid w:val="42552DB0"/>
    <w:rsid w:val="426031AA"/>
    <w:rsid w:val="426923B8"/>
    <w:rsid w:val="427B20EB"/>
    <w:rsid w:val="427E2307"/>
    <w:rsid w:val="428D254A"/>
    <w:rsid w:val="42AD499A"/>
    <w:rsid w:val="42B75819"/>
    <w:rsid w:val="42FB6BF8"/>
    <w:rsid w:val="42FD26E6"/>
    <w:rsid w:val="430116F2"/>
    <w:rsid w:val="43046CA0"/>
    <w:rsid w:val="43104F29"/>
    <w:rsid w:val="431A1904"/>
    <w:rsid w:val="432033BE"/>
    <w:rsid w:val="433921F1"/>
    <w:rsid w:val="434075BC"/>
    <w:rsid w:val="43882D11"/>
    <w:rsid w:val="4395795A"/>
    <w:rsid w:val="43A04BAD"/>
    <w:rsid w:val="43A833B4"/>
    <w:rsid w:val="43B81D4F"/>
    <w:rsid w:val="43F839F3"/>
    <w:rsid w:val="43FF1225"/>
    <w:rsid w:val="440525B4"/>
    <w:rsid w:val="441C3663"/>
    <w:rsid w:val="441D16AC"/>
    <w:rsid w:val="441F3676"/>
    <w:rsid w:val="44315157"/>
    <w:rsid w:val="443B20A2"/>
    <w:rsid w:val="4456696C"/>
    <w:rsid w:val="446C618F"/>
    <w:rsid w:val="44753296"/>
    <w:rsid w:val="44801C3A"/>
    <w:rsid w:val="448D4A83"/>
    <w:rsid w:val="44901E7E"/>
    <w:rsid w:val="44A64897"/>
    <w:rsid w:val="44AE0556"/>
    <w:rsid w:val="44C164DB"/>
    <w:rsid w:val="44C67F95"/>
    <w:rsid w:val="44C91833"/>
    <w:rsid w:val="44F20D8A"/>
    <w:rsid w:val="44F543D6"/>
    <w:rsid w:val="45293834"/>
    <w:rsid w:val="452B7DF8"/>
    <w:rsid w:val="452D1DC2"/>
    <w:rsid w:val="45343151"/>
    <w:rsid w:val="45603F46"/>
    <w:rsid w:val="456F23DB"/>
    <w:rsid w:val="456F4713"/>
    <w:rsid w:val="45706D26"/>
    <w:rsid w:val="457E617A"/>
    <w:rsid w:val="458D5B36"/>
    <w:rsid w:val="45A73923"/>
    <w:rsid w:val="45C83899"/>
    <w:rsid w:val="45DC10F2"/>
    <w:rsid w:val="45F36B68"/>
    <w:rsid w:val="45F75F2C"/>
    <w:rsid w:val="46027639"/>
    <w:rsid w:val="46050649"/>
    <w:rsid w:val="460E39A2"/>
    <w:rsid w:val="464C44CA"/>
    <w:rsid w:val="46517D32"/>
    <w:rsid w:val="465F41FD"/>
    <w:rsid w:val="46687A77"/>
    <w:rsid w:val="469A3487"/>
    <w:rsid w:val="469F284C"/>
    <w:rsid w:val="46AF69CC"/>
    <w:rsid w:val="46D70238"/>
    <w:rsid w:val="47022DDB"/>
    <w:rsid w:val="4702623B"/>
    <w:rsid w:val="47121270"/>
    <w:rsid w:val="473867FC"/>
    <w:rsid w:val="475A2C17"/>
    <w:rsid w:val="475F1FDB"/>
    <w:rsid w:val="47666D96"/>
    <w:rsid w:val="47777325"/>
    <w:rsid w:val="478868E2"/>
    <w:rsid w:val="478D08F6"/>
    <w:rsid w:val="47A10846"/>
    <w:rsid w:val="47A619B8"/>
    <w:rsid w:val="47E26E21"/>
    <w:rsid w:val="47F24BFD"/>
    <w:rsid w:val="480A0199"/>
    <w:rsid w:val="480B0368"/>
    <w:rsid w:val="481B5E95"/>
    <w:rsid w:val="48417109"/>
    <w:rsid w:val="48587156"/>
    <w:rsid w:val="486E697A"/>
    <w:rsid w:val="487F0B87"/>
    <w:rsid w:val="4882013D"/>
    <w:rsid w:val="488937B4"/>
    <w:rsid w:val="489A776F"/>
    <w:rsid w:val="489B5295"/>
    <w:rsid w:val="489D2DBB"/>
    <w:rsid w:val="48B85E47"/>
    <w:rsid w:val="48BF5427"/>
    <w:rsid w:val="48C05429"/>
    <w:rsid w:val="48C301A1"/>
    <w:rsid w:val="48DF33D4"/>
    <w:rsid w:val="48EC3D42"/>
    <w:rsid w:val="48FA1B0A"/>
    <w:rsid w:val="49115557"/>
    <w:rsid w:val="49156DF5"/>
    <w:rsid w:val="492C377B"/>
    <w:rsid w:val="49301E81"/>
    <w:rsid w:val="49353AF4"/>
    <w:rsid w:val="493F20C4"/>
    <w:rsid w:val="49463453"/>
    <w:rsid w:val="49507A41"/>
    <w:rsid w:val="495F2766"/>
    <w:rsid w:val="4963096F"/>
    <w:rsid w:val="49975A5C"/>
    <w:rsid w:val="499A72FA"/>
    <w:rsid w:val="49B4660E"/>
    <w:rsid w:val="49B760FE"/>
    <w:rsid w:val="49D942C7"/>
    <w:rsid w:val="49DB003F"/>
    <w:rsid w:val="49E07403"/>
    <w:rsid w:val="49E24BA1"/>
    <w:rsid w:val="49F96717"/>
    <w:rsid w:val="49FB248F"/>
    <w:rsid w:val="49FB2932"/>
    <w:rsid w:val="49FC1D63"/>
    <w:rsid w:val="4A0A4480"/>
    <w:rsid w:val="4A0C644A"/>
    <w:rsid w:val="4A111CB3"/>
    <w:rsid w:val="4A3B288C"/>
    <w:rsid w:val="4A4D0811"/>
    <w:rsid w:val="4A52149E"/>
    <w:rsid w:val="4A5971B6"/>
    <w:rsid w:val="4A5E657A"/>
    <w:rsid w:val="4A7D4C52"/>
    <w:rsid w:val="4A804742"/>
    <w:rsid w:val="4A8740D8"/>
    <w:rsid w:val="4A9D3546"/>
    <w:rsid w:val="4AA448D5"/>
    <w:rsid w:val="4AA51EA6"/>
    <w:rsid w:val="4AAE12AF"/>
    <w:rsid w:val="4AB663B6"/>
    <w:rsid w:val="4ABF34BD"/>
    <w:rsid w:val="4AD131F0"/>
    <w:rsid w:val="4AD52CE0"/>
    <w:rsid w:val="4ADB406F"/>
    <w:rsid w:val="4B06733D"/>
    <w:rsid w:val="4B081925"/>
    <w:rsid w:val="4B313C8F"/>
    <w:rsid w:val="4B375749"/>
    <w:rsid w:val="4B5160DF"/>
    <w:rsid w:val="4B8F7333"/>
    <w:rsid w:val="4B9F32EE"/>
    <w:rsid w:val="4BA12BC2"/>
    <w:rsid w:val="4BAF1783"/>
    <w:rsid w:val="4BBF74EC"/>
    <w:rsid w:val="4BCD0F42"/>
    <w:rsid w:val="4BDC67D7"/>
    <w:rsid w:val="4C417F01"/>
    <w:rsid w:val="4C5145E8"/>
    <w:rsid w:val="4C72630D"/>
    <w:rsid w:val="4C8F2D15"/>
    <w:rsid w:val="4CAE37E9"/>
    <w:rsid w:val="4CF7263F"/>
    <w:rsid w:val="4D023B34"/>
    <w:rsid w:val="4D057181"/>
    <w:rsid w:val="4D447CA9"/>
    <w:rsid w:val="4D460BDA"/>
    <w:rsid w:val="4D5230E4"/>
    <w:rsid w:val="4D5679DC"/>
    <w:rsid w:val="4D6E11CA"/>
    <w:rsid w:val="4D6E6AAF"/>
    <w:rsid w:val="4DBF1A26"/>
    <w:rsid w:val="4DBF37D4"/>
    <w:rsid w:val="4DE17BEE"/>
    <w:rsid w:val="4DFE60AA"/>
    <w:rsid w:val="4E01203E"/>
    <w:rsid w:val="4E2D698F"/>
    <w:rsid w:val="4E406B13"/>
    <w:rsid w:val="4E4168DE"/>
    <w:rsid w:val="4E7E71EB"/>
    <w:rsid w:val="4E8C7B5A"/>
    <w:rsid w:val="4E8D5680"/>
    <w:rsid w:val="4E994025"/>
    <w:rsid w:val="4EAE4AEA"/>
    <w:rsid w:val="4EC72940"/>
    <w:rsid w:val="4ED07617"/>
    <w:rsid w:val="4ED432AF"/>
    <w:rsid w:val="4ED4505D"/>
    <w:rsid w:val="4ED5296D"/>
    <w:rsid w:val="4ED922A8"/>
    <w:rsid w:val="4EEA2AD2"/>
    <w:rsid w:val="4EEC05F8"/>
    <w:rsid w:val="4EF13E61"/>
    <w:rsid w:val="4EF23735"/>
    <w:rsid w:val="4EF43951"/>
    <w:rsid w:val="4EFE032C"/>
    <w:rsid w:val="4F005E52"/>
    <w:rsid w:val="4F193610"/>
    <w:rsid w:val="4F361873"/>
    <w:rsid w:val="4F3B6865"/>
    <w:rsid w:val="4F4C3C71"/>
    <w:rsid w:val="4F4C553B"/>
    <w:rsid w:val="4F4E7E9B"/>
    <w:rsid w:val="4F730272"/>
    <w:rsid w:val="4F813436"/>
    <w:rsid w:val="4F98252E"/>
    <w:rsid w:val="4F9842DC"/>
    <w:rsid w:val="4F9A44F8"/>
    <w:rsid w:val="4FCB2904"/>
    <w:rsid w:val="4FD35314"/>
    <w:rsid w:val="4FD5108C"/>
    <w:rsid w:val="4FD51BDC"/>
    <w:rsid w:val="4FDA48F5"/>
    <w:rsid w:val="4FEB08B0"/>
    <w:rsid w:val="4FF04118"/>
    <w:rsid w:val="4FF754A7"/>
    <w:rsid w:val="4FFC6AF7"/>
    <w:rsid w:val="501047BA"/>
    <w:rsid w:val="503404A9"/>
    <w:rsid w:val="50485D02"/>
    <w:rsid w:val="504D156B"/>
    <w:rsid w:val="505226DD"/>
    <w:rsid w:val="506D7517"/>
    <w:rsid w:val="508A631B"/>
    <w:rsid w:val="50A849F3"/>
    <w:rsid w:val="50B909AE"/>
    <w:rsid w:val="50EA500B"/>
    <w:rsid w:val="50F47C38"/>
    <w:rsid w:val="50FF5056"/>
    <w:rsid w:val="51265CE2"/>
    <w:rsid w:val="512F6EC2"/>
    <w:rsid w:val="51316796"/>
    <w:rsid w:val="514560D0"/>
    <w:rsid w:val="51477D68"/>
    <w:rsid w:val="515E50B1"/>
    <w:rsid w:val="516721B8"/>
    <w:rsid w:val="5176689F"/>
    <w:rsid w:val="51782617"/>
    <w:rsid w:val="517B5C63"/>
    <w:rsid w:val="51A90A23"/>
    <w:rsid w:val="51C27D36"/>
    <w:rsid w:val="51C40673"/>
    <w:rsid w:val="51CC64BF"/>
    <w:rsid w:val="51D33CF1"/>
    <w:rsid w:val="51D610EC"/>
    <w:rsid w:val="51E27A91"/>
    <w:rsid w:val="51E952C3"/>
    <w:rsid w:val="51F6353C"/>
    <w:rsid w:val="51F779E0"/>
    <w:rsid w:val="522255D7"/>
    <w:rsid w:val="52344790"/>
    <w:rsid w:val="523C1897"/>
    <w:rsid w:val="52412A09"/>
    <w:rsid w:val="5248023B"/>
    <w:rsid w:val="52552958"/>
    <w:rsid w:val="52636E23"/>
    <w:rsid w:val="526E7576"/>
    <w:rsid w:val="52C955A4"/>
    <w:rsid w:val="52EC6168"/>
    <w:rsid w:val="52F67C97"/>
    <w:rsid w:val="530C74BB"/>
    <w:rsid w:val="531E2D4A"/>
    <w:rsid w:val="532C190B"/>
    <w:rsid w:val="53310CD0"/>
    <w:rsid w:val="53430A03"/>
    <w:rsid w:val="5349426B"/>
    <w:rsid w:val="534D72F9"/>
    <w:rsid w:val="535E583D"/>
    <w:rsid w:val="53734875"/>
    <w:rsid w:val="539A4AC7"/>
    <w:rsid w:val="539D45B7"/>
    <w:rsid w:val="53BD6A07"/>
    <w:rsid w:val="53C25DCC"/>
    <w:rsid w:val="53CB2ED2"/>
    <w:rsid w:val="53FC2D71"/>
    <w:rsid w:val="540B7773"/>
    <w:rsid w:val="541C54DC"/>
    <w:rsid w:val="541D74A6"/>
    <w:rsid w:val="542E16B3"/>
    <w:rsid w:val="543071D9"/>
    <w:rsid w:val="547075D6"/>
    <w:rsid w:val="549A0AF6"/>
    <w:rsid w:val="549B6A88"/>
    <w:rsid w:val="549B77AF"/>
    <w:rsid w:val="549D6AA8"/>
    <w:rsid w:val="54B020C8"/>
    <w:rsid w:val="54B90F7D"/>
    <w:rsid w:val="54C53DC5"/>
    <w:rsid w:val="54C727C9"/>
    <w:rsid w:val="54CB6F02"/>
    <w:rsid w:val="54DA0A47"/>
    <w:rsid w:val="54EA382C"/>
    <w:rsid w:val="55173EF5"/>
    <w:rsid w:val="552D1A7A"/>
    <w:rsid w:val="55344AA7"/>
    <w:rsid w:val="553920BD"/>
    <w:rsid w:val="55393E6B"/>
    <w:rsid w:val="554A42CB"/>
    <w:rsid w:val="554D389E"/>
    <w:rsid w:val="555869E7"/>
    <w:rsid w:val="555D5DAC"/>
    <w:rsid w:val="556829A3"/>
    <w:rsid w:val="556E620B"/>
    <w:rsid w:val="556F274C"/>
    <w:rsid w:val="55886BA1"/>
    <w:rsid w:val="55937A20"/>
    <w:rsid w:val="559F4616"/>
    <w:rsid w:val="55A25EB5"/>
    <w:rsid w:val="55A734CB"/>
    <w:rsid w:val="55A97243"/>
    <w:rsid w:val="55D10548"/>
    <w:rsid w:val="55D343BA"/>
    <w:rsid w:val="55D63DB0"/>
    <w:rsid w:val="55DD6EED"/>
    <w:rsid w:val="55EB785C"/>
    <w:rsid w:val="55EF09CE"/>
    <w:rsid w:val="560E354A"/>
    <w:rsid w:val="56101070"/>
    <w:rsid w:val="56336B0D"/>
    <w:rsid w:val="56531715"/>
    <w:rsid w:val="566D64C3"/>
    <w:rsid w:val="567D422C"/>
    <w:rsid w:val="56821842"/>
    <w:rsid w:val="568630E0"/>
    <w:rsid w:val="56A31EE4"/>
    <w:rsid w:val="56BC4D54"/>
    <w:rsid w:val="56D57BC4"/>
    <w:rsid w:val="56D77DE0"/>
    <w:rsid w:val="56F049FE"/>
    <w:rsid w:val="57347BEB"/>
    <w:rsid w:val="57482A8C"/>
    <w:rsid w:val="575A3DD1"/>
    <w:rsid w:val="576176AA"/>
    <w:rsid w:val="57694B65"/>
    <w:rsid w:val="5778214B"/>
    <w:rsid w:val="5790570A"/>
    <w:rsid w:val="579E08FE"/>
    <w:rsid w:val="57CA16F3"/>
    <w:rsid w:val="57DB3900"/>
    <w:rsid w:val="57E5652D"/>
    <w:rsid w:val="57EA769F"/>
    <w:rsid w:val="57EB796D"/>
    <w:rsid w:val="5818245E"/>
    <w:rsid w:val="58232EFA"/>
    <w:rsid w:val="5837419A"/>
    <w:rsid w:val="5855720E"/>
    <w:rsid w:val="585B5A65"/>
    <w:rsid w:val="587031AC"/>
    <w:rsid w:val="587A0A23"/>
    <w:rsid w:val="58865568"/>
    <w:rsid w:val="588673C8"/>
    <w:rsid w:val="589757AA"/>
    <w:rsid w:val="58A61818"/>
    <w:rsid w:val="58AB1524"/>
    <w:rsid w:val="58C104BC"/>
    <w:rsid w:val="58C44394"/>
    <w:rsid w:val="58C85C32"/>
    <w:rsid w:val="58CD3249"/>
    <w:rsid w:val="58F419FA"/>
    <w:rsid w:val="59103135"/>
    <w:rsid w:val="591946E0"/>
    <w:rsid w:val="59280156"/>
    <w:rsid w:val="59301A29"/>
    <w:rsid w:val="59677C52"/>
    <w:rsid w:val="597731B4"/>
    <w:rsid w:val="59A04C8D"/>
    <w:rsid w:val="59C02DAD"/>
    <w:rsid w:val="59DF76D7"/>
    <w:rsid w:val="59E52814"/>
    <w:rsid w:val="59F14D15"/>
    <w:rsid w:val="5A3317D1"/>
    <w:rsid w:val="5A3A2B60"/>
    <w:rsid w:val="5A4E03B9"/>
    <w:rsid w:val="5A5534F6"/>
    <w:rsid w:val="5AA0484E"/>
    <w:rsid w:val="5AA500A3"/>
    <w:rsid w:val="5AAB580B"/>
    <w:rsid w:val="5AB521E6"/>
    <w:rsid w:val="5ABD72ED"/>
    <w:rsid w:val="5AE14981"/>
    <w:rsid w:val="5AE66844"/>
    <w:rsid w:val="5AE76118"/>
    <w:rsid w:val="5AEE6358"/>
    <w:rsid w:val="5AF95A53"/>
    <w:rsid w:val="5AFC1BC3"/>
    <w:rsid w:val="5B21162A"/>
    <w:rsid w:val="5B2D4472"/>
    <w:rsid w:val="5B303F63"/>
    <w:rsid w:val="5B394FE8"/>
    <w:rsid w:val="5B3A26EB"/>
    <w:rsid w:val="5B6F6839"/>
    <w:rsid w:val="5B7B51DE"/>
    <w:rsid w:val="5B920779"/>
    <w:rsid w:val="5B9B5880"/>
    <w:rsid w:val="5BBE50CA"/>
    <w:rsid w:val="5BCD17B1"/>
    <w:rsid w:val="5BD743DE"/>
    <w:rsid w:val="5BE15DD7"/>
    <w:rsid w:val="5BEA6902"/>
    <w:rsid w:val="5BED775E"/>
    <w:rsid w:val="5BFB00CD"/>
    <w:rsid w:val="5C0B49A2"/>
    <w:rsid w:val="5C0D42A1"/>
    <w:rsid w:val="5C1178F0"/>
    <w:rsid w:val="5C1D5290"/>
    <w:rsid w:val="5C3E7FB9"/>
    <w:rsid w:val="5C433822"/>
    <w:rsid w:val="5C49708A"/>
    <w:rsid w:val="5C4F0418"/>
    <w:rsid w:val="5C586AD8"/>
    <w:rsid w:val="5C78796F"/>
    <w:rsid w:val="5C7E28CF"/>
    <w:rsid w:val="5C8276A5"/>
    <w:rsid w:val="5C871960"/>
    <w:rsid w:val="5CA249EC"/>
    <w:rsid w:val="5CA6628A"/>
    <w:rsid w:val="5CD01559"/>
    <w:rsid w:val="5CDA5F34"/>
    <w:rsid w:val="5CDD77D2"/>
    <w:rsid w:val="5CE13766"/>
    <w:rsid w:val="5CF039A9"/>
    <w:rsid w:val="5CFC62D0"/>
    <w:rsid w:val="5D1457C4"/>
    <w:rsid w:val="5D211DB5"/>
    <w:rsid w:val="5D255115"/>
    <w:rsid w:val="5D2E002E"/>
    <w:rsid w:val="5D327B1E"/>
    <w:rsid w:val="5D4E247E"/>
    <w:rsid w:val="5D595A7D"/>
    <w:rsid w:val="5D5E0913"/>
    <w:rsid w:val="5D623CAF"/>
    <w:rsid w:val="5D6677C8"/>
    <w:rsid w:val="5D881E34"/>
    <w:rsid w:val="5D995DEF"/>
    <w:rsid w:val="5D9E51B4"/>
    <w:rsid w:val="5DA12EF6"/>
    <w:rsid w:val="5DA14CA4"/>
    <w:rsid w:val="5DA20746"/>
    <w:rsid w:val="5DDB01B6"/>
    <w:rsid w:val="5DEC23C3"/>
    <w:rsid w:val="5DF11787"/>
    <w:rsid w:val="5DF70D68"/>
    <w:rsid w:val="5E2F22B0"/>
    <w:rsid w:val="5E5835B4"/>
    <w:rsid w:val="5E5F0DE7"/>
    <w:rsid w:val="5E856373"/>
    <w:rsid w:val="5E9D36BD"/>
    <w:rsid w:val="5EB32EE1"/>
    <w:rsid w:val="5EB44F04"/>
    <w:rsid w:val="5EB56D43"/>
    <w:rsid w:val="5EE25574"/>
    <w:rsid w:val="5EEB4428"/>
    <w:rsid w:val="5EF05EE3"/>
    <w:rsid w:val="5EF62DCD"/>
    <w:rsid w:val="5F0059FA"/>
    <w:rsid w:val="5F074FDA"/>
    <w:rsid w:val="5F1F40D2"/>
    <w:rsid w:val="5F463D55"/>
    <w:rsid w:val="5F5D2E4C"/>
    <w:rsid w:val="5F944AC0"/>
    <w:rsid w:val="5F97635E"/>
    <w:rsid w:val="5F9F3465"/>
    <w:rsid w:val="5FA03CE7"/>
    <w:rsid w:val="5FA41DAE"/>
    <w:rsid w:val="5FAB1E0A"/>
    <w:rsid w:val="5FAF18FA"/>
    <w:rsid w:val="5FB44F9D"/>
    <w:rsid w:val="5FCE4357"/>
    <w:rsid w:val="5FD70E51"/>
    <w:rsid w:val="5FDC0215"/>
    <w:rsid w:val="5FFA4E12"/>
    <w:rsid w:val="60025ECE"/>
    <w:rsid w:val="6008100A"/>
    <w:rsid w:val="600A4D82"/>
    <w:rsid w:val="600D03CE"/>
    <w:rsid w:val="60206354"/>
    <w:rsid w:val="603161FB"/>
    <w:rsid w:val="60402552"/>
    <w:rsid w:val="6040533D"/>
    <w:rsid w:val="60427B6A"/>
    <w:rsid w:val="60433DF0"/>
    <w:rsid w:val="605B55DE"/>
    <w:rsid w:val="60791F08"/>
    <w:rsid w:val="607B5C80"/>
    <w:rsid w:val="6085265B"/>
    <w:rsid w:val="608E59B3"/>
    <w:rsid w:val="60A54AAB"/>
    <w:rsid w:val="60AC5E39"/>
    <w:rsid w:val="60D22B72"/>
    <w:rsid w:val="60DF1D6B"/>
    <w:rsid w:val="60F82E2D"/>
    <w:rsid w:val="61120392"/>
    <w:rsid w:val="611539DF"/>
    <w:rsid w:val="61204131"/>
    <w:rsid w:val="61380774"/>
    <w:rsid w:val="61587D6F"/>
    <w:rsid w:val="6162474A"/>
    <w:rsid w:val="61693D2A"/>
    <w:rsid w:val="61785D1C"/>
    <w:rsid w:val="61897F29"/>
    <w:rsid w:val="618E3791"/>
    <w:rsid w:val="61A3723C"/>
    <w:rsid w:val="61C80A51"/>
    <w:rsid w:val="61CA2A1B"/>
    <w:rsid w:val="61E6665C"/>
    <w:rsid w:val="61F0219C"/>
    <w:rsid w:val="622108F3"/>
    <w:rsid w:val="622540F5"/>
    <w:rsid w:val="62404A8B"/>
    <w:rsid w:val="626A7D5A"/>
    <w:rsid w:val="62782477"/>
    <w:rsid w:val="62894684"/>
    <w:rsid w:val="629E5C56"/>
    <w:rsid w:val="62A41F1F"/>
    <w:rsid w:val="62B15989"/>
    <w:rsid w:val="62BA7665"/>
    <w:rsid w:val="62C30E7C"/>
    <w:rsid w:val="62CA6A4B"/>
    <w:rsid w:val="62DE3608"/>
    <w:rsid w:val="62E0001C"/>
    <w:rsid w:val="62E73159"/>
    <w:rsid w:val="62EC69C1"/>
    <w:rsid w:val="62FB092D"/>
    <w:rsid w:val="630930CF"/>
    <w:rsid w:val="631657EC"/>
    <w:rsid w:val="632B74E9"/>
    <w:rsid w:val="634E142A"/>
    <w:rsid w:val="635B76A3"/>
    <w:rsid w:val="635D166D"/>
    <w:rsid w:val="63636DBE"/>
    <w:rsid w:val="636F093C"/>
    <w:rsid w:val="638D1F52"/>
    <w:rsid w:val="639F3A33"/>
    <w:rsid w:val="63BE65AF"/>
    <w:rsid w:val="63C811DC"/>
    <w:rsid w:val="63CB4828"/>
    <w:rsid w:val="63DD630A"/>
    <w:rsid w:val="63DE27AE"/>
    <w:rsid w:val="63E37DC4"/>
    <w:rsid w:val="63E43B3C"/>
    <w:rsid w:val="63E80F78"/>
    <w:rsid w:val="63F766DF"/>
    <w:rsid w:val="63FA510E"/>
    <w:rsid w:val="64033FC2"/>
    <w:rsid w:val="64310A38"/>
    <w:rsid w:val="643E324C"/>
    <w:rsid w:val="64446389"/>
    <w:rsid w:val="6457085E"/>
    <w:rsid w:val="645C7B76"/>
    <w:rsid w:val="6460189D"/>
    <w:rsid w:val="646D58E0"/>
    <w:rsid w:val="64817263"/>
    <w:rsid w:val="64C0348C"/>
    <w:rsid w:val="64C33182"/>
    <w:rsid w:val="64E33DF4"/>
    <w:rsid w:val="64F733FB"/>
    <w:rsid w:val="65031DA0"/>
    <w:rsid w:val="652C579B"/>
    <w:rsid w:val="65652A5B"/>
    <w:rsid w:val="656A0A3D"/>
    <w:rsid w:val="657131AE"/>
    <w:rsid w:val="65736F26"/>
    <w:rsid w:val="65A7539B"/>
    <w:rsid w:val="65B32646"/>
    <w:rsid w:val="65B5457E"/>
    <w:rsid w:val="65B65064"/>
    <w:rsid w:val="65BA4B55"/>
    <w:rsid w:val="65BD63F3"/>
    <w:rsid w:val="65BF03BD"/>
    <w:rsid w:val="65EA5D98"/>
    <w:rsid w:val="65FC33BF"/>
    <w:rsid w:val="660E3E54"/>
    <w:rsid w:val="66246472"/>
    <w:rsid w:val="663A4E80"/>
    <w:rsid w:val="66417024"/>
    <w:rsid w:val="66476B75"/>
    <w:rsid w:val="66611474"/>
    <w:rsid w:val="66664CDC"/>
    <w:rsid w:val="666F3B91"/>
    <w:rsid w:val="66707909"/>
    <w:rsid w:val="669453A6"/>
    <w:rsid w:val="669B6734"/>
    <w:rsid w:val="66AD418E"/>
    <w:rsid w:val="66CF2882"/>
    <w:rsid w:val="66DC0AFB"/>
    <w:rsid w:val="6700768C"/>
    <w:rsid w:val="670C0300"/>
    <w:rsid w:val="670C5884"/>
    <w:rsid w:val="67184229"/>
    <w:rsid w:val="6736645D"/>
    <w:rsid w:val="674C151B"/>
    <w:rsid w:val="67582877"/>
    <w:rsid w:val="676C6322"/>
    <w:rsid w:val="6779459B"/>
    <w:rsid w:val="67915D89"/>
    <w:rsid w:val="679A4C3E"/>
    <w:rsid w:val="679A69EC"/>
    <w:rsid w:val="679F04A6"/>
    <w:rsid w:val="679F4002"/>
    <w:rsid w:val="67A4786A"/>
    <w:rsid w:val="67AE2497"/>
    <w:rsid w:val="67AE693B"/>
    <w:rsid w:val="67B53825"/>
    <w:rsid w:val="67BB151A"/>
    <w:rsid w:val="67C40077"/>
    <w:rsid w:val="67E759A9"/>
    <w:rsid w:val="68014CBD"/>
    <w:rsid w:val="680B0219"/>
    <w:rsid w:val="680B4E69"/>
    <w:rsid w:val="68182006"/>
    <w:rsid w:val="682A06D2"/>
    <w:rsid w:val="68307A21"/>
    <w:rsid w:val="68330BEE"/>
    <w:rsid w:val="684352D5"/>
    <w:rsid w:val="68443C33"/>
    <w:rsid w:val="68466B73"/>
    <w:rsid w:val="684F3C7A"/>
    <w:rsid w:val="68525518"/>
    <w:rsid w:val="6860521B"/>
    <w:rsid w:val="686A0AB4"/>
    <w:rsid w:val="68701E42"/>
    <w:rsid w:val="6873723D"/>
    <w:rsid w:val="687E630D"/>
    <w:rsid w:val="68A35D74"/>
    <w:rsid w:val="68AB2E7A"/>
    <w:rsid w:val="68BB130F"/>
    <w:rsid w:val="68CD1043"/>
    <w:rsid w:val="68D221B5"/>
    <w:rsid w:val="68F22857"/>
    <w:rsid w:val="691B3B5C"/>
    <w:rsid w:val="692A7707"/>
    <w:rsid w:val="6953779A"/>
    <w:rsid w:val="69871EE6"/>
    <w:rsid w:val="69977CA6"/>
    <w:rsid w:val="69A7357A"/>
    <w:rsid w:val="6A114F5F"/>
    <w:rsid w:val="6A186A78"/>
    <w:rsid w:val="6A2B4273"/>
    <w:rsid w:val="6A537326"/>
    <w:rsid w:val="6A5A4B58"/>
    <w:rsid w:val="6A5F5CCB"/>
    <w:rsid w:val="6A694D9B"/>
    <w:rsid w:val="6A745C1A"/>
    <w:rsid w:val="6A7B59A3"/>
    <w:rsid w:val="6A7C6DCE"/>
    <w:rsid w:val="6A876FCF"/>
    <w:rsid w:val="6A9C0CCD"/>
    <w:rsid w:val="6ACD383A"/>
    <w:rsid w:val="6AD93563"/>
    <w:rsid w:val="6AF40B09"/>
    <w:rsid w:val="6B075275"/>
    <w:rsid w:val="6B077849"/>
    <w:rsid w:val="6B282560"/>
    <w:rsid w:val="6B3158B9"/>
    <w:rsid w:val="6B4C26F3"/>
    <w:rsid w:val="6B657311"/>
    <w:rsid w:val="6B6A0DCB"/>
    <w:rsid w:val="6B8068EB"/>
    <w:rsid w:val="6B8F25DF"/>
    <w:rsid w:val="6B9F6CC6"/>
    <w:rsid w:val="6BA77929"/>
    <w:rsid w:val="6BB81397"/>
    <w:rsid w:val="6BCA61D7"/>
    <w:rsid w:val="6BE20961"/>
    <w:rsid w:val="6BE741CA"/>
    <w:rsid w:val="6BE902A4"/>
    <w:rsid w:val="6BEA5A68"/>
    <w:rsid w:val="6BF012D0"/>
    <w:rsid w:val="6BF41ED2"/>
    <w:rsid w:val="6BFA3EFD"/>
    <w:rsid w:val="6BFD579B"/>
    <w:rsid w:val="6C042FCD"/>
    <w:rsid w:val="6C04438E"/>
    <w:rsid w:val="6C1236EB"/>
    <w:rsid w:val="6C371207"/>
    <w:rsid w:val="6C3B104D"/>
    <w:rsid w:val="6C4038DA"/>
    <w:rsid w:val="6C4C4C1E"/>
    <w:rsid w:val="6C523D39"/>
    <w:rsid w:val="6C57134F"/>
    <w:rsid w:val="6C8B724B"/>
    <w:rsid w:val="6C9A748E"/>
    <w:rsid w:val="6C9C6D62"/>
    <w:rsid w:val="6CA41FF3"/>
    <w:rsid w:val="6CBC5656"/>
    <w:rsid w:val="6CBD4F2A"/>
    <w:rsid w:val="6CBF0CA2"/>
    <w:rsid w:val="6CC938CF"/>
    <w:rsid w:val="6CCB2AC6"/>
    <w:rsid w:val="6CD0127C"/>
    <w:rsid w:val="6CF21078"/>
    <w:rsid w:val="6CF55771"/>
    <w:rsid w:val="6CF57614"/>
    <w:rsid w:val="6CFD51B4"/>
    <w:rsid w:val="6D055E2C"/>
    <w:rsid w:val="6D194857"/>
    <w:rsid w:val="6D3E42BD"/>
    <w:rsid w:val="6D400035"/>
    <w:rsid w:val="6D5E495F"/>
    <w:rsid w:val="6D6830E8"/>
    <w:rsid w:val="6D6B0A08"/>
    <w:rsid w:val="6D9B34BE"/>
    <w:rsid w:val="6DB14A8F"/>
    <w:rsid w:val="6DBA6EE5"/>
    <w:rsid w:val="6DF826BE"/>
    <w:rsid w:val="6E1D3ED3"/>
    <w:rsid w:val="6E315BD0"/>
    <w:rsid w:val="6E4408DD"/>
    <w:rsid w:val="6E4476B1"/>
    <w:rsid w:val="6E4E6782"/>
    <w:rsid w:val="6E967D6B"/>
    <w:rsid w:val="6EA168B2"/>
    <w:rsid w:val="6EA2087C"/>
    <w:rsid w:val="6EA2262A"/>
    <w:rsid w:val="6EA445F4"/>
    <w:rsid w:val="6EAA3313"/>
    <w:rsid w:val="6EEE586F"/>
    <w:rsid w:val="6F003164"/>
    <w:rsid w:val="6F010D3A"/>
    <w:rsid w:val="6F1468E1"/>
    <w:rsid w:val="6F1F1ECC"/>
    <w:rsid w:val="6F286FD3"/>
    <w:rsid w:val="6F2F0361"/>
    <w:rsid w:val="6F3230FE"/>
    <w:rsid w:val="6F4058FE"/>
    <w:rsid w:val="6F4831D1"/>
    <w:rsid w:val="6F492E88"/>
    <w:rsid w:val="6F4B0F13"/>
    <w:rsid w:val="6F4D6A39"/>
    <w:rsid w:val="6F643647"/>
    <w:rsid w:val="6F6873CF"/>
    <w:rsid w:val="6F775864"/>
    <w:rsid w:val="6F7A7BBB"/>
    <w:rsid w:val="6F814935"/>
    <w:rsid w:val="6F92269E"/>
    <w:rsid w:val="6F926B42"/>
    <w:rsid w:val="6FA0300D"/>
    <w:rsid w:val="6FB149D1"/>
    <w:rsid w:val="6FB344DE"/>
    <w:rsid w:val="6FC52A74"/>
    <w:rsid w:val="6FD40F09"/>
    <w:rsid w:val="6FDE3B35"/>
    <w:rsid w:val="6FDE7692"/>
    <w:rsid w:val="70230F84"/>
    <w:rsid w:val="702410F1"/>
    <w:rsid w:val="702E23C7"/>
    <w:rsid w:val="703353D8"/>
    <w:rsid w:val="703E787B"/>
    <w:rsid w:val="703F58AB"/>
    <w:rsid w:val="7042680C"/>
    <w:rsid w:val="70441BEA"/>
    <w:rsid w:val="70446407"/>
    <w:rsid w:val="70456701"/>
    <w:rsid w:val="70652935"/>
    <w:rsid w:val="70666005"/>
    <w:rsid w:val="706A53C9"/>
    <w:rsid w:val="706A78BF"/>
    <w:rsid w:val="70861C0E"/>
    <w:rsid w:val="7089584F"/>
    <w:rsid w:val="708C17E3"/>
    <w:rsid w:val="70903082"/>
    <w:rsid w:val="70932B72"/>
    <w:rsid w:val="70974410"/>
    <w:rsid w:val="70AC59E2"/>
    <w:rsid w:val="70BA297C"/>
    <w:rsid w:val="70EB650A"/>
    <w:rsid w:val="70F263D1"/>
    <w:rsid w:val="7101188A"/>
    <w:rsid w:val="7104137A"/>
    <w:rsid w:val="710E21F8"/>
    <w:rsid w:val="71184E25"/>
    <w:rsid w:val="71193077"/>
    <w:rsid w:val="7130216F"/>
    <w:rsid w:val="7148395C"/>
    <w:rsid w:val="71573B9F"/>
    <w:rsid w:val="715F4802"/>
    <w:rsid w:val="71632544"/>
    <w:rsid w:val="7169742F"/>
    <w:rsid w:val="716D5171"/>
    <w:rsid w:val="717F125B"/>
    <w:rsid w:val="7185070D"/>
    <w:rsid w:val="719646C8"/>
    <w:rsid w:val="71A702E8"/>
    <w:rsid w:val="71B552F3"/>
    <w:rsid w:val="71C034F3"/>
    <w:rsid w:val="71D022E5"/>
    <w:rsid w:val="71EC42E8"/>
    <w:rsid w:val="71F44730"/>
    <w:rsid w:val="71F87130"/>
    <w:rsid w:val="71FB277D"/>
    <w:rsid w:val="7218332F"/>
    <w:rsid w:val="72347A3D"/>
    <w:rsid w:val="723D4B43"/>
    <w:rsid w:val="7275252F"/>
    <w:rsid w:val="729C60B9"/>
    <w:rsid w:val="72A526E9"/>
    <w:rsid w:val="72B50B7E"/>
    <w:rsid w:val="72B8241C"/>
    <w:rsid w:val="72CE64BC"/>
    <w:rsid w:val="72DD6326"/>
    <w:rsid w:val="730F195D"/>
    <w:rsid w:val="731D42F0"/>
    <w:rsid w:val="73221F8B"/>
    <w:rsid w:val="733221CE"/>
    <w:rsid w:val="735E1215"/>
    <w:rsid w:val="735F6D3B"/>
    <w:rsid w:val="736600CA"/>
    <w:rsid w:val="73685BF0"/>
    <w:rsid w:val="736D3206"/>
    <w:rsid w:val="736E6F7E"/>
    <w:rsid w:val="73770529"/>
    <w:rsid w:val="73797DFD"/>
    <w:rsid w:val="739015EB"/>
    <w:rsid w:val="73993FFB"/>
    <w:rsid w:val="739A5FC5"/>
    <w:rsid w:val="73A17354"/>
    <w:rsid w:val="73D2575F"/>
    <w:rsid w:val="73E6120B"/>
    <w:rsid w:val="73F456D6"/>
    <w:rsid w:val="7412411E"/>
    <w:rsid w:val="74193B00"/>
    <w:rsid w:val="743462E1"/>
    <w:rsid w:val="74416441"/>
    <w:rsid w:val="744C72C0"/>
    <w:rsid w:val="744D4DE6"/>
    <w:rsid w:val="74582108"/>
    <w:rsid w:val="746565D3"/>
    <w:rsid w:val="74B3492E"/>
    <w:rsid w:val="74BB2697"/>
    <w:rsid w:val="74C27582"/>
    <w:rsid w:val="74CC6652"/>
    <w:rsid w:val="74FD680C"/>
    <w:rsid w:val="75071439"/>
    <w:rsid w:val="750C5B34"/>
    <w:rsid w:val="751C4F54"/>
    <w:rsid w:val="75377F70"/>
    <w:rsid w:val="7538200C"/>
    <w:rsid w:val="75483F2B"/>
    <w:rsid w:val="755F3023"/>
    <w:rsid w:val="75834F63"/>
    <w:rsid w:val="75B0672C"/>
    <w:rsid w:val="75BA294F"/>
    <w:rsid w:val="75CD2682"/>
    <w:rsid w:val="75CF63FA"/>
    <w:rsid w:val="75DA6B4D"/>
    <w:rsid w:val="75DE03EB"/>
    <w:rsid w:val="75DE488F"/>
    <w:rsid w:val="75E35A02"/>
    <w:rsid w:val="75FE0A8D"/>
    <w:rsid w:val="760C31AA"/>
    <w:rsid w:val="760D0CD1"/>
    <w:rsid w:val="7621477C"/>
    <w:rsid w:val="7625426C"/>
    <w:rsid w:val="76373F9F"/>
    <w:rsid w:val="76481D09"/>
    <w:rsid w:val="76593F16"/>
    <w:rsid w:val="7662101C"/>
    <w:rsid w:val="767C19B2"/>
    <w:rsid w:val="76A31644"/>
    <w:rsid w:val="76A50F09"/>
    <w:rsid w:val="76AC04E9"/>
    <w:rsid w:val="76C34356"/>
    <w:rsid w:val="76D3773E"/>
    <w:rsid w:val="77161E07"/>
    <w:rsid w:val="77185B7F"/>
    <w:rsid w:val="772444B9"/>
    <w:rsid w:val="77297D8C"/>
    <w:rsid w:val="776112D4"/>
    <w:rsid w:val="778E63DA"/>
    <w:rsid w:val="77950F7E"/>
    <w:rsid w:val="77AE0952"/>
    <w:rsid w:val="77B53160"/>
    <w:rsid w:val="77B533CE"/>
    <w:rsid w:val="77B70EF4"/>
    <w:rsid w:val="77D25D2E"/>
    <w:rsid w:val="77E43CB3"/>
    <w:rsid w:val="77F36009"/>
    <w:rsid w:val="7808174F"/>
    <w:rsid w:val="780A196C"/>
    <w:rsid w:val="781C51FB"/>
    <w:rsid w:val="782A3DBC"/>
    <w:rsid w:val="782B18E2"/>
    <w:rsid w:val="783333E0"/>
    <w:rsid w:val="78345CA3"/>
    <w:rsid w:val="78386B79"/>
    <w:rsid w:val="783E1615"/>
    <w:rsid w:val="78601C1D"/>
    <w:rsid w:val="786372CE"/>
    <w:rsid w:val="786848E4"/>
    <w:rsid w:val="786C7F30"/>
    <w:rsid w:val="78AD753E"/>
    <w:rsid w:val="78C0027C"/>
    <w:rsid w:val="78DA187D"/>
    <w:rsid w:val="78DB6E64"/>
    <w:rsid w:val="78E421BD"/>
    <w:rsid w:val="790A1A19"/>
    <w:rsid w:val="791C5578"/>
    <w:rsid w:val="793842B6"/>
    <w:rsid w:val="7940316B"/>
    <w:rsid w:val="79507852"/>
    <w:rsid w:val="79893713"/>
    <w:rsid w:val="798C63B0"/>
    <w:rsid w:val="79C70D09"/>
    <w:rsid w:val="79CE69C9"/>
    <w:rsid w:val="79DC3BE6"/>
    <w:rsid w:val="79F3642F"/>
    <w:rsid w:val="79FE42DA"/>
    <w:rsid w:val="7A04063C"/>
    <w:rsid w:val="7A0D74F1"/>
    <w:rsid w:val="7A170370"/>
    <w:rsid w:val="7A2A2439"/>
    <w:rsid w:val="7A2B4AE4"/>
    <w:rsid w:val="7A7C01D3"/>
    <w:rsid w:val="7A8B0BA1"/>
    <w:rsid w:val="7A911ED0"/>
    <w:rsid w:val="7AB23BF5"/>
    <w:rsid w:val="7AD324E9"/>
    <w:rsid w:val="7AE66B7E"/>
    <w:rsid w:val="7AED5135"/>
    <w:rsid w:val="7AFD7566"/>
    <w:rsid w:val="7B114DBF"/>
    <w:rsid w:val="7B516E32"/>
    <w:rsid w:val="7B544A09"/>
    <w:rsid w:val="7B6A2721"/>
    <w:rsid w:val="7B725F0E"/>
    <w:rsid w:val="7B775489"/>
    <w:rsid w:val="7B9D2AF7"/>
    <w:rsid w:val="7BB122C4"/>
    <w:rsid w:val="7BB5399C"/>
    <w:rsid w:val="7BBF2A6D"/>
    <w:rsid w:val="7BC66537"/>
    <w:rsid w:val="7BCC6F38"/>
    <w:rsid w:val="7BE6624C"/>
    <w:rsid w:val="7BF3250D"/>
    <w:rsid w:val="7BFA5853"/>
    <w:rsid w:val="7BFF10BB"/>
    <w:rsid w:val="7C2E19A1"/>
    <w:rsid w:val="7C3E1BE4"/>
    <w:rsid w:val="7C647170"/>
    <w:rsid w:val="7C817D22"/>
    <w:rsid w:val="7C833A9B"/>
    <w:rsid w:val="7CA13F21"/>
    <w:rsid w:val="7CC12815"/>
    <w:rsid w:val="7CC77E2B"/>
    <w:rsid w:val="7CEC5AE4"/>
    <w:rsid w:val="7CF229CE"/>
    <w:rsid w:val="7CF624BE"/>
    <w:rsid w:val="7D0746CC"/>
    <w:rsid w:val="7D39684F"/>
    <w:rsid w:val="7D423956"/>
    <w:rsid w:val="7D463234"/>
    <w:rsid w:val="7D644AE7"/>
    <w:rsid w:val="7D7C6557"/>
    <w:rsid w:val="7D9046C1"/>
    <w:rsid w:val="7D9C07AD"/>
    <w:rsid w:val="7D9D293A"/>
    <w:rsid w:val="7D9D6DDE"/>
    <w:rsid w:val="7DCA74A7"/>
    <w:rsid w:val="7DE93DD1"/>
    <w:rsid w:val="7E097FCF"/>
    <w:rsid w:val="7E17093E"/>
    <w:rsid w:val="7E176B90"/>
    <w:rsid w:val="7E3239CA"/>
    <w:rsid w:val="7E3D0FC8"/>
    <w:rsid w:val="7E9006F1"/>
    <w:rsid w:val="7EA47CF8"/>
    <w:rsid w:val="7ED401E9"/>
    <w:rsid w:val="7EFC5D86"/>
    <w:rsid w:val="7F0A04A3"/>
    <w:rsid w:val="7F0F5AB9"/>
    <w:rsid w:val="7F127358"/>
    <w:rsid w:val="7F17496E"/>
    <w:rsid w:val="7F21759B"/>
    <w:rsid w:val="7F5B2AAD"/>
    <w:rsid w:val="7F6556D9"/>
    <w:rsid w:val="7F7122D0"/>
    <w:rsid w:val="7FA97CBC"/>
    <w:rsid w:val="7FAE38C2"/>
    <w:rsid w:val="7FAE7080"/>
    <w:rsid w:val="7FC9210C"/>
    <w:rsid w:val="7FE40CF4"/>
    <w:rsid w:val="7FE74340"/>
    <w:rsid w:val="7FEB2083"/>
    <w:rsid w:val="7FF13411"/>
    <w:rsid w:val="7FF42F41"/>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iPriority="9" w:semiHidden="0" w:name="heading 5"/>
    <w:lsdException w:qFormat="1" w:uiPriority="9" w:semiHidden="0" w:name="heading 6"/>
    <w:lsdException w:qFormat="1" w:uiPriority="0" w:semiHidden="0" w:name="heading 7"/>
    <w:lsdException w:qFormat="1" w:uiPriority="9" w:semiHidden="0"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autoRedefine/>
    <w:qFormat/>
    <w:uiPriority w:val="9"/>
    <w:pPr>
      <w:keepNext/>
      <w:keepLines/>
      <w:tabs>
        <w:tab w:val="left" w:pos="360"/>
      </w:tabs>
      <w:adjustRightInd w:val="0"/>
      <w:spacing w:line="360" w:lineRule="auto"/>
      <w:jc w:val="center"/>
      <w:textAlignment w:val="baseline"/>
      <w:outlineLvl w:val="0"/>
    </w:pPr>
    <w:rPr>
      <w:rFonts w:eastAsia="黑体"/>
      <w:b/>
      <w:kern w:val="44"/>
      <w:sz w:val="28"/>
      <w:szCs w:val="20"/>
    </w:rPr>
  </w:style>
  <w:style w:type="paragraph" w:styleId="3">
    <w:name w:val="heading 2"/>
    <w:basedOn w:val="1"/>
    <w:next w:val="1"/>
    <w:link w:val="43"/>
    <w:autoRedefine/>
    <w:qFormat/>
    <w:uiPriority w:val="0"/>
    <w:pPr>
      <w:keepNext/>
      <w:tabs>
        <w:tab w:val="left" w:pos="1021"/>
      </w:tabs>
      <w:adjustRightInd w:val="0"/>
      <w:spacing w:line="360" w:lineRule="auto"/>
      <w:jc w:val="center"/>
      <w:textAlignment w:val="baseline"/>
      <w:outlineLvl w:val="1"/>
    </w:pPr>
    <w:rPr>
      <w:rFonts w:asciiTheme="majorEastAsia" w:hAnsiTheme="majorEastAsia" w:eastAsiaTheme="majorEastAsia"/>
      <w:b/>
      <w:kern w:val="0"/>
      <w:sz w:val="28"/>
      <w:szCs w:val="20"/>
    </w:rPr>
  </w:style>
  <w:style w:type="paragraph" w:styleId="4">
    <w:name w:val="heading 3"/>
    <w:basedOn w:val="1"/>
    <w:next w:val="1"/>
    <w:link w:val="44"/>
    <w:autoRedefine/>
    <w:qFormat/>
    <w:uiPriority w:val="9"/>
    <w:pPr>
      <w:tabs>
        <w:tab w:val="left" w:pos="360"/>
        <w:tab w:val="left" w:pos="420"/>
        <w:tab w:val="left" w:pos="900"/>
        <w:tab w:val="left" w:pos="1588"/>
      </w:tabs>
      <w:adjustRightInd w:val="0"/>
      <w:spacing w:line="400" w:lineRule="exact"/>
      <w:ind w:left="420"/>
      <w:textAlignment w:val="baseline"/>
      <w:outlineLvl w:val="2"/>
    </w:pPr>
    <w:rPr>
      <w:rFonts w:asciiTheme="minorEastAsia" w:hAnsiTheme="minorEastAsia" w:eastAsiaTheme="minorEastAsia"/>
      <w:b/>
      <w:kern w:val="0"/>
      <w:sz w:val="24"/>
    </w:rPr>
  </w:style>
  <w:style w:type="paragraph" w:styleId="5">
    <w:name w:val="heading 4"/>
    <w:basedOn w:val="1"/>
    <w:next w:val="1"/>
    <w:link w:val="45"/>
    <w:autoRedefine/>
    <w:unhideWhenUsed/>
    <w:qFormat/>
    <w:uiPriority w:val="0"/>
    <w:pPr>
      <w:keepNext/>
      <w:keepLines/>
      <w:spacing w:line="360" w:lineRule="auto"/>
      <w:outlineLvl w:val="3"/>
    </w:pPr>
    <w:rPr>
      <w:rFonts w:asciiTheme="minorEastAsia" w:hAnsiTheme="minorEastAsia" w:eastAsiaTheme="minorEastAsia" w:cstheme="majorBidi"/>
      <w:b/>
      <w:bCs/>
      <w:color w:val="000000" w:themeColor="text1"/>
      <w:sz w:val="24"/>
      <w14:textFill>
        <w14:solidFill>
          <w14:schemeClr w14:val="tx1"/>
        </w14:solidFill>
      </w14:textFill>
    </w:rPr>
  </w:style>
  <w:style w:type="paragraph" w:styleId="6">
    <w:name w:val="heading 5"/>
    <w:basedOn w:val="1"/>
    <w:next w:val="1"/>
    <w:link w:val="46"/>
    <w:autoRedefine/>
    <w:unhideWhenUsed/>
    <w:qFormat/>
    <w:uiPriority w:val="9"/>
    <w:pPr>
      <w:keepNext/>
      <w:keepLines/>
      <w:numPr>
        <w:ilvl w:val="4"/>
        <w:numId w:val="1"/>
      </w:numPr>
      <w:spacing w:before="163" w:beforeLines="50" w:after="163" w:afterLines="50"/>
      <w:outlineLvl w:val="4"/>
    </w:pPr>
    <w:rPr>
      <w:rFonts w:ascii="仿宋" w:hAnsi="仿宋"/>
      <w:bCs/>
      <w:szCs w:val="28"/>
    </w:rPr>
  </w:style>
  <w:style w:type="paragraph" w:styleId="7">
    <w:name w:val="heading 6"/>
    <w:basedOn w:val="1"/>
    <w:next w:val="1"/>
    <w:link w:val="47"/>
    <w:autoRedefine/>
    <w:unhideWhenUsed/>
    <w:qFormat/>
    <w:uiPriority w:val="9"/>
    <w:pPr>
      <w:keepNext/>
      <w:keepLines/>
      <w:numPr>
        <w:ilvl w:val="5"/>
        <w:numId w:val="1"/>
      </w:numPr>
      <w:spacing w:before="163" w:beforeLines="50" w:after="163" w:afterLines="50"/>
      <w:outlineLvl w:val="5"/>
    </w:pPr>
    <w:rPr>
      <w:rFonts w:asciiTheme="majorHAnsi" w:hAnsiTheme="majorHAnsi" w:cstheme="majorBidi"/>
      <w:bCs/>
    </w:rPr>
  </w:style>
  <w:style w:type="paragraph" w:styleId="8">
    <w:name w:val="heading 7"/>
    <w:basedOn w:val="1"/>
    <w:next w:val="1"/>
    <w:link w:val="48"/>
    <w:autoRedefine/>
    <w:unhideWhenUsed/>
    <w:qFormat/>
    <w:uiPriority w:val="0"/>
    <w:pPr>
      <w:keepNext/>
      <w:keepLines/>
      <w:numPr>
        <w:ilvl w:val="6"/>
        <w:numId w:val="1"/>
      </w:numPr>
      <w:spacing w:before="100" w:beforeAutospacing="1" w:after="100" w:afterAutospacing="1" w:line="360" w:lineRule="auto"/>
      <w:outlineLvl w:val="6"/>
    </w:pPr>
    <w:rPr>
      <w:rFonts w:asciiTheme="majorEastAsia" w:hAnsiTheme="majorEastAsia"/>
      <w:bCs/>
    </w:rPr>
  </w:style>
  <w:style w:type="paragraph" w:styleId="9">
    <w:name w:val="heading 8"/>
    <w:basedOn w:val="1"/>
    <w:next w:val="1"/>
    <w:link w:val="49"/>
    <w:autoRedefine/>
    <w:unhideWhenUsed/>
    <w:qFormat/>
    <w:uiPriority w:val="9"/>
    <w:pPr>
      <w:keepNext/>
      <w:keepLines/>
      <w:numPr>
        <w:ilvl w:val="7"/>
        <w:numId w:val="1"/>
      </w:numPr>
      <w:outlineLvl w:val="7"/>
    </w:pPr>
    <w:rPr>
      <w:rFonts w:asciiTheme="majorEastAsia" w:hAnsiTheme="majorEastAsia" w:cstheme="majorBidi"/>
      <w:b/>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131"/>
    <w:autoRedefine/>
    <w:qFormat/>
    <w:uiPriority w:val="0"/>
    <w:pPr>
      <w:ind w:hanging="110"/>
      <w:jc w:val="left"/>
    </w:pPr>
    <w:rPr>
      <w:szCs w:val="20"/>
    </w:rPr>
  </w:style>
  <w:style w:type="paragraph" w:styleId="11">
    <w:name w:val="caption"/>
    <w:basedOn w:val="1"/>
    <w:next w:val="1"/>
    <w:autoRedefine/>
    <w:unhideWhenUsed/>
    <w:qFormat/>
    <w:uiPriority w:val="0"/>
    <w:pPr>
      <w:jc w:val="center"/>
    </w:pPr>
    <w:rPr>
      <w:rFonts w:ascii="DejaVu Sans" w:hAnsi="DejaVu Sans" w:eastAsia="方正黑体_GBK"/>
      <w:sz w:val="20"/>
    </w:rPr>
  </w:style>
  <w:style w:type="paragraph" w:styleId="12">
    <w:name w:val="Document Map"/>
    <w:basedOn w:val="1"/>
    <w:link w:val="50"/>
    <w:autoRedefine/>
    <w:unhideWhenUsed/>
    <w:qFormat/>
    <w:uiPriority w:val="99"/>
    <w:rPr>
      <w:rFonts w:ascii="宋体" w:hAnsi="Calibri" w:cs="黑体"/>
      <w:sz w:val="18"/>
      <w:szCs w:val="18"/>
    </w:rPr>
  </w:style>
  <w:style w:type="paragraph" w:styleId="13">
    <w:name w:val="annotation text"/>
    <w:basedOn w:val="1"/>
    <w:link w:val="51"/>
    <w:autoRedefine/>
    <w:unhideWhenUsed/>
    <w:qFormat/>
    <w:uiPriority w:val="0"/>
    <w:pPr>
      <w:jc w:val="left"/>
    </w:pPr>
    <w:rPr>
      <w:b/>
      <w:color w:val="000000" w:themeColor="text1"/>
      <w:szCs w:val="21"/>
      <w14:textFill>
        <w14:solidFill>
          <w14:schemeClr w14:val="tx1"/>
        </w14:solidFill>
      </w14:textFill>
    </w:rPr>
  </w:style>
  <w:style w:type="paragraph" w:styleId="14">
    <w:name w:val="Body Text 3"/>
    <w:basedOn w:val="1"/>
    <w:link w:val="52"/>
    <w:autoRedefine/>
    <w:qFormat/>
    <w:uiPriority w:val="0"/>
    <w:pPr>
      <w:tabs>
        <w:tab w:val="center" w:pos="4819"/>
        <w:tab w:val="left" w:pos="7770"/>
      </w:tabs>
      <w:spacing w:before="331" w:beforeLines="100" w:line="480" w:lineRule="auto"/>
      <w:jc w:val="center"/>
    </w:pPr>
    <w:rPr>
      <w:b/>
      <w:spacing w:val="-8"/>
      <w:sz w:val="46"/>
      <w:szCs w:val="54"/>
    </w:rPr>
  </w:style>
  <w:style w:type="paragraph" w:styleId="15">
    <w:name w:val="Body Text"/>
    <w:basedOn w:val="1"/>
    <w:next w:val="16"/>
    <w:link w:val="53"/>
    <w:autoRedefine/>
    <w:qFormat/>
    <w:uiPriority w:val="0"/>
    <w:pPr>
      <w:adjustRightInd w:val="0"/>
      <w:spacing w:line="360" w:lineRule="exact"/>
      <w:jc w:val="left"/>
    </w:pPr>
    <w:rPr>
      <w:rFonts w:ascii="宋体" w:hAnsi="宋体" w:cs="宋体"/>
      <w:b/>
      <w:szCs w:val="21"/>
    </w:rPr>
  </w:style>
  <w:style w:type="paragraph" w:styleId="16">
    <w:name w:val="toc 5"/>
    <w:basedOn w:val="1"/>
    <w:next w:val="1"/>
    <w:autoRedefine/>
    <w:qFormat/>
    <w:uiPriority w:val="0"/>
    <w:pPr>
      <w:ind w:left="1680"/>
    </w:pPr>
    <w:rPr>
      <w:rFonts w:ascii="Calibri" w:hAnsi="Calibri" w:cs="黑体"/>
    </w:rPr>
  </w:style>
  <w:style w:type="paragraph" w:styleId="17">
    <w:name w:val="Body Text Indent"/>
    <w:basedOn w:val="1"/>
    <w:next w:val="18"/>
    <w:link w:val="54"/>
    <w:autoRedefine/>
    <w:unhideWhenUsed/>
    <w:qFormat/>
    <w:uiPriority w:val="99"/>
    <w:pPr>
      <w:snapToGrid w:val="0"/>
      <w:spacing w:after="165" w:line="400" w:lineRule="exact"/>
      <w:ind w:firstLine="520" w:firstLineChars="200"/>
    </w:pPr>
    <w:rPr>
      <w:rFonts w:hAnsi="宋体" w:cs="宋体"/>
      <w:spacing w:val="10"/>
      <w:sz w:val="24"/>
    </w:rPr>
  </w:style>
  <w:style w:type="paragraph" w:styleId="18">
    <w:name w:val="annotation subject"/>
    <w:basedOn w:val="13"/>
    <w:next w:val="1"/>
    <w:link w:val="55"/>
    <w:autoRedefine/>
    <w:semiHidden/>
    <w:unhideWhenUsed/>
    <w:qFormat/>
    <w:uiPriority w:val="0"/>
    <w:rPr>
      <w:b w:val="0"/>
      <w:bCs/>
    </w:rPr>
  </w:style>
  <w:style w:type="paragraph" w:styleId="19">
    <w:name w:val="index 4"/>
    <w:basedOn w:val="1"/>
    <w:next w:val="1"/>
    <w:autoRedefine/>
    <w:qFormat/>
    <w:uiPriority w:val="0"/>
    <w:pPr>
      <w:ind w:left="600" w:leftChars="600"/>
    </w:pPr>
  </w:style>
  <w:style w:type="paragraph" w:styleId="20">
    <w:name w:val="toc 3"/>
    <w:basedOn w:val="1"/>
    <w:next w:val="1"/>
    <w:qFormat/>
    <w:uiPriority w:val="39"/>
    <w:pPr>
      <w:tabs>
        <w:tab w:val="left" w:pos="945"/>
        <w:tab w:val="right" w:leader="dot" w:pos="9344"/>
      </w:tabs>
      <w:spacing w:line="320" w:lineRule="exact"/>
      <w:ind w:left="540" w:leftChars="257"/>
      <w:jc w:val="left"/>
    </w:pPr>
    <w:rPr>
      <w:iCs/>
      <w:szCs w:val="20"/>
    </w:rPr>
  </w:style>
  <w:style w:type="paragraph" w:styleId="21">
    <w:name w:val="Plain Text"/>
    <w:basedOn w:val="1"/>
    <w:next w:val="1"/>
    <w:link w:val="56"/>
    <w:qFormat/>
    <w:uiPriority w:val="0"/>
    <w:rPr>
      <w:rFonts w:ascii="宋体"/>
      <w:szCs w:val="20"/>
    </w:rPr>
  </w:style>
  <w:style w:type="paragraph" w:styleId="22">
    <w:name w:val="Body Text Indent 2"/>
    <w:basedOn w:val="1"/>
    <w:link w:val="57"/>
    <w:autoRedefine/>
    <w:qFormat/>
    <w:uiPriority w:val="0"/>
    <w:pPr>
      <w:spacing w:after="120" w:line="480" w:lineRule="auto"/>
      <w:ind w:left="200" w:leftChars="200"/>
    </w:pPr>
  </w:style>
  <w:style w:type="paragraph" w:styleId="23">
    <w:name w:val="Balloon Text"/>
    <w:basedOn w:val="1"/>
    <w:link w:val="58"/>
    <w:autoRedefine/>
    <w:qFormat/>
    <w:uiPriority w:val="0"/>
    <w:rPr>
      <w:sz w:val="18"/>
      <w:szCs w:val="18"/>
    </w:rPr>
  </w:style>
  <w:style w:type="paragraph" w:styleId="24">
    <w:name w:val="footer"/>
    <w:basedOn w:val="1"/>
    <w:link w:val="41"/>
    <w:unhideWhenUsed/>
    <w:qFormat/>
    <w:uiPriority w:val="0"/>
    <w:pPr>
      <w:tabs>
        <w:tab w:val="center" w:pos="4153"/>
        <w:tab w:val="right" w:pos="8306"/>
      </w:tabs>
      <w:snapToGrid w:val="0"/>
      <w:jc w:val="left"/>
    </w:pPr>
    <w:rPr>
      <w:sz w:val="18"/>
      <w:szCs w:val="18"/>
    </w:rPr>
  </w:style>
  <w:style w:type="paragraph" w:styleId="25">
    <w:name w:val="header"/>
    <w:basedOn w:val="1"/>
    <w:link w:val="40"/>
    <w:unhideWhenUsed/>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qFormat/>
    <w:uiPriority w:val="39"/>
    <w:pPr>
      <w:tabs>
        <w:tab w:val="right" w:leader="dot" w:pos="9344"/>
      </w:tabs>
      <w:adjustRightInd w:val="0"/>
      <w:spacing w:before="120" w:after="120"/>
      <w:ind w:firstLine="120" w:firstLineChars="50"/>
      <w:jc w:val="left"/>
      <w:outlineLvl w:val="0"/>
    </w:pPr>
    <w:rPr>
      <w:bCs/>
      <w:caps/>
      <w:szCs w:val="20"/>
    </w:rPr>
  </w:style>
  <w:style w:type="paragraph" w:styleId="27">
    <w:name w:val="toc 2"/>
    <w:basedOn w:val="1"/>
    <w:next w:val="1"/>
    <w:autoRedefine/>
    <w:qFormat/>
    <w:uiPriority w:val="39"/>
    <w:pPr>
      <w:tabs>
        <w:tab w:val="right" w:leader="dot" w:pos="9344"/>
      </w:tabs>
      <w:spacing w:line="280" w:lineRule="exact"/>
      <w:ind w:left="420" w:leftChars="200"/>
      <w:jc w:val="left"/>
    </w:pPr>
    <w:rPr>
      <w:smallCaps/>
      <w:szCs w:val="20"/>
    </w:rPr>
  </w:style>
  <w:style w:type="paragraph" w:styleId="28">
    <w:name w:val="HTML Preformatted"/>
    <w:basedOn w:val="1"/>
    <w:link w:val="59"/>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9">
    <w:name w:val="Normal (Web)"/>
    <w:basedOn w:val="1"/>
    <w:autoRedefine/>
    <w:unhideWhenUsed/>
    <w:qFormat/>
    <w:uiPriority w:val="0"/>
    <w:pPr>
      <w:jc w:val="left"/>
    </w:pPr>
    <w:rPr>
      <w:kern w:val="0"/>
      <w:sz w:val="24"/>
    </w:rPr>
  </w:style>
  <w:style w:type="paragraph" w:styleId="30">
    <w:name w:val="Body Text First Indent"/>
    <w:basedOn w:val="15"/>
    <w:link w:val="60"/>
    <w:autoRedefine/>
    <w:qFormat/>
    <w:uiPriority w:val="0"/>
    <w:pPr>
      <w:autoSpaceDE w:val="0"/>
      <w:autoSpaceDN w:val="0"/>
      <w:adjustRightInd/>
      <w:spacing w:line="240" w:lineRule="auto"/>
      <w:ind w:left="120" w:firstLine="420" w:firstLineChars="100"/>
    </w:pPr>
    <w:rPr>
      <w:rFonts w:ascii="Calibri" w:hAnsi="仿宋_GB2312" w:cs="仿宋_GB2312"/>
      <w:bCs/>
      <w:kern w:val="0"/>
      <w:szCs w:val="32"/>
      <w:lang w:val="zh-CN"/>
    </w:rPr>
  </w:style>
  <w:style w:type="paragraph" w:styleId="31">
    <w:name w:val="Body Text First Indent 2"/>
    <w:basedOn w:val="17"/>
    <w:link w:val="61"/>
    <w:autoRedefine/>
    <w:unhideWhenUsed/>
    <w:qFormat/>
    <w:uiPriority w:val="0"/>
    <w:pPr>
      <w:ind w:firstLine="420"/>
    </w:pPr>
  </w:style>
  <w:style w:type="table" w:styleId="33">
    <w:name w:val="Table Grid"/>
    <w:basedOn w:val="3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basedOn w:val="34"/>
    <w:qFormat/>
    <w:uiPriority w:val="0"/>
    <w:rPr>
      <w:b/>
      <w:bCs/>
    </w:rPr>
  </w:style>
  <w:style w:type="character" w:styleId="36">
    <w:name w:val="page number"/>
    <w:basedOn w:val="34"/>
    <w:autoRedefine/>
    <w:qFormat/>
    <w:uiPriority w:val="0"/>
  </w:style>
  <w:style w:type="character" w:styleId="37">
    <w:name w:val="FollowedHyperlink"/>
    <w:basedOn w:val="34"/>
    <w:autoRedefine/>
    <w:unhideWhenUsed/>
    <w:qFormat/>
    <w:uiPriority w:val="0"/>
    <w:rPr>
      <w:color w:val="555555"/>
      <w:u w:val="none"/>
    </w:rPr>
  </w:style>
  <w:style w:type="character" w:styleId="38">
    <w:name w:val="Hyperlink"/>
    <w:autoRedefine/>
    <w:qFormat/>
    <w:uiPriority w:val="99"/>
    <w:rPr>
      <w:color w:val="0000FF"/>
      <w:u w:val="single"/>
    </w:rPr>
  </w:style>
  <w:style w:type="character" w:styleId="39">
    <w:name w:val="annotation reference"/>
    <w:basedOn w:val="34"/>
    <w:autoRedefine/>
    <w:semiHidden/>
    <w:unhideWhenUsed/>
    <w:qFormat/>
    <w:uiPriority w:val="0"/>
    <w:rPr>
      <w:sz w:val="21"/>
      <w:szCs w:val="21"/>
    </w:rPr>
  </w:style>
  <w:style w:type="character" w:customStyle="1" w:styleId="40">
    <w:name w:val="页眉 Char"/>
    <w:basedOn w:val="34"/>
    <w:link w:val="25"/>
    <w:qFormat/>
    <w:uiPriority w:val="0"/>
    <w:rPr>
      <w:sz w:val="18"/>
      <w:szCs w:val="18"/>
    </w:rPr>
  </w:style>
  <w:style w:type="character" w:customStyle="1" w:styleId="41">
    <w:name w:val="页脚 Char"/>
    <w:basedOn w:val="34"/>
    <w:link w:val="24"/>
    <w:qFormat/>
    <w:uiPriority w:val="99"/>
    <w:rPr>
      <w:sz w:val="18"/>
      <w:szCs w:val="18"/>
    </w:rPr>
  </w:style>
  <w:style w:type="character" w:customStyle="1" w:styleId="42">
    <w:name w:val="标题 1 Char"/>
    <w:basedOn w:val="34"/>
    <w:link w:val="2"/>
    <w:qFormat/>
    <w:uiPriority w:val="9"/>
    <w:rPr>
      <w:rFonts w:ascii="Times New Roman" w:hAnsi="Times New Roman" w:eastAsia="黑体" w:cs="Times New Roman"/>
      <w:b/>
      <w:kern w:val="44"/>
      <w:sz w:val="28"/>
    </w:rPr>
  </w:style>
  <w:style w:type="character" w:customStyle="1" w:styleId="43">
    <w:name w:val="标题 2 Char"/>
    <w:basedOn w:val="34"/>
    <w:link w:val="3"/>
    <w:qFormat/>
    <w:uiPriority w:val="0"/>
    <w:rPr>
      <w:rFonts w:cs="Times New Roman" w:asciiTheme="majorEastAsia" w:hAnsiTheme="majorEastAsia" w:eastAsiaTheme="majorEastAsia"/>
      <w:b/>
      <w:sz w:val="28"/>
    </w:rPr>
  </w:style>
  <w:style w:type="character" w:customStyle="1" w:styleId="44">
    <w:name w:val="标题 3 Char"/>
    <w:basedOn w:val="34"/>
    <w:link w:val="4"/>
    <w:qFormat/>
    <w:uiPriority w:val="9"/>
    <w:rPr>
      <w:rFonts w:cs="Times New Roman" w:asciiTheme="minorEastAsia" w:hAnsiTheme="minorEastAsia"/>
      <w:b/>
      <w:kern w:val="0"/>
      <w:sz w:val="24"/>
      <w:szCs w:val="24"/>
    </w:rPr>
  </w:style>
  <w:style w:type="character" w:customStyle="1" w:styleId="45">
    <w:name w:val="标题 4 Char"/>
    <w:basedOn w:val="34"/>
    <w:link w:val="5"/>
    <w:qFormat/>
    <w:uiPriority w:val="0"/>
    <w:rPr>
      <w:rFonts w:asciiTheme="minorEastAsia" w:hAnsiTheme="minorEastAsia" w:cstheme="majorBidi"/>
      <w:b/>
      <w:bCs/>
      <w:color w:val="000000" w:themeColor="text1"/>
      <w:sz w:val="24"/>
      <w:szCs w:val="24"/>
      <w14:textFill>
        <w14:solidFill>
          <w14:schemeClr w14:val="tx1"/>
        </w14:solidFill>
      </w14:textFill>
    </w:rPr>
  </w:style>
  <w:style w:type="character" w:customStyle="1" w:styleId="46">
    <w:name w:val="标题 5 Char"/>
    <w:basedOn w:val="34"/>
    <w:link w:val="6"/>
    <w:qFormat/>
    <w:uiPriority w:val="0"/>
    <w:rPr>
      <w:rFonts w:ascii="仿宋" w:hAnsi="仿宋" w:eastAsia="宋体" w:cs="Times New Roman"/>
      <w:bCs/>
      <w:szCs w:val="28"/>
    </w:rPr>
  </w:style>
  <w:style w:type="character" w:customStyle="1" w:styleId="47">
    <w:name w:val="标题 6 Char"/>
    <w:basedOn w:val="34"/>
    <w:link w:val="7"/>
    <w:qFormat/>
    <w:uiPriority w:val="9"/>
    <w:rPr>
      <w:rFonts w:eastAsia="宋体" w:asciiTheme="majorHAnsi" w:hAnsiTheme="majorHAnsi" w:cstheme="majorBidi"/>
      <w:bCs/>
      <w:szCs w:val="24"/>
    </w:rPr>
  </w:style>
  <w:style w:type="character" w:customStyle="1" w:styleId="48">
    <w:name w:val="标题 7 Char"/>
    <w:basedOn w:val="34"/>
    <w:link w:val="8"/>
    <w:qFormat/>
    <w:uiPriority w:val="0"/>
    <w:rPr>
      <w:rFonts w:eastAsia="宋体" w:cs="Times New Roman" w:asciiTheme="majorEastAsia" w:hAnsiTheme="majorEastAsia"/>
      <w:bCs/>
      <w:szCs w:val="24"/>
    </w:rPr>
  </w:style>
  <w:style w:type="character" w:customStyle="1" w:styleId="49">
    <w:name w:val="标题 8 Char"/>
    <w:basedOn w:val="34"/>
    <w:link w:val="9"/>
    <w:qFormat/>
    <w:uiPriority w:val="9"/>
    <w:rPr>
      <w:rFonts w:eastAsia="宋体" w:asciiTheme="majorEastAsia" w:hAnsiTheme="majorEastAsia" w:cstheme="majorBidi"/>
      <w:b/>
      <w:szCs w:val="24"/>
    </w:rPr>
  </w:style>
  <w:style w:type="character" w:customStyle="1" w:styleId="50">
    <w:name w:val="文档结构图 Char"/>
    <w:basedOn w:val="34"/>
    <w:link w:val="12"/>
    <w:qFormat/>
    <w:uiPriority w:val="99"/>
    <w:rPr>
      <w:rFonts w:ascii="宋体" w:hAnsi="Calibri" w:eastAsia="宋体" w:cs="黑体"/>
      <w:sz w:val="18"/>
      <w:szCs w:val="18"/>
    </w:rPr>
  </w:style>
  <w:style w:type="character" w:customStyle="1" w:styleId="51">
    <w:name w:val="批注文字 Char"/>
    <w:basedOn w:val="34"/>
    <w:link w:val="13"/>
    <w:qFormat/>
    <w:uiPriority w:val="0"/>
    <w:rPr>
      <w:rFonts w:ascii="Times New Roman" w:hAnsi="Times New Roman" w:eastAsia="宋体" w:cs="Times New Roman"/>
      <w:b/>
      <w:color w:val="000000" w:themeColor="text1"/>
      <w:szCs w:val="21"/>
      <w14:textFill>
        <w14:solidFill>
          <w14:schemeClr w14:val="tx1"/>
        </w14:solidFill>
      </w14:textFill>
    </w:rPr>
  </w:style>
  <w:style w:type="character" w:customStyle="1" w:styleId="52">
    <w:name w:val="正文文本 3 Char"/>
    <w:basedOn w:val="34"/>
    <w:link w:val="14"/>
    <w:qFormat/>
    <w:uiPriority w:val="0"/>
    <w:rPr>
      <w:b/>
      <w:spacing w:val="-8"/>
      <w:kern w:val="2"/>
      <w:sz w:val="46"/>
      <w:szCs w:val="54"/>
    </w:rPr>
  </w:style>
  <w:style w:type="character" w:customStyle="1" w:styleId="53">
    <w:name w:val="正文文本 Char"/>
    <w:basedOn w:val="34"/>
    <w:link w:val="15"/>
    <w:qFormat/>
    <w:uiPriority w:val="0"/>
    <w:rPr>
      <w:rFonts w:ascii="宋体" w:hAnsi="宋体" w:eastAsia="宋体" w:cs="宋体"/>
      <w:b/>
      <w:kern w:val="2"/>
      <w:sz w:val="21"/>
      <w:szCs w:val="21"/>
    </w:rPr>
  </w:style>
  <w:style w:type="character" w:customStyle="1" w:styleId="54">
    <w:name w:val="正文文本缩进 Char"/>
    <w:basedOn w:val="34"/>
    <w:link w:val="17"/>
    <w:qFormat/>
    <w:uiPriority w:val="99"/>
    <w:rPr>
      <w:rFonts w:ascii="Times New Roman" w:hAnsi="宋体" w:eastAsia="宋体" w:cs="宋体"/>
      <w:spacing w:val="10"/>
      <w:sz w:val="24"/>
      <w:szCs w:val="24"/>
    </w:rPr>
  </w:style>
  <w:style w:type="character" w:customStyle="1" w:styleId="55">
    <w:name w:val="批注主题 Char"/>
    <w:basedOn w:val="51"/>
    <w:link w:val="18"/>
    <w:semiHidden/>
    <w:qFormat/>
    <w:uiPriority w:val="0"/>
    <w:rPr>
      <w:rFonts w:ascii="Times New Roman" w:hAnsi="Times New Roman" w:eastAsia="宋体" w:cs="Times New Roman"/>
      <w:b w:val="0"/>
      <w:bCs/>
      <w:color w:val="000000" w:themeColor="text1"/>
      <w:szCs w:val="21"/>
      <w14:textFill>
        <w14:solidFill>
          <w14:schemeClr w14:val="tx1"/>
        </w14:solidFill>
      </w14:textFill>
    </w:rPr>
  </w:style>
  <w:style w:type="character" w:customStyle="1" w:styleId="56">
    <w:name w:val="纯文本 Char"/>
    <w:basedOn w:val="34"/>
    <w:link w:val="21"/>
    <w:qFormat/>
    <w:uiPriority w:val="0"/>
    <w:rPr>
      <w:rFonts w:ascii="宋体" w:hAnsi="Times New Roman" w:eastAsia="宋体" w:cs="Times New Roman"/>
      <w:szCs w:val="20"/>
    </w:rPr>
  </w:style>
  <w:style w:type="character" w:customStyle="1" w:styleId="57">
    <w:name w:val="正文文本缩进 2 Char"/>
    <w:basedOn w:val="34"/>
    <w:link w:val="22"/>
    <w:qFormat/>
    <w:uiPriority w:val="0"/>
    <w:rPr>
      <w:rFonts w:ascii="Times New Roman" w:hAnsi="Times New Roman" w:eastAsia="宋体" w:cs="Times New Roman"/>
      <w:szCs w:val="24"/>
    </w:rPr>
  </w:style>
  <w:style w:type="character" w:customStyle="1" w:styleId="58">
    <w:name w:val="批注框文本 Char"/>
    <w:basedOn w:val="34"/>
    <w:link w:val="23"/>
    <w:qFormat/>
    <w:uiPriority w:val="0"/>
    <w:rPr>
      <w:rFonts w:ascii="Times New Roman" w:hAnsi="Times New Roman" w:eastAsia="宋体" w:cs="Times New Roman"/>
      <w:sz w:val="18"/>
      <w:szCs w:val="18"/>
    </w:rPr>
  </w:style>
  <w:style w:type="character" w:customStyle="1" w:styleId="59">
    <w:name w:val="HTML 预设格式 Char"/>
    <w:basedOn w:val="34"/>
    <w:link w:val="28"/>
    <w:qFormat/>
    <w:uiPriority w:val="0"/>
    <w:rPr>
      <w:rFonts w:ascii="宋体" w:hAnsi="宋体" w:eastAsia="宋体" w:cs="Times New Roman"/>
      <w:kern w:val="0"/>
      <w:sz w:val="24"/>
      <w:szCs w:val="24"/>
    </w:rPr>
  </w:style>
  <w:style w:type="character" w:customStyle="1" w:styleId="60">
    <w:name w:val="正文首行缩进 Char"/>
    <w:basedOn w:val="53"/>
    <w:link w:val="30"/>
    <w:qFormat/>
    <w:uiPriority w:val="0"/>
    <w:rPr>
      <w:rFonts w:ascii="Calibri" w:hAnsi="仿宋_GB2312" w:eastAsia="宋体" w:cs="仿宋_GB2312"/>
      <w:bCs/>
      <w:color w:val="000000"/>
      <w:kern w:val="0"/>
      <w:sz w:val="24"/>
      <w:szCs w:val="32"/>
      <w:lang w:val="zh-CN"/>
    </w:rPr>
  </w:style>
  <w:style w:type="character" w:customStyle="1" w:styleId="61">
    <w:name w:val="正文首行缩进 2 Char"/>
    <w:basedOn w:val="54"/>
    <w:link w:val="31"/>
    <w:qFormat/>
    <w:uiPriority w:val="0"/>
    <w:rPr>
      <w:rFonts w:ascii="Times New Roman" w:hAnsi="宋体" w:eastAsia="宋体" w:cs="宋体"/>
      <w:spacing w:val="10"/>
      <w:sz w:val="24"/>
      <w:szCs w:val="24"/>
    </w:rPr>
  </w:style>
  <w:style w:type="paragraph" w:customStyle="1" w:styleId="62">
    <w:name w:val="_正文"/>
    <w:basedOn w:val="1"/>
    <w:link w:val="78"/>
    <w:autoRedefine/>
    <w:qFormat/>
    <w:uiPriority w:val="0"/>
    <w:pPr>
      <w:spacing w:line="360" w:lineRule="auto"/>
      <w:ind w:firstLine="560"/>
    </w:pPr>
    <w:rPr>
      <w:rFonts w:asciiTheme="minorEastAsia" w:hAnsiTheme="minorEastAsia"/>
      <w:color w:val="000000"/>
      <w:szCs w:val="28"/>
      <w:lang w:val="zh-CN"/>
    </w:rPr>
  </w:style>
  <w:style w:type="paragraph" w:customStyle="1" w:styleId="63">
    <w:name w:val="Default"/>
    <w:autoRedefine/>
    <w:qFormat/>
    <w:uiPriority w:val="0"/>
    <w:pPr>
      <w:widowControl w:val="0"/>
      <w:autoSpaceDE w:val="0"/>
      <w:autoSpaceDN w:val="0"/>
      <w:adjustRightInd w:val="0"/>
      <w:jc w:val="center"/>
    </w:pPr>
    <w:rPr>
      <w:rFonts w:ascii="仿宋" w:eastAsia="仿宋" w:cs="仿宋" w:hAnsiTheme="minorHAnsi"/>
      <w:color w:val="000000"/>
      <w:sz w:val="24"/>
      <w:szCs w:val="24"/>
      <w:lang w:val="en-US" w:eastAsia="zh-CN" w:bidi="ar-SA"/>
    </w:rPr>
  </w:style>
  <w:style w:type="character" w:customStyle="1" w:styleId="64">
    <w:name w:val="apple-style-span"/>
    <w:autoRedefine/>
    <w:qFormat/>
    <w:uiPriority w:val="0"/>
  </w:style>
  <w:style w:type="character" w:customStyle="1" w:styleId="65">
    <w:name w:val="font51"/>
    <w:basedOn w:val="34"/>
    <w:autoRedefine/>
    <w:qFormat/>
    <w:uiPriority w:val="0"/>
    <w:rPr>
      <w:rFonts w:hint="eastAsia" w:ascii="仿宋" w:hAnsi="仿宋" w:eastAsia="仿宋" w:cs="仿宋"/>
      <w:color w:val="000000"/>
      <w:sz w:val="20"/>
      <w:szCs w:val="20"/>
      <w:u w:val="none"/>
    </w:rPr>
  </w:style>
  <w:style w:type="character" w:customStyle="1" w:styleId="66">
    <w:name w:val="font61"/>
    <w:basedOn w:val="34"/>
    <w:autoRedefine/>
    <w:qFormat/>
    <w:uiPriority w:val="0"/>
    <w:rPr>
      <w:rFonts w:hint="eastAsia" w:ascii="宋体" w:hAnsi="宋体" w:eastAsia="宋体" w:cs="宋体"/>
      <w:color w:val="000000"/>
      <w:sz w:val="20"/>
      <w:szCs w:val="20"/>
      <w:u w:val="none"/>
    </w:rPr>
  </w:style>
  <w:style w:type="character" w:customStyle="1" w:styleId="67">
    <w:name w:val="font71"/>
    <w:basedOn w:val="34"/>
    <w:autoRedefine/>
    <w:qFormat/>
    <w:uiPriority w:val="0"/>
    <w:rPr>
      <w:rFonts w:hint="eastAsia" w:ascii="仿宋" w:hAnsi="仿宋" w:eastAsia="仿宋" w:cs="仿宋"/>
      <w:b/>
      <w:color w:val="000000"/>
      <w:sz w:val="20"/>
      <w:szCs w:val="20"/>
      <w:u w:val="none"/>
    </w:rPr>
  </w:style>
  <w:style w:type="paragraph" w:customStyle="1" w:styleId="68">
    <w:name w:val="列出段落1"/>
    <w:basedOn w:val="1"/>
    <w:autoRedefine/>
    <w:qFormat/>
    <w:uiPriority w:val="34"/>
    <w:pPr>
      <w:ind w:left="720"/>
      <w:contextualSpacing/>
    </w:pPr>
  </w:style>
  <w:style w:type="paragraph" w:customStyle="1" w:styleId="69">
    <w:name w:val="List Paragraph1"/>
    <w:basedOn w:val="1"/>
    <w:autoRedefine/>
    <w:qFormat/>
    <w:uiPriority w:val="0"/>
    <w:pPr>
      <w:spacing w:line="360" w:lineRule="auto"/>
      <w:ind w:firstLine="420" w:firstLineChars="200"/>
    </w:pPr>
    <w:rPr>
      <w:sz w:val="24"/>
    </w:rPr>
  </w:style>
  <w:style w:type="paragraph" w:customStyle="1" w:styleId="70">
    <w:name w:val="图"/>
    <w:basedOn w:val="1"/>
    <w:autoRedefine/>
    <w:qFormat/>
    <w:uiPriority w:val="0"/>
    <w:pPr>
      <w:spacing w:line="360" w:lineRule="auto"/>
      <w:jc w:val="center"/>
    </w:pPr>
    <w:rPr>
      <w:sz w:val="24"/>
    </w:rPr>
  </w:style>
  <w:style w:type="table" w:customStyle="1" w:styleId="71">
    <w:name w:val="Table Normal_0"/>
    <w:autoRedefine/>
    <w:qFormat/>
    <w:uiPriority w:val="0"/>
    <w:tblPr>
      <w:tblCellMar>
        <w:top w:w="0" w:type="dxa"/>
        <w:left w:w="0" w:type="dxa"/>
        <w:bottom w:w="0" w:type="dxa"/>
        <w:right w:w="0" w:type="dxa"/>
      </w:tblCellMar>
    </w:tblPr>
  </w:style>
  <w:style w:type="paragraph" w:customStyle="1" w:styleId="72">
    <w:name w:val="列出段落11"/>
    <w:basedOn w:val="1"/>
    <w:autoRedefine/>
    <w:qFormat/>
    <w:uiPriority w:val="0"/>
    <w:rPr>
      <w:sz w:val="24"/>
    </w:rPr>
  </w:style>
  <w:style w:type="paragraph" w:customStyle="1" w:styleId="73">
    <w:name w:val="正文 New New New New"/>
    <w:autoRedefine/>
    <w:qFormat/>
    <w:uiPriority w:val="0"/>
    <w:pPr>
      <w:widowControl w:val="0"/>
      <w:jc w:val="both"/>
    </w:pPr>
    <w:rPr>
      <w:rFonts w:ascii="Times New Roman" w:hAnsi="Times New Roman" w:eastAsia="Arial Unicode MS" w:cs="Arial Unicode MS"/>
      <w:color w:val="000000"/>
      <w:u w:color="000000"/>
      <w:lang w:val="en-US" w:eastAsia="zh-CN" w:bidi="ar-SA"/>
    </w:rPr>
  </w:style>
  <w:style w:type="paragraph" w:customStyle="1" w:styleId="74">
    <w:name w:val="列出段落2"/>
    <w:autoRedefine/>
    <w:qFormat/>
    <w:uiPriority w:val="0"/>
    <w:pPr>
      <w:widowControl w:val="0"/>
      <w:ind w:firstLine="420"/>
      <w:jc w:val="both"/>
    </w:pPr>
    <w:rPr>
      <w:rFonts w:ascii="Calibri" w:hAnsi="Calibri" w:eastAsia="Calibri" w:cs="Calibri"/>
      <w:color w:val="000000"/>
      <w:kern w:val="2"/>
      <w:sz w:val="24"/>
      <w:szCs w:val="24"/>
      <w:u w:color="000000"/>
      <w:lang w:val="en-US" w:eastAsia="zh-CN" w:bidi="ar-SA"/>
    </w:rPr>
  </w:style>
  <w:style w:type="paragraph" w:customStyle="1" w:styleId="75">
    <w:name w:val="列出段落3"/>
    <w:basedOn w:val="1"/>
    <w:autoRedefine/>
    <w:qFormat/>
    <w:uiPriority w:val="34"/>
    <w:pPr>
      <w:ind w:left="720"/>
      <w:contextualSpacing/>
    </w:pPr>
  </w:style>
  <w:style w:type="paragraph" w:customStyle="1" w:styleId="76">
    <w:name w:val="Header or footer|2"/>
    <w:basedOn w:val="1"/>
    <w:autoRedefine/>
    <w:qFormat/>
    <w:uiPriority w:val="0"/>
    <w:rPr>
      <w:sz w:val="20"/>
      <w:szCs w:val="20"/>
    </w:rPr>
  </w:style>
  <w:style w:type="paragraph" w:customStyle="1" w:styleId="77">
    <w:name w:val="Header or footer|1"/>
    <w:basedOn w:val="1"/>
    <w:autoRedefine/>
    <w:qFormat/>
    <w:uiPriority w:val="0"/>
    <w:rPr>
      <w:lang w:val="zh-TW" w:eastAsia="zh-TW" w:bidi="zh-TW"/>
    </w:rPr>
  </w:style>
  <w:style w:type="character" w:customStyle="1" w:styleId="78">
    <w:name w:val="_正文 Char"/>
    <w:link w:val="62"/>
    <w:autoRedefine/>
    <w:qFormat/>
    <w:uiPriority w:val="0"/>
    <w:rPr>
      <w:rFonts w:eastAsia="宋体" w:cs="Times New Roman" w:asciiTheme="minorEastAsia" w:hAnsiTheme="minorEastAsia"/>
      <w:color w:val="000000"/>
      <w:szCs w:val="28"/>
      <w:lang w:val="zh-CN"/>
    </w:rPr>
  </w:style>
  <w:style w:type="paragraph" w:customStyle="1" w:styleId="79">
    <w:name w:val="_Style 10"/>
    <w:basedOn w:val="1"/>
    <w:next w:val="75"/>
    <w:autoRedefine/>
    <w:qFormat/>
    <w:uiPriority w:val="34"/>
    <w:pPr>
      <w:spacing w:before="50" w:beforeLines="50" w:line="360" w:lineRule="auto"/>
      <w:ind w:firstLine="420" w:firstLineChars="200"/>
    </w:pPr>
    <w:rPr>
      <w:sz w:val="24"/>
    </w:rPr>
  </w:style>
  <w:style w:type="paragraph" w:customStyle="1" w:styleId="80">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81">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82">
    <w:name w:val="font01"/>
    <w:basedOn w:val="34"/>
    <w:autoRedefine/>
    <w:qFormat/>
    <w:uiPriority w:val="0"/>
    <w:rPr>
      <w:rFonts w:hint="default" w:ascii="Times New Roman" w:hAnsi="Times New Roman" w:cs="Times New Roman"/>
      <w:color w:val="000000"/>
      <w:sz w:val="20"/>
      <w:szCs w:val="20"/>
      <w:u w:val="none"/>
    </w:rPr>
  </w:style>
  <w:style w:type="character" w:customStyle="1" w:styleId="83">
    <w:name w:val="font31"/>
    <w:basedOn w:val="34"/>
    <w:autoRedefine/>
    <w:qFormat/>
    <w:uiPriority w:val="0"/>
    <w:rPr>
      <w:rFonts w:hint="eastAsia" w:ascii="宋体" w:hAnsi="宋体" w:eastAsia="宋体" w:cs="宋体"/>
      <w:color w:val="000000"/>
      <w:sz w:val="20"/>
      <w:szCs w:val="20"/>
      <w:u w:val="none"/>
    </w:rPr>
  </w:style>
  <w:style w:type="paragraph" w:customStyle="1" w:styleId="84">
    <w:name w:val="表格"/>
    <w:basedOn w:val="68"/>
    <w:autoRedefine/>
    <w:qFormat/>
    <w:uiPriority w:val="0"/>
    <w:pPr>
      <w:jc w:val="center"/>
    </w:pPr>
    <w:rPr>
      <w:rFonts w:ascii="Calibri" w:hAnsi="Calibri"/>
      <w:kern w:val="0"/>
      <w:sz w:val="18"/>
      <w:szCs w:val="20"/>
    </w:rPr>
  </w:style>
  <w:style w:type="paragraph" w:customStyle="1" w:styleId="85">
    <w:name w:val="正文格式"/>
    <w:basedOn w:val="1"/>
    <w:autoRedefine/>
    <w:qFormat/>
    <w:uiPriority w:val="0"/>
    <w:pPr>
      <w:spacing w:beforeLines="50" w:afterLines="50"/>
      <w:ind w:firstLine="480" w:firstLineChars="200"/>
    </w:pPr>
    <w:rPr>
      <w:rFonts w:ascii="宋体" w:hAnsi="宋体"/>
      <w:kern w:val="0"/>
      <w:sz w:val="24"/>
      <w:lang w:val="en-GB"/>
    </w:rPr>
  </w:style>
  <w:style w:type="paragraph" w:customStyle="1" w:styleId="86">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8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8">
    <w:name w:val="正文3"/>
    <w:autoRedefine/>
    <w:qFormat/>
    <w:uiPriority w:val="0"/>
    <w:pPr>
      <w:widowControl w:val="0"/>
      <w:adjustRightInd w:val="0"/>
      <w:spacing w:line="312" w:lineRule="atLeast"/>
      <w:jc w:val="both"/>
      <w:textAlignment w:val="baseline"/>
    </w:pPr>
    <w:rPr>
      <w:rFonts w:ascii="宋体" w:hAnsi="Calibri" w:eastAsia="宋体" w:cs="宋体"/>
      <w:sz w:val="34"/>
      <w:szCs w:val="34"/>
      <w:lang w:val="en-US" w:eastAsia="zh-CN" w:bidi="ar-SA"/>
    </w:rPr>
  </w:style>
  <w:style w:type="paragraph" w:styleId="89">
    <w:name w:val="List Paragraph"/>
    <w:basedOn w:val="1"/>
    <w:autoRedefine/>
    <w:unhideWhenUsed/>
    <w:qFormat/>
    <w:uiPriority w:val="99"/>
    <w:pPr>
      <w:shd w:val="clear" w:color="auto" w:fill="FFFFFF"/>
      <w:snapToGrid w:val="0"/>
      <w:spacing w:before="31" w:beforeLines="10" w:line="400" w:lineRule="exact"/>
      <w:ind w:firstLine="420"/>
    </w:pPr>
    <w:rPr>
      <w:rFonts w:ascii="宋体" w:hAnsi="宋体" w:cs="宋体"/>
      <w:b/>
      <w:sz w:val="24"/>
      <w:szCs w:val="22"/>
    </w:rPr>
  </w:style>
  <w:style w:type="character" w:customStyle="1" w:styleId="90">
    <w:name w:val="font101"/>
    <w:basedOn w:val="34"/>
    <w:autoRedefine/>
    <w:qFormat/>
    <w:uiPriority w:val="0"/>
    <w:rPr>
      <w:rFonts w:hint="default" w:ascii="Times New Roman" w:hAnsi="Times New Roman" w:cs="Times New Roman"/>
      <w:color w:val="000000"/>
      <w:sz w:val="16"/>
      <w:szCs w:val="16"/>
      <w:u w:val="none"/>
    </w:rPr>
  </w:style>
  <w:style w:type="paragraph" w:customStyle="1" w:styleId="91">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92">
    <w:name w:val="font11"/>
    <w:basedOn w:val="34"/>
    <w:autoRedefine/>
    <w:qFormat/>
    <w:uiPriority w:val="0"/>
    <w:rPr>
      <w:rFonts w:ascii="方正仿宋_GBK" w:hAnsi="方正仿宋_GBK" w:eastAsia="方正仿宋_GBK" w:cs="方正仿宋_GBK"/>
      <w:b/>
      <w:color w:val="000000"/>
      <w:sz w:val="20"/>
      <w:szCs w:val="20"/>
      <w:u w:val="none"/>
    </w:rPr>
  </w:style>
  <w:style w:type="character" w:customStyle="1" w:styleId="93">
    <w:name w:val="font21"/>
    <w:basedOn w:val="34"/>
    <w:autoRedefine/>
    <w:qFormat/>
    <w:uiPriority w:val="0"/>
    <w:rPr>
      <w:rFonts w:hint="eastAsia" w:ascii="仿宋" w:hAnsi="仿宋" w:eastAsia="仿宋" w:cs="仿宋"/>
      <w:color w:val="000000"/>
      <w:sz w:val="24"/>
      <w:szCs w:val="24"/>
      <w:u w:val="none"/>
    </w:rPr>
  </w:style>
  <w:style w:type="character" w:customStyle="1" w:styleId="94">
    <w:name w:val="font41"/>
    <w:basedOn w:val="34"/>
    <w:autoRedefine/>
    <w:qFormat/>
    <w:uiPriority w:val="0"/>
    <w:rPr>
      <w:rFonts w:hint="default" w:ascii="Arial" w:hAnsi="Arial" w:cs="Arial"/>
      <w:b/>
      <w:color w:val="000000"/>
      <w:sz w:val="16"/>
      <w:szCs w:val="16"/>
      <w:u w:val="none"/>
    </w:rPr>
  </w:style>
  <w:style w:type="character" w:customStyle="1" w:styleId="95">
    <w:name w:val="NormalCharacter"/>
    <w:autoRedefine/>
    <w:semiHidden/>
    <w:qFormat/>
    <w:uiPriority w:val="0"/>
    <w:rPr>
      <w:rFonts w:ascii="Calibri" w:hAnsi="Calibri" w:eastAsia="宋体" w:cs="黑体"/>
      <w:kern w:val="2"/>
      <w:sz w:val="21"/>
      <w:szCs w:val="24"/>
      <w:lang w:val="en-US" w:eastAsia="zh-CN" w:bidi="ar-SA"/>
    </w:rPr>
  </w:style>
  <w:style w:type="paragraph" w:customStyle="1" w:styleId="96">
    <w:name w:val="无间隔1"/>
    <w:basedOn w:val="30"/>
    <w:next w:val="1"/>
    <w:autoRedefine/>
    <w:qFormat/>
    <w:uiPriority w:val="0"/>
    <w:rPr>
      <w:rFonts w:hAnsi="Calibri" w:cs="Times New Roman"/>
      <w:szCs w:val="24"/>
    </w:rPr>
  </w:style>
  <w:style w:type="paragraph" w:customStyle="1" w:styleId="97">
    <w:name w:val="正文 New New New New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98">
    <w:name w:val="正文 New New New New New New New New New New New New New New New New New New New New New New New New New New New New New New New New New New New New New New New New New New New New New New"/>
    <w:next w:val="99"/>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99">
    <w:name w:val="标题 2 New New New New"/>
    <w:basedOn w:val="98"/>
    <w:next w:val="98"/>
    <w:autoRedefine/>
    <w:qFormat/>
    <w:uiPriority w:val="0"/>
    <w:pPr>
      <w:keepNext/>
      <w:keepLines/>
      <w:spacing w:line="412" w:lineRule="auto"/>
      <w:outlineLvl w:val="1"/>
    </w:pPr>
    <w:rPr>
      <w:rFonts w:ascii="Arial" w:hAnsi="Arial" w:eastAsia="方正黑体_GBK" w:cs="Arial"/>
      <w:bCs/>
    </w:rPr>
  </w:style>
  <w:style w:type="paragraph" w:customStyle="1" w:styleId="100">
    <w:name w:val="正文 New New New New New New New New New New New New New New New New New New New New New New New New New New New New New New New New New New New New New New New New New New New New New New New New New New New New New New New New New"/>
    <w:next w:val="99"/>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01">
    <w:name w:val="p0"/>
    <w:basedOn w:val="102"/>
    <w:autoRedefine/>
    <w:qFormat/>
    <w:uiPriority w:val="0"/>
    <w:pPr>
      <w:widowControl/>
    </w:pPr>
    <w:rPr>
      <w:rFonts w:hint="eastAsia"/>
      <w:szCs w:val="20"/>
    </w:rPr>
  </w:style>
  <w:style w:type="paragraph" w:customStyle="1" w:styleId="102">
    <w:name w:val="正文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3">
    <w:name w:val="正文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04">
    <w:name w:val="无间隔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06"/>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06">
    <w:name w:val="标题 2 New"/>
    <w:basedOn w:val="107"/>
    <w:next w:val="107"/>
    <w:autoRedefine/>
    <w:qFormat/>
    <w:uiPriority w:val="0"/>
    <w:pPr>
      <w:keepNext/>
      <w:keepLines/>
      <w:spacing w:line="412" w:lineRule="auto"/>
      <w:outlineLvl w:val="1"/>
    </w:pPr>
    <w:rPr>
      <w:rFonts w:ascii="Arial" w:hAnsi="Arial" w:eastAsia="方正黑体_GBK" w:cs="Arial"/>
      <w:bCs/>
    </w:rPr>
  </w:style>
  <w:style w:type="paragraph" w:customStyle="1" w:styleId="107">
    <w:name w:val="正文 New New New New New New New New New New New New New New New New New"/>
    <w:next w:val="106"/>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08">
    <w:name w:val="正文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09">
    <w:name w:val="Body text|1"/>
    <w:basedOn w:val="1"/>
    <w:autoRedefine/>
    <w:qFormat/>
    <w:uiPriority w:val="0"/>
    <w:pPr>
      <w:spacing w:line="425" w:lineRule="auto"/>
      <w:ind w:firstLine="400"/>
    </w:pPr>
    <w:rPr>
      <w:rFonts w:ascii="宋体" w:hAnsi="宋体" w:cs="宋体"/>
      <w:sz w:val="30"/>
      <w:szCs w:val="30"/>
      <w:lang w:val="zh-TW" w:eastAsia="zh-TW" w:bidi="zh-TW"/>
    </w:rPr>
  </w:style>
  <w:style w:type="paragraph" w:customStyle="1" w:styleId="110">
    <w:name w:val="正文 New New New New New New New New New New New New New New New New New New New New New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111">
    <w:name w:val="正文 New New New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12">
    <w:name w:val="正文 New New New New New New"/>
    <w:next w:val="113"/>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13">
    <w:name w:val="标题 2 New New New"/>
    <w:basedOn w:val="114"/>
    <w:next w:val="112"/>
    <w:autoRedefine/>
    <w:qFormat/>
    <w:uiPriority w:val="0"/>
    <w:pPr>
      <w:keepNext/>
      <w:keepLines/>
      <w:spacing w:line="412" w:lineRule="auto"/>
      <w:outlineLvl w:val="1"/>
    </w:pPr>
    <w:rPr>
      <w:rFonts w:ascii="Arial" w:hAnsi="Arial" w:eastAsia="方正黑体_GBK" w:cs="Arial"/>
      <w:bCs/>
    </w:rPr>
  </w:style>
  <w:style w:type="paragraph" w:customStyle="1" w:styleId="114">
    <w:name w:val="正文 New New New New New New New New New New New New New New New New New New New New New New New New New New New New New New New New New New New New New New New New New New New New"/>
    <w:next w:val="113"/>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15">
    <w:name w:val="正文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6">
    <w:name w:val="正文 New New New New New New New New New New New New New New New New New New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117">
    <w:name w:val="正文 New New New New New New New New New New New New New New New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18">
    <w:name w:val="UserStyle_17"/>
    <w:autoRedefine/>
    <w:qFormat/>
    <w:uiPriority w:val="0"/>
    <w:pPr>
      <w:jc w:val="both"/>
      <w:textAlignment w:val="baseline"/>
    </w:pPr>
    <w:rPr>
      <w:rFonts w:ascii="方正小标宋简体" w:hAnsi="Calibri" w:eastAsia="方正小标宋简体" w:cs="Times New Roman"/>
      <w:kern w:val="2"/>
      <w:sz w:val="30"/>
      <w:szCs w:val="21"/>
      <w:lang w:val="en-US" w:eastAsia="zh-CN" w:bidi="ar-SA"/>
    </w:rPr>
  </w:style>
  <w:style w:type="paragraph" w:customStyle="1" w:styleId="119">
    <w:name w:val="p20"/>
    <w:basedOn w:val="1"/>
    <w:autoRedefine/>
    <w:qFormat/>
    <w:uiPriority w:val="0"/>
    <w:pPr>
      <w:widowControl/>
      <w:ind w:firstLine="412"/>
    </w:pPr>
    <w:rPr>
      <w:rFonts w:ascii="仿宋_GB2312" w:hAnsi="宋体" w:eastAsia="仿宋_GB2312" w:cs="宋体"/>
      <w:kern w:val="0"/>
      <w:sz w:val="32"/>
      <w:szCs w:val="32"/>
    </w:rPr>
  </w:style>
  <w:style w:type="paragraph" w:customStyle="1" w:styleId="120">
    <w:name w:val="Normal Indent1"/>
    <w:basedOn w:val="1"/>
    <w:autoRedefine/>
    <w:qFormat/>
    <w:uiPriority w:val="99"/>
    <w:pPr>
      <w:ind w:firstLine="420" w:firstLineChars="200"/>
    </w:pPr>
    <w:rPr>
      <w:rFonts w:ascii="Calibri" w:hAnsi="Calibri" w:cs="黑体"/>
    </w:rPr>
  </w:style>
  <w:style w:type="paragraph" w:customStyle="1" w:styleId="121">
    <w:name w:val="正文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22">
    <w:name w:val="UserStyle_14"/>
    <w:autoRedefine/>
    <w:qFormat/>
    <w:uiPriority w:val="0"/>
    <w:pPr>
      <w:jc w:val="both"/>
      <w:textAlignment w:val="baseline"/>
    </w:pPr>
    <w:rPr>
      <w:rFonts w:ascii="方正小标宋简体" w:hAnsi="Calibri" w:eastAsia="方正小标宋简体" w:cs="Times New Roman"/>
      <w:kern w:val="2"/>
      <w:sz w:val="30"/>
      <w:szCs w:val="21"/>
      <w:lang w:val="en-US" w:eastAsia="zh-CN" w:bidi="ar-SA"/>
    </w:rPr>
  </w:style>
  <w:style w:type="character" w:customStyle="1" w:styleId="123">
    <w:name w:val="文档结构图 Char1"/>
    <w:autoRedefine/>
    <w:semiHidden/>
    <w:qFormat/>
    <w:uiPriority w:val="99"/>
    <w:rPr>
      <w:rFonts w:ascii="宋体"/>
      <w:sz w:val="18"/>
      <w:szCs w:val="18"/>
    </w:rPr>
  </w:style>
  <w:style w:type="paragraph" w:customStyle="1" w:styleId="124">
    <w:name w:val="无间隔3"/>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25">
    <w:name w:val="x_pt3"/>
    <w:basedOn w:val="34"/>
    <w:autoRedefine/>
    <w:qFormat/>
    <w:uiPriority w:val="0"/>
    <w:rPr>
      <w:rFonts w:ascii="微软雅黑" w:hAnsi="微软雅黑" w:eastAsia="微软雅黑" w:cs="微软雅黑"/>
      <w:color w:val="333333"/>
      <w:sz w:val="21"/>
      <w:szCs w:val="21"/>
    </w:rPr>
  </w:style>
  <w:style w:type="paragraph" w:customStyle="1" w:styleId="126">
    <w:name w:val="BodyText"/>
    <w:basedOn w:val="1"/>
    <w:autoRedefine/>
    <w:qFormat/>
    <w:uiPriority w:val="0"/>
    <w:pPr>
      <w:jc w:val="center"/>
    </w:pPr>
    <w:rPr>
      <w:rFonts w:ascii="Calibri" w:hAnsi="Calibri" w:cs="黑体"/>
      <w:sz w:val="48"/>
    </w:rPr>
  </w:style>
  <w:style w:type="paragraph" w:customStyle="1" w:styleId="127">
    <w:name w:val="无间隔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28">
    <w:name w:val="font81"/>
    <w:autoRedefine/>
    <w:qFormat/>
    <w:uiPriority w:val="0"/>
    <w:rPr>
      <w:rFonts w:ascii="Arial" w:hAnsi="Arial" w:cs="Arial"/>
      <w:color w:val="333333"/>
      <w:sz w:val="20"/>
      <w:szCs w:val="20"/>
      <w:u w:val="none"/>
    </w:rPr>
  </w:style>
  <w:style w:type="paragraph" w:customStyle="1" w:styleId="129">
    <w:name w:val="Style1"/>
    <w:basedOn w:val="1"/>
    <w:autoRedefine/>
    <w:qFormat/>
    <w:uiPriority w:val="0"/>
    <w:pPr>
      <w:tabs>
        <w:tab w:val="left" w:pos="-720"/>
      </w:tabs>
      <w:spacing w:after="120"/>
    </w:pPr>
    <w:rPr>
      <w:spacing w:val="-3"/>
      <w:sz w:val="24"/>
      <w:szCs w:val="20"/>
      <w:lang w:val="en-AU" w:eastAsia="en-US"/>
    </w:rPr>
  </w:style>
  <w:style w:type="paragraph" w:customStyle="1" w:styleId="130">
    <w:name w:val="表格5"/>
    <w:basedOn w:val="1"/>
    <w:autoRedefine/>
    <w:qFormat/>
    <w:uiPriority w:val="0"/>
    <w:pPr>
      <w:adjustRightInd w:val="0"/>
      <w:snapToGrid w:val="0"/>
      <w:jc w:val="center"/>
    </w:pPr>
    <w:rPr>
      <w:rFonts w:hint="eastAsia"/>
    </w:rPr>
  </w:style>
  <w:style w:type="character" w:customStyle="1" w:styleId="131">
    <w:name w:val="正文缩进 Char"/>
    <w:link w:val="10"/>
    <w:autoRedefine/>
    <w:qFormat/>
    <w:uiPriority w:val="0"/>
    <w:rPr>
      <w:rFonts w:ascii="Times New Roman" w:hAnsi="Times New Roman" w:eastAsia="宋体" w:cs="Times New Roman"/>
      <w:szCs w:val="20"/>
    </w:rPr>
  </w:style>
  <w:style w:type="character" w:customStyle="1" w:styleId="132">
    <w:name w:val="正文缩进 Char1"/>
    <w:qFormat/>
    <w:uiPriority w:val="99"/>
    <w:rPr>
      <w:rFonts w:ascii="Times New Roman" w:hAnsi="Times New Roman" w:eastAsia="宋体" w:cs="Times New Roman"/>
      <w:kern w:val="2"/>
      <w:sz w:val="21"/>
    </w:rPr>
  </w:style>
  <w:style w:type="paragraph" w:customStyle="1" w:styleId="133">
    <w:name w:val="12、表格内左对齐正文"/>
    <w:basedOn w:val="1"/>
    <w:qFormat/>
    <w:uiPriority w:val="0"/>
    <w:pPr>
      <w:tabs>
        <w:tab w:val="left" w:pos="0"/>
      </w:tabs>
      <w:wordWrap w:val="0"/>
      <w:topLinePunct/>
      <w:spacing w:line="360" w:lineRule="exact"/>
      <w:ind w:left="48" w:leftChars="20" w:firstLine="0" w:firstLineChars="0"/>
    </w:pPr>
    <w:rPr>
      <w:rFonts w:ascii="宋体" w:hAnsi="宋体" w:eastAsia="宋体"/>
      <w:snapToGrid w:val="0"/>
      <w:sz w:val="21"/>
    </w:rPr>
  </w:style>
  <w:style w:type="paragraph" w:customStyle="1" w:styleId="134">
    <w:name w:val="Table Text"/>
    <w:basedOn w:val="1"/>
    <w:semiHidden/>
    <w:qFormat/>
    <w:uiPriority w:val="0"/>
    <w:rPr>
      <w:rFonts w:ascii="宋体" w:hAnsi="宋体" w:eastAsia="宋体" w:cs="宋体"/>
      <w:sz w:val="20"/>
      <w:szCs w:val="20"/>
      <w:lang w:val="en-US" w:eastAsia="en-US" w:bidi="ar-SA"/>
    </w:rPr>
  </w:style>
  <w:style w:type="table" w:customStyle="1" w:styleId="13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b8466c5c-2dc1-4738-9186-7a7c89cc6bbc</errorID>
      <errorWord>;</errorWord>
      <group>L1_Format</group>
      <groupName>格式问题</groupName>
      <ability>L2_HalfPunc</ability>
      <abilityName>全半角检查</abilityName>
      <candidateList>
        <item>；</item>
      </candidateList>
      <explain>文本全半角错误。</explain>
      <paraID>49B73543</paraID>
      <start>34</start>
      <end>35</end>
      <status>modified</status>
      <modifiedWord>；</modifiedWord>
      <trackRevisions>false</trackRevisions>
    </reviewItem>
    <reviewItem>
      <errorID>60f5d60c-4eb4-43e3-a33e-3a2d6d509651</errorID>
      <errorWord>,</errorWord>
      <group>L1_Format</group>
      <groupName>格式问题</groupName>
      <ability>L2_HalfPunc</ability>
      <abilityName>全半角检查</abilityName>
      <candidateList>
        <item>，</item>
      </candidateList>
      <explain>文本全半角错误。</explain>
      <paraID>49B73543</paraID>
      <start>54</start>
      <end>55</end>
      <status>modified</status>
      <modifiedWord>，</modifiedWord>
      <trackRevisions>false</trackRevisions>
    </reviewItem>
    <reviewItem>
      <errorID>f7852ae5-934b-4227-915f-cbc509c5eec8</errorID>
      <errorWord>(</errorWord>
      <group>L1_Format</group>
      <groupName>格式问题</groupName>
      <ability>L2_HalfPunc</ability>
      <abilityName>全半角检查</abilityName>
      <candidateList>
        <item>（</item>
      </candidateList>
      <explain>文本全半角错误。</explain>
      <paraID> 50F3270</paraID>
      <start>15</start>
      <end>16</end>
      <status>modified</status>
      <modifiedWord>（</modifiedWord>
      <trackRevisions>false</trackRevisions>
    </reviewItem>
    <reviewItem>
      <errorID>be32102f-39e1-424c-8860-cf94a98228bd</errorID>
      <errorWord>)</errorWord>
      <group>L1_Format</group>
      <groupName>格式问题</groupName>
      <ability>L2_HalfPunc</ability>
      <abilityName>全半角检查</abilityName>
      <candidateList>
        <item>）</item>
      </candidateList>
      <explain>文本全半角错误。</explain>
      <paraID> 50F3270</paraID>
      <start>26</start>
      <end>27</end>
      <status>modified</status>
      <modifiedWord>）</modifiedWord>
      <trackRevisions>false</trackRevisions>
    </reviewItem>
    <reviewItem>
      <errorID>d0d5a5aa-9a97-4e6e-9559-929eda566d86</errorID>
      <errorWord>结构</errorWord>
      <group>L1_Word</group>
      <groupName>字词问题</groupName>
      <ability>L2_Typo</ability>
      <abilityName>字词错误</abilityName>
      <candidateList>
        <item>构</item>
      </candidateList>
      <explain/>
      <paraID>62EA68E5</paraID>
      <start>3</start>
      <end>5</end>
      <status>ignored</status>
      <modifiedWord/>
      <trackRevisions>false</trackRevisions>
    </reviewItem>
    <reviewItem>
      <errorID>95682815-31cc-4f70-9ff1-a7aab8af8dc3</errorID>
      <errorWord>其它</errorWord>
      <group>L1_Word</group>
      <groupName>字词问题</groupName>
      <ability>L2_Alias</ability>
      <abilityName>也作/曾用词</abilityName>
      <candidateList>
        <item>其他</item>
      </candidateList>
      <explain>词汇[其它]为不规范表述或旧称，其规范书面表述为[其他]。</explain>
      <paraID> E3D2997</paraID>
      <start>41</start>
      <end>43</end>
      <status>modified</status>
      <modifiedWord>其他</modifiedWord>
      <trackRevisions>false</trackRevisions>
    </reviewItem>
    <reviewItem>
      <errorID>6756ffb7-0fb8-44ff-91c8-1dc33b6bda96</errorID>
      <errorWord>,</errorWord>
      <group>L1_Format</group>
      <groupName>格式问题</groupName>
      <ability>L2_HalfPunc</ability>
      <abilityName>全半角检查</abilityName>
      <candidateList>
        <item>，</item>
      </candidateList>
      <explain>文本全半角错误。</explain>
      <paraID>5F39073A</paraID>
      <start>28</start>
      <end>29</end>
      <status>modified</status>
      <modifiedWord>，</modifiedWord>
      <trackRevisions>false</trackRevisions>
    </reviewItem>
    <reviewItem>
      <errorID>5f1e991c-bae4-42b6-a09d-0c4c3c50b299</errorID>
      <errorWord>,</errorWord>
      <group>L1_Format</group>
      <groupName>格式问题</groupName>
      <ability>L2_HalfPunc</ability>
      <abilityName>全半角检查</abilityName>
      <candidateList>
        <item>，</item>
      </candidateList>
      <explain>文本全半角错误。</explain>
      <paraID>5F39073A</paraID>
      <start>45</start>
      <end>46</end>
      <status>modified</status>
      <modifiedWord>，</modifiedWord>
      <trackRevisions>false</trackRevisions>
    </reviewItem>
    <reviewItem>
      <errorID>0ec20af6-df43-48af-92b5-51a3a436dc3a</errorID>
      <errorWord>)</errorWord>
      <group>L1_Format</group>
      <groupName>格式问题</groupName>
      <ability>L2_HalfPunc</ability>
      <abilityName>全半角检查</abilityName>
      <candidateList>
        <item>）</item>
      </candidateList>
      <explain>文本全半角错误。</explain>
      <paraID>7133994A</paraID>
      <start>178</start>
      <end>179</end>
      <status>modified</status>
      <modifiedWord>）</modifiedWord>
      <trackRevisions>false</trackRevisions>
    </reviewItem>
    <reviewItem>
      <errorID>547b3e61-9911-4978-8679-014e1ac6013a</errorID>
      <errorWord>)</errorWord>
      <group>L1_Format</group>
      <groupName>格式问题</groupName>
      <ability>L2_HalfPunc</ability>
      <abilityName>全半角检查</abilityName>
      <candidateList>
        <item>）</item>
      </candidateList>
      <explain>文本全半角错误。</explain>
      <paraID>7133994A</paraID>
      <start>204</start>
      <end>205</end>
      <status>modified</status>
      <modifiedWord>）</modifiedWord>
      <trackRevisions>false</trackRevisions>
    </reviewItem>
    <reviewItem>
      <errorID>6ab7aa6f-3a7e-44ab-9f2d-7d738908f7c7</errorID>
      <errorWord>,</errorWord>
      <group>L1_Format</group>
      <groupName>格式问题</groupName>
      <ability>L2_HalfPunc</ability>
      <abilityName>全半角检查</abilityName>
      <candidateList>
        <item>，</item>
      </candidateList>
      <explain>文本全半角错误。</explain>
      <paraID>7133994A</paraID>
      <start>246</start>
      <end>247</end>
      <status>modified</status>
      <modifiedWord>，</modifiedWord>
      <trackRevisions>false</trackRevisions>
    </reviewItem>
    <reviewItem>
      <errorID>c8f05421-dd14-46ab-a918-3de9f80a7370</errorID>
      <errorWord>,</errorWord>
      <group>L1_Format</group>
      <groupName>格式问题</groupName>
      <ability>L2_HalfPunc</ability>
      <abilityName>全半角检查</abilityName>
      <candidateList>
        <item>，</item>
      </candidateList>
      <explain>文本全半角错误。</explain>
      <paraID>7133994A</paraID>
      <start>262</start>
      <end>263</end>
      <status>modified</status>
      <modifiedWord>，</modifiedWord>
      <trackRevisions>false</trackRevisions>
    </reviewItem>
    <reviewItem>
      <errorID>e584f4e9-b9c8-4bd1-be60-f7d55cc18ab6</errorID>
      <errorWord>)</errorWord>
      <group>L1_Format</group>
      <groupName>格式问题</groupName>
      <ability>L2_HalfPunc</ability>
      <abilityName>全半角检查</abilityName>
      <candidateList>
        <item>）</item>
      </candidateList>
      <explain>文本全半角错误。</explain>
      <paraID>7133994A</paraID>
      <start>282</start>
      <end>283</end>
      <status>modified</status>
      <modifiedWord>）</modifiedWord>
      <trackRevisions>false</trackRevisions>
    </reviewItem>
    <reviewItem>
      <errorID>6e514aa1-5bae-41b0-864d-c5e5db1ff244</errorID>
      <errorWord>,</errorWord>
      <group>L1_Format</group>
      <groupName>格式问题</groupName>
      <ability>L2_HalfPunc</ability>
      <abilityName>全半角检查</abilityName>
      <candidateList>
        <item>，</item>
      </candidateList>
      <explain>文本全半角错误。</explain>
      <paraID>7133994A</paraID>
      <start>305</start>
      <end>306</end>
      <status>modified</status>
      <modifiedWord>，</modifiedWord>
      <trackRevisions>false</trackRevisions>
    </reviewItem>
    <reviewItem>
      <errorID>0d0a4fbd-debc-4268-9863-02a205fe7b67</errorID>
      <errorWord>：</errorWord>
      <group>L1_Format</group>
      <groupName>格式问题</groupName>
      <ability>L2_HalfPunc</ability>
      <abilityName>全半角检查</abilityName>
      <candidateList>
        <item>:</item>
      </candidateList>
      <explain>文本全半角错误。</explain>
      <paraID> E36D260</paraID>
      <start>32</start>
      <end>33</end>
      <status>modified</status>
      <modifiedWord>:</modifiedWord>
      <trackRevisions>false</trackRevisions>
    </reviewItem>
    <reviewItem>
      <errorID>ee340659-c386-480c-b7c0-2b82675aaa5c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63CB7F5F</paraID>
      <start>25</start>
      <end>26</end>
      <status>modified</status>
      <modifiedWord>—</modifiedWord>
      <trackRevisions>false</trackRevisions>
    </reviewItem>
    <reviewItem>
      <errorID>d138c3be-61a0-4603-bf7e-902612358d41</errorID>
      <errorWord>"</errorWord>
      <group>L1_Format</group>
      <groupName>格式问题</groupName>
      <ability>L2_HalfPunc</ability>
      <abilityName>全半角检查</abilityName>
      <candidateList/>
      <explain>文本全半角错误。</explain>
      <paraID> 62610BD</paraID>
      <start>22</start>
      <end>23</end>
      <status>ignored</status>
      <modifiedWord/>
      <trackRevisions>false</trackRevisions>
    </reviewItem>
    <reviewItem>
      <errorID>40ce3796-2f60-4036-a4d5-20dadd34c0d4</errorID>
      <errorWord>,</errorWord>
      <group>L1_Format</group>
      <groupName>格式问题</groupName>
      <ability>L2_HalfPunc</ability>
      <abilityName>全半角检查</abilityName>
      <candidateList>
        <item>，</item>
      </candidateList>
      <explain>文本全半角错误。</explain>
      <paraID> C201088</paraID>
      <start>23</start>
      <end>24</end>
      <status>modified</status>
      <modifiedWord>，</modifiedWord>
      <trackRevisions>false</trackRevisions>
    </reviewItem>
    <reviewItem>
      <errorID>6d8b8083-07fc-418a-a34e-e9e11b4d2c77</errorID>
      <errorWord>有</errorWord>
      <group>L1_Word</group>
      <groupName>字词问题</groupName>
      <ability>L2_Typo</ability>
      <abilityName>字词错误</abilityName>
      <candidateList>
        <item>由</item>
      </candidateList>
      <explain>存在发音相同字词的误用。</explain>
      <paraID> E847A54</paraID>
      <start>5</start>
      <end>6</end>
      <status>ignored</status>
      <modifiedWord/>
      <trackRevisions>false</trackRevisions>
    </reviewItem>
    <reviewItem>
      <errorID>c6a03687-54a7-4fd4-b72b-770a7b443dc0</errorID>
      <errorWord>侍服电机</errorWord>
      <group>L1_Knowledge</group>
      <groupName>知识性问题</groupName>
      <ability>L2_Term</ability>
      <abilityName>专业术语</abilityName>
      <candidateList>
        <item>伺服电机</item>
      </candidateList>
      <explain/>
      <paraID> E847A54</paraID>
      <start>14</start>
      <end>18</end>
      <status>ignored</status>
      <modifiedWord/>
      <trackRevisions>false</trackRevisions>
    </reviewItem>
    <reviewItem>
      <errorID>8406db0d-174f-421d-bb9b-cb1f1d242441</errorID>
      <errorWord>23:59分</errorWord>
      <group>L1_Knowledge</group>
      <groupName>知识性问题</groupName>
      <ability>L2_Time</ability>
      <abilityName>日期时间</abilityName>
      <candidateList>
        <item>23:59</item>
      </candidateList>
      <explain>冒号时间格式（XX:XX）后不需要加“分”。</explain>
      <paraID>  AE52DC</paraID>
      <start>49</start>
      <end>54</end>
      <status>modified</status>
      <modifiedWord>23:59</modifiedWord>
      <trackRevisions>false</trackRevisions>
    </reviewItem>
    <reviewItem>
      <errorID>4b5bf8d8-a998-4663-a20d-905db2f9feec</errorID>
      <errorWord>&gt;）</errorWord>
      <group>L1_Punc</group>
      <groupName>标点问题</groupName>
      <ability>L2_Punc</ability>
      <abilityName>标点符号检查</abilityName>
      <candidateList>
        <item>）</item>
      </candidateList>
      <explain/>
      <paraID>2858BFF1</paraID>
      <start>121</start>
      <end>123</end>
      <status>ignored</status>
      <modifiedWord/>
      <trackRevisions>false</trackRevisions>
    </reviewItem>
    <reviewItem>
      <errorID>43bd7f01-79e7-481a-8c5a-aca0c23786fc</errorID>
      <errorWord>：/。</errorWord>
      <group>L1_Punc</group>
      <groupName>标点问题</groupName>
      <ability>L2_Punc</ability>
      <abilityName>标点符号检查</abilityName>
      <candidateList>
        <item>：</item>
      </candidateList>
      <explain/>
      <paraID>6FC84209</paraID>
      <start>4</start>
      <end>7</end>
      <status>ignored</status>
      <modifiedWord/>
      <trackRevisions>false</trackRevisions>
    </reviewItem>
    <reviewItem>
      <errorID>050e3936-1cfc-43af-ae55-019458f7965b</errorID>
      <errorWord>。</errorWord>
      <group>L1_Format</group>
      <groupName>格式问题</groupName>
      <ability>L2_HalfPunc</ability>
      <abilityName>全半角检查</abilityName>
      <candidateList>
        <item>.</item>
      </candidateList>
      <explain>文本全半角错误。</explain>
      <paraID>645E7973</paraID>
      <start>10</start>
      <end>11</end>
      <status>ignored</status>
      <modifiedWord/>
      <trackRevisions>false</trackRevisions>
    </reviewItem>
    <reviewItem>
      <errorID>e7c06014-5243-4147-8164-81b4fb6e3a89</errorID>
      <errorWord>（</errorWord>
      <group>L1_Format</group>
      <groupName>格式问题</groupName>
      <ability>L2_HalfPunc</ability>
      <abilityName>全半角检查</abilityName>
      <candidateList>
        <item>(</item>
      </candidateList>
      <explain>文本全半角错误。</explain>
      <paraID>57A299C4</paraID>
      <start>0</start>
      <end>1</end>
      <status>modified</status>
      <modifiedWord>(</modifiedWord>
      <trackRevisions>false</trackRevisions>
    </reviewItem>
    <reviewItem>
      <errorID>ca6667f0-a0be-469d-b420-401cbd5f21ec</errorID>
      <errorWord>）</errorWord>
      <group>L1_Format</group>
      <groupName>格式问题</groupName>
      <ability>L2_HalfPunc</ability>
      <abilityName>全半角检查</abilityName>
      <candidateList>
        <item>)</item>
      </candidateList>
      <explain>文本全半角错误。</explain>
      <paraID>57A299C4</paraID>
      <start>2</start>
      <end>3</end>
      <status>modified</status>
      <modifiedWord>)</modifiedWord>
      <trackRevisions>false</trackRevisions>
    </reviewItem>
    <reviewItem>
      <errorID>122a5a93-9c85-4141-bebb-6ed7749e1550</errorID>
      <errorWord>（</errorWord>
      <group>L1_Format</group>
      <groupName>格式问题</groupName>
      <ability>L2_HalfPunc</ability>
      <abilityName>全半角检查</abilityName>
      <candidateList>
        <item>(</item>
      </candidateList>
      <explain>文本全半角错误。</explain>
      <paraID>177372FB</paraID>
      <start>0</start>
      <end>1</end>
      <status>modified</status>
      <modifiedWord>(</modifiedWord>
      <trackRevisions>false</trackRevisions>
    </reviewItem>
    <reviewItem>
      <errorID>d2b07f53-8f81-42f2-b0ad-5ec08873a5a6</errorID>
      <errorWord>）</errorWord>
      <group>L1_Format</group>
      <groupName>格式问题</groupName>
      <ability>L2_HalfPunc</ability>
      <abilityName>全半角检查</abilityName>
      <candidateList>
        <item>)</item>
      </candidateList>
      <explain>文本全半角错误。</explain>
      <paraID>177372FB</paraID>
      <start>2</start>
      <end>3</end>
      <status>modified</status>
      <modifiedWord>)</modifiedWord>
      <trackRevisions>false</trackRevisions>
    </reviewItem>
    <reviewItem>
      <errorID>d3f101cc-66e4-46b7-9025-398a95849b22</errorID>
      <errorWord>（</errorWord>
      <group>L1_Format</group>
      <groupName>格式问题</groupName>
      <ability>L2_HalfPunc</ability>
      <abilityName>全半角检查</abilityName>
      <candidateList>
        <item>(</item>
      </candidateList>
      <explain>文本全半角错误。</explain>
      <paraID>7F0476AC</paraID>
      <start>0</start>
      <end>1</end>
      <status>modified</status>
      <modifiedWord>(</modifiedWord>
      <trackRevisions>false</trackRevisions>
    </reviewItem>
    <reviewItem>
      <errorID>e24a822b-0044-4b79-8ca9-af985eb2ea37</errorID>
      <errorWord>）</errorWord>
      <group>L1_Format</group>
      <groupName>格式问题</groupName>
      <ability>L2_HalfPunc</ability>
      <abilityName>全半角检查</abilityName>
      <candidateList>
        <item>)</item>
      </candidateList>
      <explain>文本全半角错误。</explain>
      <paraID>7F0476AC</paraID>
      <start>2</start>
      <end>3</end>
      <status>modified</status>
      <modifiedWord>)</modifiedWord>
      <trackRevisions>false</trackRevisions>
    </reviewItem>
    <reviewItem>
      <errorID>01a66b89-ef71-4a3c-961c-70adcfe8cad4</errorID>
      <errorWord>（</errorWord>
      <group>L1_Format</group>
      <groupName>格式问题</groupName>
      <ability>L2_HalfPunc</ability>
      <abilityName>全半角检查</abilityName>
      <candidateList>
        <item>(</item>
      </candidateList>
      <explain>文本全半角错误。</explain>
      <paraID>51D1B248</paraID>
      <start>0</start>
      <end>1</end>
      <status>modified</status>
      <modifiedWord>(</modifiedWord>
      <trackRevisions>false</trackRevisions>
    </reviewItem>
    <reviewItem>
      <errorID>af406be6-137c-456d-a87f-7237d9a60146</errorID>
      <errorWord>）</errorWord>
      <group>L1_Format</group>
      <groupName>格式问题</groupName>
      <ability>L2_HalfPunc</ability>
      <abilityName>全半角检查</abilityName>
      <candidateList>
        <item>)</item>
      </candidateList>
      <explain>文本全半角错误。</explain>
      <paraID>51D1B248</paraID>
      <start>2</start>
      <end>3</end>
      <status>modified</status>
      <modifiedWord>)</modifiedWord>
      <trackRevisions>false</trackRevisions>
    </reviewItem>
    <reviewItem>
      <errorID>1a71e9a6-d28b-4873-af3e-66ed63c82b98</errorID>
      <errorWord>（</errorWord>
      <group>L1_Format</group>
      <groupName>格式问题</groupName>
      <ability>L2_HalfPunc</ability>
      <abilityName>全半角检查</abilityName>
      <candidateList>
        <item>(</item>
      </candidateList>
      <explain>文本全半角错误。</explain>
      <paraID>6A7FE474</paraID>
      <start>0</start>
      <end>1</end>
      <status>modified</status>
      <modifiedWord>(</modifiedWord>
      <trackRevisions>false</trackRevisions>
    </reviewItem>
    <reviewItem>
      <errorID>bf62fe6c-6647-4726-b6f7-a951dc2c1761</errorID>
      <errorWord>）</errorWord>
      <group>L1_Format</group>
      <groupName>格式问题</groupName>
      <ability>L2_HalfPunc</ability>
      <abilityName>全半角检查</abilityName>
      <candidateList>
        <item>)</item>
      </candidateList>
      <explain>文本全半角错误。</explain>
      <paraID>6A7FE474</paraID>
      <start>2</start>
      <end>3</end>
      <status>modified</status>
      <modifiedWord>)</modifiedWord>
      <trackRevisions>false</trackRevisions>
    </reviewItem>
    <reviewItem>
      <errorID>d7472b67-3b95-4206-8046-b3c17b2bcfa8</errorID>
      <errorWord>（</errorWord>
      <group>L1_Format</group>
      <groupName>格式问题</groupName>
      <ability>L2_HalfPunc</ability>
      <abilityName>全半角检查</abilityName>
      <candidateList>
        <item>(</item>
      </candidateList>
      <explain>文本全半角错误。</explain>
      <paraID>5672873C</paraID>
      <start>0</start>
      <end>1</end>
      <status>modified</status>
      <modifiedWord>(</modifiedWord>
      <trackRevisions>false</trackRevisions>
    </reviewItem>
    <reviewItem>
      <errorID>5882917d-b195-465d-b397-5af67e2425c6</errorID>
      <errorWord>）</errorWord>
      <group>L1_Format</group>
      <groupName>格式问题</groupName>
      <ability>L2_HalfPunc</ability>
      <abilityName>全半角检查</abilityName>
      <candidateList>
        <item>)</item>
      </candidateList>
      <explain>文本全半角错误。</explain>
      <paraID>5672873C</paraID>
      <start>2</start>
      <end>3</end>
      <status>modified</status>
      <modifiedWord>)</modifiedWord>
      <trackRevisions>false</trackRevisions>
    </reviewItem>
    <reviewItem>
      <errorID>d5942525-ba2f-4e19-98ef-3913792146aa</errorID>
      <errorWord>（</errorWord>
      <group>L1_Format</group>
      <groupName>格式问题</groupName>
      <ability>L2_HalfPunc</ability>
      <abilityName>全半角检查</abilityName>
      <candidateList>
        <item>(</item>
      </candidateList>
      <explain>文本全半角错误。</explain>
      <paraID>4E3F6D23</paraID>
      <start>0</start>
      <end>1</end>
      <status>modified</status>
      <modifiedWord>(</modifiedWord>
      <trackRevisions>false</trackRevisions>
    </reviewItem>
    <reviewItem>
      <errorID>f9ebddce-1897-4ada-8b92-3e9737b0b6c1</errorID>
      <errorWord>）</errorWord>
      <group>L1_Format</group>
      <groupName>格式问题</groupName>
      <ability>L2_HalfPunc</ability>
      <abilityName>全半角检查</abilityName>
      <candidateList>
        <item>)</item>
      </candidateList>
      <explain>文本全半角错误。</explain>
      <paraID>4E3F6D23</paraID>
      <start>2</start>
      <end>3</end>
      <status>modified</status>
      <modifiedWord>)</modifiedWord>
      <trackRevisions>false</trackRevisions>
    </reviewItem>
    <reviewItem>
      <errorID>3d9f50dd-c38d-4ac7-888e-9972fd077d23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3C7C4B08</paraID>
      <start>223</start>
      <end>224</end>
      <status>ignored</status>
      <modifiedWord/>
      <trackRevisions>false</trackRevisions>
    </reviewItem>
    <reviewItem>
      <errorID>6772e3d0-b62d-4e23-9767-6c2d8c892b6e</errorID>
      <errorWord>投标投标</errorWord>
      <group>L1_Word</group>
      <groupName>字词问题</groupName>
      <ability>L2_Typo</ability>
      <abilityName>字词错误</abilityName>
      <candidateList>
        <item>投标</item>
      </candidateList>
      <explain/>
      <paraID>280E1262</paraID>
      <start>33</start>
      <end>35</end>
      <status>modified</status>
      <modifiedWord>投标</modifiedWord>
      <trackRevisions>false</trackRevisions>
    </reviewItem>
    <reviewItem>
      <errorID>8d27b54d-5627-433d-b40c-3289104892b3</errorID>
      <errorWord>。</errorWord>
      <group>L1_Punc</group>
      <groupName>标点问题</groupName>
      <ability>L2_Punc</ability>
      <abilityName>标点符号检查</abilityName>
      <candidateList/>
      <explain/>
      <paraID>3134CBC2</paraID>
      <start>57</start>
      <end>58</end>
      <status>ignored</status>
      <modifiedWord/>
      <trackRevisions>false</trackRevisions>
    </reviewItem>
    <reviewItem>
      <errorID>49f27ad1-c7f1-4648-97a3-33eddeb1dea4</errorID>
      <errorWord>。。</errorWord>
      <group>L1_Punc</group>
      <groupName>标点问题</groupName>
      <ability>L2_Punc</ability>
      <abilityName>标点符号检查</abilityName>
      <candidateList>
        <item>。</item>
      </candidateList>
      <explain/>
      <paraID>65C55027</paraID>
      <start>35</start>
      <end>36</end>
      <status>modified</status>
      <modifiedWord>。</modifiedWord>
      <trackRevisions>false</trackRevisions>
    </reviewItem>
    <reviewItem>
      <errorID>9a5a6f20-3eb0-4c61-80a5-8d6ccac1dbb5</errorID>
      <errorWord>法律、法规</errorWord>
      <group>L1_Word</group>
      <groupName>字词问题</groupName>
      <ability>L2_Typo</ability>
      <abilityName>字词错误</abilityName>
      <candidateList>
        <item>法律法规</item>
      </candidateList>
      <explain/>
      <paraID>5B46BA87</paraID>
      <start>41</start>
      <end>45</end>
      <status>modified</status>
      <modifiedWord>法律法规</modifiedWord>
      <trackRevisions>false</trackRevisions>
    </reviewItem>
    <reviewItem>
      <errorID>f2d9a997-89a7-44c0-a393-25fef5c2af85</errorID>
      <errorWord>政纪处分</errorWord>
      <group>L1_Word</group>
      <groupName>字词问题</groupName>
      <ability>L2_Typo</ability>
      <abilityName>字词错误</abilityName>
      <candidateList>
        <item>政务处分</item>
      </candidateList>
      <explain/>
      <paraID>2DADC813</paraID>
      <start>49</start>
      <end>53</end>
      <status>modified</status>
      <modifiedWord>政务处分</modifiedWord>
      <trackRevisions>false</trackRevisions>
    </reviewItem>
    <reviewItem>
      <errorID>80d71c02-b9f2-4e89-9c77-14cfef8ff4a0</errorID>
      <errorWord>、</errorWord>
      <group>L1_Word</group>
      <groupName>字词问题</groupName>
      <ability>L2_Typo</ability>
      <abilityName>字词错误</abilityName>
      <candidateList>
        <item>、第</item>
      </candidateList>
      <explain/>
      <paraID>433E1FCC</paraID>
      <start>17</start>
      <end>19</end>
      <status>modified</status>
      <modifiedWord>、第</modifiedWord>
      <trackRevisions>false</trackRevisions>
    </reviewItem>
    <reviewItem>
      <errorID>e2d7e91c-7a26-45e2-88a4-5242dc3a6e26</errorID>
      <errorWord>政纪处分</errorWord>
      <group>L1_Word</group>
      <groupName>字词问题</groupName>
      <ability>L2_Typo</ability>
      <abilityName>字词错误</abilityName>
      <candidateList>
        <item>政务处分</item>
      </candidateList>
      <explain/>
      <paraID>433E1FCC</paraID>
      <start>50</start>
      <end>54</end>
      <status>modified</status>
      <modifiedWord>政务处分</modifiedWord>
      <trackRevisions>false</trackRevisions>
    </reviewItem>
    <reviewItem>
      <errorID>2b0bb3c0-061b-4842-8112-2d7aa5ea244d</errorID>
      <errorWord>一式二份</errorWord>
      <group>L1_Word</group>
      <groupName>字词问题</groupName>
      <ability>L2_Typo</ability>
      <abilityName>字词错误</abilityName>
      <candidateList>
        <item>一式两份</item>
      </candidateList>
      <explain/>
      <paraID>27FA6246</paraID>
      <start>7</start>
      <end>11</end>
      <status>modified</status>
      <modifiedWord>一式两份</modifiedWord>
      <trackRevisions>false</trackRevisions>
    </reviewItem>
    <reviewItem>
      <errorID>168c8150-f319-4e1b-99ab-67f327db6107</errorID>
      <errorWord>，有</errorWord>
      <group>L1_Word</group>
      <groupName>字词问题</groupName>
      <ability>L2_Typo</ability>
      <abilityName>字词错误</abilityName>
      <candidateList>
        <item>，</item>
      </candidateList>
      <explain/>
      <paraID>27FA6246</paraID>
      <start>11</start>
      <end>12</end>
      <status>modified</status>
      <modifiedWord>，</modifiedWord>
      <trackRevisions>false</trackRevisions>
    </reviewItem>
    <reviewItem>
      <errorID>c07748be-7fbf-490b-895e-dc54be954206</errorID>
      <errorWord>(</errorWord>
      <group>L1_Format</group>
      <groupName>格式问题</groupName>
      <ability>L2_HalfPunc</ability>
      <abilityName>全半角检查</abilityName>
      <candidateList>
        <item>（</item>
      </candidateList>
      <explain>文本全半角错误。</explain>
      <paraID>513C3E51</paraID>
      <start>5</start>
      <end>6</end>
      <status>modified</status>
      <modifiedWord>（</modifiedWord>
      <trackRevisions>false</trackRevisions>
    </reviewItem>
    <reviewItem>
      <errorID>8edf44cd-eab4-438f-a3b6-d2aa4391439b</errorID>
      <errorWord>)</errorWord>
      <group>L1_Format</group>
      <groupName>格式问题</groupName>
      <ability>L2_HalfPunc</ability>
      <abilityName>全半角检查</abilityName>
      <candidateList>
        <item>）</item>
      </candidateList>
      <explain>文本全半角错误。</explain>
      <paraID>513C3E51</paraID>
      <start>10</start>
      <end>11</end>
      <status>modified</status>
      <modifiedWord>）</modifiedWord>
      <trackRevisions>false</trackRevisions>
    </reviewItem>
    <reviewItem>
      <errorID>aff7270c-4e05-4e8e-84d4-7cc168444dc8</errorID>
      <errorWord>年</errorWord>
      <group>L1_Word</group>
      <groupName>字词问题</groupName>
      <ability>L2_Typo</ability>
      <abilityName>字词错误</abilityName>
      <candidateList>
        <item>年来</item>
      </candidateList>
      <explain/>
      <paraID>1DAF3EC5</paraID>
      <start>6</start>
      <end>8</end>
      <status>modified</status>
      <modifiedWord>年来</modifiedWord>
      <trackRevisions>false</trackRevisions>
    </reviewItem>
    <reviewItem>
      <errorID>d6a253ca-9a63-48e0-b21d-694eb0290719</errorID>
      <errorWord>(</errorWord>
      <group>L1_Format</group>
      <groupName>格式问题</groupName>
      <ability>L2_HalfPunc</ability>
      <abilityName>全半角检查</abilityName>
      <candidateList>
        <item>（</item>
      </candidateList>
      <explain>文本全半角错误。</explain>
      <paraID> 8194634</paraID>
      <start>4</start>
      <end>5</end>
      <status>modified</status>
      <modifiedWord>（</modifiedWord>
      <trackRevisions>false</trackRevisions>
    </reviewItem>
    <reviewItem>
      <errorID>b9b19028-740d-474b-aff5-c16216a9667f</errorID>
      <errorWord>)</errorWord>
      <group>L1_Format</group>
      <groupName>格式问题</groupName>
      <ability>L2_HalfPunc</ability>
      <abilityName>全半角检查</abilityName>
      <candidateList>
        <item>）</item>
      </candidateList>
      <explain>文本全半角错误。</explain>
      <paraID> 8194634</paraID>
      <start>6</start>
      <end>7</end>
      <status>modified</status>
      <modifiedWord>）</modifiedWord>
      <trackRevisions>false</trackRevisions>
    </reviewItem>
    <reviewItem>
      <errorID>b9e1c21a-9f94-420a-ae4f-ecd5e3866955</errorID>
      <errorWord>(</errorWord>
      <group>L1_Format</group>
      <groupName>格式问题</groupName>
      <ability>L2_HalfPunc</ability>
      <abilityName>全半角检查</abilityName>
      <candidateList>
        <item>（</item>
      </candidateList>
      <explain>文本全半角错误。</explain>
      <paraID>6DC1CA53</paraID>
      <start>4</start>
      <end>5</end>
      <status>modified</status>
      <modifiedWord>（</modifiedWord>
      <trackRevisions>false</trackRevisions>
    </reviewItem>
    <reviewItem>
      <errorID>4cc0b1ad-d0d6-427e-bf0a-9cf7ec08f952</errorID>
      <errorWord>)</errorWord>
      <group>L1_Format</group>
      <groupName>格式问题</groupName>
      <ability>L2_HalfPunc</ability>
      <abilityName>全半角检查</abilityName>
      <candidateList>
        <item>）</item>
      </candidateList>
      <explain>文本全半角错误。</explain>
      <paraID>6DC1CA53</paraID>
      <start>6</start>
      <end>7</end>
      <status>modified</status>
      <modifiedWord>）</modifiedWord>
      <trackRevisions>false</trackRevisions>
    </reviewItem>
    <reviewItem>
      <errorID>ce2b1e43-b458-43ee-8e98-81b4e9d1350c</errorID>
      <errorWord>(</errorWord>
      <group>L1_Format</group>
      <groupName>格式问题</groupName>
      <ability>L2_HalfPunc</ability>
      <abilityName>全半角检查</abilityName>
      <candidateList>
        <item>（</item>
      </candidateList>
      <explain>文本全半角错误。</explain>
      <paraID>6213A21A</paraID>
      <start>4</start>
      <end>5</end>
      <status>modified</status>
      <modifiedWord>（</modifiedWord>
      <trackRevisions>false</trackRevisions>
    </reviewItem>
    <reviewItem>
      <errorID>31cce2aa-7dbc-4d9b-931d-d5211ce3e5d5</errorID>
      <errorWord>)</errorWord>
      <group>L1_Format</group>
      <groupName>格式问题</groupName>
      <ability>L2_HalfPunc</ability>
      <abilityName>全半角检查</abilityName>
      <candidateList>
        <item>）</item>
      </candidateList>
      <explain>文本全半角错误。</explain>
      <paraID>6213A21A</paraID>
      <start>6</start>
      <end>7</end>
      <status>modified</status>
      <modifiedWord>）</modifiedWord>
      <trackRevisions>false</trackRevisions>
    </reviewItem>
    <reviewItem>
      <errorID>51def815-1471-48d7-aca2-6938a9836ab2</errorID>
      <errorWord>(</errorWord>
      <group>L1_Format</group>
      <groupName>格式问题</groupName>
      <ability>L2_HalfPunc</ability>
      <abilityName>全半角检查</abilityName>
      <candidateList>
        <item>（</item>
      </candidateList>
      <explain>文本全半角错误。</explain>
      <paraID>3CCDA86D</paraID>
      <start>4</start>
      <end>5</end>
      <status>modified</status>
      <modifiedWord>（</modifiedWord>
      <trackRevisions>false</trackRevisions>
    </reviewItem>
    <reviewItem>
      <errorID>886d75a1-f7a0-4dc7-93f5-5c532930d637</errorID>
      <errorWord>)</errorWord>
      <group>L1_Format</group>
      <groupName>格式问题</groupName>
      <ability>L2_HalfPunc</ability>
      <abilityName>全半角检查</abilityName>
      <candidateList>
        <item>）</item>
      </candidateList>
      <explain>文本全半角错误。</explain>
      <paraID>3CCDA86D</paraID>
      <start>6</start>
      <end>7</end>
      <status>modified</status>
      <modifiedWord>）</modifiedWord>
      <trackRevisions>false</trackRevisions>
    </reviewItem>
    <reviewItem>
      <errorID>fc589df6-5f04-40bf-88aa-c71523271f2d</errorID>
      <errorWord>(</errorWord>
      <group>L1_Format</group>
      <groupName>格式问题</groupName>
      <ability>L2_HalfPunc</ability>
      <abilityName>全半角检查</abilityName>
      <candidateList>
        <item>（</item>
      </candidateList>
      <explain>文本全半角错误。</explain>
      <paraID>5E7F47D3</paraID>
      <start>4</start>
      <end>5</end>
      <status>modified</status>
      <modifiedWord>（</modifiedWord>
      <trackRevisions>false</trackRevisions>
    </reviewItem>
    <reviewItem>
      <errorID>89e6a99e-2f66-49f8-9b4f-4c5c7522e4c7</errorID>
      <errorWord>)</errorWord>
      <group>L1_Format</group>
      <groupName>格式问题</groupName>
      <ability>L2_HalfPunc</ability>
      <abilityName>全半角检查</abilityName>
      <candidateList>
        <item>）</item>
      </candidateList>
      <explain>文本全半角错误。</explain>
      <paraID>5E7F47D3</paraID>
      <start>6</start>
      <end>7</end>
      <status>modified</status>
      <modifiedWord>）</modifiedWord>
      <trackRevisions>false</trackRevisions>
    </reviewItem>
    <reviewItem>
      <errorID>b33949cc-a5b4-420d-8e41-13a98d63bb2f</errorID>
      <errorWord>(</errorWord>
      <group>L1_Format</group>
      <groupName>格式问题</groupName>
      <ability>L2_HalfPunc</ability>
      <abilityName>全半角检查</abilityName>
      <candidateList>
        <item>（</item>
      </candidateList>
      <explain>文本全半角错误。</explain>
      <paraID>12B21B42</paraID>
      <start>4</start>
      <end>5</end>
      <status>modified</status>
      <modifiedWord>（</modifiedWord>
      <trackRevisions>false</trackRevisions>
    </reviewItem>
    <reviewItem>
      <errorID>015afd4c-3cfa-4d2d-9e73-c06efe15a814</errorID>
      <errorWord>)</errorWord>
      <group>L1_Format</group>
      <groupName>格式问题</groupName>
      <ability>L2_HalfPunc</ability>
      <abilityName>全半角检查</abilityName>
      <candidateList>
        <item>）</item>
      </candidateList>
      <explain>文本全半角错误。</explain>
      <paraID>12B21B42</paraID>
      <start>6</start>
      <end>7</end>
      <status>modified</status>
      <modifiedWord>）</modifiedWord>
      <trackRevisions>false</trackRevisions>
    </reviewItem>
    <reviewItem>
      <errorID>3662bf82-2782-4403-90c5-52acd3624e88</errorID>
      <errorWord>(</errorWord>
      <group>L1_Format</group>
      <groupName>格式问题</groupName>
      <ability>L2_HalfPunc</ability>
      <abilityName>全半角检查</abilityName>
      <candidateList>
        <item>（</item>
      </candidateList>
      <explain>文本全半角错误。</explain>
      <paraID>680EE140</paraID>
      <start>4</start>
      <end>5</end>
      <status>modified</status>
      <modifiedWord>（</modifiedWord>
      <trackRevisions>false</trackRevisions>
    </reviewItem>
    <reviewItem>
      <errorID>a54dd97f-7e8d-4954-aa62-d3563df4a541</errorID>
      <errorWord>)</errorWord>
      <group>L1_Format</group>
      <groupName>格式问题</groupName>
      <ability>L2_HalfPunc</ability>
      <abilityName>全半角检查</abilityName>
      <candidateList>
        <item>）</item>
      </candidateList>
      <explain>文本全半角错误。</explain>
      <paraID>680EE140</paraID>
      <start>6</start>
      <end>7</end>
      <status>modified</status>
      <modifiedWord>）</modifiedWord>
      <trackRevisions>false</trackRevisions>
    </reviewItem>
    <reviewItem>
      <errorID>9bc9b92f-70ca-4d99-becc-71b98adc4fa3</errorID>
      <errorWord>(</errorWord>
      <group>L1_Format</group>
      <groupName>格式问题</groupName>
      <ability>L2_HalfPunc</ability>
      <abilityName>全半角检查</abilityName>
      <candidateList>
        <item>（</item>
      </candidateList>
      <explain>文本全半角错误。</explain>
      <paraID>3571F58F</paraID>
      <start>4</start>
      <end>5</end>
      <status>modified</status>
      <modifiedWord>（</modifiedWord>
      <trackRevisions>false</trackRevisions>
    </reviewItem>
    <reviewItem>
      <errorID>b2105af2-aa74-4912-95a9-302193464528</errorID>
      <errorWord>)</errorWord>
      <group>L1_Format</group>
      <groupName>格式问题</groupName>
      <ability>L2_HalfPunc</ability>
      <abilityName>全半角检查</abilityName>
      <candidateList>
        <item>）</item>
      </candidateList>
      <explain>文本全半角错误。</explain>
      <paraID>3571F58F</paraID>
      <start>6</start>
      <end>7</end>
      <status>modified</status>
      <modifiedWord>）</modifiedWord>
      <trackRevisions>false</trackRevisions>
    </reviewItem>
    <reviewItem>
      <errorID>415bdf35-1b6a-40cb-ac18-2fdcd0582145</errorID>
      <errorWord>(</errorWord>
      <group>L1_Format</group>
      <groupName>格式问题</groupName>
      <ability>L2_HalfPunc</ability>
      <abilityName>全半角检查</abilityName>
      <candidateList>
        <item>（</item>
      </candidateList>
      <explain>文本全半角错误。</explain>
      <paraID>14E9BFDB</paraID>
      <start>4</start>
      <end>5</end>
      <status>modified</status>
      <modifiedWord>（</modifiedWord>
      <trackRevisions>false</trackRevisions>
    </reviewItem>
    <reviewItem>
      <errorID>7dcd20d3-4624-448b-b0b2-2d5596ac2a0b</errorID>
      <errorWord>)</errorWord>
      <group>L1_Format</group>
      <groupName>格式问题</groupName>
      <ability>L2_HalfPunc</ability>
      <abilityName>全半角检查</abilityName>
      <candidateList>
        <item>）</item>
      </candidateList>
      <explain>文本全半角错误。</explain>
      <paraID>14E9BFDB</paraID>
      <start>6</start>
      <end>7</end>
      <status>modified</status>
      <modifiedWord>）</modifiedWord>
      <trackRevisions>false</trackRevisions>
    </reviewItem>
    <reviewItem>
      <errorID>220ee04e-831d-4c10-b9d3-e7d6e54d5117</errorID>
      <errorWord>(</errorWord>
      <group>L1_Format</group>
      <groupName>格式问题</groupName>
      <ability>L2_HalfPunc</ability>
      <abilityName>全半角检查</abilityName>
      <candidateList>
        <item>（</item>
      </candidateList>
      <explain>文本全半角错误。</explain>
      <paraID>69391E4D</paraID>
      <start>4</start>
      <end>5</end>
      <status>modified</status>
      <modifiedWord>（</modifiedWord>
      <trackRevisions>false</trackRevisions>
    </reviewItem>
    <reviewItem>
      <errorID>8dd7b773-602b-400c-a2e7-8860ed16096f</errorID>
      <errorWord>)</errorWord>
      <group>L1_Format</group>
      <groupName>格式问题</groupName>
      <ability>L2_HalfPunc</ability>
      <abilityName>全半角检查</abilityName>
      <candidateList>
        <item>）</item>
      </candidateList>
      <explain>文本全半角错误。</explain>
      <paraID>69391E4D</paraID>
      <start>6</start>
      <end>7</end>
      <status>modified</status>
      <modifiedWord>）</modifiedWord>
      <trackRevisions>false</trackRevisions>
    </reviewItem>
    <reviewItem>
      <errorID>d59ef620-f28a-4021-a15a-52358bc44a70</errorID>
      <errorWord>(</errorWord>
      <group>L1_Format</group>
      <groupName>格式问题</groupName>
      <ability>L2_HalfPunc</ability>
      <abilityName>全半角检查</abilityName>
      <candidateList>
        <item>（</item>
      </candidateList>
      <explain>文本全半角错误。</explain>
      <paraID>5C5875B3</paraID>
      <start>4</start>
      <end>5</end>
      <status>modified</status>
      <modifiedWord>（</modifiedWord>
      <trackRevisions>false</trackRevisions>
    </reviewItem>
    <reviewItem>
      <errorID>4a0a789c-23cb-4003-aa02-2cc2a8f6a53c</errorID>
      <errorWord>)</errorWord>
      <group>L1_Format</group>
      <groupName>格式问题</groupName>
      <ability>L2_HalfPunc</ability>
      <abilityName>全半角检查</abilityName>
      <candidateList>
        <item>）</item>
      </candidateList>
      <explain>文本全半角错误。</explain>
      <paraID>5C5875B3</paraID>
      <start>6</start>
      <end>7</end>
      <status>modified</status>
      <modifiedWord>）</modifiedWord>
      <trackRevisions>false</trackRevisions>
    </reviewItem>
    <reviewItem>
      <errorID>69da5333-255a-41dc-b968-f6f9c579f909</errorID>
      <errorWord>(</errorWord>
      <group>L1_Format</group>
      <groupName>格式问题</groupName>
      <ability>L2_HalfPunc</ability>
      <abilityName>全半角检查</abilityName>
      <candidateList>
        <item>（</item>
      </candidateList>
      <explain>文本全半角错误。</explain>
      <paraID>126949F4</paraID>
      <start>4</start>
      <end>5</end>
      <status>modified</status>
      <modifiedWord>（</modifiedWord>
      <trackRevisions>false</trackRevisions>
    </reviewItem>
    <reviewItem>
      <errorID>82dcc4d0-de8d-4207-8abb-eb87e06e08ea</errorID>
      <errorWord>)</errorWord>
      <group>L1_Format</group>
      <groupName>格式问题</groupName>
      <ability>L2_HalfPunc</ability>
      <abilityName>全半角检查</abilityName>
      <candidateList>
        <item>）</item>
      </candidateList>
      <explain>文本全半角错误。</explain>
      <paraID>126949F4</paraID>
      <start>6</start>
      <end>7</end>
      <status>modified</status>
      <modifiedWord>）</modifiedWord>
      <trackRevisions>false</trackRevisions>
    </reviewItem>
    <reviewItem>
      <errorID>f3018f81-c425-41c1-b3ac-6c5a2db6a332</errorID>
      <errorWord>(</errorWord>
      <group>L1_Format</group>
      <groupName>格式问题</groupName>
      <ability>L2_HalfPunc</ability>
      <abilityName>全半角检查</abilityName>
      <candidateList>
        <item>（</item>
      </candidateList>
      <explain>文本全半角错误。</explain>
      <paraID>579B0B09</paraID>
      <start>4</start>
      <end>5</end>
      <status>modified</status>
      <modifiedWord>（</modifiedWord>
      <trackRevisions>false</trackRevisions>
    </reviewItem>
    <reviewItem>
      <errorID>340b2a49-ee73-4dd6-948f-11b2e01af443</errorID>
      <errorWord>)</errorWord>
      <group>L1_Format</group>
      <groupName>格式问题</groupName>
      <ability>L2_HalfPunc</ability>
      <abilityName>全半角检查</abilityName>
      <candidateList>
        <item>）</item>
      </candidateList>
      <explain>文本全半角错误。</explain>
      <paraID>579B0B09</paraID>
      <start>6</start>
      <end>7</end>
      <status>modified</status>
      <modifiedWord>）</modifiedWord>
      <trackRevisions>false</trackRevisions>
    </reviewItem>
    <reviewItem>
      <errorID>baa85d9f-f37c-4712-9c88-d784a44728a5</errorID>
      <errorWord>(</errorWord>
      <group>L1_Format</group>
      <groupName>格式问题</groupName>
      <ability>L2_HalfPunc</ability>
      <abilityName>全半角检查</abilityName>
      <candidateList>
        <item>（</item>
      </candidateList>
      <explain>文本全半角错误。</explain>
      <paraID>732D9917</paraID>
      <start>4</start>
      <end>5</end>
      <status>modified</status>
      <modifiedWord>（</modifiedWord>
      <trackRevisions>false</trackRevisions>
    </reviewItem>
    <reviewItem>
      <errorID>017c3a8a-40ab-4922-892e-87177e2dc209</errorID>
      <errorWord>)</errorWord>
      <group>L1_Format</group>
      <groupName>格式问题</groupName>
      <ability>L2_HalfPunc</ability>
      <abilityName>全半角检查</abilityName>
      <candidateList>
        <item>）</item>
      </candidateList>
      <explain>文本全半角错误。</explain>
      <paraID>732D9917</paraID>
      <start>6</start>
      <end>7</end>
      <status>modified</status>
      <modifiedWord>）</modifiedWord>
      <trackRevisions>false</trackRevisions>
    </reviewItem>
    <reviewItem>
      <errorID>f707e60b-db39-4adc-a162-b4e36bc47116</errorID>
      <errorWord>(</errorWord>
      <group>L1_Format</group>
      <groupName>格式问题</groupName>
      <ability>L2_HalfPunc</ability>
      <abilityName>全半角检查</abilityName>
      <candidateList>
        <item>（</item>
      </candidateList>
      <explain>文本全半角错误。</explain>
      <paraID>45A46851</paraID>
      <start>4</start>
      <end>5</end>
      <status>modified</status>
      <modifiedWord>（</modifiedWord>
      <trackRevisions>false</trackRevisions>
    </reviewItem>
    <reviewItem>
      <errorID>2b360bea-82ce-4b43-8caa-742b1289dd53</errorID>
      <errorWord>)</errorWord>
      <group>L1_Format</group>
      <groupName>格式问题</groupName>
      <ability>L2_HalfPunc</ability>
      <abilityName>全半角检查</abilityName>
      <candidateList>
        <item>）</item>
      </candidateList>
      <explain>文本全半角错误。</explain>
      <paraID>45A46851</paraID>
      <start>6</start>
      <end>7</end>
      <status>modified</status>
      <modifiedWord>）</modifiedWord>
      <trackRevisions>false</trackRevisions>
    </reviewItem>
    <reviewItem>
      <errorID>5868f74d-14e1-4ac5-b951-e56710d5867a</errorID>
      <errorWord>(</errorWord>
      <group>L1_Format</group>
      <groupName>格式问题</groupName>
      <ability>L2_HalfPunc</ability>
      <abilityName>全半角检查</abilityName>
      <candidateList>
        <item>（</item>
      </candidateList>
      <explain>文本全半角错误。</explain>
      <paraID>3ACB7B99</paraID>
      <start>4</start>
      <end>5</end>
      <status>modified</status>
      <modifiedWord>（</modifiedWord>
      <trackRevisions>false</trackRevisions>
    </reviewItem>
    <reviewItem>
      <errorID>1e44ed66-ef69-4674-bcb0-8c482079e333</errorID>
      <errorWord>)</errorWord>
      <group>L1_Format</group>
      <groupName>格式问题</groupName>
      <ability>L2_HalfPunc</ability>
      <abilityName>全半角检查</abilityName>
      <candidateList>
        <item>）</item>
      </candidateList>
      <explain>文本全半角错误。</explain>
      <paraID>3ACB7B99</paraID>
      <start>6</start>
      <end>7</end>
      <status>modified</status>
      <modifiedWord>）</modifiedWord>
      <trackRevisions>false</trackRevisions>
    </reviewItem>
    <reviewItem>
      <errorID>405ee136-98fe-4c41-ba9f-141d16d66864</errorID>
      <errorWord>(</errorWord>
      <group>L1_Format</group>
      <groupName>格式问题</groupName>
      <ability>L2_HalfPunc</ability>
      <abilityName>全半角检查</abilityName>
      <candidateList>
        <item>（</item>
      </candidateList>
      <explain>文本全半角错误。</explain>
      <paraID>29169C37</paraID>
      <start>4</start>
      <end>5</end>
      <status>modified</status>
      <modifiedWord>（</modifiedWord>
      <trackRevisions>false</trackRevisions>
    </reviewItem>
    <reviewItem>
      <errorID>4ef70da4-8ce1-4ce0-ae42-6f0b8482bb11</errorID>
      <errorWord>)</errorWord>
      <group>L1_Format</group>
      <groupName>格式问题</groupName>
      <ability>L2_HalfPunc</ability>
      <abilityName>全半角检查</abilityName>
      <candidateList>
        <item>）</item>
      </candidateList>
      <explain>文本全半角错误。</explain>
      <paraID>29169C37</paraID>
      <start>6</start>
      <end>7</end>
      <status>modified</status>
      <modifiedWord>）</modifiedWord>
      <trackRevisions>false</trackRevisions>
    </reviewItem>
    <reviewItem>
      <errorID>ce182c04-8ea2-4542-8634-282a4599cbe1</errorID>
      <errorWord>(</errorWord>
      <group>L1_Format</group>
      <groupName>格式问题</groupName>
      <ability>L2_HalfPunc</ability>
      <abilityName>全半角检查</abilityName>
      <candidateList>
        <item>（</item>
      </candidateList>
      <explain>文本全半角错误。</explain>
      <paraID>4D8848F1</paraID>
      <start>4</start>
      <end>5</end>
      <status>modified</status>
      <modifiedWord>（</modifiedWord>
      <trackRevisions>false</trackRevisions>
    </reviewItem>
    <reviewItem>
      <errorID>2598d31e-f694-4c43-a748-1320784047c2</errorID>
      <errorWord>)</errorWord>
      <group>L1_Format</group>
      <groupName>格式问题</groupName>
      <ability>L2_HalfPunc</ability>
      <abilityName>全半角检查</abilityName>
      <candidateList>
        <item>）</item>
      </candidateList>
      <explain>文本全半角错误。</explain>
      <paraID>4D8848F1</paraID>
      <start>6</start>
      <end>7</end>
      <status>modified</status>
      <modifiedWord>）</modifiedWord>
      <trackRevisions>false</trackRevisions>
    </reviewItem>
    <reviewItem>
      <errorID>abda6feb-c9f7-4289-addf-8e449c7fb47a</errorID>
      <errorWord>(</errorWord>
      <group>L1_Format</group>
      <groupName>格式问题</groupName>
      <ability>L2_HalfPunc</ability>
      <abilityName>全半角检查</abilityName>
      <candidateList>
        <item>（</item>
      </candidateList>
      <explain>文本全半角错误。</explain>
      <paraID>1C17B6BF</paraID>
      <start>4</start>
      <end>5</end>
      <status>modified</status>
      <modifiedWord>（</modifiedWord>
      <trackRevisions>false</trackRevisions>
    </reviewItem>
    <reviewItem>
      <errorID>33d4f801-137b-4127-a350-496bb4f3d1f2</errorID>
      <errorWord>)</errorWord>
      <group>L1_Format</group>
      <groupName>格式问题</groupName>
      <ability>L2_HalfPunc</ability>
      <abilityName>全半角检查</abilityName>
      <candidateList>
        <item>）</item>
      </candidateList>
      <explain>文本全半角错误。</explain>
      <paraID>1C17B6BF</paraID>
      <start>6</start>
      <end>7</end>
      <status>modified</status>
      <modifiedWord>）</modifiedWord>
      <trackRevisions>false</trackRevisions>
    </reviewItem>
    <reviewItem>
      <errorID>9676a4c1-fe0f-47e7-a26e-7d2dda97cf0c</errorID>
      <errorWord>(</errorWord>
      <group>L1_Format</group>
      <groupName>格式问题</groupName>
      <ability>L2_HalfPunc</ability>
      <abilityName>全半角检查</abilityName>
      <candidateList>
        <item>（</item>
      </candidateList>
      <explain>文本全半角错误。</explain>
      <paraID>6B8E2EB8</paraID>
      <start>4</start>
      <end>5</end>
      <status>modified</status>
      <modifiedWord>（</modifiedWord>
      <trackRevisions>false</trackRevisions>
    </reviewItem>
    <reviewItem>
      <errorID>d41a6367-e73d-4a9e-8878-c44c7f7606af</errorID>
      <errorWord>)</errorWord>
      <group>L1_Format</group>
      <groupName>格式问题</groupName>
      <ability>L2_HalfPunc</ability>
      <abilityName>全半角检查</abilityName>
      <candidateList>
        <item>）</item>
      </candidateList>
      <explain>文本全半角错误。</explain>
      <paraID>6B8E2EB8</paraID>
      <start>6</start>
      <end>7</end>
      <status>modified</status>
      <modifiedWord>）</modifiedWord>
      <trackRevisions>false</trackRevisions>
    </reviewItem>
    <reviewItem>
      <errorID>b36d992e-913d-41d4-8662-3db139e3cdd0</errorID>
      <errorWord>(</errorWord>
      <group>L1_Format</group>
      <groupName>格式问题</groupName>
      <ability>L2_HalfPunc</ability>
      <abilityName>全半角检查</abilityName>
      <candidateList>
        <item>（</item>
      </candidateList>
      <explain>文本全半角错误。</explain>
      <paraID>17FEE8CC</paraID>
      <start>4</start>
      <end>5</end>
      <status>modified</status>
      <modifiedWord>（</modifiedWord>
      <trackRevisions>false</trackRevisions>
    </reviewItem>
    <reviewItem>
      <errorID>5e892b3e-0bdd-43e5-a015-2e9d959ab5df</errorID>
      <errorWord>)</errorWord>
      <group>L1_Format</group>
      <groupName>格式问题</groupName>
      <ability>L2_HalfPunc</ability>
      <abilityName>全半角检查</abilityName>
      <candidateList>
        <item>）</item>
      </candidateList>
      <explain>文本全半角错误。</explain>
      <paraID>17FEE8CC</paraID>
      <start>6</start>
      <end>7</end>
      <status>modified</status>
      <modifiedWord>）</modifiedWord>
      <trackRevisions>false</trackRevisions>
    </reviewItem>
    <reviewItem>
      <errorID>f9b63780-0401-40e1-9bc1-54a6cdca808e</errorID>
      <errorWord>(</errorWord>
      <group>L1_Format</group>
      <groupName>格式问题</groupName>
      <ability>L2_HalfPunc</ability>
      <abilityName>全半角检查</abilityName>
      <candidateList>
        <item>（</item>
      </candidateList>
      <explain>文本全半角错误。</explain>
      <paraID>2E6C0895</paraID>
      <start>4</start>
      <end>5</end>
      <status>modified</status>
      <modifiedWord>（</modifiedWord>
      <trackRevisions>false</trackRevisions>
    </reviewItem>
    <reviewItem>
      <errorID>5a8987a3-d134-42e7-a305-4f69e56db3ec</errorID>
      <errorWord>)</errorWord>
      <group>L1_Format</group>
      <groupName>格式问题</groupName>
      <ability>L2_HalfPunc</ability>
      <abilityName>全半角检查</abilityName>
      <candidateList>
        <item>）</item>
      </candidateList>
      <explain>文本全半角错误。</explain>
      <paraID>2E6C0895</paraID>
      <start>6</start>
      <end>7</end>
      <status>modified</status>
      <modifiedWord>）</modifiedWord>
      <trackRevisions>false</trackRevisions>
    </reviewItem>
    <reviewItem>
      <errorID>eb72cfe2-9488-4c2f-8262-74e563862034</errorID>
      <errorWord>(</errorWord>
      <group>L1_Format</group>
      <groupName>格式问题</groupName>
      <ability>L2_HalfPunc</ability>
      <abilityName>全半角检查</abilityName>
      <candidateList>
        <item>（</item>
      </candidateList>
      <explain>文本全半角错误。</explain>
      <paraID> 7B8F278</paraID>
      <start>4</start>
      <end>5</end>
      <status>modified</status>
      <modifiedWord>（</modifiedWord>
      <trackRevisions>false</trackRevisions>
    </reviewItem>
    <reviewItem>
      <errorID>762c1aee-442d-4766-bda4-d038c1aa458b</errorID>
      <errorWord>)</errorWord>
      <group>L1_Format</group>
      <groupName>格式问题</groupName>
      <ability>L2_HalfPunc</ability>
      <abilityName>全半角检查</abilityName>
      <candidateList>
        <item>）</item>
      </candidateList>
      <explain>文本全半角错误。</explain>
      <paraID> 7B8F278</paraID>
      <start>6</start>
      <end>7</end>
      <status>modified</status>
      <modifiedWord>）</modifiedWord>
      <trackRevisions>false</trackRevisions>
    </reviewItem>
    <reviewItem>
      <errorID>5907e7c5-e3b5-4986-80c3-e3b09435b910</errorID>
      <errorWord>(</errorWord>
      <group>L1_Format</group>
      <groupName>格式问题</groupName>
      <ability>L2_HalfPunc</ability>
      <abilityName>全半角检查</abilityName>
      <candidateList>
        <item>（</item>
      </candidateList>
      <explain>文本全半角错误。</explain>
      <paraID>770E9FC6</paraID>
      <start>4</start>
      <end>5</end>
      <status>modified</status>
      <modifiedWord>（</modifiedWord>
      <trackRevisions>false</trackRevisions>
    </reviewItem>
    <reviewItem>
      <errorID>7409a218-a000-4c06-9634-e4b62cb03cbb</errorID>
      <errorWord>)</errorWord>
      <group>L1_Format</group>
      <groupName>格式问题</groupName>
      <ability>L2_HalfPunc</ability>
      <abilityName>全半角检查</abilityName>
      <candidateList>
        <item>）</item>
      </candidateList>
      <explain>文本全半角错误。</explain>
      <paraID>770E9FC6</paraID>
      <start>6</start>
      <end>7</end>
      <status>modified</status>
      <modifiedWord>）</modifiedWord>
      <trackRevisions>false</trackRevisions>
    </reviewItem>
    <reviewItem>
      <errorID>2206336d-d9e4-4783-b15b-5a1f537d9e7a</errorID>
      <errorWord>(</errorWord>
      <group>L1_Format</group>
      <groupName>格式问题</groupName>
      <ability>L2_HalfPunc</ability>
      <abilityName>全半角检查</abilityName>
      <candidateList>
        <item>（</item>
      </candidateList>
      <explain>文本全半角错误。</explain>
      <paraID>2A3DD14E</paraID>
      <start>4</start>
      <end>5</end>
      <status>modified</status>
      <modifiedWord>（</modifiedWord>
      <trackRevisions>false</trackRevisions>
    </reviewItem>
    <reviewItem>
      <errorID>3dd11b60-6115-498a-a455-3fae4e8777a6</errorID>
      <errorWord>)</errorWord>
      <group>L1_Format</group>
      <groupName>格式问题</groupName>
      <ability>L2_HalfPunc</ability>
      <abilityName>全半角检查</abilityName>
      <candidateList>
        <item>）</item>
      </candidateList>
      <explain>文本全半角错误。</explain>
      <paraID>2A3DD14E</paraID>
      <start>6</start>
      <end>7</end>
      <status>modified</status>
      <modifiedWord>）</modifiedWord>
      <trackRevisions>false</trackRevisions>
    </reviewItem>
    <reviewItem>
      <errorID>3eac05d0-0cb4-4c20-b597-a42729bd687a</errorID>
      <errorWord>(</errorWord>
      <group>L1_Format</group>
      <groupName>格式问题</groupName>
      <ability>L2_HalfPunc</ability>
      <abilityName>全半角检查</abilityName>
      <candidateList>
        <item>（</item>
      </candidateList>
      <explain>文本全半角错误。</explain>
      <paraID>3F0497C9</paraID>
      <start>4</start>
      <end>5</end>
      <status>modified</status>
      <modifiedWord>（</modifiedWord>
      <trackRevisions>false</trackRevisions>
    </reviewItem>
    <reviewItem>
      <errorID>496590fb-a874-4726-b1b2-07d566e20558</errorID>
      <errorWord>)</errorWord>
      <group>L1_Format</group>
      <groupName>格式问题</groupName>
      <ability>L2_HalfPunc</ability>
      <abilityName>全半角检查</abilityName>
      <candidateList>
        <item>）</item>
      </candidateList>
      <explain>文本全半角错误。</explain>
      <paraID>3F0497C9</paraID>
      <start>6</start>
      <end>7</end>
      <status>modified</status>
      <modifiedWord>）</modifiedWord>
      <trackRevisions>false</trackRevisions>
    </reviewItem>
    <reviewItem>
      <errorID>91d6bebe-b3ba-48fa-bf1f-23dc19fed66e</errorID>
      <errorWord>(</errorWord>
      <group>L1_Format</group>
      <groupName>格式问题</groupName>
      <ability>L2_HalfPunc</ability>
      <abilityName>全半角检查</abilityName>
      <candidateList>
        <item>（</item>
      </candidateList>
      <explain>文本全半角错误。</explain>
      <paraID>3F13FC4F</paraID>
      <start>4</start>
      <end>5</end>
      <status>modified</status>
      <modifiedWord>（</modifiedWord>
      <trackRevisions>false</trackRevisions>
    </reviewItem>
    <reviewItem>
      <errorID>b481813e-8eb4-43a0-93ef-aa5c647ca08f</errorID>
      <errorWord>)</errorWord>
      <group>L1_Format</group>
      <groupName>格式问题</groupName>
      <ability>L2_HalfPunc</ability>
      <abilityName>全半角检查</abilityName>
      <candidateList>
        <item>）</item>
      </candidateList>
      <explain>文本全半角错误。</explain>
      <paraID>3F13FC4F</paraID>
      <start>6</start>
      <end>7</end>
      <status>modified</status>
      <modifiedWord>）</modifiedWord>
      <trackRevisions>false</trackRevisions>
    </reviewItem>
    <reviewItem>
      <errorID>41dee8b1-357b-4025-a7ed-a21bc0fc37bd</errorID>
      <errorWord>(</errorWord>
      <group>L1_Format</group>
      <groupName>格式问题</groupName>
      <ability>L2_HalfPunc</ability>
      <abilityName>全半角检查</abilityName>
      <candidateList>
        <item>（</item>
      </candidateList>
      <explain>文本全半角错误。</explain>
      <paraID>20A1AFF2</paraID>
      <start>4</start>
      <end>5</end>
      <status>modified</status>
      <modifiedWord>（</modifiedWord>
      <trackRevisions>false</trackRevisions>
    </reviewItem>
    <reviewItem>
      <errorID>9f34e04e-523a-4ead-a1c3-05bbc21808f8</errorID>
      <errorWord>)</errorWord>
      <group>L1_Format</group>
      <groupName>格式问题</groupName>
      <ability>L2_HalfPunc</ability>
      <abilityName>全半角检查</abilityName>
      <candidateList>
        <item>）</item>
      </candidateList>
      <explain>文本全半角错误。</explain>
      <paraID>20A1AFF2</paraID>
      <start>6</start>
      <end>7</end>
      <status>modified</status>
      <modifiedWord>）</modifiedWord>
      <trackRevisions>false</trackRevisions>
    </reviewItem>
    <reviewItem>
      <errorID>c08f1bc3-f313-43f6-a9dd-cea05364697e</errorID>
      <errorWord>(</errorWord>
      <group>L1_Format</group>
      <groupName>格式问题</groupName>
      <ability>L2_HalfPunc</ability>
      <abilityName>全半角检查</abilityName>
      <candidateList>
        <item>（</item>
      </candidateList>
      <explain>文本全半角错误。</explain>
      <paraID>4D69E35A</paraID>
      <start>4</start>
      <end>5</end>
      <status>modified</status>
      <modifiedWord>（</modifiedWord>
      <trackRevisions>false</trackRevisions>
    </reviewItem>
    <reviewItem>
      <errorID>47b703d3-6da1-4b27-98a7-70ff0828dd0e</errorID>
      <errorWord>)</errorWord>
      <group>L1_Format</group>
      <groupName>格式问题</groupName>
      <ability>L2_HalfPunc</ability>
      <abilityName>全半角检查</abilityName>
      <candidateList>
        <item>）</item>
      </candidateList>
      <explain>文本全半角错误。</explain>
      <paraID>4D69E35A</paraID>
      <start>6</start>
      <end>7</end>
      <status>modified</status>
      <modifiedWord>）</modifiedWord>
      <trackRevisions>false</trackRevisions>
    </reviewItem>
    <reviewItem>
      <errorID>667a6c27-f807-4861-b48a-925015222975</errorID>
      <errorWord>(</errorWord>
      <group>L1_Format</group>
      <groupName>格式问题</groupName>
      <ability>L2_HalfPunc</ability>
      <abilityName>全半角检查</abilityName>
      <candidateList>
        <item>（</item>
      </candidateList>
      <explain>文本全半角错误。</explain>
      <paraID>7A755279</paraID>
      <start>4</start>
      <end>5</end>
      <status>modified</status>
      <modifiedWord>（</modifiedWord>
      <trackRevisions>false</trackRevisions>
    </reviewItem>
    <reviewItem>
      <errorID>32d9ac03-20d4-4289-b5ae-c9faf62210ce</errorID>
      <errorWord>)</errorWord>
      <group>L1_Format</group>
      <groupName>格式问题</groupName>
      <ability>L2_HalfPunc</ability>
      <abilityName>全半角检查</abilityName>
      <candidateList>
        <item>）</item>
      </candidateList>
      <explain>文本全半角错误。</explain>
      <paraID>7A755279</paraID>
      <start>6</start>
      <end>7</end>
      <status>modified</status>
      <modifiedWord>）</modifiedWord>
      <trackRevisions>false</trackRevisions>
    </reviewItem>
    <reviewItem>
      <errorID>5d11648c-6155-4424-bb62-e00ee830b222</errorID>
      <errorWord>;</errorWord>
      <group>L1_Format</group>
      <groupName>格式问题</groupName>
      <ability>L2_HalfPunc</ability>
      <abilityName>全半角检查</abilityName>
      <candidateList>
        <item>；</item>
      </candidateList>
      <explain>文本全半角错误。</explain>
      <paraID>6BB85CB5</paraID>
      <start>36</start>
      <end>37</end>
      <status>modified</status>
      <modifiedWord>；</modifiedWord>
      <trackRevisions>false</trackRevisions>
    </reviewItem>
    <reviewItem>
      <errorID>c937f918-7efb-4048-a25b-4f7240f5d0e9</errorID>
      <errorWord>,</errorWord>
      <group>L1_Format</group>
      <groupName>格式问题</groupName>
      <ability>L2_HalfPunc</ability>
      <abilityName>全半角检查</abilityName>
      <candidateList>
        <item>，</item>
      </candidateList>
      <explain>文本全半角错误。</explain>
      <paraID>6BB85CB5</paraID>
      <start>56</start>
      <end>57</end>
      <status>modified</status>
      <modifiedWord>，</modifiedWord>
      <trackRevisions>false</trackRevisions>
    </reviewItem>
    <reviewItem>
      <errorID>865b0cbc-1e02-4c78-b59b-81d0a43b0c8a</errorID>
      <errorWord>(</errorWord>
      <group>L1_Format</group>
      <groupName>格式问题</groupName>
      <ability>L2_HalfPunc</ability>
      <abilityName>全半角检查</abilityName>
      <candidateList>
        <item>（</item>
      </candidateList>
      <explain>文本全半角错误。</explain>
      <paraID> 4283B71</paraID>
      <start>15</start>
      <end>16</end>
      <status>modified</status>
      <modifiedWord>（</modifiedWord>
      <trackRevisions>false</trackRevisions>
    </reviewItem>
    <reviewItem>
      <errorID>c6e99ff8-6d0a-4fd0-9bb6-27dcf84eb0dd</errorID>
      <errorWord>)</errorWord>
      <group>L1_Format</group>
      <groupName>格式问题</groupName>
      <ability>L2_HalfPunc</ability>
      <abilityName>全半角检查</abilityName>
      <candidateList>
        <item>）</item>
      </candidateList>
      <explain>文本全半角错误。</explain>
      <paraID> 4283B71</paraID>
      <start>26</start>
      <end>27</end>
      <status>modified</status>
      <modifiedWord>）</modifiedWord>
      <trackRevisions>false</trackRevisions>
    </reviewItem>
    <reviewItem>
      <errorID>3b450a55-673f-44ba-8417-cc26d66a9111</errorID>
      <errorWord>结构</errorWord>
      <group>L1_Word</group>
      <groupName>字词问题</groupName>
      <ability>L2_Typo</ability>
      <abilityName>字词错误</abilityName>
      <candidateList>
        <item>构</item>
      </candidateList>
      <explain/>
      <paraID>75DBBBCC</paraID>
      <start>3</start>
      <end>5</end>
      <status>ignored</status>
      <modifiedWord/>
      <trackRevisions>false</trackRevisions>
    </reviewItem>
    <reviewItem>
      <errorID>0bb25e9d-677e-47c5-933c-d1b9b7b90adb</errorID>
      <errorWord>其它</errorWord>
      <group>L1_Word</group>
      <groupName>字词问题</groupName>
      <ability>L2_Alias</ability>
      <abilityName>也作/曾用词</abilityName>
      <candidateList>
        <item>其他</item>
      </candidateList>
      <explain>词汇[其它]为不规范表述或旧称，其规范书面表述为[其他]。</explain>
      <paraID>4B6BC1F9</paraID>
      <start>41</start>
      <end>43</end>
      <status>modified</status>
      <modifiedWord>其他</modifiedWord>
      <trackRevisions>false</trackRevisions>
    </reviewItem>
    <reviewItem>
      <errorID>7a030e99-9fda-4200-9660-5682ce937718</errorID>
      <errorWord>,</errorWord>
      <group>L1_Format</group>
      <groupName>格式问题</groupName>
      <ability>L2_HalfPunc</ability>
      <abilityName>全半角检查</abilityName>
      <candidateList>
        <item>，</item>
      </candidateList>
      <explain>文本全半角错误。</explain>
      <paraID>4A68EDCC</paraID>
      <start>28</start>
      <end>29</end>
      <status>modified</status>
      <modifiedWord>，</modifiedWord>
      <trackRevisions>false</trackRevisions>
    </reviewItem>
    <reviewItem>
      <errorID>41d0d763-e63a-442c-9733-1cf6de6e20c3</errorID>
      <errorWord>,</errorWord>
      <group>L1_Format</group>
      <groupName>格式问题</groupName>
      <ability>L2_HalfPunc</ability>
      <abilityName>全半角检查</abilityName>
      <candidateList>
        <item>，</item>
      </candidateList>
      <explain>文本全半角错误。</explain>
      <paraID>4A68EDCC</paraID>
      <start>45</start>
      <end>46</end>
      <status>modified</status>
      <modifiedWord>，</modifiedWord>
      <trackRevisions>false</trackRevisions>
    </reviewItem>
    <reviewItem>
      <errorID>6851e143-eacd-417a-b4be-4983bf18f578</errorID>
      <errorWord>)</errorWord>
      <group>L1_Format</group>
      <groupName>格式问题</groupName>
      <ability>L2_HalfPunc</ability>
      <abilityName>全半角检查</abilityName>
      <candidateList>
        <item>）</item>
      </candidateList>
      <explain>文本全半角错误。</explain>
      <paraID>26FA05AD</paraID>
      <start>178</start>
      <end>179</end>
      <status>modified</status>
      <modifiedWord>）</modifiedWord>
      <trackRevisions>false</trackRevisions>
    </reviewItem>
    <reviewItem>
      <errorID>e824b66e-f007-45ab-ab46-b489b3006c44</errorID>
      <errorWord>)</errorWord>
      <group>L1_Format</group>
      <groupName>格式问题</groupName>
      <ability>L2_HalfPunc</ability>
      <abilityName>全半角检查</abilityName>
      <candidateList>
        <item>）</item>
      </candidateList>
      <explain>文本全半角错误。</explain>
      <paraID>26FA05AD</paraID>
      <start>204</start>
      <end>205</end>
      <status>modified</status>
      <modifiedWord>）</modifiedWord>
      <trackRevisions>false</trackRevisions>
    </reviewItem>
    <reviewItem>
      <errorID>0273a963-c6c0-48d6-93a3-39bc8926908b</errorID>
      <errorWord>,</errorWord>
      <group>L1_Format</group>
      <groupName>格式问题</groupName>
      <ability>L2_HalfPunc</ability>
      <abilityName>全半角检查</abilityName>
      <candidateList>
        <item>，</item>
      </candidateList>
      <explain>文本全半角错误。</explain>
      <paraID>26FA05AD</paraID>
      <start>246</start>
      <end>247</end>
      <status>modified</status>
      <modifiedWord>，</modifiedWord>
      <trackRevisions>false</trackRevisions>
    </reviewItem>
    <reviewItem>
      <errorID>94961d55-202d-4127-a11d-ae47be9f1d98</errorID>
      <errorWord>,</errorWord>
      <group>L1_Format</group>
      <groupName>格式问题</groupName>
      <ability>L2_HalfPunc</ability>
      <abilityName>全半角检查</abilityName>
      <candidateList>
        <item>，</item>
      </candidateList>
      <explain>文本全半角错误。</explain>
      <paraID>26FA05AD</paraID>
      <start>262</start>
      <end>263</end>
      <status>modified</status>
      <modifiedWord>，</modifiedWord>
      <trackRevisions>false</trackRevisions>
    </reviewItem>
    <reviewItem>
      <errorID>d3bdbc34-4477-4b65-88c0-987abad98c06</errorID>
      <errorWord>)</errorWord>
      <group>L1_Format</group>
      <groupName>格式问题</groupName>
      <ability>L2_HalfPunc</ability>
      <abilityName>全半角检查</abilityName>
      <candidateList>
        <item>）</item>
      </candidateList>
      <explain>文本全半角错误。</explain>
      <paraID>26FA05AD</paraID>
      <start>282</start>
      <end>283</end>
      <status>modified</status>
      <modifiedWord>）</modifiedWord>
      <trackRevisions>false</trackRevisions>
    </reviewItem>
    <reviewItem>
      <errorID>b0ae472f-1459-4568-bde9-fce13b59467b</errorID>
      <errorWord>,</errorWord>
      <group>L1_Format</group>
      <groupName>格式问题</groupName>
      <ability>L2_HalfPunc</ability>
      <abilityName>全半角检查</abilityName>
      <candidateList>
        <item>，</item>
      </candidateList>
      <explain>文本全半角错误。</explain>
      <paraID>26FA05AD</paraID>
      <start>305</start>
      <end>306</end>
      <status>modified</status>
      <modifiedWord>，</modifiedWord>
      <trackRevisions>false</trackRevisions>
    </reviewItem>
    <reviewItem>
      <errorID>e9183b9d-d1c1-466f-b6ac-67f60b1d6a37</errorID>
      <errorWord>：</errorWord>
      <group>L1_Format</group>
      <groupName>格式问题</groupName>
      <ability>L2_HalfPunc</ability>
      <abilityName>全半角检查</abilityName>
      <candidateList>
        <item>:</item>
      </candidateList>
      <explain>文本全半角错误。</explain>
      <paraID>24D5EE36</paraID>
      <start>32</start>
      <end>33</end>
      <status>modified</status>
      <modifiedWord>:</modifiedWord>
      <trackRevisions>false</trackRevisions>
    </reviewItem>
    <reviewItem>
      <errorID>91160d3d-9675-4032-a577-055aaa3deb10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6507DB94</paraID>
      <start>25</start>
      <end>26</end>
      <status>modified</status>
      <modifiedWord>—</modifiedWord>
      <trackRevisions>false</trackRevisions>
    </reviewItem>
    <reviewItem>
      <errorID>23226b3e-f840-442d-ad23-f0a3f7ae3444</errorID>
      <errorWord>"</errorWord>
      <group>L1_Format</group>
      <groupName>格式问题</groupName>
      <ability>L2_HalfPunc</ability>
      <abilityName>全半角检查</abilityName>
      <candidateList/>
      <explain>文本全半角错误。</explain>
      <paraID>32B9A1C2</paraID>
      <start>22</start>
      <end>23</end>
      <status>ignored</status>
      <modifiedWord/>
      <trackRevisions>false</trackRevisions>
    </reviewItem>
    <reviewItem>
      <errorID>ffd58a43-6cf0-4beb-84ca-8e1cf1b6c84a</errorID>
      <errorWord>,</errorWord>
      <group>L1_Format</group>
      <groupName>格式问题</groupName>
      <ability>L2_HalfPunc</ability>
      <abilityName>全半角检查</abilityName>
      <candidateList>
        <item>，</item>
      </candidateList>
      <explain>文本全半角错误。</explain>
      <paraID>37D0F10D</paraID>
      <start>23</start>
      <end>24</end>
      <status>modified</status>
      <modifiedWord>，</modifiedWord>
      <trackRevisions>false</trackRevisions>
    </reviewItem>
    <reviewItem>
      <errorID>cf8cb7ad-ffbc-471b-b340-87904a6d8e68</errorID>
      <errorWord>有</errorWord>
      <group>L1_Word</group>
      <groupName>字词问题</groupName>
      <ability>L2_Typo</ability>
      <abilityName>字词错误</abilityName>
      <candidateList>
        <item>由</item>
      </candidateList>
      <explain>存在发音相同字词的误用。</explain>
      <paraID>5CE3234A</paraID>
      <start>5</start>
      <end>6</end>
      <status>unmodified</status>
      <modifiedWord/>
      <trackRevisions>false</trackRevisions>
    </reviewItem>
    <reviewItem>
      <errorID>98cc1254-b7b1-4c8b-a59f-bc93a3f3ca74</errorID>
      <errorWord>侍服电机</errorWord>
      <group>L1_Knowledge</group>
      <groupName>知识性问题</groupName>
      <ability>L2_Term</ability>
      <abilityName>专业术语</abilityName>
      <candidateList>
        <item>伺服电机</item>
      </candidateList>
      <explain/>
      <paraID>5CE3234A</paraID>
      <start>14</start>
      <end>18</end>
      <status>unmodified</status>
      <modifiedWord/>
      <trackRevisions>false</trackRevisions>
    </reviewItem>
    <reviewItem>
      <errorID>8f5bc3fc-16dc-42e2-815a-31a6abdb18d2</errorID>
      <errorWord>详实</errorWord>
      <group>L1_Word</group>
      <groupName>字词问题</groupName>
      <ability>L2_Typo</ability>
      <abilityName>字词错误</abilityName>
      <candidateList>
        <item>翔实</item>
      </candidateList>
      <explain/>
      <paraID>79FE38D2</paraID>
      <start>16</start>
      <end>18</end>
      <status>unmodified</status>
      <modifiedWord/>
      <trackRevisions>false</trackRevisions>
    </reviewItem>
    <reviewItem>
      <errorID>f9cea8dc-22ac-4c10-9a91-b6228d7a27f5</errorID>
      <errorWord>、</errorWord>
      <group>L1_Punc</group>
      <groupName>标点问题</groupName>
      <ability>L2_Punc</ability>
      <abilityName>标点符号检查</abilityName>
      <candidateList/>
      <explain/>
      <paraID> D9B9751</paraID>
      <start>0</start>
      <end>1</end>
      <status>ignored</status>
      <modifiedWord/>
      <trackRevisions>false</trackRevisions>
    </reviewItem>
    <reviewItem>
      <errorID>2b4e9fc0-8cc8-4f22-ae70-d224f58cd81d</errorID>
      <errorWord>。；</errorWord>
      <group>L1_Punc</group>
      <groupName>标点问题</groupName>
      <ability>L2_Punc</ability>
      <abilityName>标点符号检查</abilityName>
      <candidateList>
        <item>。</item>
      </candidateList>
      <explain/>
      <paraID>3D7CC5F0</paraID>
      <start>54</start>
      <end>55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CBB6AC-912C-4FA4-9970-F86EE99AB264}">
  <ds:schemaRefs/>
</ds:datastoreItem>
</file>

<file path=customXml/itemProps3.xml><?xml version="1.0" encoding="utf-8"?>
<ds:datastoreItem xmlns:ds="http://schemas.openxmlformats.org/officeDocument/2006/customXml" ds:itemID="{482fdeac-8607-4e90-a70f-63cc746f370b}">
  <ds:schemaRefs/>
</ds:datastoreItem>
</file>

<file path=docProps/app.xml><?xml version="1.0" encoding="utf-8"?>
<Properties xmlns="http://schemas.openxmlformats.org/officeDocument/2006/extended-properties" xmlns:vt="http://schemas.openxmlformats.org/officeDocument/2006/docPropsVTypes">
  <Template>Normal</Template>
  <Pages>79</Pages>
  <Words>19543</Words>
  <Characters>21508</Characters>
  <Lines>328</Lines>
  <Paragraphs>92</Paragraphs>
  <TotalTime>14</TotalTime>
  <ScaleCrop>false</ScaleCrop>
  <LinksUpToDate>false</LinksUpToDate>
  <CharactersWithSpaces>22289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2024-05-20T10:28:00Z</dcterms:created>
  <dc:creator>WM</dc:creator>
  <cp:lastModifiedBy>Concordia.</cp:lastModifiedBy>
  <cp:lastPrinted>2024-10-25T09:06:00Z</cp:lastPrinted>
  <dcterms:modified xsi:type="dcterms:W3CDTF">2026-04-20T12:02:48Z</dcterms:modified>
  <cp:revision>518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0ED6BBD27F1E45DA972AE9D570433A86_13</vt:lpwstr>
  </property>
  <property fmtid="{D5CDD505-2E9C-101B-9397-08002B2CF9AE}" pid="4" name="KSOTemplateDocerSaveRecord">
    <vt:lpwstr>eyJoZGlkIjoiZmUxOWI1MTEyM2JmYzhmYzM3NmE4YTFhMGVhN2JiMmQiLCJ1c2VySWQiOiIzMDc5ODYwMDEifQ==</vt:lpwstr>
  </property>
</Properties>
</file>