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firstLine="0" w:firstLineChars="0"/>
        <w:jc w:val="center"/>
        <w:rPr>
          <w:rFonts w:ascii="Arial" w:hAnsi="Arial" w:cs="Arial"/>
          <w:color w:val="auto"/>
          <w:sz w:val="36"/>
          <w:szCs w:val="22"/>
          <w:highlight w:val="none"/>
        </w:rPr>
      </w:pPr>
      <w:bookmarkStart w:id="0" w:name="_Toc30527"/>
      <w:bookmarkStart w:id="1" w:name="_Toc27683"/>
      <w:bookmarkStart w:id="2" w:name="_Toc31607"/>
      <w:bookmarkStart w:id="3" w:name="_Toc499740343"/>
      <w:bookmarkStart w:id="4" w:name="_Toc499740421"/>
      <w:bookmarkStart w:id="5" w:name="_Toc487791125"/>
      <w:bookmarkStart w:id="6" w:name="_Toc496021249"/>
      <w:bookmarkStart w:id="7" w:name="_Toc28287"/>
      <w:bookmarkStart w:id="8" w:name="_Toc494292903"/>
      <w:bookmarkStart w:id="9" w:name="_Toc490483529"/>
      <w:bookmarkStart w:id="10" w:name="_Toc30975"/>
      <w:bookmarkStart w:id="11" w:name="_Toc482610222"/>
      <w:bookmarkStart w:id="12" w:name="_Toc457464666"/>
      <w:bookmarkStart w:id="13" w:name="_Toc463772485"/>
    </w:p>
    <w:p>
      <w:pPr>
        <w:spacing w:beforeLines="50" w:line="240" w:lineRule="auto"/>
        <w:ind w:firstLine="0" w:firstLineChars="0"/>
        <w:jc w:val="center"/>
        <w:rPr>
          <w:rFonts w:ascii="楷体" w:hAnsi="楷体" w:eastAsia="楷体" w:cs="黑体"/>
          <w:color w:val="auto"/>
          <w:sz w:val="140"/>
          <w:szCs w:val="140"/>
          <w:highlight w:val="none"/>
        </w:rPr>
      </w:pPr>
      <w:r>
        <w:rPr>
          <w:rFonts w:hint="eastAsia" w:ascii="楷体" w:hAnsi="楷体" w:eastAsia="楷体" w:cs="黑体"/>
          <w:color w:val="auto"/>
          <w:sz w:val="140"/>
          <w:szCs w:val="140"/>
          <w:highlight w:val="none"/>
        </w:rPr>
        <w:t>政府采购</w:t>
      </w:r>
    </w:p>
    <w:p>
      <w:pPr>
        <w:spacing w:line="240" w:lineRule="auto"/>
        <w:ind w:firstLine="0" w:firstLineChars="0"/>
        <w:jc w:val="center"/>
        <w:rPr>
          <w:rFonts w:ascii="楷体" w:hAnsi="楷体" w:eastAsia="楷体" w:cs="黑体"/>
          <w:color w:val="auto"/>
          <w:sz w:val="140"/>
          <w:szCs w:val="140"/>
          <w:highlight w:val="none"/>
        </w:rPr>
      </w:pPr>
      <w:bookmarkStart w:id="14" w:name="_Toc469316947"/>
      <w:bookmarkStart w:id="15" w:name="_Toc468721588"/>
      <w:bookmarkStart w:id="16" w:name="_Toc413685992"/>
      <w:bookmarkStart w:id="17" w:name="_Toc435688983"/>
      <w:bookmarkStart w:id="18" w:name="_Toc456086365"/>
      <w:bookmarkStart w:id="19" w:name="_Toc17077"/>
      <w:bookmarkStart w:id="20" w:name="_Toc409189801"/>
      <w:bookmarkStart w:id="21" w:name="_Toc413679810"/>
      <w:bookmarkStart w:id="22" w:name="_Toc409193567"/>
      <w:bookmarkStart w:id="23" w:name="_Toc29432"/>
      <w:bookmarkStart w:id="24" w:name="_Toc409192623"/>
      <w:bookmarkStart w:id="25" w:name="_Toc430867917"/>
      <w:bookmarkStart w:id="26" w:name="_Toc446943624"/>
      <w:bookmarkStart w:id="27" w:name="_Toc451249795"/>
      <w:bookmarkStart w:id="28" w:name="_Toc438131407"/>
      <w:bookmarkStart w:id="29" w:name="_Toc439852594"/>
      <w:bookmarkStart w:id="30" w:name="_Toc431195362"/>
      <w:bookmarkStart w:id="31" w:name="_Toc409425101"/>
      <w:bookmarkStart w:id="32" w:name="_Toc409189910"/>
      <w:bookmarkStart w:id="33" w:name="_Toc438137159"/>
      <w:bookmarkStart w:id="34" w:name="_Toc8021"/>
      <w:bookmarkStart w:id="35" w:name="_Toc6605"/>
      <w:bookmarkStart w:id="36" w:name="_Toc463772483"/>
      <w:bookmarkStart w:id="37" w:name="_Toc409192309"/>
      <w:bookmarkStart w:id="38" w:name="_Toc457464664"/>
      <w:bookmarkStart w:id="39" w:name="_Toc435625957"/>
      <w:bookmarkStart w:id="40" w:name="_Toc446944053"/>
      <w:bookmarkStart w:id="41" w:name="_Toc438132321"/>
      <w:bookmarkStart w:id="42" w:name="_Toc409193449"/>
      <w:bookmarkStart w:id="43" w:name="_Toc441071193"/>
      <w:r>
        <w:rPr>
          <w:rFonts w:hint="eastAsia" w:ascii="楷体" w:hAnsi="楷体" w:eastAsia="楷体" w:cs="黑体"/>
          <w:color w:val="auto"/>
          <w:sz w:val="140"/>
          <w:szCs w:val="140"/>
          <w:highlight w:val="none"/>
        </w:rPr>
        <w:t>招标文件</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spacing w:line="240" w:lineRule="auto"/>
        <w:ind w:firstLine="0" w:firstLineChars="0"/>
        <w:jc w:val="center"/>
        <w:rPr>
          <w:rFonts w:ascii="Arial" w:hAnsi="Arial" w:cs="Arial"/>
          <w:color w:val="auto"/>
          <w:sz w:val="36"/>
          <w:szCs w:val="22"/>
          <w:highlight w:val="none"/>
        </w:rPr>
      </w:pPr>
    </w:p>
    <w:p>
      <w:pPr>
        <w:spacing w:line="240" w:lineRule="auto"/>
        <w:ind w:firstLine="0" w:firstLineChars="0"/>
        <w:jc w:val="center"/>
        <w:rPr>
          <w:rFonts w:ascii="Arial" w:hAnsi="Arial" w:cs="Arial"/>
          <w:color w:val="auto"/>
          <w:sz w:val="36"/>
          <w:szCs w:val="22"/>
          <w:highlight w:val="none"/>
        </w:rPr>
      </w:pPr>
    </w:p>
    <w:p>
      <w:pPr>
        <w:spacing w:line="240" w:lineRule="auto"/>
        <w:ind w:firstLine="0" w:firstLineChars="0"/>
        <w:jc w:val="center"/>
        <w:rPr>
          <w:rFonts w:ascii="Arial" w:hAnsi="Arial" w:cs="Arial"/>
          <w:color w:val="auto"/>
          <w:sz w:val="36"/>
          <w:szCs w:val="22"/>
          <w:highlight w:val="none"/>
        </w:rPr>
      </w:pPr>
    </w:p>
    <w:p>
      <w:pPr>
        <w:spacing w:line="240" w:lineRule="auto"/>
        <w:ind w:firstLine="0" w:firstLineChars="0"/>
        <w:jc w:val="center"/>
        <w:rPr>
          <w:rFonts w:ascii="Arial" w:hAnsi="Arial" w:cs="Arial"/>
          <w:color w:val="auto"/>
          <w:sz w:val="36"/>
          <w:szCs w:val="22"/>
          <w:highlight w:val="none"/>
        </w:rPr>
      </w:pPr>
    </w:p>
    <w:p>
      <w:pPr>
        <w:autoSpaceDE w:val="0"/>
        <w:autoSpaceDN w:val="0"/>
        <w:spacing w:line="240" w:lineRule="auto"/>
        <w:ind w:left="3241" w:leftChars="700" w:right="720" w:rightChars="300" w:hanging="1561" w:hangingChars="488"/>
        <w:jc w:val="left"/>
        <w:rPr>
          <w:rFonts w:hint="eastAsia" w:ascii="仿宋" w:hAnsi="仿宋" w:eastAsia="仿宋" w:cs="Arial"/>
          <w:b/>
          <w:bCs/>
          <w:color w:val="auto"/>
          <w:sz w:val="32"/>
          <w:szCs w:val="21"/>
          <w:highlight w:val="none"/>
        </w:rPr>
      </w:pPr>
      <w:r>
        <w:rPr>
          <w:rFonts w:hint="eastAsia" w:ascii="仿宋" w:hAnsi="仿宋" w:eastAsia="仿宋" w:cs="Arial"/>
          <w:b/>
          <w:bCs/>
          <w:color w:val="auto"/>
          <w:sz w:val="32"/>
          <w:szCs w:val="21"/>
          <w:highlight w:val="none"/>
        </w:rPr>
        <w:t>项 目 号：</w:t>
      </w:r>
      <w:bookmarkEnd w:id="0"/>
      <w:bookmarkEnd w:id="1"/>
      <w:bookmarkEnd w:id="2"/>
      <w:bookmarkEnd w:id="3"/>
      <w:bookmarkEnd w:id="4"/>
      <w:bookmarkEnd w:id="5"/>
      <w:bookmarkEnd w:id="6"/>
      <w:bookmarkEnd w:id="7"/>
      <w:bookmarkEnd w:id="8"/>
      <w:bookmarkEnd w:id="9"/>
      <w:bookmarkEnd w:id="10"/>
      <w:bookmarkEnd w:id="11"/>
      <w:bookmarkStart w:id="44" w:name="_Toc409192311"/>
      <w:bookmarkStart w:id="45" w:name="_Toc413679812"/>
      <w:bookmarkStart w:id="46" w:name="_Toc30923"/>
      <w:bookmarkStart w:id="47" w:name="_Toc409193451"/>
      <w:bookmarkStart w:id="48" w:name="_Toc451249797"/>
      <w:bookmarkStart w:id="49" w:name="_Toc14433"/>
      <w:bookmarkStart w:id="50" w:name="_Toc438137161"/>
      <w:bookmarkStart w:id="51" w:name="_Toc456086367"/>
      <w:bookmarkStart w:id="52" w:name="_Toc413685994"/>
      <w:bookmarkStart w:id="53" w:name="_Toc430867919"/>
      <w:bookmarkStart w:id="54" w:name="_Toc446944055"/>
      <w:bookmarkStart w:id="55" w:name="_Toc468721590"/>
      <w:bookmarkStart w:id="56" w:name="_Toc439852596"/>
      <w:bookmarkStart w:id="57" w:name="_Toc438131409"/>
      <w:bookmarkStart w:id="58" w:name="_Toc469316949"/>
      <w:bookmarkStart w:id="59" w:name="_Toc435625959"/>
      <w:bookmarkStart w:id="60" w:name="_Toc431195364"/>
      <w:bookmarkStart w:id="61" w:name="_Toc409189803"/>
      <w:bookmarkStart w:id="62" w:name="_Toc409193569"/>
      <w:bookmarkStart w:id="63" w:name="_Toc409189912"/>
      <w:bookmarkStart w:id="64" w:name="_Toc435688985"/>
      <w:bookmarkStart w:id="65" w:name="_Toc409192625"/>
      <w:bookmarkStart w:id="66" w:name="_Toc438132323"/>
      <w:bookmarkStart w:id="67" w:name="_Toc446943626"/>
      <w:bookmarkStart w:id="68" w:name="_Toc441071195"/>
      <w:bookmarkStart w:id="69" w:name="_Toc409425103"/>
      <w:r>
        <w:rPr>
          <w:rFonts w:hint="eastAsia" w:ascii="仿宋" w:hAnsi="仿宋" w:eastAsia="仿宋" w:cs="Arial"/>
          <w:b/>
          <w:bCs/>
          <w:color w:val="auto"/>
          <w:sz w:val="32"/>
          <w:szCs w:val="21"/>
          <w:highlight w:val="none"/>
        </w:rPr>
        <w:t>BNQ25C00008</w:t>
      </w:r>
    </w:p>
    <w:p>
      <w:pPr>
        <w:spacing w:line="240" w:lineRule="auto"/>
        <w:ind w:firstLine="0" w:firstLineChars="0"/>
        <w:jc w:val="center"/>
        <w:rPr>
          <w:rFonts w:ascii="Arial" w:hAnsi="Arial" w:cs="Arial"/>
          <w:color w:val="auto"/>
          <w:sz w:val="36"/>
          <w:szCs w:val="22"/>
          <w:highlight w:val="none"/>
        </w:rPr>
      </w:pPr>
      <w:r>
        <w:rPr>
          <w:rFonts w:hint="eastAsia" w:ascii="仿宋" w:hAnsi="仿宋" w:eastAsia="仿宋" w:cs="Arial"/>
          <w:b/>
          <w:bCs/>
          <w:color w:val="auto"/>
          <w:sz w:val="32"/>
          <w:szCs w:val="21"/>
          <w:highlight w:val="none"/>
        </w:rPr>
        <w:t>项目名称</w:t>
      </w:r>
      <w:bookmarkEnd w:id="12"/>
      <w:bookmarkEnd w:id="1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仿宋" w:hAnsi="仿宋" w:eastAsia="仿宋" w:cs="Arial"/>
          <w:b/>
          <w:bCs/>
          <w:color w:val="auto"/>
          <w:sz w:val="32"/>
          <w:szCs w:val="21"/>
          <w:highlight w:val="none"/>
        </w:rPr>
        <w:t>：</w:t>
      </w:r>
      <w:r>
        <w:rPr>
          <w:rFonts w:hint="eastAsia" w:ascii="仿宋" w:hAnsi="仿宋" w:eastAsia="仿宋" w:cs="Arial"/>
          <w:b/>
          <w:bCs/>
          <w:color w:val="auto"/>
          <w:sz w:val="32"/>
          <w:szCs w:val="21"/>
          <w:highlight w:val="none"/>
          <w:lang w:val="en-US" w:eastAsia="zh-CN"/>
        </w:rPr>
        <w:t>重庆市</w:t>
      </w:r>
      <w:bookmarkStart w:id="70" w:name="_Toc1654"/>
      <w:bookmarkStart w:id="71" w:name="_Toc409189913"/>
      <w:bookmarkStart w:id="72" w:name="_Toc430867920"/>
      <w:bookmarkStart w:id="73" w:name="_Toc446944056"/>
      <w:bookmarkStart w:id="74" w:name="_Toc451249798"/>
      <w:bookmarkStart w:id="75" w:name="_Toc457464667"/>
      <w:bookmarkStart w:id="76" w:name="_Toc469316950"/>
      <w:bookmarkStart w:id="77" w:name="_Toc446943627"/>
      <w:bookmarkStart w:id="78" w:name="_Toc409192312"/>
      <w:bookmarkStart w:id="79" w:name="_Toc431195365"/>
      <w:bookmarkStart w:id="80" w:name="_Toc409192626"/>
      <w:bookmarkStart w:id="81" w:name="_Toc441071196"/>
      <w:bookmarkStart w:id="82" w:name="_Toc438137162"/>
      <w:bookmarkStart w:id="83" w:name="_Toc413679813"/>
      <w:bookmarkStart w:id="84" w:name="_Toc438132324"/>
      <w:bookmarkStart w:id="85" w:name="_Toc463772486"/>
      <w:bookmarkStart w:id="86" w:name="_Toc409193452"/>
      <w:bookmarkStart w:id="87" w:name="_Toc24913"/>
      <w:bookmarkStart w:id="88" w:name="_Toc413685995"/>
      <w:bookmarkStart w:id="89" w:name="_Toc28553"/>
      <w:bookmarkStart w:id="90" w:name="_Toc435625960"/>
      <w:bookmarkStart w:id="91" w:name="_Toc409189804"/>
      <w:bookmarkStart w:id="92" w:name="_Toc409193570"/>
      <w:bookmarkStart w:id="93" w:name="_Toc435688986"/>
      <w:bookmarkStart w:id="94" w:name="_Toc18970"/>
      <w:bookmarkStart w:id="95" w:name="_Toc439852597"/>
      <w:bookmarkStart w:id="96" w:name="_Toc468721592"/>
      <w:bookmarkStart w:id="97" w:name="_Toc438131410"/>
      <w:bookmarkStart w:id="98" w:name="_Toc409425104"/>
      <w:bookmarkStart w:id="99" w:name="_Toc456086368"/>
      <w:r>
        <w:rPr>
          <w:rFonts w:hint="eastAsia" w:ascii="仿宋" w:hAnsi="仿宋" w:eastAsia="仿宋" w:cs="Arial"/>
          <w:b/>
          <w:bCs/>
          <w:color w:val="auto"/>
          <w:sz w:val="32"/>
          <w:szCs w:val="21"/>
          <w:highlight w:val="none"/>
          <w:lang w:val="en-US" w:eastAsia="zh-CN"/>
        </w:rPr>
        <w:t>巴南区教育城域网项目</w:t>
      </w:r>
    </w:p>
    <w:p>
      <w:pPr>
        <w:spacing w:line="240" w:lineRule="auto"/>
        <w:ind w:firstLine="0" w:firstLineChars="0"/>
        <w:jc w:val="center"/>
        <w:rPr>
          <w:rFonts w:ascii="Arial" w:hAnsi="Arial" w:cs="Arial"/>
          <w:color w:val="auto"/>
          <w:sz w:val="36"/>
          <w:szCs w:val="22"/>
          <w:highlight w:val="none"/>
        </w:rPr>
      </w:pPr>
    </w:p>
    <w:p>
      <w:pPr>
        <w:spacing w:line="240" w:lineRule="auto"/>
        <w:ind w:firstLine="0" w:firstLineChars="0"/>
        <w:jc w:val="center"/>
        <w:rPr>
          <w:rFonts w:ascii="Arial" w:hAnsi="Arial" w:cs="Arial"/>
          <w:color w:val="auto"/>
          <w:sz w:val="36"/>
          <w:szCs w:val="22"/>
          <w:highlight w:val="none"/>
        </w:rPr>
      </w:pPr>
    </w:p>
    <w:p>
      <w:pPr>
        <w:spacing w:line="240" w:lineRule="auto"/>
        <w:ind w:firstLine="0" w:firstLineChars="0"/>
        <w:jc w:val="center"/>
        <w:rPr>
          <w:rFonts w:ascii="Arial" w:hAnsi="Arial" w:cs="Arial"/>
          <w:color w:val="auto"/>
          <w:sz w:val="36"/>
          <w:szCs w:val="22"/>
          <w:highlight w:val="none"/>
        </w:rPr>
      </w:pPr>
    </w:p>
    <w:p>
      <w:pPr>
        <w:spacing w:line="240" w:lineRule="auto"/>
        <w:ind w:firstLine="1440" w:firstLineChars="450"/>
        <w:jc w:val="left"/>
        <w:rPr>
          <w:rFonts w:hint="default" w:ascii="仿宋" w:hAnsi="仿宋" w:eastAsia="仿宋" w:cs="Arial"/>
          <w:b/>
          <w:bCs/>
          <w:color w:val="auto"/>
          <w:sz w:val="32"/>
          <w:szCs w:val="21"/>
          <w:highlight w:val="none"/>
          <w:lang w:val="en-US" w:eastAsia="zh-CN"/>
        </w:rPr>
      </w:pPr>
      <w:r>
        <w:rPr>
          <w:rFonts w:hint="eastAsia" w:ascii="仿宋" w:hAnsi="仿宋" w:eastAsia="仿宋" w:cs="Arial"/>
          <w:b/>
          <w:bCs/>
          <w:color w:val="auto"/>
          <w:sz w:val="32"/>
          <w:szCs w:val="21"/>
          <w:highlight w:val="none"/>
        </w:rPr>
        <w:t>采购人：</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Start w:id="100" w:name="_Toc409192627"/>
      <w:bookmarkStart w:id="101" w:name="_Toc468721593"/>
      <w:bookmarkStart w:id="102" w:name="_Toc409193453"/>
      <w:bookmarkStart w:id="103" w:name="_Toc438137163"/>
      <w:bookmarkStart w:id="104" w:name="_Toc441071197"/>
      <w:bookmarkStart w:id="105" w:name="_Toc438131411"/>
      <w:bookmarkStart w:id="106" w:name="_Toc409189805"/>
      <w:bookmarkStart w:id="107" w:name="_Toc456086369"/>
      <w:bookmarkStart w:id="108" w:name="_Toc431195366"/>
      <w:bookmarkStart w:id="109" w:name="_Toc409189914"/>
      <w:bookmarkStart w:id="110" w:name="_Toc430867921"/>
      <w:bookmarkStart w:id="111" w:name="_Toc409192313"/>
      <w:bookmarkStart w:id="112" w:name="_Toc31383"/>
      <w:bookmarkStart w:id="113" w:name="_Toc446943628"/>
      <w:bookmarkStart w:id="114" w:name="_Toc446944057"/>
      <w:bookmarkStart w:id="115" w:name="_Toc438132325"/>
      <w:bookmarkStart w:id="116" w:name="_Toc435688987"/>
      <w:bookmarkStart w:id="117" w:name="_Toc23439"/>
      <w:bookmarkStart w:id="118" w:name="_Toc439852598"/>
      <w:bookmarkStart w:id="119" w:name="_Toc469316951"/>
      <w:bookmarkStart w:id="120" w:name="_Toc8759"/>
      <w:bookmarkStart w:id="121" w:name="_Toc409425105"/>
      <w:bookmarkStart w:id="122" w:name="_Toc457464668"/>
      <w:bookmarkStart w:id="123" w:name="_Toc413679814"/>
      <w:bookmarkStart w:id="124" w:name="_Toc463772487"/>
      <w:bookmarkStart w:id="125" w:name="_Toc409193571"/>
      <w:bookmarkStart w:id="126" w:name="_Toc413685996"/>
      <w:bookmarkStart w:id="127" w:name="_Toc435625961"/>
      <w:bookmarkStart w:id="128" w:name="_Toc451249799"/>
      <w:r>
        <w:rPr>
          <w:rFonts w:hint="eastAsia" w:ascii="仿宋" w:hAnsi="仿宋" w:eastAsia="仿宋" w:cs="Arial"/>
          <w:b/>
          <w:bCs/>
          <w:color w:val="auto"/>
          <w:sz w:val="32"/>
          <w:szCs w:val="21"/>
          <w:highlight w:val="none"/>
        </w:rPr>
        <w:t>重庆市巴南区现代教育技术中心</w:t>
      </w:r>
    </w:p>
    <w:p>
      <w:pPr>
        <w:spacing w:line="240" w:lineRule="auto"/>
        <w:ind w:firstLine="1440" w:firstLineChars="450"/>
        <w:jc w:val="left"/>
        <w:rPr>
          <w:rFonts w:ascii="仿宋" w:hAnsi="仿宋" w:eastAsia="仿宋" w:cs="Arial"/>
          <w:b/>
          <w:bCs/>
          <w:color w:val="auto"/>
          <w:sz w:val="32"/>
          <w:szCs w:val="21"/>
          <w:highlight w:val="none"/>
        </w:rPr>
      </w:pPr>
      <w:r>
        <w:rPr>
          <w:rFonts w:hint="eastAsia" w:ascii="仿宋" w:hAnsi="仿宋" w:eastAsia="仿宋" w:cs="Arial"/>
          <w:b/>
          <w:bCs/>
          <w:color w:val="auto"/>
          <w:sz w:val="32"/>
          <w:szCs w:val="21"/>
          <w:highlight w:val="none"/>
        </w:rPr>
        <w:t>采购代理机构：重庆市巴南区政府采购中心</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pPr>
        <w:spacing w:line="240" w:lineRule="auto"/>
        <w:ind w:firstLine="3600" w:firstLineChars="1000"/>
        <w:rPr>
          <w:rFonts w:ascii="仿宋" w:hAnsi="仿宋" w:eastAsia="仿宋" w:cs="Arial"/>
          <w:color w:val="auto"/>
          <w:sz w:val="36"/>
          <w:szCs w:val="22"/>
          <w:highlight w:val="none"/>
          <w:lang w:val="en-US"/>
        </w:rPr>
        <w:sectPr>
          <w:headerReference r:id="rId5" w:type="first"/>
          <w:footerReference r:id="rId8" w:type="first"/>
          <w:headerReference r:id="rId3" w:type="default"/>
          <w:footerReference r:id="rId6" w:type="default"/>
          <w:headerReference r:id="rId4" w:type="even"/>
          <w:footerReference r:id="rId7" w:type="even"/>
          <w:pgSz w:w="11907" w:h="16840"/>
          <w:pgMar w:top="1134" w:right="1191" w:bottom="1134" w:left="1304" w:header="794" w:footer="992" w:gutter="0"/>
          <w:pgNumType w:start="1"/>
          <w:cols w:space="720" w:num="1"/>
          <w:titlePg/>
          <w:docGrid w:type="linesAndChars" w:linePitch="312" w:charSpace="0"/>
        </w:sectPr>
      </w:pPr>
      <w:r>
        <w:rPr>
          <w:rFonts w:hint="eastAsia" w:ascii="仿宋" w:hAnsi="仿宋" w:eastAsia="仿宋" w:cs="仿宋"/>
          <w:color w:val="auto"/>
          <w:sz w:val="36"/>
          <w:szCs w:val="22"/>
          <w:highlight w:val="none"/>
        </w:rPr>
        <w:t>二〇二</w:t>
      </w:r>
      <w:r>
        <w:rPr>
          <w:rFonts w:hint="eastAsia" w:ascii="仿宋" w:hAnsi="仿宋" w:eastAsia="仿宋" w:cs="仿宋"/>
          <w:color w:val="auto"/>
          <w:sz w:val="36"/>
          <w:szCs w:val="22"/>
          <w:highlight w:val="none"/>
          <w:lang w:val="en-US" w:eastAsia="zh-CN"/>
        </w:rPr>
        <w:t>五</w:t>
      </w:r>
      <w:r>
        <w:rPr>
          <w:rFonts w:hint="eastAsia" w:ascii="仿宋" w:hAnsi="仿宋" w:eastAsia="仿宋" w:cs="仿宋"/>
          <w:color w:val="auto"/>
          <w:sz w:val="36"/>
          <w:szCs w:val="22"/>
          <w:highlight w:val="none"/>
        </w:rPr>
        <w:t>年</w:t>
      </w:r>
      <w:r>
        <w:rPr>
          <w:rFonts w:hint="eastAsia" w:ascii="仿宋" w:hAnsi="仿宋" w:eastAsia="仿宋" w:cs="仿宋"/>
          <w:color w:val="auto"/>
          <w:sz w:val="36"/>
          <w:szCs w:val="22"/>
          <w:highlight w:val="none"/>
          <w:lang w:val="en-US" w:eastAsia="zh-CN"/>
        </w:rPr>
        <w:t>二月</w:t>
      </w:r>
    </w:p>
    <w:p>
      <w:pPr>
        <w:tabs>
          <w:tab w:val="right" w:leader="dot" w:pos="9412"/>
        </w:tabs>
        <w:ind w:firstLine="0" w:firstLineChars="0"/>
        <w:jc w:val="center"/>
        <w:rPr>
          <w:rStyle w:val="30"/>
          <w:b/>
          <w:bCs/>
          <w:caps/>
          <w:color w:val="auto"/>
          <w:highlight w:val="none"/>
        </w:rPr>
      </w:pPr>
      <w:r>
        <w:rPr>
          <w:rFonts w:hint="eastAsia" w:ascii="Arial" w:hAnsi="Arial" w:cs="Arial"/>
          <w:b/>
          <w:bCs/>
          <w:color w:val="auto"/>
          <w:sz w:val="44"/>
          <w:szCs w:val="22"/>
          <w:highlight w:val="none"/>
        </w:rPr>
        <w:t>目录</w:t>
      </w:r>
    </w:p>
    <w:p>
      <w:pPr>
        <w:pStyle w:val="2"/>
        <w:tabs>
          <w:tab w:val="right" w:leader="dot" w:pos="9412"/>
        </w:tabs>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highlight w:val="none"/>
        </w:rPr>
        <w:instrText xml:space="preserve"> HYPERLINK \l _Toc15932 </w:instrText>
      </w:r>
      <w:r>
        <w:rPr>
          <w:highlight w:val="none"/>
        </w:rPr>
        <w:fldChar w:fldCharType="separate"/>
      </w:r>
      <w:r>
        <w:rPr>
          <w:rFonts w:hint="eastAsia" w:ascii="黑体" w:hAnsi="黑体" w:eastAsia="方正小标宋简体" w:cs="黑体"/>
        </w:rPr>
        <w:t xml:space="preserve">第一篇 </w:t>
      </w:r>
      <w:r>
        <w:rPr>
          <w:rFonts w:hint="eastAsia" w:ascii="方正小标宋简体" w:eastAsia="方正小标宋简体"/>
          <w:highlight w:val="none"/>
        </w:rPr>
        <w:t>投标邀请书</w:t>
      </w:r>
      <w:r>
        <w:tab/>
      </w:r>
      <w:r>
        <w:fldChar w:fldCharType="begin"/>
      </w:r>
      <w:r>
        <w:instrText xml:space="preserve"> PAGEREF _Toc15932 </w:instrText>
      </w:r>
      <w:r>
        <w:fldChar w:fldCharType="separate"/>
      </w:r>
      <w:r>
        <w:t>4</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_Toc18898 </w:instrText>
      </w:r>
      <w:r>
        <w:rPr>
          <w:highlight w:val="none"/>
        </w:rPr>
        <w:fldChar w:fldCharType="separate"/>
      </w:r>
      <w:r>
        <w:rPr>
          <w:rFonts w:hint="eastAsia" w:ascii="仿宋" w:hAnsi="仿宋" w:eastAsia="仿宋"/>
          <w:highlight w:val="none"/>
        </w:rPr>
        <w:t>一、项目内容</w:t>
      </w:r>
      <w:r>
        <w:tab/>
      </w:r>
      <w:r>
        <w:fldChar w:fldCharType="begin"/>
      </w:r>
      <w:r>
        <w:instrText xml:space="preserve"> PAGEREF _Toc18898 </w:instrText>
      </w:r>
      <w:r>
        <w:fldChar w:fldCharType="separate"/>
      </w:r>
      <w:r>
        <w:t>4</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_Toc9928 </w:instrText>
      </w:r>
      <w:r>
        <w:rPr>
          <w:highlight w:val="none"/>
        </w:rPr>
        <w:fldChar w:fldCharType="separate"/>
      </w:r>
      <w:r>
        <w:rPr>
          <w:rFonts w:hint="eastAsia" w:ascii="仿宋" w:hAnsi="仿宋" w:eastAsia="仿宋"/>
          <w:highlight w:val="none"/>
        </w:rPr>
        <w:t>二、资金来源</w:t>
      </w:r>
      <w:r>
        <w:tab/>
      </w:r>
      <w:r>
        <w:fldChar w:fldCharType="begin"/>
      </w:r>
      <w:r>
        <w:instrText xml:space="preserve"> PAGEREF _Toc9928 </w:instrText>
      </w:r>
      <w:r>
        <w:fldChar w:fldCharType="separate"/>
      </w:r>
      <w:r>
        <w:t>4</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_Toc26947 </w:instrText>
      </w:r>
      <w:r>
        <w:rPr>
          <w:highlight w:val="none"/>
        </w:rPr>
        <w:fldChar w:fldCharType="separate"/>
      </w:r>
      <w:r>
        <w:rPr>
          <w:rFonts w:hint="eastAsia" w:ascii="仿宋" w:hAnsi="仿宋" w:eastAsia="仿宋"/>
          <w:highlight w:val="none"/>
        </w:rPr>
        <w:t>三、投标人资格要求</w:t>
      </w:r>
      <w:r>
        <w:tab/>
      </w:r>
      <w:r>
        <w:fldChar w:fldCharType="begin"/>
      </w:r>
      <w:r>
        <w:instrText xml:space="preserve"> PAGEREF _Toc26947 </w:instrText>
      </w:r>
      <w:r>
        <w:fldChar w:fldCharType="separate"/>
      </w:r>
      <w:r>
        <w:t>4</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_Toc4787 </w:instrText>
      </w:r>
      <w:r>
        <w:rPr>
          <w:highlight w:val="none"/>
        </w:rPr>
        <w:fldChar w:fldCharType="separate"/>
      </w:r>
      <w:r>
        <w:rPr>
          <w:rFonts w:hint="eastAsia" w:ascii="仿宋" w:hAnsi="仿宋" w:eastAsia="仿宋"/>
          <w:highlight w:val="none"/>
        </w:rPr>
        <w:t>四、投标、开标有关说明</w:t>
      </w:r>
      <w:r>
        <w:tab/>
      </w:r>
      <w:r>
        <w:fldChar w:fldCharType="begin"/>
      </w:r>
      <w:r>
        <w:instrText xml:space="preserve"> PAGEREF _Toc4787 </w:instrText>
      </w:r>
      <w:r>
        <w:fldChar w:fldCharType="separate"/>
      </w:r>
      <w:r>
        <w:t>5</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_Toc3312 </w:instrText>
      </w:r>
      <w:r>
        <w:rPr>
          <w:highlight w:val="none"/>
        </w:rPr>
        <w:fldChar w:fldCharType="separate"/>
      </w:r>
      <w:r>
        <w:rPr>
          <w:rFonts w:hint="eastAsia" w:ascii="仿宋" w:hAnsi="仿宋" w:eastAsia="仿宋" w:cs="仿宋"/>
          <w:highlight w:val="none"/>
        </w:rPr>
        <w:t>五、投标保证金</w:t>
      </w:r>
      <w:r>
        <w:tab/>
      </w:r>
      <w:r>
        <w:fldChar w:fldCharType="begin"/>
      </w:r>
      <w:r>
        <w:instrText xml:space="preserve"> PAGEREF _Toc3312 </w:instrText>
      </w:r>
      <w:r>
        <w:fldChar w:fldCharType="separate"/>
      </w:r>
      <w:r>
        <w:t>7</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_Toc7932 </w:instrText>
      </w:r>
      <w:r>
        <w:rPr>
          <w:highlight w:val="none"/>
        </w:rPr>
        <w:fldChar w:fldCharType="separate"/>
      </w:r>
      <w:r>
        <w:rPr>
          <w:rFonts w:hint="eastAsia" w:ascii="仿宋" w:hAnsi="仿宋" w:eastAsia="仿宋" w:cs="仿宋"/>
          <w:highlight w:val="none"/>
        </w:rPr>
        <w:t>六、采购项目需落实的政府采购政策</w:t>
      </w:r>
      <w:r>
        <w:tab/>
      </w:r>
      <w:r>
        <w:fldChar w:fldCharType="begin"/>
      </w:r>
      <w:r>
        <w:instrText xml:space="preserve"> PAGEREF _Toc7932 </w:instrText>
      </w:r>
      <w:r>
        <w:fldChar w:fldCharType="separate"/>
      </w:r>
      <w:r>
        <w:t>10</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_Toc31034 </w:instrText>
      </w:r>
      <w:r>
        <w:rPr>
          <w:highlight w:val="none"/>
        </w:rPr>
        <w:fldChar w:fldCharType="separate"/>
      </w:r>
      <w:r>
        <w:rPr>
          <w:rFonts w:hint="eastAsia" w:ascii="仿宋" w:hAnsi="仿宋" w:eastAsia="仿宋" w:cs="仿宋"/>
          <w:highlight w:val="none"/>
        </w:rPr>
        <w:t>七、投标有关规定</w:t>
      </w:r>
      <w:r>
        <w:tab/>
      </w:r>
      <w:r>
        <w:fldChar w:fldCharType="begin"/>
      </w:r>
      <w:r>
        <w:instrText xml:space="preserve"> PAGEREF _Toc31034 </w:instrText>
      </w:r>
      <w:r>
        <w:fldChar w:fldCharType="separate"/>
      </w:r>
      <w:r>
        <w:t>10</w:t>
      </w:r>
      <w:r>
        <w:fldChar w:fldCharType="end"/>
      </w:r>
      <w:r>
        <w:rPr>
          <w:color w:val="auto"/>
          <w:highlight w:val="none"/>
        </w:rPr>
        <w:fldChar w:fldCharType="end"/>
      </w:r>
    </w:p>
    <w:p>
      <w:pPr>
        <w:pStyle w:val="22"/>
        <w:tabs>
          <w:tab w:val="right" w:leader="dot" w:pos="9412"/>
        </w:tabs>
      </w:pPr>
      <w:r>
        <w:rPr>
          <w:color w:val="auto"/>
          <w:highlight w:val="none"/>
        </w:rPr>
        <w:fldChar w:fldCharType="begin"/>
      </w:r>
      <w:r>
        <w:rPr>
          <w:highlight w:val="none"/>
        </w:rPr>
        <w:instrText xml:space="preserve"> HYPERLINK \l _Toc16717 </w:instrText>
      </w:r>
      <w:r>
        <w:rPr>
          <w:highlight w:val="none"/>
        </w:rPr>
        <w:fldChar w:fldCharType="separate"/>
      </w:r>
      <w:r>
        <w:rPr>
          <w:rFonts w:hint="eastAsia" w:ascii="仿宋" w:hAnsi="仿宋" w:eastAsia="仿宋" w:cs="仿宋"/>
          <w:highlight w:val="none"/>
        </w:rPr>
        <w:t>八、联系方式</w:t>
      </w:r>
      <w:r>
        <w:tab/>
      </w:r>
      <w:r>
        <w:fldChar w:fldCharType="begin"/>
      </w:r>
      <w:r>
        <w:instrText xml:space="preserve"> PAGEREF _Toc16717 </w:instrText>
      </w:r>
      <w:r>
        <w:fldChar w:fldCharType="separate"/>
      </w:r>
      <w:r>
        <w:t>11</w:t>
      </w:r>
      <w:r>
        <w:fldChar w:fldCharType="end"/>
      </w:r>
      <w:r>
        <w:rPr>
          <w:color w:val="auto"/>
          <w:highlight w:val="none"/>
        </w:rPr>
        <w:fldChar w:fldCharType="end"/>
      </w:r>
    </w:p>
    <w:p>
      <w:pPr>
        <w:pStyle w:val="2"/>
        <w:tabs>
          <w:tab w:val="right" w:leader="dot" w:pos="9412"/>
        </w:tabs>
      </w:pPr>
      <w:r>
        <w:rPr>
          <w:color w:val="auto"/>
          <w:highlight w:val="none"/>
        </w:rPr>
        <w:fldChar w:fldCharType="begin"/>
      </w:r>
      <w:r>
        <w:rPr>
          <w:highlight w:val="none"/>
        </w:rPr>
        <w:instrText xml:space="preserve"> HYPERLINK \l _Toc3295 </w:instrText>
      </w:r>
      <w:r>
        <w:rPr>
          <w:highlight w:val="none"/>
        </w:rPr>
        <w:fldChar w:fldCharType="separate"/>
      </w:r>
      <w:r>
        <w:rPr>
          <w:rFonts w:hint="eastAsia" w:ascii="黑体" w:hAnsi="黑体" w:eastAsia="方正小标宋简体" w:cs="黑体"/>
          <w:szCs w:val="22"/>
        </w:rPr>
        <w:t xml:space="preserve">第二篇 </w:t>
      </w:r>
      <w:r>
        <w:rPr>
          <w:rFonts w:hint="eastAsia" w:ascii="方正小标宋简体" w:eastAsia="方正小标宋简体"/>
          <w:szCs w:val="22"/>
          <w:highlight w:val="none"/>
        </w:rPr>
        <w:t>项目服务需求</w:t>
      </w:r>
      <w:r>
        <w:tab/>
      </w:r>
      <w:r>
        <w:fldChar w:fldCharType="begin"/>
      </w:r>
      <w:r>
        <w:instrText xml:space="preserve"> PAGEREF _Toc3295 </w:instrText>
      </w:r>
      <w:r>
        <w:fldChar w:fldCharType="separate"/>
      </w:r>
      <w:r>
        <w:t>13</w:t>
      </w:r>
      <w:r>
        <w:fldChar w:fldCharType="end"/>
      </w:r>
      <w:r>
        <w:rPr>
          <w:color w:val="auto"/>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_Toc1591 </w:instrText>
      </w:r>
      <w:r>
        <w:rPr>
          <w:rFonts w:hint="eastAsia" w:ascii="仿宋" w:hAnsi="仿宋" w:eastAsia="仿宋"/>
          <w:szCs w:val="22"/>
          <w:highlight w:val="none"/>
        </w:rPr>
        <w:fldChar w:fldCharType="separate"/>
      </w:r>
      <w:r>
        <w:rPr>
          <w:rFonts w:hint="eastAsia" w:ascii="仿宋" w:hAnsi="仿宋" w:eastAsia="仿宋"/>
          <w:szCs w:val="22"/>
          <w:highlight w:val="none"/>
          <w:lang w:val="en-US" w:eastAsia="zh-CN"/>
        </w:rPr>
        <w:t>一、项目一览表</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_Toc1591 </w:instrText>
      </w:r>
      <w:r>
        <w:rPr>
          <w:rFonts w:hint="eastAsia" w:ascii="仿宋" w:hAnsi="仿宋" w:eastAsia="仿宋"/>
          <w:szCs w:val="22"/>
          <w:highlight w:val="none"/>
        </w:rPr>
        <w:fldChar w:fldCharType="separate"/>
      </w:r>
      <w:r>
        <w:rPr>
          <w:rFonts w:hint="eastAsia" w:ascii="仿宋" w:hAnsi="仿宋" w:eastAsia="仿宋"/>
          <w:szCs w:val="22"/>
          <w:highlight w:val="none"/>
        </w:rPr>
        <w:t>13</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_Toc28597 </w:instrText>
      </w:r>
      <w:r>
        <w:rPr>
          <w:rFonts w:hint="eastAsia" w:ascii="仿宋" w:hAnsi="仿宋" w:eastAsia="仿宋"/>
          <w:szCs w:val="22"/>
          <w:highlight w:val="none"/>
        </w:rPr>
        <w:fldChar w:fldCharType="separate"/>
      </w:r>
      <w:r>
        <w:rPr>
          <w:rFonts w:hint="eastAsia" w:ascii="仿宋" w:hAnsi="仿宋" w:eastAsia="仿宋"/>
          <w:szCs w:val="22"/>
          <w:highlight w:val="none"/>
          <w:lang w:val="en-US" w:eastAsia="zh-CN"/>
        </w:rPr>
        <w:t>二、项目服务需求</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_Toc28597 </w:instrText>
      </w:r>
      <w:r>
        <w:rPr>
          <w:rFonts w:hint="eastAsia" w:ascii="仿宋" w:hAnsi="仿宋" w:eastAsia="仿宋"/>
          <w:szCs w:val="22"/>
          <w:highlight w:val="none"/>
        </w:rPr>
        <w:fldChar w:fldCharType="separate"/>
      </w:r>
      <w:r>
        <w:rPr>
          <w:rFonts w:hint="eastAsia" w:ascii="仿宋" w:hAnsi="仿宋" w:eastAsia="仿宋"/>
          <w:szCs w:val="22"/>
          <w:highlight w:val="none"/>
        </w:rPr>
        <w:t>13</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_Toc13726 </w:instrText>
      </w:r>
      <w:r>
        <w:rPr>
          <w:rFonts w:hint="eastAsia" w:ascii="仿宋" w:hAnsi="仿宋" w:eastAsia="仿宋"/>
          <w:szCs w:val="22"/>
          <w:highlight w:val="none"/>
        </w:rPr>
        <w:fldChar w:fldCharType="separate"/>
      </w:r>
      <w:r>
        <w:rPr>
          <w:rFonts w:hint="eastAsia" w:ascii="仿宋" w:hAnsi="仿宋" w:eastAsia="仿宋"/>
          <w:szCs w:val="22"/>
          <w:highlight w:val="none"/>
        </w:rPr>
        <w:t>※</w:t>
      </w:r>
      <w:r>
        <w:rPr>
          <w:rFonts w:hint="eastAsia" w:ascii="仿宋" w:hAnsi="仿宋" w:eastAsia="仿宋"/>
          <w:szCs w:val="22"/>
          <w:highlight w:val="none"/>
          <w:lang w:val="en-US" w:eastAsia="zh-CN"/>
        </w:rPr>
        <w:t>三</w:t>
      </w:r>
      <w:r>
        <w:rPr>
          <w:rFonts w:hint="eastAsia" w:ascii="仿宋" w:hAnsi="仿宋" w:eastAsia="仿宋"/>
          <w:szCs w:val="22"/>
          <w:highlight w:val="none"/>
        </w:rPr>
        <w:t>、服务标准</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_Toc13726 </w:instrText>
      </w:r>
      <w:r>
        <w:rPr>
          <w:rFonts w:hint="eastAsia" w:ascii="仿宋" w:hAnsi="仿宋" w:eastAsia="仿宋"/>
          <w:szCs w:val="22"/>
          <w:highlight w:val="none"/>
        </w:rPr>
        <w:fldChar w:fldCharType="separate"/>
      </w:r>
      <w:r>
        <w:rPr>
          <w:rFonts w:hint="eastAsia" w:ascii="仿宋" w:hAnsi="仿宋" w:eastAsia="仿宋"/>
          <w:szCs w:val="22"/>
          <w:highlight w:val="none"/>
        </w:rPr>
        <w:t>13</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
        <w:tabs>
          <w:tab w:val="right" w:leader="dot" w:pos="9412"/>
        </w:tabs>
      </w:pPr>
      <w:r>
        <w:rPr>
          <w:color w:val="auto"/>
          <w:highlight w:val="none"/>
        </w:rPr>
        <w:fldChar w:fldCharType="begin"/>
      </w:r>
      <w:r>
        <w:rPr>
          <w:highlight w:val="none"/>
        </w:rPr>
        <w:instrText xml:space="preserve"> HYPERLINK \l _Toc5095 </w:instrText>
      </w:r>
      <w:r>
        <w:rPr>
          <w:highlight w:val="none"/>
        </w:rPr>
        <w:fldChar w:fldCharType="separate"/>
      </w:r>
      <w:r>
        <w:rPr>
          <w:rFonts w:hint="eastAsia" w:ascii="黑体" w:hAnsi="黑体" w:eastAsia="方正小标宋简体" w:cs="黑体"/>
        </w:rPr>
        <w:t xml:space="preserve">第三篇 </w:t>
      </w:r>
      <w:r>
        <w:rPr>
          <w:rFonts w:hint="eastAsia" w:ascii="方正小标宋简体" w:eastAsia="方正小标宋简体"/>
          <w:highlight w:val="none"/>
        </w:rPr>
        <w:t>项目商务需求</w:t>
      </w:r>
      <w:r>
        <w:tab/>
      </w:r>
      <w:r>
        <w:fldChar w:fldCharType="begin"/>
      </w:r>
      <w:r>
        <w:instrText xml:space="preserve"> PAGEREF _Toc5095 </w:instrText>
      </w:r>
      <w:r>
        <w:fldChar w:fldCharType="separate"/>
      </w:r>
      <w:r>
        <w:t>36</w:t>
      </w:r>
      <w:r>
        <w:fldChar w:fldCharType="end"/>
      </w:r>
      <w:r>
        <w:rPr>
          <w:color w:val="auto"/>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_Toc881 </w:instrText>
      </w:r>
      <w:r>
        <w:rPr>
          <w:rFonts w:hint="eastAsia" w:ascii="仿宋" w:hAnsi="仿宋" w:eastAsia="仿宋"/>
          <w:szCs w:val="22"/>
          <w:highlight w:val="none"/>
        </w:rPr>
        <w:fldChar w:fldCharType="separate"/>
      </w:r>
      <w:r>
        <w:rPr>
          <w:rFonts w:hint="eastAsia" w:ascii="仿宋" w:hAnsi="仿宋" w:eastAsia="仿宋"/>
          <w:szCs w:val="22"/>
          <w:highlight w:val="none"/>
        </w:rPr>
        <w:t>※一、服务期、服务地点及验收方式</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_Toc881 </w:instrText>
      </w:r>
      <w:r>
        <w:rPr>
          <w:rFonts w:hint="eastAsia" w:ascii="仿宋" w:hAnsi="仿宋" w:eastAsia="仿宋"/>
          <w:szCs w:val="22"/>
          <w:highlight w:val="none"/>
        </w:rPr>
        <w:fldChar w:fldCharType="separate"/>
      </w:r>
      <w:r>
        <w:rPr>
          <w:rFonts w:hint="eastAsia" w:ascii="仿宋" w:hAnsi="仿宋" w:eastAsia="仿宋"/>
          <w:szCs w:val="22"/>
          <w:highlight w:val="none"/>
        </w:rPr>
        <w:t>36</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_Toc1620 </w:instrText>
      </w:r>
      <w:r>
        <w:rPr>
          <w:rFonts w:hint="eastAsia" w:ascii="仿宋" w:hAnsi="仿宋" w:eastAsia="仿宋"/>
          <w:szCs w:val="22"/>
          <w:highlight w:val="none"/>
        </w:rPr>
        <w:fldChar w:fldCharType="separate"/>
      </w:r>
      <w:r>
        <w:rPr>
          <w:rFonts w:hint="eastAsia" w:ascii="仿宋" w:hAnsi="仿宋" w:eastAsia="仿宋"/>
          <w:szCs w:val="22"/>
          <w:highlight w:val="none"/>
        </w:rPr>
        <w:t>※二、报价要求</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_Toc1620 </w:instrText>
      </w:r>
      <w:r>
        <w:rPr>
          <w:rFonts w:hint="eastAsia" w:ascii="仿宋" w:hAnsi="仿宋" w:eastAsia="仿宋"/>
          <w:szCs w:val="22"/>
          <w:highlight w:val="none"/>
        </w:rPr>
        <w:fldChar w:fldCharType="separate"/>
      </w:r>
      <w:r>
        <w:rPr>
          <w:rFonts w:hint="eastAsia" w:ascii="仿宋" w:hAnsi="仿宋" w:eastAsia="仿宋"/>
          <w:szCs w:val="22"/>
          <w:highlight w:val="none"/>
        </w:rPr>
        <w:t>36</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_Toc30484 </w:instrText>
      </w:r>
      <w:r>
        <w:rPr>
          <w:rFonts w:hint="eastAsia" w:ascii="仿宋" w:hAnsi="仿宋" w:eastAsia="仿宋"/>
          <w:szCs w:val="22"/>
          <w:highlight w:val="none"/>
        </w:rPr>
        <w:fldChar w:fldCharType="separate"/>
      </w:r>
      <w:r>
        <w:rPr>
          <w:rFonts w:hint="eastAsia" w:ascii="仿宋" w:hAnsi="仿宋" w:eastAsia="仿宋"/>
          <w:szCs w:val="22"/>
          <w:highlight w:val="none"/>
        </w:rPr>
        <w:t>※三、付款方式</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_Toc30484 </w:instrText>
      </w:r>
      <w:r>
        <w:rPr>
          <w:rFonts w:hint="eastAsia" w:ascii="仿宋" w:hAnsi="仿宋" w:eastAsia="仿宋"/>
          <w:szCs w:val="22"/>
          <w:highlight w:val="none"/>
        </w:rPr>
        <w:fldChar w:fldCharType="separate"/>
      </w:r>
      <w:r>
        <w:rPr>
          <w:rFonts w:hint="eastAsia" w:ascii="仿宋" w:hAnsi="仿宋" w:eastAsia="仿宋"/>
          <w:szCs w:val="22"/>
          <w:highlight w:val="none"/>
        </w:rPr>
        <w:t>37</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_Toc11982 </w:instrText>
      </w:r>
      <w:r>
        <w:rPr>
          <w:rFonts w:hint="eastAsia" w:ascii="仿宋" w:hAnsi="仿宋" w:eastAsia="仿宋"/>
          <w:szCs w:val="22"/>
          <w:highlight w:val="none"/>
        </w:rPr>
        <w:fldChar w:fldCharType="separate"/>
      </w:r>
      <w:r>
        <w:rPr>
          <w:rFonts w:hint="eastAsia" w:ascii="仿宋" w:hAnsi="仿宋" w:eastAsia="仿宋"/>
          <w:szCs w:val="22"/>
          <w:highlight w:val="none"/>
        </w:rPr>
        <w:t>※</w:t>
      </w:r>
      <w:r>
        <w:rPr>
          <w:rFonts w:hint="eastAsia" w:ascii="仿宋" w:hAnsi="仿宋" w:eastAsia="仿宋"/>
          <w:szCs w:val="22"/>
          <w:highlight w:val="none"/>
          <w:lang w:val="en-US" w:eastAsia="zh-CN"/>
        </w:rPr>
        <w:t>四</w:t>
      </w:r>
      <w:r>
        <w:rPr>
          <w:rFonts w:hint="eastAsia" w:ascii="仿宋" w:hAnsi="仿宋" w:eastAsia="仿宋"/>
          <w:szCs w:val="22"/>
          <w:highlight w:val="none"/>
        </w:rPr>
        <w:t>、质量保证</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_Toc11982 </w:instrText>
      </w:r>
      <w:r>
        <w:rPr>
          <w:rFonts w:hint="eastAsia" w:ascii="仿宋" w:hAnsi="仿宋" w:eastAsia="仿宋"/>
          <w:szCs w:val="22"/>
          <w:highlight w:val="none"/>
        </w:rPr>
        <w:fldChar w:fldCharType="separate"/>
      </w:r>
      <w:r>
        <w:rPr>
          <w:rFonts w:hint="eastAsia" w:ascii="仿宋" w:hAnsi="仿宋" w:eastAsia="仿宋"/>
          <w:szCs w:val="22"/>
          <w:highlight w:val="none"/>
        </w:rPr>
        <w:t>37</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_Toc18214 </w:instrText>
      </w:r>
      <w:r>
        <w:rPr>
          <w:rFonts w:hint="eastAsia" w:ascii="仿宋" w:hAnsi="仿宋" w:eastAsia="仿宋"/>
          <w:szCs w:val="22"/>
          <w:highlight w:val="none"/>
        </w:rPr>
        <w:fldChar w:fldCharType="separate"/>
      </w:r>
      <w:r>
        <w:rPr>
          <w:rFonts w:hint="eastAsia" w:ascii="仿宋" w:hAnsi="仿宋" w:eastAsia="仿宋"/>
          <w:szCs w:val="22"/>
          <w:highlight w:val="none"/>
          <w:lang w:val="en-US" w:eastAsia="zh-CN"/>
        </w:rPr>
        <w:t>五</w:t>
      </w:r>
      <w:r>
        <w:rPr>
          <w:rFonts w:hint="eastAsia" w:ascii="仿宋" w:hAnsi="仿宋" w:eastAsia="仿宋"/>
          <w:szCs w:val="22"/>
          <w:highlight w:val="none"/>
        </w:rPr>
        <w:t>、知识产权</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_Toc18214 </w:instrText>
      </w:r>
      <w:r>
        <w:rPr>
          <w:rFonts w:hint="eastAsia" w:ascii="仿宋" w:hAnsi="仿宋" w:eastAsia="仿宋"/>
          <w:szCs w:val="22"/>
          <w:highlight w:val="none"/>
        </w:rPr>
        <w:fldChar w:fldCharType="separate"/>
      </w:r>
      <w:r>
        <w:rPr>
          <w:rFonts w:hint="eastAsia" w:ascii="仿宋" w:hAnsi="仿宋" w:eastAsia="仿宋"/>
          <w:szCs w:val="22"/>
          <w:highlight w:val="none"/>
        </w:rPr>
        <w:t>38</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_Toc26426 </w:instrText>
      </w:r>
      <w:r>
        <w:rPr>
          <w:rFonts w:hint="eastAsia" w:ascii="仿宋" w:hAnsi="仿宋" w:eastAsia="仿宋"/>
          <w:szCs w:val="22"/>
          <w:highlight w:val="none"/>
        </w:rPr>
        <w:fldChar w:fldCharType="separate"/>
      </w:r>
      <w:r>
        <w:rPr>
          <w:rFonts w:hint="eastAsia" w:ascii="仿宋" w:hAnsi="仿宋" w:eastAsia="仿宋"/>
          <w:szCs w:val="22"/>
          <w:highlight w:val="none"/>
          <w:lang w:val="en-US" w:eastAsia="zh-CN"/>
        </w:rPr>
        <w:t>六、其他商务要求</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_Toc26426 </w:instrText>
      </w:r>
      <w:r>
        <w:rPr>
          <w:rFonts w:hint="eastAsia" w:ascii="仿宋" w:hAnsi="仿宋" w:eastAsia="仿宋"/>
          <w:szCs w:val="22"/>
          <w:highlight w:val="none"/>
        </w:rPr>
        <w:fldChar w:fldCharType="separate"/>
      </w:r>
      <w:r>
        <w:rPr>
          <w:rFonts w:hint="eastAsia" w:ascii="仿宋" w:hAnsi="仿宋" w:eastAsia="仿宋"/>
          <w:szCs w:val="22"/>
          <w:highlight w:val="none"/>
        </w:rPr>
        <w:t>38</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
        <w:tabs>
          <w:tab w:val="right" w:leader="dot" w:pos="9412"/>
        </w:tabs>
      </w:pPr>
      <w:r>
        <w:rPr>
          <w:color w:val="auto"/>
          <w:highlight w:val="none"/>
        </w:rPr>
        <w:fldChar w:fldCharType="begin"/>
      </w:r>
      <w:r>
        <w:rPr>
          <w:highlight w:val="none"/>
        </w:rPr>
        <w:instrText xml:space="preserve"> HYPERLINK \l _Toc5268 </w:instrText>
      </w:r>
      <w:r>
        <w:rPr>
          <w:highlight w:val="none"/>
        </w:rPr>
        <w:fldChar w:fldCharType="separate"/>
      </w:r>
      <w:r>
        <w:rPr>
          <w:rFonts w:hint="eastAsia" w:ascii="黑体" w:hAnsi="黑体" w:eastAsia="方正小标宋简体" w:cs="黑体"/>
        </w:rPr>
        <w:t xml:space="preserve">第四篇 </w:t>
      </w:r>
      <w:r>
        <w:rPr>
          <w:rFonts w:hint="eastAsia" w:ascii="方正小标宋简体" w:eastAsia="方正小标宋简体"/>
          <w:highlight w:val="none"/>
        </w:rPr>
        <w:t>资格审查及评标办法</w:t>
      </w:r>
      <w:r>
        <w:tab/>
      </w:r>
      <w:r>
        <w:fldChar w:fldCharType="begin"/>
      </w:r>
      <w:r>
        <w:instrText xml:space="preserve"> PAGEREF _Toc5268 </w:instrText>
      </w:r>
      <w:r>
        <w:fldChar w:fldCharType="separate"/>
      </w:r>
      <w:r>
        <w:t>39</w:t>
      </w:r>
      <w:r>
        <w:fldChar w:fldCharType="end"/>
      </w:r>
      <w:r>
        <w:rPr>
          <w:color w:val="auto"/>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_Toc18672 </w:instrText>
      </w:r>
      <w:r>
        <w:rPr>
          <w:rFonts w:hint="eastAsia" w:ascii="仿宋" w:hAnsi="仿宋" w:eastAsia="仿宋"/>
          <w:szCs w:val="22"/>
          <w:highlight w:val="none"/>
        </w:rPr>
        <w:fldChar w:fldCharType="separate"/>
      </w:r>
      <w:r>
        <w:rPr>
          <w:rFonts w:hint="eastAsia" w:ascii="仿宋" w:hAnsi="仿宋" w:eastAsia="仿宋"/>
          <w:szCs w:val="22"/>
          <w:highlight w:val="none"/>
        </w:rPr>
        <w:t>一、 资格审查及符合性审查</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_Toc18672 </w:instrText>
      </w:r>
      <w:r>
        <w:rPr>
          <w:rFonts w:hint="eastAsia" w:ascii="仿宋" w:hAnsi="仿宋" w:eastAsia="仿宋"/>
          <w:szCs w:val="22"/>
          <w:highlight w:val="none"/>
        </w:rPr>
        <w:fldChar w:fldCharType="separate"/>
      </w:r>
      <w:r>
        <w:rPr>
          <w:rFonts w:hint="eastAsia" w:ascii="仿宋" w:hAnsi="仿宋" w:eastAsia="仿宋"/>
          <w:szCs w:val="22"/>
          <w:highlight w:val="none"/>
        </w:rPr>
        <w:t>39</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_Toc1809 </w:instrText>
      </w:r>
      <w:r>
        <w:rPr>
          <w:rFonts w:hint="eastAsia" w:ascii="仿宋" w:hAnsi="仿宋" w:eastAsia="仿宋"/>
          <w:szCs w:val="22"/>
          <w:highlight w:val="none"/>
        </w:rPr>
        <w:fldChar w:fldCharType="separate"/>
      </w:r>
      <w:r>
        <w:rPr>
          <w:rFonts w:hint="eastAsia" w:ascii="仿宋" w:hAnsi="仿宋" w:eastAsia="仿宋"/>
          <w:szCs w:val="22"/>
          <w:highlight w:val="none"/>
        </w:rPr>
        <w:t>二、评标方法</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_Toc1809 </w:instrText>
      </w:r>
      <w:r>
        <w:rPr>
          <w:rFonts w:hint="eastAsia" w:ascii="仿宋" w:hAnsi="仿宋" w:eastAsia="仿宋"/>
          <w:szCs w:val="22"/>
          <w:highlight w:val="none"/>
        </w:rPr>
        <w:fldChar w:fldCharType="separate"/>
      </w:r>
      <w:r>
        <w:rPr>
          <w:rFonts w:hint="eastAsia" w:ascii="仿宋" w:hAnsi="仿宋" w:eastAsia="仿宋"/>
          <w:szCs w:val="22"/>
          <w:highlight w:val="none"/>
        </w:rPr>
        <w:t>41</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_Toc18881 </w:instrText>
      </w:r>
      <w:r>
        <w:rPr>
          <w:rFonts w:hint="eastAsia" w:ascii="仿宋" w:hAnsi="仿宋" w:eastAsia="仿宋"/>
          <w:szCs w:val="22"/>
          <w:highlight w:val="none"/>
        </w:rPr>
        <w:fldChar w:fldCharType="separate"/>
      </w:r>
      <w:r>
        <w:rPr>
          <w:rFonts w:hint="eastAsia" w:ascii="仿宋" w:hAnsi="仿宋" w:eastAsia="仿宋"/>
          <w:szCs w:val="22"/>
          <w:highlight w:val="none"/>
        </w:rPr>
        <w:t>三、评标标准</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_Toc18881 </w:instrText>
      </w:r>
      <w:r>
        <w:rPr>
          <w:rFonts w:hint="eastAsia" w:ascii="仿宋" w:hAnsi="仿宋" w:eastAsia="仿宋"/>
          <w:szCs w:val="22"/>
          <w:highlight w:val="none"/>
        </w:rPr>
        <w:fldChar w:fldCharType="separate"/>
      </w:r>
      <w:r>
        <w:rPr>
          <w:rFonts w:hint="eastAsia" w:ascii="仿宋" w:hAnsi="仿宋" w:eastAsia="仿宋"/>
          <w:szCs w:val="22"/>
          <w:highlight w:val="none"/>
        </w:rPr>
        <w:t>41</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_Toc7780 </w:instrText>
      </w:r>
      <w:r>
        <w:rPr>
          <w:rFonts w:hint="eastAsia" w:ascii="仿宋" w:hAnsi="仿宋" w:eastAsia="仿宋"/>
          <w:szCs w:val="22"/>
          <w:highlight w:val="none"/>
        </w:rPr>
        <w:fldChar w:fldCharType="separate"/>
      </w:r>
      <w:r>
        <w:rPr>
          <w:rFonts w:hint="eastAsia" w:ascii="仿宋" w:hAnsi="仿宋" w:eastAsia="仿宋"/>
          <w:szCs w:val="22"/>
          <w:highlight w:val="none"/>
        </w:rPr>
        <w:t>四、无效投标条款</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_Toc7780 </w:instrText>
      </w:r>
      <w:r>
        <w:rPr>
          <w:rFonts w:hint="eastAsia" w:ascii="仿宋" w:hAnsi="仿宋" w:eastAsia="仿宋"/>
          <w:szCs w:val="22"/>
          <w:highlight w:val="none"/>
        </w:rPr>
        <w:fldChar w:fldCharType="separate"/>
      </w:r>
      <w:r>
        <w:rPr>
          <w:rFonts w:hint="eastAsia" w:ascii="仿宋" w:hAnsi="仿宋" w:eastAsia="仿宋"/>
          <w:szCs w:val="22"/>
          <w:highlight w:val="none"/>
        </w:rPr>
        <w:t>46</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_Toc20114 </w:instrText>
      </w:r>
      <w:r>
        <w:rPr>
          <w:rFonts w:hint="eastAsia" w:ascii="仿宋" w:hAnsi="仿宋" w:eastAsia="仿宋"/>
          <w:szCs w:val="22"/>
          <w:highlight w:val="none"/>
        </w:rPr>
        <w:fldChar w:fldCharType="separate"/>
      </w:r>
      <w:r>
        <w:rPr>
          <w:rFonts w:hint="eastAsia" w:ascii="仿宋" w:hAnsi="仿宋" w:eastAsia="仿宋"/>
          <w:szCs w:val="22"/>
          <w:highlight w:val="none"/>
        </w:rPr>
        <w:t>五、废标条款</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_Toc20114 </w:instrText>
      </w:r>
      <w:r>
        <w:rPr>
          <w:rFonts w:hint="eastAsia" w:ascii="仿宋" w:hAnsi="仿宋" w:eastAsia="仿宋"/>
          <w:szCs w:val="22"/>
          <w:highlight w:val="none"/>
        </w:rPr>
        <w:fldChar w:fldCharType="separate"/>
      </w:r>
      <w:r>
        <w:rPr>
          <w:rFonts w:hint="eastAsia" w:ascii="仿宋" w:hAnsi="仿宋" w:eastAsia="仿宋"/>
          <w:szCs w:val="22"/>
          <w:highlight w:val="none"/>
        </w:rPr>
        <w:t>46</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
        <w:tabs>
          <w:tab w:val="right" w:leader="dot" w:pos="9412"/>
        </w:tabs>
      </w:pPr>
      <w:r>
        <w:rPr>
          <w:color w:val="auto"/>
          <w:highlight w:val="none"/>
        </w:rPr>
        <w:fldChar w:fldCharType="begin"/>
      </w:r>
      <w:r>
        <w:rPr>
          <w:highlight w:val="none"/>
        </w:rPr>
        <w:instrText xml:space="preserve"> HYPERLINK \l _Toc26424 </w:instrText>
      </w:r>
      <w:r>
        <w:rPr>
          <w:highlight w:val="none"/>
        </w:rPr>
        <w:fldChar w:fldCharType="separate"/>
      </w:r>
      <w:r>
        <w:rPr>
          <w:rFonts w:hint="eastAsia" w:ascii="黑体" w:hAnsi="黑体" w:eastAsia="方正小标宋简体" w:cs="黑体"/>
          <w:szCs w:val="22"/>
        </w:rPr>
        <w:t xml:space="preserve">第五篇 </w:t>
      </w:r>
      <w:r>
        <w:rPr>
          <w:rFonts w:hint="eastAsia" w:ascii="方正小标宋简体" w:eastAsia="方正小标宋简体"/>
          <w:szCs w:val="22"/>
          <w:highlight w:val="none"/>
        </w:rPr>
        <w:t>投标人须知</w:t>
      </w:r>
      <w:r>
        <w:tab/>
      </w:r>
      <w:r>
        <w:fldChar w:fldCharType="begin"/>
      </w:r>
      <w:r>
        <w:instrText xml:space="preserve"> PAGEREF _Toc26424 </w:instrText>
      </w:r>
      <w:r>
        <w:fldChar w:fldCharType="separate"/>
      </w:r>
      <w:r>
        <w:t>47</w:t>
      </w:r>
      <w:r>
        <w:fldChar w:fldCharType="end"/>
      </w:r>
      <w:r>
        <w:rPr>
          <w:color w:val="auto"/>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_Toc18284 </w:instrText>
      </w:r>
      <w:r>
        <w:rPr>
          <w:rFonts w:hint="eastAsia" w:ascii="仿宋" w:hAnsi="仿宋" w:eastAsia="仿宋"/>
          <w:szCs w:val="22"/>
          <w:highlight w:val="none"/>
        </w:rPr>
        <w:fldChar w:fldCharType="separate"/>
      </w:r>
      <w:r>
        <w:rPr>
          <w:rFonts w:hint="eastAsia" w:ascii="仿宋" w:hAnsi="仿宋" w:eastAsia="仿宋"/>
          <w:szCs w:val="22"/>
          <w:highlight w:val="none"/>
        </w:rPr>
        <w:t>一、投标人</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_Toc18284 </w:instrText>
      </w:r>
      <w:r>
        <w:rPr>
          <w:rFonts w:hint="eastAsia" w:ascii="仿宋" w:hAnsi="仿宋" w:eastAsia="仿宋"/>
          <w:szCs w:val="22"/>
          <w:highlight w:val="none"/>
        </w:rPr>
        <w:fldChar w:fldCharType="separate"/>
      </w:r>
      <w:r>
        <w:rPr>
          <w:rFonts w:hint="eastAsia" w:ascii="仿宋" w:hAnsi="仿宋" w:eastAsia="仿宋"/>
          <w:szCs w:val="22"/>
          <w:highlight w:val="none"/>
        </w:rPr>
        <w:t>47</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_Toc30537 </w:instrText>
      </w:r>
      <w:r>
        <w:rPr>
          <w:rFonts w:hint="eastAsia" w:ascii="仿宋" w:hAnsi="仿宋" w:eastAsia="仿宋"/>
          <w:szCs w:val="22"/>
          <w:highlight w:val="none"/>
        </w:rPr>
        <w:fldChar w:fldCharType="separate"/>
      </w:r>
      <w:r>
        <w:rPr>
          <w:rFonts w:hint="eastAsia" w:ascii="仿宋" w:hAnsi="仿宋" w:eastAsia="仿宋"/>
          <w:szCs w:val="22"/>
          <w:highlight w:val="none"/>
        </w:rPr>
        <w:t>二、招标文件</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_Toc30537 </w:instrText>
      </w:r>
      <w:r>
        <w:rPr>
          <w:rFonts w:hint="eastAsia" w:ascii="仿宋" w:hAnsi="仿宋" w:eastAsia="仿宋"/>
          <w:szCs w:val="22"/>
          <w:highlight w:val="none"/>
        </w:rPr>
        <w:fldChar w:fldCharType="separate"/>
      </w:r>
      <w:r>
        <w:rPr>
          <w:rFonts w:hint="eastAsia" w:ascii="仿宋" w:hAnsi="仿宋" w:eastAsia="仿宋"/>
          <w:szCs w:val="22"/>
          <w:highlight w:val="none"/>
        </w:rPr>
        <w:t>47</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_Toc18803 </w:instrText>
      </w:r>
      <w:r>
        <w:rPr>
          <w:rFonts w:hint="eastAsia" w:ascii="仿宋" w:hAnsi="仿宋" w:eastAsia="仿宋"/>
          <w:szCs w:val="22"/>
          <w:highlight w:val="none"/>
        </w:rPr>
        <w:fldChar w:fldCharType="separate"/>
      </w:r>
      <w:r>
        <w:rPr>
          <w:rFonts w:hint="eastAsia" w:ascii="仿宋" w:hAnsi="仿宋" w:eastAsia="仿宋"/>
          <w:szCs w:val="22"/>
          <w:highlight w:val="none"/>
        </w:rPr>
        <w:t>三、电子投标文件</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_Toc18803 </w:instrText>
      </w:r>
      <w:r>
        <w:rPr>
          <w:rFonts w:hint="eastAsia" w:ascii="仿宋" w:hAnsi="仿宋" w:eastAsia="仿宋"/>
          <w:szCs w:val="22"/>
          <w:highlight w:val="none"/>
        </w:rPr>
        <w:fldChar w:fldCharType="separate"/>
      </w:r>
      <w:r>
        <w:rPr>
          <w:rFonts w:hint="eastAsia" w:ascii="仿宋" w:hAnsi="仿宋" w:eastAsia="仿宋"/>
          <w:szCs w:val="22"/>
          <w:highlight w:val="none"/>
        </w:rPr>
        <w:t>48</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_Toc29736 </w:instrText>
      </w:r>
      <w:r>
        <w:rPr>
          <w:rFonts w:hint="eastAsia" w:ascii="仿宋" w:hAnsi="仿宋" w:eastAsia="仿宋"/>
          <w:szCs w:val="22"/>
          <w:highlight w:val="none"/>
        </w:rPr>
        <w:fldChar w:fldCharType="separate"/>
      </w:r>
      <w:r>
        <w:rPr>
          <w:rFonts w:hint="eastAsia" w:ascii="仿宋" w:hAnsi="仿宋" w:eastAsia="仿宋"/>
          <w:szCs w:val="22"/>
          <w:highlight w:val="none"/>
        </w:rPr>
        <w:t>四、开标</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_Toc29736 </w:instrText>
      </w:r>
      <w:r>
        <w:rPr>
          <w:rFonts w:hint="eastAsia" w:ascii="仿宋" w:hAnsi="仿宋" w:eastAsia="仿宋"/>
          <w:szCs w:val="22"/>
          <w:highlight w:val="none"/>
        </w:rPr>
        <w:fldChar w:fldCharType="separate"/>
      </w:r>
      <w:r>
        <w:rPr>
          <w:rFonts w:hint="eastAsia" w:ascii="仿宋" w:hAnsi="仿宋" w:eastAsia="仿宋"/>
          <w:szCs w:val="22"/>
          <w:highlight w:val="none"/>
        </w:rPr>
        <w:t>51</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_Toc32030 </w:instrText>
      </w:r>
      <w:r>
        <w:rPr>
          <w:rFonts w:hint="eastAsia" w:ascii="仿宋" w:hAnsi="仿宋" w:eastAsia="仿宋"/>
          <w:szCs w:val="22"/>
          <w:highlight w:val="none"/>
        </w:rPr>
        <w:fldChar w:fldCharType="separate"/>
      </w:r>
      <w:r>
        <w:rPr>
          <w:rFonts w:hint="eastAsia" w:ascii="仿宋" w:hAnsi="仿宋" w:eastAsia="仿宋"/>
          <w:szCs w:val="22"/>
          <w:highlight w:val="none"/>
        </w:rPr>
        <w:t>五、评标</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_Toc32030 </w:instrText>
      </w:r>
      <w:r>
        <w:rPr>
          <w:rFonts w:hint="eastAsia" w:ascii="仿宋" w:hAnsi="仿宋" w:eastAsia="仿宋"/>
          <w:szCs w:val="22"/>
          <w:highlight w:val="none"/>
        </w:rPr>
        <w:fldChar w:fldCharType="separate"/>
      </w:r>
      <w:r>
        <w:rPr>
          <w:rFonts w:hint="eastAsia" w:ascii="仿宋" w:hAnsi="仿宋" w:eastAsia="仿宋"/>
          <w:szCs w:val="22"/>
          <w:highlight w:val="none"/>
        </w:rPr>
        <w:t>51</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_Toc16620 </w:instrText>
      </w:r>
      <w:r>
        <w:rPr>
          <w:rFonts w:hint="eastAsia" w:ascii="仿宋" w:hAnsi="仿宋" w:eastAsia="仿宋"/>
          <w:szCs w:val="22"/>
          <w:highlight w:val="none"/>
        </w:rPr>
        <w:fldChar w:fldCharType="separate"/>
      </w:r>
      <w:r>
        <w:rPr>
          <w:rFonts w:hint="eastAsia" w:ascii="仿宋" w:hAnsi="仿宋" w:eastAsia="仿宋"/>
          <w:szCs w:val="22"/>
          <w:highlight w:val="none"/>
        </w:rPr>
        <w:t>六、定标</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_Toc16620 </w:instrText>
      </w:r>
      <w:r>
        <w:rPr>
          <w:rFonts w:hint="eastAsia" w:ascii="仿宋" w:hAnsi="仿宋" w:eastAsia="仿宋"/>
          <w:szCs w:val="22"/>
          <w:highlight w:val="none"/>
        </w:rPr>
        <w:fldChar w:fldCharType="separate"/>
      </w:r>
      <w:r>
        <w:rPr>
          <w:rFonts w:hint="eastAsia" w:ascii="仿宋" w:hAnsi="仿宋" w:eastAsia="仿宋"/>
          <w:szCs w:val="22"/>
          <w:highlight w:val="none"/>
        </w:rPr>
        <w:t>52</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_Toc11172 </w:instrText>
      </w:r>
      <w:r>
        <w:rPr>
          <w:rFonts w:hint="eastAsia" w:ascii="仿宋" w:hAnsi="仿宋" w:eastAsia="仿宋"/>
          <w:szCs w:val="22"/>
          <w:highlight w:val="none"/>
        </w:rPr>
        <w:fldChar w:fldCharType="separate"/>
      </w:r>
      <w:r>
        <w:rPr>
          <w:rFonts w:hint="eastAsia" w:ascii="仿宋" w:hAnsi="仿宋" w:eastAsia="仿宋"/>
          <w:szCs w:val="22"/>
          <w:highlight w:val="none"/>
        </w:rPr>
        <w:t>七、中标</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_Toc11172 </w:instrText>
      </w:r>
      <w:r>
        <w:rPr>
          <w:rFonts w:hint="eastAsia" w:ascii="仿宋" w:hAnsi="仿宋" w:eastAsia="仿宋"/>
          <w:szCs w:val="22"/>
          <w:highlight w:val="none"/>
        </w:rPr>
        <w:fldChar w:fldCharType="separate"/>
      </w:r>
      <w:r>
        <w:rPr>
          <w:rFonts w:hint="eastAsia" w:ascii="仿宋" w:hAnsi="仿宋" w:eastAsia="仿宋"/>
          <w:szCs w:val="22"/>
          <w:highlight w:val="none"/>
        </w:rPr>
        <w:t>52</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_Toc4738 </w:instrText>
      </w:r>
      <w:r>
        <w:rPr>
          <w:rFonts w:hint="eastAsia" w:ascii="仿宋" w:hAnsi="仿宋" w:eastAsia="仿宋"/>
          <w:szCs w:val="22"/>
          <w:highlight w:val="none"/>
        </w:rPr>
        <w:fldChar w:fldCharType="separate"/>
      </w:r>
      <w:r>
        <w:rPr>
          <w:rFonts w:hint="eastAsia" w:ascii="仿宋" w:hAnsi="仿宋" w:eastAsia="仿宋"/>
          <w:szCs w:val="22"/>
          <w:highlight w:val="none"/>
        </w:rPr>
        <w:t>八、询问、质疑和投诉</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_Toc4738 </w:instrText>
      </w:r>
      <w:r>
        <w:rPr>
          <w:rFonts w:hint="eastAsia" w:ascii="仿宋" w:hAnsi="仿宋" w:eastAsia="仿宋"/>
          <w:szCs w:val="22"/>
          <w:highlight w:val="none"/>
        </w:rPr>
        <w:fldChar w:fldCharType="separate"/>
      </w:r>
      <w:r>
        <w:rPr>
          <w:rFonts w:hint="eastAsia" w:ascii="仿宋" w:hAnsi="仿宋" w:eastAsia="仿宋"/>
          <w:szCs w:val="22"/>
          <w:highlight w:val="none"/>
        </w:rPr>
        <w:t>52</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_Toc19593 </w:instrText>
      </w:r>
      <w:r>
        <w:rPr>
          <w:rFonts w:hint="eastAsia" w:ascii="仿宋" w:hAnsi="仿宋" w:eastAsia="仿宋"/>
          <w:szCs w:val="22"/>
          <w:highlight w:val="none"/>
        </w:rPr>
        <w:fldChar w:fldCharType="separate"/>
      </w:r>
      <w:r>
        <w:rPr>
          <w:rFonts w:hint="eastAsia" w:ascii="仿宋" w:hAnsi="仿宋" w:eastAsia="仿宋"/>
          <w:szCs w:val="22"/>
          <w:highlight w:val="none"/>
        </w:rPr>
        <w:t>九、交易服务费</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_Toc19593 </w:instrText>
      </w:r>
      <w:r>
        <w:rPr>
          <w:rFonts w:hint="eastAsia" w:ascii="仿宋" w:hAnsi="仿宋" w:eastAsia="仿宋"/>
          <w:szCs w:val="22"/>
          <w:highlight w:val="none"/>
        </w:rPr>
        <w:fldChar w:fldCharType="separate"/>
      </w:r>
      <w:r>
        <w:rPr>
          <w:rFonts w:hint="eastAsia" w:ascii="仿宋" w:hAnsi="仿宋" w:eastAsia="仿宋"/>
          <w:szCs w:val="22"/>
          <w:highlight w:val="none"/>
        </w:rPr>
        <w:t>54</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_Toc26498 </w:instrText>
      </w:r>
      <w:r>
        <w:rPr>
          <w:rFonts w:hint="eastAsia" w:ascii="仿宋" w:hAnsi="仿宋" w:eastAsia="仿宋"/>
          <w:szCs w:val="22"/>
          <w:highlight w:val="none"/>
        </w:rPr>
        <w:fldChar w:fldCharType="separate"/>
      </w:r>
      <w:r>
        <w:rPr>
          <w:rFonts w:hint="eastAsia" w:ascii="仿宋" w:hAnsi="仿宋" w:eastAsia="仿宋"/>
          <w:szCs w:val="22"/>
          <w:highlight w:val="none"/>
        </w:rPr>
        <w:t>十、签订合同</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_Toc26498 </w:instrText>
      </w:r>
      <w:r>
        <w:rPr>
          <w:rFonts w:hint="eastAsia" w:ascii="仿宋" w:hAnsi="仿宋" w:eastAsia="仿宋"/>
          <w:szCs w:val="22"/>
          <w:highlight w:val="none"/>
        </w:rPr>
        <w:fldChar w:fldCharType="separate"/>
      </w:r>
      <w:r>
        <w:rPr>
          <w:rFonts w:hint="eastAsia" w:ascii="仿宋" w:hAnsi="仿宋" w:eastAsia="仿宋"/>
          <w:szCs w:val="22"/>
          <w:highlight w:val="none"/>
        </w:rPr>
        <w:t>54</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_Toc15514 </w:instrText>
      </w:r>
      <w:r>
        <w:rPr>
          <w:rFonts w:hint="eastAsia" w:ascii="仿宋" w:hAnsi="仿宋" w:eastAsia="仿宋"/>
          <w:szCs w:val="22"/>
          <w:highlight w:val="none"/>
        </w:rPr>
        <w:fldChar w:fldCharType="separate"/>
      </w:r>
      <w:r>
        <w:rPr>
          <w:rFonts w:hint="eastAsia" w:ascii="仿宋" w:hAnsi="仿宋" w:eastAsia="仿宋"/>
          <w:szCs w:val="22"/>
          <w:highlight w:val="none"/>
        </w:rPr>
        <w:t>十一、项目验收</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_Toc15514 </w:instrText>
      </w:r>
      <w:r>
        <w:rPr>
          <w:rFonts w:hint="eastAsia" w:ascii="仿宋" w:hAnsi="仿宋" w:eastAsia="仿宋"/>
          <w:szCs w:val="22"/>
          <w:highlight w:val="none"/>
        </w:rPr>
        <w:fldChar w:fldCharType="separate"/>
      </w:r>
      <w:r>
        <w:rPr>
          <w:rFonts w:hint="eastAsia" w:ascii="仿宋" w:hAnsi="仿宋" w:eastAsia="仿宋"/>
          <w:szCs w:val="22"/>
          <w:highlight w:val="none"/>
        </w:rPr>
        <w:t>55</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_Toc1974 </w:instrText>
      </w:r>
      <w:r>
        <w:rPr>
          <w:rFonts w:hint="eastAsia" w:ascii="仿宋" w:hAnsi="仿宋" w:eastAsia="仿宋"/>
          <w:szCs w:val="22"/>
          <w:highlight w:val="none"/>
        </w:rPr>
        <w:fldChar w:fldCharType="separate"/>
      </w:r>
      <w:r>
        <w:rPr>
          <w:rFonts w:hint="eastAsia" w:ascii="仿宋" w:hAnsi="仿宋" w:eastAsia="仿宋"/>
          <w:szCs w:val="22"/>
          <w:highlight w:val="none"/>
        </w:rPr>
        <w:t>十二、政府采购信用融资</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_Toc1974 </w:instrText>
      </w:r>
      <w:r>
        <w:rPr>
          <w:rFonts w:hint="eastAsia" w:ascii="仿宋" w:hAnsi="仿宋" w:eastAsia="仿宋"/>
          <w:szCs w:val="22"/>
          <w:highlight w:val="none"/>
        </w:rPr>
        <w:fldChar w:fldCharType="separate"/>
      </w:r>
      <w:r>
        <w:rPr>
          <w:rFonts w:hint="eastAsia" w:ascii="仿宋" w:hAnsi="仿宋" w:eastAsia="仿宋"/>
          <w:szCs w:val="22"/>
          <w:highlight w:val="none"/>
        </w:rPr>
        <w:t>55</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
        <w:tabs>
          <w:tab w:val="right" w:leader="dot" w:pos="9412"/>
        </w:tabs>
      </w:pPr>
      <w:r>
        <w:rPr>
          <w:color w:val="auto"/>
          <w:highlight w:val="none"/>
        </w:rPr>
        <w:fldChar w:fldCharType="begin"/>
      </w:r>
      <w:r>
        <w:rPr>
          <w:highlight w:val="none"/>
        </w:rPr>
        <w:instrText xml:space="preserve"> HYPERLINK \l _Toc20968 </w:instrText>
      </w:r>
      <w:r>
        <w:rPr>
          <w:highlight w:val="none"/>
        </w:rPr>
        <w:fldChar w:fldCharType="separate"/>
      </w:r>
      <w:r>
        <w:rPr>
          <w:rFonts w:hint="eastAsia" w:ascii="黑体" w:hAnsi="黑体" w:eastAsia="方正小标宋简体" w:cs="黑体"/>
          <w:szCs w:val="22"/>
        </w:rPr>
        <w:t xml:space="preserve">第六篇 </w:t>
      </w:r>
      <w:r>
        <w:rPr>
          <w:rFonts w:hint="eastAsia" w:ascii="方正小标宋简体" w:eastAsia="方正小标宋简体"/>
          <w:szCs w:val="22"/>
          <w:highlight w:val="none"/>
        </w:rPr>
        <w:t>合同主要条款和格式合同（样本）</w:t>
      </w:r>
      <w:r>
        <w:tab/>
      </w:r>
      <w:r>
        <w:fldChar w:fldCharType="begin"/>
      </w:r>
      <w:r>
        <w:instrText xml:space="preserve"> PAGEREF _Toc20968 </w:instrText>
      </w:r>
      <w:r>
        <w:fldChar w:fldCharType="separate"/>
      </w:r>
      <w:r>
        <w:t>56</w:t>
      </w:r>
      <w:r>
        <w:fldChar w:fldCharType="end"/>
      </w:r>
      <w:r>
        <w:rPr>
          <w:color w:val="auto"/>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_Toc4268 </w:instrText>
      </w:r>
      <w:r>
        <w:rPr>
          <w:rFonts w:hint="eastAsia" w:ascii="仿宋" w:hAnsi="仿宋" w:eastAsia="仿宋"/>
          <w:szCs w:val="22"/>
          <w:highlight w:val="none"/>
        </w:rPr>
        <w:fldChar w:fldCharType="separate"/>
      </w:r>
      <w:r>
        <w:rPr>
          <w:rFonts w:hint="eastAsia" w:ascii="仿宋" w:hAnsi="仿宋" w:eastAsia="仿宋"/>
          <w:szCs w:val="22"/>
          <w:highlight w:val="none"/>
        </w:rPr>
        <w:t>一、合同主要条款</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_Toc4268 </w:instrText>
      </w:r>
      <w:r>
        <w:rPr>
          <w:rFonts w:hint="eastAsia" w:ascii="仿宋" w:hAnsi="仿宋" w:eastAsia="仿宋"/>
          <w:szCs w:val="22"/>
          <w:highlight w:val="none"/>
        </w:rPr>
        <w:fldChar w:fldCharType="separate"/>
      </w:r>
      <w:r>
        <w:rPr>
          <w:rFonts w:hint="eastAsia" w:ascii="仿宋" w:hAnsi="仿宋" w:eastAsia="仿宋"/>
          <w:szCs w:val="22"/>
          <w:highlight w:val="none"/>
        </w:rPr>
        <w:t>56</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_Toc23682 </w:instrText>
      </w:r>
      <w:r>
        <w:rPr>
          <w:rFonts w:hint="eastAsia" w:ascii="仿宋" w:hAnsi="仿宋" w:eastAsia="仿宋"/>
          <w:szCs w:val="22"/>
          <w:highlight w:val="none"/>
        </w:rPr>
        <w:fldChar w:fldCharType="separate"/>
      </w:r>
      <w:r>
        <w:rPr>
          <w:rFonts w:hint="eastAsia" w:ascii="仿宋" w:hAnsi="仿宋" w:eastAsia="仿宋"/>
          <w:szCs w:val="22"/>
          <w:highlight w:val="none"/>
        </w:rPr>
        <w:t>二、政府采购合同（格式）</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_Toc23682 </w:instrText>
      </w:r>
      <w:r>
        <w:rPr>
          <w:rFonts w:hint="eastAsia" w:ascii="仿宋" w:hAnsi="仿宋" w:eastAsia="仿宋"/>
          <w:szCs w:val="22"/>
          <w:highlight w:val="none"/>
        </w:rPr>
        <w:fldChar w:fldCharType="separate"/>
      </w:r>
      <w:r>
        <w:rPr>
          <w:rFonts w:hint="eastAsia" w:ascii="仿宋" w:hAnsi="仿宋" w:eastAsia="仿宋"/>
          <w:szCs w:val="22"/>
          <w:highlight w:val="none"/>
        </w:rPr>
        <w:t>59</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
        <w:tabs>
          <w:tab w:val="right" w:leader="dot" w:pos="9412"/>
        </w:tabs>
      </w:pPr>
      <w:r>
        <w:rPr>
          <w:color w:val="auto"/>
          <w:highlight w:val="none"/>
        </w:rPr>
        <w:fldChar w:fldCharType="begin"/>
      </w:r>
      <w:r>
        <w:rPr>
          <w:highlight w:val="none"/>
        </w:rPr>
        <w:instrText xml:space="preserve"> HYPERLINK \l _Toc15 </w:instrText>
      </w:r>
      <w:r>
        <w:rPr>
          <w:highlight w:val="none"/>
        </w:rPr>
        <w:fldChar w:fldCharType="separate"/>
      </w:r>
      <w:r>
        <w:rPr>
          <w:rFonts w:hint="eastAsia" w:ascii="黑体" w:hAnsi="黑体" w:eastAsia="方正小标宋简体" w:cs="黑体"/>
          <w:szCs w:val="22"/>
        </w:rPr>
        <w:t xml:space="preserve">第七篇 </w:t>
      </w:r>
      <w:r>
        <w:rPr>
          <w:rFonts w:hint="eastAsia" w:ascii="方正小标宋简体" w:eastAsia="方正小标宋简体"/>
          <w:szCs w:val="22"/>
          <w:highlight w:val="none"/>
        </w:rPr>
        <w:t>电子投标文件格式</w:t>
      </w:r>
      <w:r>
        <w:tab/>
      </w:r>
      <w:r>
        <w:fldChar w:fldCharType="begin"/>
      </w:r>
      <w:r>
        <w:instrText xml:space="preserve"> PAGEREF _Toc15 </w:instrText>
      </w:r>
      <w:r>
        <w:fldChar w:fldCharType="separate"/>
      </w:r>
      <w:r>
        <w:t>61</w:t>
      </w:r>
      <w:r>
        <w:fldChar w:fldCharType="end"/>
      </w:r>
      <w:r>
        <w:rPr>
          <w:color w:val="auto"/>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_Toc25073 </w:instrText>
      </w:r>
      <w:r>
        <w:rPr>
          <w:rFonts w:hint="eastAsia" w:ascii="仿宋" w:hAnsi="仿宋" w:eastAsia="仿宋"/>
          <w:szCs w:val="22"/>
          <w:highlight w:val="none"/>
        </w:rPr>
        <w:fldChar w:fldCharType="separate"/>
      </w:r>
      <w:r>
        <w:rPr>
          <w:rFonts w:hint="default" w:ascii="仿宋" w:hAnsi="仿宋" w:eastAsia="仿宋"/>
          <w:szCs w:val="22"/>
          <w:highlight w:val="none"/>
        </w:rPr>
        <w:t>一、经济文件</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_Toc25073 </w:instrText>
      </w:r>
      <w:r>
        <w:rPr>
          <w:rFonts w:hint="eastAsia" w:ascii="仿宋" w:hAnsi="仿宋" w:eastAsia="仿宋"/>
          <w:szCs w:val="22"/>
          <w:highlight w:val="none"/>
        </w:rPr>
        <w:fldChar w:fldCharType="separate"/>
      </w:r>
      <w:r>
        <w:rPr>
          <w:rFonts w:hint="eastAsia" w:ascii="仿宋" w:hAnsi="仿宋" w:eastAsia="仿宋"/>
          <w:szCs w:val="22"/>
          <w:highlight w:val="none"/>
        </w:rPr>
        <w:t>63</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_Toc29084 </w:instrText>
      </w:r>
      <w:r>
        <w:rPr>
          <w:rFonts w:hint="eastAsia" w:ascii="仿宋" w:hAnsi="仿宋" w:eastAsia="仿宋"/>
          <w:szCs w:val="22"/>
          <w:highlight w:val="none"/>
        </w:rPr>
        <w:fldChar w:fldCharType="separate"/>
      </w:r>
      <w:r>
        <w:rPr>
          <w:rFonts w:hint="eastAsia" w:ascii="仿宋" w:hAnsi="仿宋" w:eastAsia="仿宋"/>
          <w:szCs w:val="22"/>
          <w:highlight w:val="none"/>
        </w:rPr>
        <w:t>二、服务文件</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_Toc29084 </w:instrText>
      </w:r>
      <w:r>
        <w:rPr>
          <w:rFonts w:hint="eastAsia" w:ascii="仿宋" w:hAnsi="仿宋" w:eastAsia="仿宋"/>
          <w:szCs w:val="22"/>
          <w:highlight w:val="none"/>
        </w:rPr>
        <w:fldChar w:fldCharType="separate"/>
      </w:r>
      <w:r>
        <w:rPr>
          <w:rFonts w:hint="eastAsia" w:ascii="仿宋" w:hAnsi="仿宋" w:eastAsia="仿宋"/>
          <w:szCs w:val="22"/>
          <w:highlight w:val="none"/>
        </w:rPr>
        <w:t>65</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_Toc4564 </w:instrText>
      </w:r>
      <w:r>
        <w:rPr>
          <w:rFonts w:hint="eastAsia" w:ascii="仿宋" w:hAnsi="仿宋" w:eastAsia="仿宋"/>
          <w:szCs w:val="22"/>
          <w:highlight w:val="none"/>
        </w:rPr>
        <w:fldChar w:fldCharType="separate"/>
      </w:r>
      <w:r>
        <w:rPr>
          <w:rFonts w:hint="eastAsia" w:ascii="仿宋" w:hAnsi="仿宋" w:eastAsia="仿宋"/>
          <w:szCs w:val="22"/>
          <w:highlight w:val="none"/>
        </w:rPr>
        <w:t>三、商务文件</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_Toc4564 </w:instrText>
      </w:r>
      <w:r>
        <w:rPr>
          <w:rFonts w:hint="eastAsia" w:ascii="仿宋" w:hAnsi="仿宋" w:eastAsia="仿宋"/>
          <w:szCs w:val="22"/>
          <w:highlight w:val="none"/>
        </w:rPr>
        <w:fldChar w:fldCharType="separate"/>
      </w:r>
      <w:r>
        <w:rPr>
          <w:rFonts w:hint="eastAsia" w:ascii="仿宋" w:hAnsi="仿宋" w:eastAsia="仿宋"/>
          <w:szCs w:val="22"/>
          <w:highlight w:val="none"/>
        </w:rPr>
        <w:t>67</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rPr>
          <w:rFonts w:hint="eastAsia" w:ascii="仿宋" w:hAnsi="仿宋" w:eastAsia="仿宋"/>
          <w:szCs w:val="22"/>
          <w:highlight w:val="none"/>
        </w:rPr>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_Toc13808 </w:instrText>
      </w:r>
      <w:r>
        <w:rPr>
          <w:rFonts w:hint="eastAsia" w:ascii="仿宋" w:hAnsi="仿宋" w:eastAsia="仿宋"/>
          <w:szCs w:val="22"/>
          <w:highlight w:val="none"/>
        </w:rPr>
        <w:fldChar w:fldCharType="separate"/>
      </w:r>
      <w:r>
        <w:rPr>
          <w:rFonts w:hint="eastAsia" w:ascii="仿宋" w:hAnsi="仿宋" w:eastAsia="仿宋"/>
          <w:szCs w:val="22"/>
          <w:highlight w:val="none"/>
        </w:rPr>
        <w:t>四、资格文件</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_Toc13808 </w:instrText>
      </w:r>
      <w:r>
        <w:rPr>
          <w:rFonts w:hint="eastAsia" w:ascii="仿宋" w:hAnsi="仿宋" w:eastAsia="仿宋"/>
          <w:szCs w:val="22"/>
          <w:highlight w:val="none"/>
        </w:rPr>
        <w:fldChar w:fldCharType="separate"/>
      </w:r>
      <w:r>
        <w:rPr>
          <w:rFonts w:hint="eastAsia" w:ascii="仿宋" w:hAnsi="仿宋" w:eastAsia="仿宋"/>
          <w:szCs w:val="22"/>
          <w:highlight w:val="none"/>
        </w:rPr>
        <w:t>71</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pP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HYPERLINK \l _Toc9221 </w:instrText>
      </w:r>
      <w:r>
        <w:rPr>
          <w:rFonts w:hint="eastAsia" w:ascii="仿宋" w:hAnsi="仿宋" w:eastAsia="仿宋"/>
          <w:szCs w:val="22"/>
          <w:highlight w:val="none"/>
        </w:rPr>
        <w:fldChar w:fldCharType="separate"/>
      </w:r>
      <w:r>
        <w:rPr>
          <w:rFonts w:hint="eastAsia" w:ascii="仿宋" w:hAnsi="仿宋" w:eastAsia="仿宋"/>
          <w:szCs w:val="22"/>
          <w:highlight w:val="none"/>
        </w:rPr>
        <w:t>五、其他</w:t>
      </w:r>
      <w:r>
        <w:rPr>
          <w:rFonts w:hint="eastAsia" w:ascii="仿宋" w:hAnsi="仿宋" w:eastAsia="仿宋"/>
          <w:szCs w:val="22"/>
          <w:highlight w:val="none"/>
        </w:rPr>
        <w:tab/>
      </w:r>
      <w:r>
        <w:rPr>
          <w:rFonts w:hint="eastAsia" w:ascii="仿宋" w:hAnsi="仿宋" w:eastAsia="仿宋"/>
          <w:szCs w:val="22"/>
          <w:highlight w:val="none"/>
        </w:rPr>
        <w:fldChar w:fldCharType="begin"/>
      </w:r>
      <w:r>
        <w:rPr>
          <w:rFonts w:hint="eastAsia" w:ascii="仿宋" w:hAnsi="仿宋" w:eastAsia="仿宋"/>
          <w:szCs w:val="22"/>
          <w:highlight w:val="none"/>
        </w:rPr>
        <w:instrText xml:space="preserve"> PAGEREF _Toc9221 </w:instrText>
      </w:r>
      <w:r>
        <w:rPr>
          <w:rFonts w:hint="eastAsia" w:ascii="仿宋" w:hAnsi="仿宋" w:eastAsia="仿宋"/>
          <w:szCs w:val="22"/>
          <w:highlight w:val="none"/>
        </w:rPr>
        <w:fldChar w:fldCharType="separate"/>
      </w:r>
      <w:r>
        <w:rPr>
          <w:rFonts w:hint="eastAsia" w:ascii="仿宋" w:hAnsi="仿宋" w:eastAsia="仿宋"/>
          <w:szCs w:val="22"/>
          <w:highlight w:val="none"/>
        </w:rPr>
        <w:t>76</w:t>
      </w:r>
      <w:r>
        <w:rPr>
          <w:rFonts w:hint="eastAsia" w:ascii="仿宋" w:hAnsi="仿宋" w:eastAsia="仿宋"/>
          <w:szCs w:val="22"/>
          <w:highlight w:val="none"/>
        </w:rPr>
        <w:fldChar w:fldCharType="end"/>
      </w:r>
      <w:r>
        <w:rPr>
          <w:rFonts w:hint="eastAsia" w:ascii="仿宋" w:hAnsi="仿宋" w:eastAsia="仿宋"/>
          <w:szCs w:val="22"/>
          <w:highlight w:val="none"/>
        </w:rPr>
        <w:fldChar w:fldCharType="end"/>
      </w:r>
    </w:p>
    <w:p>
      <w:pPr>
        <w:pStyle w:val="22"/>
        <w:tabs>
          <w:tab w:val="right" w:leader="dot" w:pos="9412"/>
        </w:tabs>
        <w:ind w:firstLine="344"/>
        <w:rPr>
          <w:color w:val="auto"/>
          <w:highlight w:val="none"/>
        </w:rPr>
      </w:pPr>
      <w:r>
        <w:rPr>
          <w:color w:val="auto"/>
          <w:highlight w:val="none"/>
        </w:rPr>
        <w:fldChar w:fldCharType="end"/>
      </w:r>
      <w:r>
        <w:rPr>
          <w:color w:val="auto"/>
          <w:highlight w:val="none"/>
        </w:rPr>
        <w:br w:type="page"/>
      </w:r>
    </w:p>
    <w:p>
      <w:pPr>
        <w:pStyle w:val="3"/>
        <w:numPr>
          <w:ilvl w:val="0"/>
          <w:numId w:val="1"/>
        </w:numPr>
        <w:tabs>
          <w:tab w:val="clear" w:pos="3360"/>
        </w:tabs>
        <w:spacing w:before="190" w:after="190" w:line="520" w:lineRule="exact"/>
        <w:ind w:left="1112" w:hanging="1113" w:hangingChars="270"/>
        <w:rPr>
          <w:rFonts w:hint="eastAsia" w:ascii="方正小标宋简体" w:eastAsia="方正小标宋简体"/>
          <w:color w:val="auto"/>
          <w:highlight w:val="none"/>
        </w:rPr>
      </w:pPr>
      <w:bookmarkStart w:id="129" w:name="_Toc14796"/>
      <w:bookmarkStart w:id="130" w:name="_Toc15932"/>
      <w:bookmarkStart w:id="131" w:name="_Toc19977"/>
      <w:bookmarkStart w:id="132" w:name="_Toc26404"/>
      <w:bookmarkStart w:id="133" w:name="_Toc2320"/>
      <w:bookmarkStart w:id="134" w:name="_Toc27640"/>
      <w:bookmarkStart w:id="135" w:name="_Toc14835"/>
      <w:bookmarkStart w:id="136" w:name="_Toc29382"/>
      <w:bookmarkStart w:id="137" w:name="_Toc7334"/>
      <w:bookmarkStart w:id="138" w:name="_Toc63600401"/>
      <w:bookmarkStart w:id="139" w:name="_Toc27422"/>
      <w:bookmarkStart w:id="140" w:name="_Toc30691"/>
      <w:bookmarkStart w:id="141" w:name="_Toc13256"/>
      <w:r>
        <w:rPr>
          <w:rFonts w:hint="eastAsia" w:ascii="方正小标宋简体" w:eastAsia="方正小标宋简体"/>
          <w:color w:val="auto"/>
          <w:highlight w:val="none"/>
        </w:rPr>
        <w:t>投标邀请书</w:t>
      </w:r>
      <w:bookmarkEnd w:id="129"/>
      <w:bookmarkEnd w:id="130"/>
      <w:bookmarkEnd w:id="131"/>
      <w:bookmarkEnd w:id="132"/>
      <w:bookmarkEnd w:id="133"/>
      <w:bookmarkEnd w:id="134"/>
      <w:bookmarkEnd w:id="135"/>
      <w:bookmarkEnd w:id="136"/>
      <w:bookmarkEnd w:id="137"/>
      <w:bookmarkEnd w:id="138"/>
      <w:bookmarkEnd w:id="139"/>
      <w:bookmarkEnd w:id="140"/>
      <w:bookmarkEnd w:id="141"/>
    </w:p>
    <w:p>
      <w:pPr>
        <w:ind w:firstLine="424"/>
        <w:rPr>
          <w:rFonts w:ascii="仿宋" w:hAnsi="仿宋" w:eastAsia="仿宋"/>
          <w:color w:val="auto"/>
          <w:szCs w:val="22"/>
          <w:highlight w:val="none"/>
        </w:rPr>
      </w:pPr>
      <w:r>
        <w:rPr>
          <w:rFonts w:hint="eastAsia" w:ascii="仿宋" w:hAnsi="仿宋" w:eastAsia="仿宋"/>
          <w:color w:val="auto"/>
          <w:szCs w:val="22"/>
          <w:highlight w:val="none"/>
        </w:rPr>
        <w:t>重庆市巴南区政府采购中心（以下简称：采购代理机构）受重庆市巴南区现代教育技术中心（以下简称：采购人）的委托，对</w:t>
      </w:r>
      <w:r>
        <w:rPr>
          <w:rFonts w:hint="eastAsia" w:ascii="仿宋" w:hAnsi="仿宋" w:eastAsia="仿宋"/>
          <w:color w:val="auto"/>
          <w:szCs w:val="22"/>
          <w:highlight w:val="none"/>
          <w:lang w:val="en-US" w:eastAsia="zh-CN"/>
        </w:rPr>
        <w:t>重庆市巴南区教育城域网项目进</w:t>
      </w:r>
      <w:r>
        <w:rPr>
          <w:rFonts w:hint="eastAsia" w:ascii="仿宋" w:hAnsi="仿宋" w:eastAsia="仿宋"/>
          <w:color w:val="auto"/>
          <w:szCs w:val="22"/>
          <w:highlight w:val="none"/>
        </w:rPr>
        <w:t>行公开招标，欢迎有资格的投标人参加投标。</w:t>
      </w:r>
    </w:p>
    <w:p>
      <w:pPr>
        <w:pStyle w:val="4"/>
        <w:spacing w:before="190" w:after="190" w:line="520" w:lineRule="exact"/>
        <w:ind w:firstLine="506"/>
        <w:rPr>
          <w:rFonts w:ascii="仿宋" w:hAnsi="仿宋" w:eastAsia="仿宋"/>
          <w:color w:val="auto"/>
          <w:sz w:val="24"/>
          <w:highlight w:val="none"/>
        </w:rPr>
      </w:pPr>
      <w:bookmarkStart w:id="142" w:name="_Toc16873"/>
      <w:bookmarkStart w:id="143" w:name="_Toc4151"/>
      <w:bookmarkStart w:id="144" w:name="_Toc25986"/>
      <w:bookmarkStart w:id="145" w:name="_Toc20489863"/>
      <w:bookmarkStart w:id="146" w:name="_Toc1159"/>
      <w:bookmarkStart w:id="147" w:name="_Toc27777"/>
      <w:bookmarkStart w:id="148" w:name="_Toc409189608"/>
      <w:bookmarkStart w:id="149" w:name="_Toc394390667"/>
      <w:bookmarkStart w:id="150" w:name="_Toc496021253"/>
      <w:bookmarkStart w:id="151" w:name="_Toc699"/>
      <w:bookmarkStart w:id="152" w:name="_Toc32327"/>
      <w:bookmarkStart w:id="153" w:name="_Toc20488307"/>
      <w:bookmarkStart w:id="154" w:name="_Toc18898"/>
      <w:bookmarkStart w:id="155" w:name="_Toc21981"/>
      <w:bookmarkStart w:id="156" w:name="_Toc17693"/>
      <w:bookmarkStart w:id="157" w:name="_Toc300"/>
      <w:bookmarkStart w:id="158" w:name="_Toc17044"/>
      <w:bookmarkStart w:id="159" w:name="_Toc63600402"/>
      <w:bookmarkStart w:id="160" w:name="_Toc24517"/>
      <w:bookmarkStart w:id="161" w:name="_Toc24008"/>
      <w:bookmarkStart w:id="162" w:name="_Toc13459"/>
      <w:r>
        <w:rPr>
          <w:rFonts w:hint="eastAsia" w:ascii="仿宋" w:hAnsi="仿宋" w:eastAsia="仿宋"/>
          <w:color w:val="auto"/>
          <w:highlight w:val="none"/>
        </w:rPr>
        <w:t>一、项目内容</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Start w:id="163" w:name="_Toc8351"/>
      <w:bookmarkStart w:id="164" w:name="_Toc9115"/>
      <w:bookmarkStart w:id="165" w:name="_Toc394390668"/>
      <w:bookmarkStart w:id="166" w:name="_Toc29050"/>
      <w:bookmarkStart w:id="167" w:name="_Toc23509"/>
      <w:bookmarkStart w:id="168" w:name="_Toc29997"/>
      <w:bookmarkStart w:id="169" w:name="_Toc11495"/>
      <w:bookmarkStart w:id="170" w:name="_Toc26914"/>
      <w:bookmarkStart w:id="171" w:name="_Toc409189609"/>
      <w:bookmarkStart w:id="172" w:name="_Toc20489864"/>
      <w:bookmarkStart w:id="173" w:name="_Toc2270"/>
      <w:bookmarkStart w:id="174" w:name="_Toc17506"/>
      <w:bookmarkStart w:id="175" w:name="_Toc1969"/>
      <w:bookmarkStart w:id="176" w:name="_Toc20488308"/>
      <w:bookmarkStart w:id="177" w:name="_Toc17723"/>
      <w:bookmarkStart w:id="178" w:name="_Toc21449"/>
      <w:bookmarkStart w:id="179" w:name="_Toc22093"/>
      <w:bookmarkStart w:id="180" w:name="_Toc23440"/>
    </w:p>
    <w:tbl>
      <w:tblPr>
        <w:tblStyle w:val="32"/>
        <w:tblW w:w="95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723"/>
        <w:gridCol w:w="1181"/>
        <w:gridCol w:w="1313"/>
        <w:gridCol w:w="1313"/>
        <w:gridCol w:w="1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2" w:hRule="atLeast"/>
          <w:jc w:val="center"/>
        </w:trPr>
        <w:tc>
          <w:tcPr>
            <w:tcW w:w="1072" w:type="dxa"/>
            <w:vAlign w:val="center"/>
          </w:tcPr>
          <w:p>
            <w:pPr>
              <w:ind w:firstLine="0" w:firstLineChars="0"/>
              <w:jc w:val="center"/>
              <w:rPr>
                <w:rFonts w:ascii="仿宋" w:hAnsi="仿宋" w:eastAsia="仿宋"/>
                <w:b/>
                <w:color w:val="auto"/>
                <w:sz w:val="21"/>
                <w:szCs w:val="21"/>
                <w:highlight w:val="none"/>
              </w:rPr>
            </w:pPr>
            <w:r>
              <w:rPr>
                <w:rFonts w:hint="eastAsia" w:ascii="仿宋" w:hAnsi="仿宋" w:eastAsia="仿宋"/>
                <w:b/>
                <w:color w:val="auto"/>
                <w:sz w:val="21"/>
                <w:szCs w:val="21"/>
                <w:highlight w:val="none"/>
              </w:rPr>
              <w:t>序号</w:t>
            </w:r>
          </w:p>
        </w:tc>
        <w:tc>
          <w:tcPr>
            <w:tcW w:w="2723" w:type="dxa"/>
            <w:vAlign w:val="center"/>
          </w:tcPr>
          <w:p>
            <w:pPr>
              <w:ind w:firstLine="0" w:firstLineChars="0"/>
              <w:jc w:val="center"/>
              <w:rPr>
                <w:rFonts w:ascii="仿宋" w:hAnsi="仿宋" w:eastAsia="仿宋"/>
                <w:b/>
                <w:color w:val="auto"/>
                <w:sz w:val="21"/>
                <w:szCs w:val="21"/>
                <w:highlight w:val="none"/>
              </w:rPr>
            </w:pPr>
            <w:r>
              <w:rPr>
                <w:rFonts w:hint="eastAsia" w:ascii="仿宋" w:hAnsi="仿宋" w:eastAsia="仿宋"/>
                <w:b/>
                <w:color w:val="auto"/>
                <w:sz w:val="21"/>
                <w:szCs w:val="21"/>
                <w:highlight w:val="none"/>
              </w:rPr>
              <w:t>项目名称</w:t>
            </w:r>
          </w:p>
        </w:tc>
        <w:tc>
          <w:tcPr>
            <w:tcW w:w="1181" w:type="dxa"/>
            <w:vAlign w:val="center"/>
          </w:tcPr>
          <w:p>
            <w:pPr>
              <w:ind w:firstLine="0" w:firstLineChars="0"/>
              <w:jc w:val="center"/>
              <w:rPr>
                <w:rFonts w:ascii="仿宋" w:hAnsi="仿宋" w:eastAsia="仿宋"/>
                <w:b/>
                <w:color w:val="auto"/>
                <w:sz w:val="21"/>
                <w:szCs w:val="21"/>
                <w:highlight w:val="none"/>
              </w:rPr>
            </w:pPr>
            <w:r>
              <w:rPr>
                <w:rFonts w:hint="eastAsia" w:ascii="仿宋" w:hAnsi="仿宋" w:eastAsia="仿宋"/>
                <w:b/>
                <w:color w:val="auto"/>
                <w:sz w:val="21"/>
                <w:szCs w:val="21"/>
                <w:highlight w:val="none"/>
              </w:rPr>
              <w:t>最高限价（万元）</w:t>
            </w:r>
          </w:p>
        </w:tc>
        <w:tc>
          <w:tcPr>
            <w:tcW w:w="1313" w:type="dxa"/>
            <w:vAlign w:val="center"/>
          </w:tcPr>
          <w:p>
            <w:pPr>
              <w:ind w:firstLine="0" w:firstLineChars="0"/>
              <w:jc w:val="center"/>
              <w:rPr>
                <w:rFonts w:ascii="仿宋" w:hAnsi="仿宋" w:eastAsia="仿宋"/>
                <w:b/>
                <w:color w:val="auto"/>
                <w:sz w:val="21"/>
                <w:szCs w:val="21"/>
                <w:highlight w:val="none"/>
              </w:rPr>
            </w:pPr>
            <w:r>
              <w:rPr>
                <w:rFonts w:hint="eastAsia" w:ascii="仿宋" w:hAnsi="仿宋" w:eastAsia="仿宋"/>
                <w:b/>
                <w:color w:val="auto"/>
                <w:sz w:val="21"/>
                <w:szCs w:val="21"/>
                <w:highlight w:val="none"/>
                <w:lang w:eastAsia="zh-CN"/>
              </w:rPr>
              <w:t>投标保证金</w:t>
            </w:r>
            <w:r>
              <w:rPr>
                <w:rFonts w:hint="eastAsia" w:ascii="仿宋" w:hAnsi="仿宋" w:eastAsia="仿宋"/>
                <w:b/>
                <w:color w:val="auto"/>
                <w:sz w:val="21"/>
                <w:szCs w:val="21"/>
                <w:highlight w:val="none"/>
              </w:rPr>
              <w:t>（万元）</w:t>
            </w:r>
          </w:p>
        </w:tc>
        <w:tc>
          <w:tcPr>
            <w:tcW w:w="1313" w:type="dxa"/>
            <w:vAlign w:val="center"/>
          </w:tcPr>
          <w:p>
            <w:pPr>
              <w:ind w:firstLine="0" w:firstLineChars="0"/>
              <w:jc w:val="center"/>
              <w:rPr>
                <w:rFonts w:ascii="仿宋" w:hAnsi="仿宋" w:eastAsia="仿宋"/>
                <w:b/>
                <w:color w:val="auto"/>
                <w:sz w:val="21"/>
                <w:szCs w:val="21"/>
                <w:highlight w:val="none"/>
              </w:rPr>
            </w:pPr>
            <w:r>
              <w:rPr>
                <w:rFonts w:hint="eastAsia" w:ascii="仿宋" w:hAnsi="仿宋" w:eastAsia="仿宋"/>
                <w:b/>
                <w:color w:val="auto"/>
                <w:sz w:val="21"/>
                <w:szCs w:val="21"/>
                <w:highlight w:val="none"/>
              </w:rPr>
              <w:t>中标人数量</w:t>
            </w:r>
          </w:p>
          <w:p>
            <w:pPr>
              <w:ind w:firstLine="0" w:firstLineChars="0"/>
              <w:jc w:val="center"/>
              <w:rPr>
                <w:rFonts w:ascii="仿宋" w:hAnsi="仿宋" w:eastAsia="仿宋"/>
                <w:b/>
                <w:color w:val="auto"/>
                <w:sz w:val="21"/>
                <w:szCs w:val="21"/>
                <w:highlight w:val="none"/>
              </w:rPr>
            </w:pPr>
            <w:r>
              <w:rPr>
                <w:rFonts w:hint="eastAsia" w:ascii="仿宋" w:hAnsi="仿宋" w:eastAsia="仿宋"/>
                <w:b/>
                <w:color w:val="auto"/>
                <w:sz w:val="21"/>
                <w:szCs w:val="21"/>
                <w:highlight w:val="none"/>
              </w:rPr>
              <w:t>（名）</w:t>
            </w:r>
          </w:p>
        </w:tc>
        <w:tc>
          <w:tcPr>
            <w:tcW w:w="1962" w:type="dxa"/>
            <w:vAlign w:val="center"/>
          </w:tcPr>
          <w:p>
            <w:pPr>
              <w:ind w:firstLine="0" w:firstLineChars="0"/>
              <w:jc w:val="center"/>
              <w:rPr>
                <w:rFonts w:ascii="仿宋" w:hAnsi="仿宋" w:eastAsia="仿宋"/>
                <w:b/>
                <w:color w:val="auto"/>
                <w:sz w:val="21"/>
                <w:szCs w:val="21"/>
                <w:highlight w:val="none"/>
              </w:rPr>
            </w:pPr>
            <w:r>
              <w:rPr>
                <w:rFonts w:hint="eastAsia" w:ascii="仿宋" w:hAnsi="仿宋" w:eastAsia="仿宋"/>
                <w:b/>
                <w:color w:val="auto"/>
                <w:sz w:val="21"/>
                <w:szCs w:val="21"/>
                <w:highlight w:val="none"/>
              </w:rPr>
              <w:t>采购标的对应的中小企业划分标准所属行业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1072" w:type="dxa"/>
            <w:vAlign w:val="center"/>
          </w:tcPr>
          <w:p>
            <w:pPr>
              <w:adjustRightInd w:val="0"/>
              <w:snapToGrid w:val="0"/>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1</w:t>
            </w:r>
          </w:p>
        </w:tc>
        <w:tc>
          <w:tcPr>
            <w:tcW w:w="2723" w:type="dxa"/>
            <w:vAlign w:val="center"/>
          </w:tcPr>
          <w:p>
            <w:pPr>
              <w:adjustRightInd w:val="0"/>
              <w:snapToGrid w:val="0"/>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lang w:val="en-US" w:eastAsia="zh-CN"/>
              </w:rPr>
              <w:t>重庆市巴南区教育城域网项目</w:t>
            </w:r>
          </w:p>
        </w:tc>
        <w:tc>
          <w:tcPr>
            <w:tcW w:w="1181" w:type="dxa"/>
            <w:vAlign w:val="center"/>
          </w:tcPr>
          <w:p>
            <w:pPr>
              <w:ind w:firstLine="0" w:firstLineChars="0"/>
              <w:jc w:val="center"/>
              <w:rPr>
                <w:rFonts w:hint="default"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618</w:t>
            </w:r>
          </w:p>
        </w:tc>
        <w:tc>
          <w:tcPr>
            <w:tcW w:w="1313" w:type="dxa"/>
            <w:vAlign w:val="center"/>
          </w:tcPr>
          <w:p>
            <w:pPr>
              <w:ind w:firstLine="0" w:firstLineChars="0"/>
              <w:jc w:val="center"/>
              <w:rPr>
                <w:rFonts w:hint="default" w:ascii="仿宋" w:hAnsi="仿宋" w:eastAsia="仿宋"/>
                <w:color w:val="auto"/>
                <w:sz w:val="21"/>
                <w:szCs w:val="21"/>
                <w:highlight w:val="none"/>
                <w:lang w:val="en-US" w:eastAsia="zh-CN"/>
              </w:rPr>
            </w:pPr>
            <w:r>
              <w:rPr>
                <w:rFonts w:hint="eastAsia" w:ascii="仿宋" w:hAnsi="仿宋" w:eastAsia="仿宋"/>
                <w:color w:val="auto"/>
                <w:sz w:val="21"/>
                <w:szCs w:val="21"/>
                <w:highlight w:val="none"/>
                <w:lang w:val="en-US" w:eastAsia="zh-CN"/>
              </w:rPr>
              <w:t>12</w:t>
            </w:r>
          </w:p>
        </w:tc>
        <w:tc>
          <w:tcPr>
            <w:tcW w:w="1313" w:type="dxa"/>
            <w:vAlign w:val="center"/>
          </w:tcPr>
          <w:p>
            <w:pPr>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1</w:t>
            </w:r>
          </w:p>
        </w:tc>
        <w:tc>
          <w:tcPr>
            <w:tcW w:w="1962" w:type="dxa"/>
            <w:vAlign w:val="center"/>
          </w:tcPr>
          <w:p>
            <w:pPr>
              <w:ind w:firstLine="0" w:firstLineChars="0"/>
              <w:jc w:val="center"/>
              <w:rPr>
                <w:rFonts w:ascii="仿宋" w:hAnsi="仿宋" w:eastAsia="仿宋"/>
                <w:color w:val="auto"/>
                <w:sz w:val="21"/>
                <w:szCs w:val="21"/>
                <w:highlight w:val="none"/>
              </w:rPr>
            </w:pPr>
            <w:r>
              <w:rPr>
                <w:rFonts w:hint="eastAsia" w:ascii="仿宋" w:hAnsi="仿宋" w:eastAsia="仿宋"/>
                <w:color w:val="auto"/>
                <w:szCs w:val="22"/>
                <w:highlight w:val="none"/>
                <w:lang w:val="en-US" w:eastAsia="zh-CN"/>
              </w:rPr>
              <w:t>其他未列明行业</w:t>
            </w:r>
          </w:p>
        </w:tc>
      </w:tr>
    </w:tbl>
    <w:p>
      <w:pPr>
        <w:pStyle w:val="4"/>
        <w:spacing w:before="190" w:after="190" w:line="520" w:lineRule="exact"/>
        <w:ind w:firstLine="506"/>
        <w:rPr>
          <w:rFonts w:ascii="仿宋" w:hAnsi="仿宋" w:eastAsia="仿宋"/>
          <w:color w:val="auto"/>
          <w:highlight w:val="none"/>
        </w:rPr>
      </w:pPr>
      <w:bookmarkStart w:id="181" w:name="_Toc9928"/>
      <w:bookmarkStart w:id="182" w:name="_Toc63600403"/>
      <w:r>
        <w:rPr>
          <w:rFonts w:hint="eastAsia" w:ascii="仿宋" w:hAnsi="仿宋" w:eastAsia="仿宋"/>
          <w:color w:val="auto"/>
          <w:highlight w:val="none"/>
        </w:rPr>
        <w:t>二、资金来源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Start w:id="183" w:name="_Toc1203"/>
      <w:bookmarkStart w:id="184" w:name="_Toc409189610"/>
      <w:bookmarkStart w:id="185" w:name="_Toc394390669"/>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财政预算资金，预算金额为</w:t>
      </w:r>
      <w:r>
        <w:rPr>
          <w:rFonts w:hint="eastAsia" w:ascii="仿宋" w:hAnsi="仿宋" w:eastAsia="仿宋" w:cs="仿宋"/>
          <w:color w:val="auto"/>
          <w:szCs w:val="22"/>
          <w:highlight w:val="none"/>
          <w:lang w:val="en-US" w:eastAsia="zh-CN"/>
        </w:rPr>
        <w:t>618</w:t>
      </w:r>
      <w:r>
        <w:rPr>
          <w:rFonts w:hint="eastAsia" w:ascii="仿宋" w:hAnsi="仿宋" w:eastAsia="仿宋" w:cs="仿宋"/>
          <w:color w:val="auto"/>
          <w:szCs w:val="22"/>
          <w:highlight w:val="none"/>
        </w:rPr>
        <w:t>万元。</w:t>
      </w:r>
    </w:p>
    <w:p>
      <w:pPr>
        <w:pStyle w:val="4"/>
        <w:spacing w:before="190" w:after="190" w:line="520" w:lineRule="exact"/>
        <w:ind w:firstLine="506"/>
        <w:rPr>
          <w:rFonts w:ascii="仿宋" w:hAnsi="仿宋" w:eastAsia="仿宋"/>
          <w:color w:val="auto"/>
          <w:highlight w:val="none"/>
        </w:rPr>
      </w:pPr>
      <w:bookmarkStart w:id="186" w:name="_Toc20062"/>
      <w:bookmarkStart w:id="187" w:name="_Toc16736"/>
      <w:bookmarkStart w:id="188" w:name="_Toc4484"/>
      <w:bookmarkStart w:id="189" w:name="_Toc20488309"/>
      <w:bookmarkStart w:id="190" w:name="_Toc16019"/>
      <w:bookmarkStart w:id="191" w:name="_Toc17861"/>
      <w:bookmarkStart w:id="192" w:name="_Toc21899"/>
      <w:bookmarkStart w:id="193" w:name="_Toc14807"/>
      <w:bookmarkStart w:id="194" w:name="_Toc11539"/>
      <w:bookmarkStart w:id="195" w:name="_Toc10686"/>
      <w:bookmarkStart w:id="196" w:name="_Toc16496"/>
      <w:bookmarkStart w:id="197" w:name="_Toc26947"/>
      <w:bookmarkStart w:id="198" w:name="_Toc21987"/>
      <w:bookmarkStart w:id="199" w:name="_Toc4968"/>
      <w:bookmarkStart w:id="200" w:name="_Toc24430"/>
      <w:bookmarkStart w:id="201" w:name="_Toc63600404"/>
      <w:bookmarkStart w:id="202" w:name="_Toc20489865"/>
      <w:r>
        <w:rPr>
          <w:rFonts w:hint="eastAsia" w:ascii="仿宋" w:hAnsi="仿宋" w:eastAsia="仿宋"/>
          <w:color w:val="auto"/>
          <w:highlight w:val="none"/>
        </w:rPr>
        <w:t>三、投标人资格要求</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（一）满足《中华人民共和国政府采购法》第二十二条规定；</w:t>
      </w:r>
    </w:p>
    <w:p>
      <w:pPr>
        <w:pStyle w:val="2"/>
        <w:rPr>
          <w:rFonts w:hint="eastAsia" w:ascii="仿宋" w:hAnsi="仿宋" w:eastAsia="仿宋" w:cs="仿宋"/>
          <w:b w:val="0"/>
          <w:bCs w:val="0"/>
          <w:caps w:val="0"/>
          <w:color w:val="auto"/>
          <w:kern w:val="2"/>
          <w:sz w:val="24"/>
          <w:szCs w:val="22"/>
          <w:highlight w:val="none"/>
          <w:lang w:val="en-US" w:eastAsia="zh-CN" w:bidi="ar-SA"/>
        </w:rPr>
      </w:pPr>
      <w:r>
        <w:rPr>
          <w:rFonts w:hint="eastAsia" w:ascii="仿宋" w:hAnsi="仿宋" w:eastAsia="仿宋" w:cs="仿宋"/>
          <w:b w:val="0"/>
          <w:bCs w:val="0"/>
          <w:caps w:val="0"/>
          <w:color w:val="auto"/>
          <w:kern w:val="2"/>
          <w:sz w:val="24"/>
          <w:szCs w:val="22"/>
          <w:highlight w:val="none"/>
          <w:lang w:val="en-US" w:eastAsia="zh-CN" w:bidi="ar-SA"/>
        </w:rPr>
        <w:t>（二）供应商若为分支机构的，必须取得并提供授权公司的授权书、授权公司的营业执照、分支机构的营业执照复印件加盖鲜章。</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w:t>
      </w:r>
      <w:r>
        <w:rPr>
          <w:rFonts w:hint="eastAsia" w:ascii="仿宋" w:hAnsi="仿宋" w:eastAsia="仿宋" w:cs="仿宋"/>
          <w:color w:val="auto"/>
          <w:szCs w:val="22"/>
          <w:highlight w:val="none"/>
          <w:lang w:val="en-US" w:eastAsia="zh-CN"/>
        </w:rPr>
        <w:t>三</w:t>
      </w:r>
      <w:r>
        <w:rPr>
          <w:rFonts w:hint="eastAsia" w:ascii="仿宋" w:hAnsi="仿宋" w:eastAsia="仿宋" w:cs="仿宋"/>
          <w:color w:val="auto"/>
          <w:szCs w:val="22"/>
          <w:highlight w:val="none"/>
        </w:rPr>
        <w:t>）落实政府采购政策需满足的资格要求：</w:t>
      </w:r>
      <w:bookmarkStart w:id="203" w:name="_Hlk77943518"/>
    </w:p>
    <w:p>
      <w:pPr>
        <w:ind w:firstLine="424"/>
        <w:rPr>
          <w:rFonts w:ascii="仿宋" w:hAnsi="仿宋" w:eastAsia="仿宋" w:cs="仿宋"/>
          <w:color w:val="auto"/>
          <w:szCs w:val="22"/>
          <w:highlight w:val="none"/>
        </w:rPr>
      </w:pPr>
      <w:r>
        <w:rPr>
          <w:rFonts w:hint="eastAsia" w:ascii="仿宋" w:hAnsi="仿宋" w:eastAsia="仿宋"/>
          <w:color w:val="auto"/>
          <w:szCs w:val="22"/>
          <w:highlight w:val="none"/>
          <w:lang w:eastAsia="zh-CN"/>
        </w:rPr>
        <w:t>无</w:t>
      </w:r>
    </w:p>
    <w:bookmarkEnd w:id="203"/>
    <w:p>
      <w:pPr>
        <w:ind w:firstLine="424"/>
        <w:rPr>
          <w:rFonts w:hint="eastAsia" w:ascii="仿宋" w:hAnsi="仿宋" w:eastAsia="仿宋"/>
          <w:color w:val="auto"/>
          <w:szCs w:val="22"/>
          <w:highlight w:val="none"/>
        </w:rPr>
      </w:pPr>
      <w:r>
        <w:rPr>
          <w:rFonts w:hint="eastAsia" w:ascii="仿宋" w:hAnsi="仿宋" w:eastAsia="仿宋" w:cs="仿宋"/>
          <w:color w:val="auto"/>
          <w:szCs w:val="22"/>
          <w:highlight w:val="none"/>
        </w:rPr>
        <w:t>（三）</w:t>
      </w:r>
      <w:r>
        <w:rPr>
          <w:rFonts w:hint="eastAsia" w:ascii="仿宋" w:hAnsi="仿宋" w:eastAsia="仿宋"/>
          <w:color w:val="auto"/>
          <w:szCs w:val="22"/>
          <w:highlight w:val="none"/>
        </w:rPr>
        <w:t>本项目的特定资格要求：</w:t>
      </w:r>
      <w:bookmarkStart w:id="204" w:name="_Toc409189611"/>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1.投标人具有主管部门颁发的在有效期内的《中华人民共和国基础电信业务经营许可证》或《中华人民共和国增值电信业务经营许可证》提供证书复印件加盖投标人鲜章。</w:t>
      </w:r>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2.分支机构代表上级法人公司参与投标的，提供：</w:t>
      </w:r>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①上级法人公司的《中华人民共和国基础电信业务经营许可证》或《中华人民共和国增值电信业务经营许可证》。</w:t>
      </w:r>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②上级法人公司法定代表人授权委托书。被授权人为参与分支机构代表。</w:t>
      </w:r>
    </w:p>
    <w:p>
      <w:pPr>
        <w:ind w:firstLine="424"/>
        <w:rPr>
          <w:rFonts w:ascii="仿宋" w:hAnsi="仿宋" w:eastAsia="仿宋"/>
          <w:color w:val="auto"/>
          <w:highlight w:val="none"/>
        </w:rPr>
      </w:pPr>
      <w:r>
        <w:rPr>
          <w:rFonts w:hint="eastAsia" w:ascii="仿宋" w:hAnsi="仿宋" w:eastAsia="仿宋" w:cs="仿宋"/>
          <w:color w:val="auto"/>
          <w:szCs w:val="22"/>
          <w:highlight w:val="none"/>
        </w:rPr>
        <w:t>以上资格条件佐证材料具体要求详见招标文件“第四篇 资格审查及评标办法”。</w:t>
      </w:r>
    </w:p>
    <w:p>
      <w:pPr>
        <w:pStyle w:val="4"/>
        <w:spacing w:before="190" w:after="190" w:line="520" w:lineRule="exact"/>
        <w:ind w:firstLine="506"/>
        <w:rPr>
          <w:rFonts w:ascii="仿宋" w:hAnsi="仿宋" w:eastAsia="仿宋"/>
          <w:color w:val="auto"/>
          <w:highlight w:val="none"/>
        </w:rPr>
      </w:pPr>
      <w:bookmarkStart w:id="205" w:name="_Toc9650"/>
      <w:bookmarkStart w:id="206" w:name="_Toc3449"/>
      <w:bookmarkStart w:id="207" w:name="_Toc32520"/>
      <w:bookmarkStart w:id="208" w:name="_Toc19196"/>
      <w:bookmarkStart w:id="209" w:name="_Toc4375"/>
      <w:bookmarkStart w:id="210" w:name="_Toc19023"/>
      <w:bookmarkStart w:id="211" w:name="_Toc28986"/>
      <w:bookmarkStart w:id="212" w:name="_Toc4787"/>
      <w:bookmarkStart w:id="213" w:name="_Toc10868"/>
      <w:bookmarkStart w:id="214" w:name="_Toc5787"/>
      <w:bookmarkStart w:id="215" w:name="_Toc21667"/>
      <w:bookmarkStart w:id="216" w:name="_Toc25220"/>
      <w:bookmarkStart w:id="217" w:name="_Toc18825"/>
      <w:bookmarkStart w:id="218" w:name="_Toc63600405"/>
      <w:bookmarkStart w:id="219" w:name="_Toc9581"/>
      <w:bookmarkStart w:id="220" w:name="_Toc20489866"/>
      <w:bookmarkStart w:id="221" w:name="_Toc3846"/>
      <w:bookmarkStart w:id="222" w:name="_Toc20488310"/>
      <w:r>
        <w:rPr>
          <w:rFonts w:hint="eastAsia" w:ascii="仿宋" w:hAnsi="仿宋" w:eastAsia="仿宋"/>
          <w:color w:val="auto"/>
          <w:highlight w:val="none"/>
        </w:rPr>
        <w:t>四、投标、开标有关说明</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（一）投标人应通过重庆市政府采购网（</w:t>
      </w:r>
      <w:r>
        <w:rPr>
          <w:color w:val="auto"/>
          <w:highlight w:val="none"/>
        </w:rPr>
        <w:fldChar w:fldCharType="begin"/>
      </w:r>
      <w:r>
        <w:rPr>
          <w:color w:val="auto"/>
          <w:highlight w:val="none"/>
        </w:rPr>
        <w:instrText xml:space="preserve"> HYPERLINK "http://www.cqgp.gov.cn" </w:instrText>
      </w:r>
      <w:r>
        <w:rPr>
          <w:color w:val="auto"/>
          <w:highlight w:val="none"/>
        </w:rPr>
        <w:fldChar w:fldCharType="separate"/>
      </w:r>
      <w:r>
        <w:rPr>
          <w:rFonts w:hint="eastAsia" w:ascii="仿宋" w:hAnsi="仿宋" w:eastAsia="仿宋" w:cs="仿宋"/>
          <w:color w:val="auto"/>
          <w:szCs w:val="22"/>
          <w:highlight w:val="none"/>
        </w:rPr>
        <w:t>www.ccgp-chongqing.gov.cn</w:t>
      </w:r>
      <w:r>
        <w:rPr>
          <w:rFonts w:hint="eastAsia" w:ascii="仿宋" w:hAnsi="仿宋" w:eastAsia="仿宋" w:cs="仿宋"/>
          <w:color w:val="auto"/>
          <w:szCs w:val="22"/>
          <w:highlight w:val="none"/>
        </w:rPr>
        <w:fldChar w:fldCharType="end"/>
      </w:r>
      <w:r>
        <w:rPr>
          <w:rFonts w:hint="eastAsia" w:ascii="仿宋" w:hAnsi="仿宋" w:eastAsia="仿宋" w:cs="仿宋"/>
          <w:color w:val="auto"/>
          <w:szCs w:val="22"/>
          <w:highlight w:val="none"/>
        </w:rPr>
        <w:t>）登记加入“重庆市政府采购供应商库”。</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二）凡有意参加投标的投标人，请在规定的采购文件提供期限内登陆“重庆市政府采购网”→进入“个人中心”→“在线开评标”→“电子标书在线获取”处→搜索该项目，并在项目信息右侧点击“在线获取”按钮。完成本项目招标文件以及图纸、澄清等开标前公布的所有项目资料（本次招标不提供纸质版招标文件）的获取和下载，无论投标人下载或获取与否，均视为已知晓所有招标内容。</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注：登陆“重庆市政府采购网”获取电子标书无须CA证书，CA证书仅用于制作电子投标文件、开标解密。</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三）招标公告所附招标文件仅供阅览使用，投标人只有在规定的采购文件提供期限内登陆“重庆市政府采购网”→进入“个人中心”→“在线开评标”→“电子标书在线获取”处→搜索该项目，并在项目信息右侧点击“在线获取”按钮，完成网上获取采购文件，投标人才被视为合法获取了采购文件，否则其投标将被拒绝。</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即：若投标人未通过以上获取采购文件流程完成采购文件的下载、获取，投标人将无法在电子招投标系统中上传电子投标文件。</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注意事项：本项目为重庆市巴南区政府采购电子招投标项目，首次参与电子招投标的投标人须申请重庆市政府采购网账号密码、办理CA证书（办理CA证书费用由供应商自行承担）并下载电子投标文件制作系统，制作电子投标文件进行互联网在线投标，具体操作流程请下载项目公告附件《采购公告附件（投标人必看手册）24-4版》进行查看。因未注册重庆市政府采购网账号、未办理CA证书、操作不当等原因造成无法投标或投标失败的后果由投标人自行承担。</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CA证书的办理流程：登录“重庆市政府采购网”→“个人中心”→“在线开评标”→“电子招投标中心”→“相关下载”栏目，下载附件《重庆市全流程电子招投标项目投标人办理正式CA签章流程手册》，并按照其中要求操作。</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2.电子投标文件制作：登录“重庆市政府采购网”→“个人中心”→“在线开评标”→“电子招投标中心”→“相关下载”栏目，下载“投标文件制作工具下载_64(含32位)”、“统一签章客户端（正式版）” 安装包，并按照《政府采购全程电子化采购系统供应商操作手册（CA证书签章版）》、《【供应商必看】政府采购（CA版）供应商投标前软件安装手册》要求操作。</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（四）招标文件公告期限：自采购公告发布之日起五个工作日。</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（五）招标文件获取期限：202</w:t>
      </w:r>
      <w:r>
        <w:rPr>
          <w:rFonts w:hint="eastAsia" w:ascii="仿宋" w:hAnsi="仿宋" w:eastAsia="仿宋" w:cs="仿宋"/>
          <w:color w:val="auto"/>
          <w:szCs w:val="22"/>
          <w:highlight w:val="none"/>
          <w:lang w:val="en-US" w:eastAsia="zh-CN"/>
        </w:rPr>
        <w:t>5</w:t>
      </w:r>
      <w:r>
        <w:rPr>
          <w:rFonts w:hint="eastAsia" w:ascii="仿宋" w:hAnsi="仿宋" w:eastAsia="仿宋" w:cs="仿宋"/>
          <w:color w:val="auto"/>
          <w:szCs w:val="22"/>
          <w:highlight w:val="none"/>
        </w:rPr>
        <w:t>年</w:t>
      </w:r>
      <w:r>
        <w:rPr>
          <w:rFonts w:hint="eastAsia" w:ascii="仿宋" w:hAnsi="仿宋" w:eastAsia="仿宋" w:cs="仿宋"/>
          <w:color w:val="auto"/>
          <w:szCs w:val="22"/>
          <w:highlight w:val="none"/>
          <w:lang w:val="en-US" w:eastAsia="zh-CN"/>
        </w:rPr>
        <w:t>2</w:t>
      </w:r>
      <w:r>
        <w:rPr>
          <w:rFonts w:hint="eastAsia" w:ascii="仿宋" w:hAnsi="仿宋" w:eastAsia="仿宋" w:cs="仿宋"/>
          <w:color w:val="auto"/>
          <w:szCs w:val="22"/>
          <w:highlight w:val="none"/>
        </w:rPr>
        <w:t>月</w:t>
      </w:r>
      <w:r>
        <w:rPr>
          <w:rFonts w:hint="eastAsia" w:ascii="仿宋" w:hAnsi="仿宋" w:eastAsia="仿宋" w:cs="仿宋"/>
          <w:color w:val="auto"/>
          <w:szCs w:val="22"/>
          <w:highlight w:val="none"/>
          <w:lang w:val="en-US" w:eastAsia="zh-CN"/>
        </w:rPr>
        <w:t>28</w:t>
      </w:r>
      <w:r>
        <w:rPr>
          <w:rFonts w:hint="eastAsia" w:ascii="仿宋" w:hAnsi="仿宋" w:eastAsia="仿宋" w:cs="仿宋"/>
          <w:color w:val="auto"/>
          <w:szCs w:val="22"/>
          <w:highlight w:val="none"/>
        </w:rPr>
        <w:t>日</w:t>
      </w:r>
      <w:r>
        <w:rPr>
          <w:rFonts w:hint="eastAsia" w:ascii="仿宋" w:hAnsi="仿宋" w:eastAsia="仿宋" w:cs="仿宋"/>
          <w:color w:val="auto"/>
          <w:szCs w:val="22"/>
          <w:highlight w:val="none"/>
          <w:lang w:val="en-US" w:eastAsia="zh-CN"/>
        </w:rPr>
        <w:t>18:00</w:t>
      </w:r>
      <w:r>
        <w:rPr>
          <w:rFonts w:hint="eastAsia" w:ascii="仿宋" w:hAnsi="仿宋" w:eastAsia="仿宋" w:cs="仿宋"/>
          <w:color w:val="auto"/>
          <w:szCs w:val="22"/>
          <w:highlight w:val="none"/>
        </w:rPr>
        <w:t>至202</w:t>
      </w:r>
      <w:r>
        <w:rPr>
          <w:rFonts w:hint="eastAsia" w:ascii="仿宋" w:hAnsi="仿宋" w:eastAsia="仿宋" w:cs="仿宋"/>
          <w:color w:val="auto"/>
          <w:szCs w:val="22"/>
          <w:highlight w:val="none"/>
          <w:lang w:val="en-US" w:eastAsia="zh-CN"/>
        </w:rPr>
        <w:t>5</w:t>
      </w:r>
      <w:r>
        <w:rPr>
          <w:rFonts w:hint="eastAsia" w:ascii="仿宋" w:hAnsi="仿宋" w:eastAsia="仿宋" w:cs="仿宋"/>
          <w:color w:val="auto"/>
          <w:szCs w:val="22"/>
          <w:highlight w:val="none"/>
        </w:rPr>
        <w:t xml:space="preserve">年 </w:t>
      </w:r>
      <w:r>
        <w:rPr>
          <w:rFonts w:hint="eastAsia" w:ascii="仿宋" w:hAnsi="仿宋" w:eastAsia="仿宋" w:cs="仿宋"/>
          <w:color w:val="auto"/>
          <w:szCs w:val="22"/>
          <w:highlight w:val="none"/>
          <w:lang w:val="en-US" w:eastAsia="zh-CN"/>
        </w:rPr>
        <w:t>3</w:t>
      </w:r>
      <w:r>
        <w:rPr>
          <w:rFonts w:hint="eastAsia" w:ascii="仿宋" w:hAnsi="仿宋" w:eastAsia="仿宋" w:cs="仿宋"/>
          <w:color w:val="auto"/>
          <w:szCs w:val="22"/>
          <w:highlight w:val="none"/>
        </w:rPr>
        <w:t xml:space="preserve">月 </w:t>
      </w:r>
      <w:r>
        <w:rPr>
          <w:rFonts w:hint="eastAsia" w:ascii="仿宋" w:hAnsi="仿宋" w:eastAsia="仿宋" w:cs="仿宋"/>
          <w:color w:val="auto"/>
          <w:szCs w:val="22"/>
          <w:highlight w:val="none"/>
          <w:lang w:val="en-US" w:eastAsia="zh-CN"/>
        </w:rPr>
        <w:t>10</w:t>
      </w:r>
      <w:r>
        <w:rPr>
          <w:rFonts w:hint="eastAsia" w:ascii="仿宋" w:hAnsi="仿宋" w:eastAsia="仿宋" w:cs="仿宋"/>
          <w:color w:val="auto"/>
          <w:szCs w:val="22"/>
          <w:highlight w:val="none"/>
        </w:rPr>
        <w:t>日</w:t>
      </w:r>
      <w:r>
        <w:rPr>
          <w:rFonts w:hint="eastAsia" w:ascii="仿宋" w:hAnsi="仿宋" w:eastAsia="仿宋" w:cs="仿宋"/>
          <w:color w:val="auto"/>
          <w:szCs w:val="22"/>
          <w:highlight w:val="none"/>
          <w:lang w:val="en-US" w:eastAsia="zh-CN"/>
        </w:rPr>
        <w:t>18:00</w:t>
      </w:r>
      <w:r>
        <w:rPr>
          <w:rFonts w:hint="eastAsia" w:ascii="仿宋" w:hAnsi="仿宋" w:eastAsia="仿宋" w:cs="仿宋"/>
          <w:color w:val="auto"/>
          <w:szCs w:val="22"/>
          <w:highlight w:val="none"/>
        </w:rPr>
        <w:t>。</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（六）电子投标文件递交</w:t>
      </w:r>
      <w:bookmarkStart w:id="223" w:name="_Hlk63458283"/>
    </w:p>
    <w:bookmarkEnd w:id="223"/>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电子投标文件递交方式：本项目采用网上递交方式，投标人于电子投标文件递交截止时间前，登录“重庆市政府采购网”，进入“在线开评标”栏目，在“我的投标项目”→“在线投标”板块内找到对应投标项目，进行电子投标文件递交。</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2.电子投标文件递交开始时间、截止时间：202</w:t>
      </w:r>
      <w:r>
        <w:rPr>
          <w:rFonts w:hint="eastAsia" w:ascii="仿宋" w:hAnsi="仿宋" w:eastAsia="仿宋" w:cs="仿宋"/>
          <w:color w:val="auto"/>
          <w:szCs w:val="22"/>
          <w:highlight w:val="none"/>
          <w:lang w:val="en-US" w:eastAsia="zh-CN"/>
        </w:rPr>
        <w:t>5</w:t>
      </w:r>
      <w:r>
        <w:rPr>
          <w:rFonts w:hint="eastAsia" w:ascii="仿宋" w:hAnsi="仿宋" w:eastAsia="仿宋" w:cs="仿宋"/>
          <w:color w:val="auto"/>
          <w:szCs w:val="22"/>
          <w:highlight w:val="none"/>
        </w:rPr>
        <w:t>年</w:t>
      </w:r>
      <w:r>
        <w:rPr>
          <w:rFonts w:hint="eastAsia" w:ascii="仿宋" w:hAnsi="仿宋" w:eastAsia="仿宋" w:cs="仿宋"/>
          <w:color w:val="auto"/>
          <w:szCs w:val="22"/>
          <w:highlight w:val="none"/>
          <w:lang w:val="en-US" w:eastAsia="zh-CN"/>
        </w:rPr>
        <w:t>2</w:t>
      </w:r>
      <w:r>
        <w:rPr>
          <w:rFonts w:hint="eastAsia" w:ascii="仿宋" w:hAnsi="仿宋" w:eastAsia="仿宋" w:cs="仿宋"/>
          <w:color w:val="auto"/>
          <w:szCs w:val="22"/>
          <w:highlight w:val="none"/>
        </w:rPr>
        <w:t>月</w:t>
      </w:r>
      <w:r>
        <w:rPr>
          <w:rFonts w:hint="eastAsia" w:ascii="仿宋" w:hAnsi="仿宋" w:eastAsia="仿宋" w:cs="仿宋"/>
          <w:color w:val="auto"/>
          <w:szCs w:val="22"/>
          <w:highlight w:val="none"/>
          <w:lang w:val="en-US" w:eastAsia="zh-CN"/>
        </w:rPr>
        <w:t>28</w:t>
      </w:r>
      <w:r>
        <w:rPr>
          <w:rFonts w:hint="eastAsia" w:ascii="仿宋" w:hAnsi="仿宋" w:eastAsia="仿宋" w:cs="仿宋"/>
          <w:color w:val="auto"/>
          <w:szCs w:val="22"/>
          <w:highlight w:val="none"/>
        </w:rPr>
        <w:t>日北京时间</w:t>
      </w:r>
      <w:r>
        <w:rPr>
          <w:rFonts w:hint="eastAsia" w:ascii="仿宋" w:hAnsi="仿宋" w:eastAsia="仿宋" w:cs="仿宋"/>
          <w:color w:val="auto"/>
          <w:szCs w:val="22"/>
          <w:highlight w:val="none"/>
          <w:lang w:val="en-US" w:eastAsia="zh-CN"/>
        </w:rPr>
        <w:t>18</w:t>
      </w:r>
      <w:r>
        <w:rPr>
          <w:rFonts w:hint="eastAsia" w:ascii="仿宋" w:hAnsi="仿宋" w:eastAsia="仿宋" w:cs="仿宋"/>
          <w:color w:val="auto"/>
          <w:szCs w:val="22"/>
          <w:highlight w:val="none"/>
        </w:rPr>
        <w:t>:00—202</w:t>
      </w:r>
      <w:r>
        <w:rPr>
          <w:rFonts w:hint="eastAsia" w:ascii="仿宋" w:hAnsi="仿宋" w:eastAsia="仿宋" w:cs="仿宋"/>
          <w:color w:val="auto"/>
          <w:szCs w:val="22"/>
          <w:highlight w:val="none"/>
          <w:lang w:val="en-US" w:eastAsia="zh-CN"/>
        </w:rPr>
        <w:t>5</w:t>
      </w:r>
      <w:r>
        <w:rPr>
          <w:rFonts w:hint="eastAsia" w:ascii="仿宋" w:hAnsi="仿宋" w:eastAsia="仿宋" w:cs="仿宋"/>
          <w:color w:val="auto"/>
          <w:szCs w:val="22"/>
          <w:highlight w:val="none"/>
        </w:rPr>
        <w:t>年</w:t>
      </w:r>
      <w:r>
        <w:rPr>
          <w:rFonts w:hint="eastAsia" w:ascii="仿宋" w:hAnsi="仿宋" w:eastAsia="仿宋" w:cs="仿宋"/>
          <w:color w:val="auto"/>
          <w:szCs w:val="22"/>
          <w:highlight w:val="none"/>
          <w:lang w:val="en-US" w:eastAsia="zh-CN"/>
        </w:rPr>
        <w:t>3</w:t>
      </w:r>
      <w:r>
        <w:rPr>
          <w:rFonts w:hint="eastAsia" w:ascii="仿宋" w:hAnsi="仿宋" w:eastAsia="仿宋" w:cs="仿宋"/>
          <w:color w:val="auto"/>
          <w:szCs w:val="22"/>
          <w:highlight w:val="none"/>
        </w:rPr>
        <w:t>月</w:t>
      </w:r>
      <w:r>
        <w:rPr>
          <w:rFonts w:hint="eastAsia" w:ascii="仿宋" w:hAnsi="仿宋" w:eastAsia="仿宋" w:cs="仿宋"/>
          <w:color w:val="auto"/>
          <w:szCs w:val="22"/>
          <w:highlight w:val="none"/>
          <w:lang w:val="en-US" w:eastAsia="zh-CN"/>
        </w:rPr>
        <w:t>25</w:t>
      </w:r>
      <w:r>
        <w:rPr>
          <w:rFonts w:hint="eastAsia" w:ascii="仿宋" w:hAnsi="仿宋" w:eastAsia="仿宋" w:cs="仿宋"/>
          <w:color w:val="auto"/>
          <w:szCs w:val="22"/>
          <w:highlight w:val="none"/>
        </w:rPr>
        <w:t>日北京时间</w:t>
      </w:r>
      <w:r>
        <w:rPr>
          <w:rFonts w:hint="eastAsia" w:ascii="仿宋" w:hAnsi="仿宋" w:eastAsia="仿宋" w:cs="仿宋"/>
          <w:color w:val="auto"/>
          <w:szCs w:val="22"/>
          <w:highlight w:val="none"/>
          <w:lang w:val="en-US" w:eastAsia="zh-CN"/>
        </w:rPr>
        <w:t>11</w:t>
      </w:r>
      <w:r>
        <w:rPr>
          <w:rFonts w:hint="eastAsia" w:ascii="仿宋" w:hAnsi="仿宋" w:eastAsia="仿宋" w:cs="仿宋"/>
          <w:color w:val="auto"/>
          <w:szCs w:val="22"/>
          <w:highlight w:val="none"/>
        </w:rPr>
        <w:t>:00（以电子招投标平台显示的时间为准，其他时间不接受任何形式的送达）。</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（七）开标信息</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1.开标时间：202</w:t>
      </w:r>
      <w:r>
        <w:rPr>
          <w:rFonts w:hint="eastAsia" w:ascii="仿宋" w:hAnsi="仿宋" w:eastAsia="仿宋" w:cs="仿宋"/>
          <w:color w:val="auto"/>
          <w:szCs w:val="22"/>
          <w:highlight w:val="none"/>
          <w:lang w:val="en-US" w:eastAsia="zh-CN"/>
        </w:rPr>
        <w:t>5</w:t>
      </w:r>
      <w:r>
        <w:rPr>
          <w:rFonts w:hint="eastAsia" w:ascii="仿宋" w:hAnsi="仿宋" w:eastAsia="仿宋" w:cs="仿宋"/>
          <w:color w:val="auto"/>
          <w:szCs w:val="22"/>
          <w:highlight w:val="none"/>
        </w:rPr>
        <w:t>年</w:t>
      </w:r>
      <w:r>
        <w:rPr>
          <w:rFonts w:hint="eastAsia" w:ascii="仿宋" w:hAnsi="仿宋" w:eastAsia="仿宋" w:cs="仿宋"/>
          <w:color w:val="auto"/>
          <w:szCs w:val="22"/>
          <w:highlight w:val="none"/>
          <w:lang w:val="en-US" w:eastAsia="zh-CN"/>
        </w:rPr>
        <w:t>3</w:t>
      </w:r>
      <w:r>
        <w:rPr>
          <w:rFonts w:hint="eastAsia" w:ascii="仿宋" w:hAnsi="仿宋" w:eastAsia="仿宋" w:cs="仿宋"/>
          <w:color w:val="auto"/>
          <w:szCs w:val="22"/>
          <w:highlight w:val="none"/>
        </w:rPr>
        <w:t>月</w:t>
      </w:r>
      <w:r>
        <w:rPr>
          <w:rFonts w:hint="eastAsia" w:ascii="仿宋" w:hAnsi="仿宋" w:eastAsia="仿宋" w:cs="仿宋"/>
          <w:color w:val="auto"/>
          <w:szCs w:val="22"/>
          <w:highlight w:val="none"/>
          <w:lang w:val="en-US" w:eastAsia="zh-CN"/>
        </w:rPr>
        <w:t>25</w:t>
      </w:r>
      <w:r>
        <w:rPr>
          <w:rFonts w:hint="eastAsia" w:ascii="仿宋" w:hAnsi="仿宋" w:eastAsia="仿宋" w:cs="仿宋"/>
          <w:color w:val="auto"/>
          <w:szCs w:val="22"/>
          <w:highlight w:val="none"/>
        </w:rPr>
        <w:t>日北京时间</w:t>
      </w:r>
      <w:r>
        <w:rPr>
          <w:rFonts w:hint="eastAsia" w:ascii="仿宋" w:hAnsi="仿宋" w:eastAsia="仿宋" w:cs="仿宋"/>
          <w:color w:val="auto"/>
          <w:szCs w:val="22"/>
          <w:highlight w:val="none"/>
          <w:lang w:val="en-US" w:eastAsia="zh-CN"/>
        </w:rPr>
        <w:t>11</w:t>
      </w:r>
      <w:r>
        <w:rPr>
          <w:rFonts w:hint="eastAsia" w:ascii="仿宋" w:hAnsi="仿宋" w:eastAsia="仿宋" w:cs="仿宋"/>
          <w:color w:val="auto"/>
          <w:szCs w:val="22"/>
          <w:highlight w:val="none"/>
        </w:rPr>
        <w:t>:00</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开标方式：本项目采用网上在线开标方式，投标人的法定代表人或其授权代表须持CA证书和可以上网的电脑（用于在线开标的电脑必须带有摄像头和麦克风、声卡等功能），于规定的开标时间前30分钟登录“重庆市政府采购网”→“个人中心”→“在线开评标”→“开评标大厅”，进入电子开标室完成在线准备。开标开始后投标人须根据采购代理机构引导在电子开标室完成电子投标文件解密、查看开标一览汇总表等工作。</w:t>
      </w:r>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投标人的法定代表人或其授权代表也可以持CA证书和可以无线上网的笔记本电脑（用于在线开标的笔记本电脑必须带有摄像头和麦克风、声卡、等功能）、无线网卡于开标时间前，到达线下指定开标地点</w:t>
      </w:r>
      <w:r>
        <w:rPr>
          <w:rFonts w:hint="eastAsia" w:ascii="仿宋" w:hAnsi="仿宋" w:eastAsia="仿宋" w:cs="仿宋"/>
          <w:b/>
          <w:bCs/>
          <w:color w:val="auto"/>
          <w:szCs w:val="22"/>
          <w:highlight w:val="none"/>
        </w:rPr>
        <w:t>重庆市公共资源交易中心开标厅（地址：重庆市渝北区青枫北路6号渝兴广场B10栋2层）</w:t>
      </w:r>
      <w:r>
        <w:rPr>
          <w:rFonts w:hint="eastAsia" w:ascii="仿宋" w:hAnsi="仿宋" w:eastAsia="仿宋" w:cs="仿宋"/>
          <w:color w:val="auto"/>
          <w:szCs w:val="22"/>
          <w:highlight w:val="none"/>
        </w:rPr>
        <w:t>参加在线开标。投标人线下持对应设备到线下指定开标地点参与在线开标都是由投标人主观自行决定。因投标人自身原因导致未能在规定时间内解密电子投标文件或参与在线开标的，其后果由投标人自行承担。</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3.线下指定开标地点：</w:t>
      </w:r>
      <w:r>
        <w:rPr>
          <w:rFonts w:hint="eastAsia" w:ascii="仿宋" w:hAnsi="仿宋" w:eastAsia="仿宋" w:cs="仿宋"/>
          <w:b/>
          <w:bCs/>
          <w:color w:val="auto"/>
          <w:szCs w:val="22"/>
          <w:highlight w:val="none"/>
        </w:rPr>
        <w:t>重庆市公共资源交易中心开标厅（地址：重庆市渝北区青枫北路6号渝兴广场B10栋2层）。</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注：电子招投标系统开标时间前30分钟是供应商自主在线准备环节时间（是否在线准备由供应商主观决定，在线准备环节意义在于提前测试CA证书与当前电脑设备运行环境是否正常），在线准备环节不具备签到意义，特此声明。</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（八）其他补充事宜</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1.投标人如未在规定解密时长（系统默认30分钟解密时长，采购人/采购代理机构可根据现场投标情况进行延长/变更解密时长）内解密电子投标文件的情形约定：</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因政府采购全程电子化系统客观原因影响解密时长的，采购人/采购代理机构可根据现场实际情况延长解密时长。投标人在仍不能正常解密的情况下，投标人可向采购人/采购代理机构申请，启用上传不加密的电子备份投标文件的方法作为补救措施；在规定的解密时长内，投标人既不解密，也未提供不加密的电子备份投标文件作为补救措施的，视为投标人主动放弃对该项目的投标资格。</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因投标人主观原因未在规定解密时长内完成解密工作的，且未在规定解密时长内向采购人/采购代理机构申请启用上传不加密的电子备份投标文件的方法作为补救措施或者已申请启用电子备份投标文件后仍不在规定解密时长内提供有效不加密的电子备份投标文件的情况，都视为投标人在递交电子投标文件截止时间后撤销电子投标文件，投标无效且投标人不得再参与本项目后续采购活动。</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本项目采用全流程电子招投标。各投标人需熟悉了解整个政府采购电子化开评标全过程。具体电子化采购规则以及操作指南请下载项目公告附件《采购公告附件（投标人必看手册）24-4版》（《重庆市全流程电子招投标项目投标人办理正式CA签章流程手册》和《政府采购全程电子化采购系统供应商操作手册（CA证书签章版）》、《【供应商必看】政府采购（CA版）供应商投标前软件安装手册》），并按其对应手册要求完成操作。</w:t>
      </w:r>
    </w:p>
    <w:p>
      <w:pPr>
        <w:pStyle w:val="4"/>
        <w:spacing w:before="190" w:after="190"/>
        <w:ind w:firstLine="506"/>
        <w:rPr>
          <w:rFonts w:ascii="仿宋" w:hAnsi="仿宋" w:eastAsia="仿宋"/>
          <w:color w:val="auto"/>
          <w:szCs w:val="22"/>
          <w:highlight w:val="none"/>
        </w:rPr>
      </w:pPr>
      <w:bookmarkStart w:id="224" w:name="_Toc3312"/>
      <w:r>
        <w:rPr>
          <w:rFonts w:hint="eastAsia" w:ascii="仿宋" w:hAnsi="仿宋" w:eastAsia="仿宋" w:cs="仿宋"/>
          <w:color w:val="auto"/>
          <w:highlight w:val="none"/>
        </w:rPr>
        <w:t>五、投标保证金</w:t>
      </w:r>
      <w:bookmarkEnd w:id="224"/>
    </w:p>
    <w:p>
      <w:pPr>
        <w:ind w:firstLine="424"/>
        <w:rPr>
          <w:rFonts w:ascii="仿宋" w:hAnsi="仿宋" w:eastAsia="仿宋"/>
          <w:color w:val="auto"/>
          <w:szCs w:val="24"/>
          <w:highlight w:val="none"/>
        </w:rPr>
      </w:pPr>
      <w:r>
        <w:rPr>
          <w:rFonts w:hint="eastAsia" w:ascii="仿宋" w:hAnsi="仿宋" w:eastAsia="仿宋"/>
          <w:color w:val="auto"/>
          <w:szCs w:val="24"/>
          <w:highlight w:val="none"/>
        </w:rPr>
        <w:t>（一）本项目采用不报名投标方式。</w:t>
      </w:r>
    </w:p>
    <w:p>
      <w:pPr>
        <w:ind w:firstLine="424"/>
        <w:rPr>
          <w:rFonts w:hint="eastAsia" w:ascii="仿宋" w:eastAsia="仿宋"/>
          <w:color w:val="auto"/>
          <w:szCs w:val="24"/>
          <w:highlight w:val="none"/>
        </w:rPr>
      </w:pPr>
      <w:r>
        <w:rPr>
          <w:rFonts w:hint="eastAsia" w:ascii="仿宋" w:eastAsia="仿宋"/>
          <w:color w:val="auto"/>
          <w:szCs w:val="24"/>
          <w:highlight w:val="none"/>
        </w:rPr>
        <w:t>（二）投标保证金的递交</w:t>
      </w:r>
    </w:p>
    <w:p>
      <w:pPr>
        <w:snapToGrid w:val="0"/>
        <w:ind w:firstLine="424"/>
        <w:rPr>
          <w:rFonts w:ascii="方正仿宋_GB2312" w:hAnsi="方正仿宋_GB2312" w:eastAsia="方正仿宋_GB2312" w:cs="方正仿宋_GB2312"/>
          <w:color w:val="auto"/>
          <w:highlight w:val="none"/>
        </w:rPr>
      </w:pPr>
      <w:r>
        <w:rPr>
          <w:rFonts w:hint="eastAsia" w:ascii="仿宋" w:eastAsia="仿宋"/>
          <w:color w:val="auto"/>
          <w:szCs w:val="24"/>
          <w:highlight w:val="none"/>
        </w:rPr>
        <w:t>方式一：</w:t>
      </w:r>
      <w:r>
        <w:rPr>
          <w:rFonts w:hint="eastAsia" w:ascii="方正仿宋_GB2312" w:hAnsi="方正仿宋_GB2312" w:eastAsia="方正仿宋_GB2312" w:cs="方正仿宋_GB2312"/>
          <w:color w:val="auto"/>
          <w:highlight w:val="none"/>
        </w:rPr>
        <w:t>1.选择以银行转账、电汇形式递交的，应汇至以下任一账户，保证金的到账截止时间同投标截止时间。</w:t>
      </w:r>
    </w:p>
    <w:p>
      <w:pPr>
        <w:snapToGrid w:val="0"/>
        <w:ind w:firstLine="424"/>
        <w:rPr>
          <w:rFonts w:ascii="方正仿宋_GB2312" w:hAnsi="方正仿宋_GB2312" w:eastAsia="方正仿宋_GB2312" w:cs="方正仿宋_GB2312"/>
          <w:color w:val="auto"/>
          <w:highlight w:val="none"/>
        </w:rPr>
      </w:pPr>
      <w:bookmarkStart w:id="225" w:name="_Toc28816"/>
      <w:r>
        <w:rPr>
          <w:rFonts w:hint="eastAsia" w:ascii="方正仿宋_GB2312" w:hAnsi="方正仿宋_GB2312" w:eastAsia="方正仿宋_GB2312" w:cs="方正仿宋_GB2312"/>
          <w:color w:val="auto"/>
          <w:highlight w:val="none"/>
        </w:rPr>
        <w:t>保证金账户：</w:t>
      </w:r>
      <w:bookmarkEnd w:id="225"/>
    </w:p>
    <w:tbl>
      <w:tblPr>
        <w:tblStyle w:val="32"/>
        <w:tblW w:w="9000" w:type="dxa"/>
        <w:jc w:val="center"/>
        <w:tblInd w:w="0" w:type="dxa"/>
        <w:tblLayout w:type="fixed"/>
        <w:tblCellMar>
          <w:top w:w="15" w:type="dxa"/>
          <w:left w:w="15" w:type="dxa"/>
          <w:bottom w:w="15" w:type="dxa"/>
          <w:right w:w="15" w:type="dxa"/>
        </w:tblCellMar>
      </w:tblPr>
      <w:tblGrid>
        <w:gridCol w:w="2700"/>
        <w:gridCol w:w="6300"/>
      </w:tblGrid>
      <w:tr>
        <w:tblPrEx>
          <w:tblLayout w:type="fixed"/>
          <w:tblCellMar>
            <w:top w:w="15" w:type="dxa"/>
            <w:left w:w="15" w:type="dxa"/>
            <w:bottom w:w="15" w:type="dxa"/>
            <w:right w:w="15" w:type="dxa"/>
          </w:tblCellMar>
        </w:tblPrEx>
        <w:trPr>
          <w:trHeight w:val="750" w:hRule="atLeast"/>
          <w:jc w:val="center"/>
        </w:trPr>
        <w:tc>
          <w:tcPr>
            <w:tcW w:w="9000" w:type="dxa"/>
            <w:gridSpan w:val="2"/>
            <w:tcBorders>
              <w:top w:val="nil"/>
              <w:left w:val="nil"/>
              <w:bottom w:val="nil"/>
              <w:right w:val="nil"/>
            </w:tcBorders>
            <w:shd w:val="clear" w:color="auto" w:fill="auto"/>
            <w:vAlign w:val="center"/>
          </w:tcPr>
          <w:p>
            <w:pPr>
              <w:spacing w:line="400" w:lineRule="exact"/>
              <w:ind w:firstLine="426"/>
              <w:jc w:val="center"/>
              <w:rPr>
                <w:rFonts w:ascii="仿宋" w:hAnsi="仿宋" w:eastAsia="仿宋"/>
                <w:b/>
                <w:color w:val="auto"/>
                <w:szCs w:val="24"/>
                <w:highlight w:val="none"/>
              </w:rPr>
            </w:pPr>
            <w:bookmarkStart w:id="226" w:name="_Toc847"/>
            <w:r>
              <w:rPr>
                <w:rFonts w:ascii="仿宋" w:hAnsi="仿宋" w:eastAsia="仿宋"/>
                <w:b/>
                <w:color w:val="auto"/>
                <w:szCs w:val="24"/>
                <w:highlight w:val="none"/>
              </w:rPr>
              <w:t>投标保证金递交账号一览表</w:t>
            </w:r>
          </w:p>
        </w:tc>
      </w:tr>
      <w:tr>
        <w:tblPrEx>
          <w:tblLayout w:type="fixed"/>
          <w:tblCellMar>
            <w:top w:w="15" w:type="dxa"/>
            <w:left w:w="15" w:type="dxa"/>
            <w:bottom w:w="15" w:type="dxa"/>
            <w:right w:w="15" w:type="dxa"/>
          </w:tblCellMar>
        </w:tblPrEx>
        <w:trPr>
          <w:jc w:val="center"/>
        </w:trPr>
        <w:tc>
          <w:tcPr>
            <w:tcW w:w="9000" w:type="dxa"/>
            <w:gridSpan w:val="2"/>
            <w:tcBorders>
              <w:top w:val="nil"/>
              <w:left w:val="nil"/>
              <w:bottom w:val="nil"/>
              <w:right w:val="nil"/>
            </w:tcBorders>
            <w:shd w:val="clear" w:color="auto" w:fill="auto"/>
            <w:vAlign w:val="center"/>
          </w:tcPr>
          <w:p>
            <w:pPr>
              <w:ind w:firstLine="424"/>
              <w:rPr>
                <w:rFonts w:ascii="仿宋" w:hAnsi="仿宋" w:eastAsia="仿宋" w:cs="仿宋"/>
                <w:color w:val="auto"/>
                <w:szCs w:val="22"/>
                <w:highlight w:val="none"/>
              </w:rPr>
            </w:pPr>
            <w:r>
              <w:rPr>
                <w:rFonts w:ascii="仿宋" w:hAnsi="仿宋" w:eastAsia="仿宋" w:cs="仿宋"/>
                <w:color w:val="auto"/>
                <w:szCs w:val="22"/>
                <w:highlight w:val="none"/>
              </w:rPr>
              <w:t>项目名称：</w:t>
            </w:r>
            <w:r>
              <w:rPr>
                <w:rFonts w:hint="eastAsia" w:ascii="仿宋" w:hAnsi="仿宋" w:eastAsia="仿宋" w:cs="仿宋"/>
                <w:color w:val="auto"/>
                <w:szCs w:val="22"/>
                <w:highlight w:val="none"/>
                <w:lang w:val="en-US" w:eastAsia="zh-CN"/>
              </w:rPr>
              <w:t>重庆市巴南区教育城域网项目</w:t>
            </w:r>
          </w:p>
        </w:tc>
      </w:tr>
      <w:tr>
        <w:tblPrEx>
          <w:tblLayout w:type="fixed"/>
          <w:tblCellMar>
            <w:top w:w="15" w:type="dxa"/>
            <w:left w:w="15" w:type="dxa"/>
            <w:bottom w:w="15" w:type="dxa"/>
            <w:right w:w="15" w:type="dxa"/>
          </w:tblCellMar>
        </w:tblPrEx>
        <w:trPr>
          <w:jc w:val="center"/>
        </w:trPr>
        <w:tc>
          <w:tcPr>
            <w:tcW w:w="9000" w:type="dxa"/>
            <w:gridSpan w:val="2"/>
            <w:tcBorders>
              <w:top w:val="nil"/>
              <w:left w:val="nil"/>
              <w:bottom w:val="nil"/>
              <w:right w:val="nil"/>
            </w:tcBorders>
            <w:shd w:val="clear" w:color="auto" w:fill="auto"/>
            <w:vAlign w:val="center"/>
          </w:tcPr>
          <w:p>
            <w:pPr>
              <w:ind w:firstLine="424"/>
              <w:rPr>
                <w:rFonts w:hint="eastAsia" w:ascii="仿宋" w:hAnsi="仿宋" w:eastAsia="仿宋" w:cs="仿宋"/>
                <w:color w:val="auto"/>
                <w:szCs w:val="22"/>
                <w:highlight w:val="none"/>
                <w:lang w:val="en-US" w:eastAsia="zh-CN"/>
              </w:rPr>
            </w:pPr>
            <w:r>
              <w:rPr>
                <w:rFonts w:ascii="仿宋" w:hAnsi="仿宋" w:eastAsia="仿宋" w:cs="仿宋"/>
                <w:color w:val="auto"/>
                <w:szCs w:val="22"/>
                <w:highlight w:val="none"/>
              </w:rPr>
              <w:t>财政编号：</w:t>
            </w:r>
            <w:r>
              <w:rPr>
                <w:rFonts w:hint="eastAsia" w:ascii="仿宋" w:hAnsi="仿宋" w:eastAsia="仿宋" w:cs="仿宋"/>
                <w:color w:val="auto"/>
                <w:szCs w:val="22"/>
                <w:highlight w:val="none"/>
              </w:rPr>
              <w:t>BNQ25C00008</w:t>
            </w:r>
          </w:p>
        </w:tc>
      </w:tr>
      <w:tr>
        <w:tblPrEx>
          <w:tblLayout w:type="fixed"/>
          <w:tblCellMar>
            <w:top w:w="15" w:type="dxa"/>
            <w:left w:w="15" w:type="dxa"/>
            <w:bottom w:w="15" w:type="dxa"/>
            <w:right w:w="15" w:type="dxa"/>
          </w:tblCellMar>
        </w:tblPrEx>
        <w:trPr>
          <w:jc w:val="center"/>
        </w:trPr>
        <w:tc>
          <w:tcPr>
            <w:tcW w:w="9000" w:type="dxa"/>
            <w:gridSpan w:val="2"/>
            <w:tcBorders>
              <w:top w:val="nil"/>
              <w:left w:val="nil"/>
              <w:bottom w:val="nil"/>
              <w:right w:val="nil"/>
            </w:tcBorders>
            <w:shd w:val="clear" w:color="auto" w:fill="auto"/>
            <w:vAlign w:val="center"/>
          </w:tcPr>
          <w:p>
            <w:pPr>
              <w:ind w:firstLine="424"/>
              <w:rPr>
                <w:rFonts w:ascii="仿宋" w:hAnsi="仿宋" w:eastAsia="仿宋" w:cs="仿宋"/>
                <w:color w:val="auto"/>
                <w:szCs w:val="22"/>
                <w:highlight w:val="none"/>
              </w:rPr>
            </w:pPr>
            <w:r>
              <w:rPr>
                <w:rFonts w:ascii="仿宋" w:hAnsi="仿宋" w:eastAsia="仿宋" w:cs="仿宋"/>
                <w:color w:val="auto"/>
                <w:szCs w:val="22"/>
                <w:highlight w:val="none"/>
              </w:rPr>
              <w:t>项目编号：</w:t>
            </w:r>
            <w:r>
              <w:rPr>
                <w:rFonts w:hint="eastAsia" w:ascii="宋体" w:hAnsi="宋体" w:eastAsia="宋体" w:cs="宋体"/>
                <w:i w:val="0"/>
                <w:caps w:val="0"/>
                <w:color w:val="000000"/>
                <w:spacing w:val="0"/>
                <w:sz w:val="24"/>
                <w:szCs w:val="24"/>
              </w:rPr>
              <w:t>50000120250228030104001</w:t>
            </w:r>
          </w:p>
        </w:tc>
      </w:tr>
      <w:tr>
        <w:tblPrEx>
          <w:tblLayout w:type="fixed"/>
          <w:tblCellMar>
            <w:top w:w="15" w:type="dxa"/>
            <w:left w:w="15" w:type="dxa"/>
            <w:bottom w:w="15" w:type="dxa"/>
            <w:right w:w="15" w:type="dxa"/>
          </w:tblCellMar>
        </w:tblPrEx>
        <w:trPr>
          <w:jc w:val="center"/>
        </w:trPr>
        <w:tc>
          <w:tcPr>
            <w:tcW w:w="9000" w:type="dxa"/>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ascii="仿宋" w:hAnsi="仿宋" w:eastAsia="仿宋" w:cs="仿宋"/>
                <w:color w:val="auto"/>
                <w:szCs w:val="22"/>
                <w:highlight w:val="none"/>
              </w:rPr>
              <w:t>户名:重庆联合产权交易所集团股份有限公司</w:t>
            </w:r>
          </w:p>
        </w:tc>
      </w:tr>
      <w:tr>
        <w:tblPrEx>
          <w:tblLayout w:type="fixed"/>
          <w:tblCellMar>
            <w:top w:w="15" w:type="dxa"/>
            <w:left w:w="15" w:type="dxa"/>
            <w:bottom w:w="15" w:type="dxa"/>
            <w:right w:w="15" w:type="dxa"/>
          </w:tblCellMar>
        </w:tblPrEx>
        <w:trPr>
          <w:jc w:val="center"/>
        </w:trPr>
        <w:tc>
          <w:tcPr>
            <w:tcW w:w="270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ascii="仿宋" w:hAnsi="仿宋" w:eastAsia="仿宋" w:cs="仿宋"/>
                <w:color w:val="auto"/>
                <w:szCs w:val="22"/>
                <w:highlight w:val="none"/>
              </w:rPr>
              <w:t>分包</w:t>
            </w:r>
          </w:p>
        </w:tc>
        <w:tc>
          <w:tcPr>
            <w:tcW w:w="630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ascii="仿宋" w:hAnsi="仿宋" w:eastAsia="仿宋" w:cs="仿宋"/>
                <w:color w:val="auto"/>
                <w:szCs w:val="22"/>
                <w:highlight w:val="none"/>
              </w:rPr>
              <w:t>银行信息</w:t>
            </w:r>
          </w:p>
        </w:tc>
      </w:tr>
      <w:tr>
        <w:tblPrEx>
          <w:tblLayout w:type="fixed"/>
          <w:tblCellMar>
            <w:top w:w="15" w:type="dxa"/>
            <w:left w:w="15" w:type="dxa"/>
            <w:bottom w:w="15" w:type="dxa"/>
            <w:right w:w="15" w:type="dxa"/>
          </w:tblCellMar>
        </w:tblPrEx>
        <w:trPr>
          <w:jc w:val="center"/>
        </w:trPr>
        <w:tc>
          <w:tcPr>
            <w:tcW w:w="270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ascii="仿宋" w:hAnsi="仿宋" w:eastAsia="仿宋" w:cs="仿宋"/>
                <w:color w:val="auto"/>
                <w:szCs w:val="22"/>
                <w:highlight w:val="none"/>
              </w:rPr>
              <w:t>01</w:t>
            </w:r>
          </w:p>
        </w:tc>
        <w:tc>
          <w:tcPr>
            <w:tcW w:w="630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tbl>
            <w:tblPr>
              <w:tblStyle w:val="32"/>
              <w:tblW w:w="6286" w:type="dxa"/>
              <w:jc w:val="center"/>
              <w:tblInd w:w="0" w:type="dxa"/>
              <w:tblLayout w:type="fixed"/>
              <w:tblCellMar>
                <w:top w:w="15" w:type="dxa"/>
                <w:left w:w="15" w:type="dxa"/>
                <w:bottom w:w="15" w:type="dxa"/>
                <w:right w:w="15" w:type="dxa"/>
              </w:tblCellMar>
            </w:tblPr>
            <w:tblGrid>
              <w:gridCol w:w="736"/>
              <w:gridCol w:w="736"/>
              <w:gridCol w:w="4814"/>
            </w:tblGrid>
            <w:tr>
              <w:tblPrEx>
                <w:tblLayout w:type="fixed"/>
                <w:tblCellMar>
                  <w:top w:w="15" w:type="dxa"/>
                  <w:left w:w="15" w:type="dxa"/>
                  <w:bottom w:w="15" w:type="dxa"/>
                  <w:right w:w="15" w:type="dxa"/>
                </w:tblCellMar>
              </w:tblPrEx>
              <w:trPr>
                <w:jc w:val="center"/>
              </w:trPr>
              <w:tc>
                <w:tcPr>
                  <w:tcW w:w="736" w:type="dxa"/>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账号1</w:t>
                  </w:r>
                </w:p>
              </w:tc>
              <w:tc>
                <w:tcPr>
                  <w:tcW w:w="7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开户行</w:t>
                  </w:r>
                </w:p>
              </w:tc>
              <w:tc>
                <w:tcPr>
                  <w:tcW w:w="4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hint="eastAsia" w:ascii="宋体" w:hAnsi="宋体" w:eastAsia="宋体" w:cs="宋体"/>
                      <w:i w:val="0"/>
                      <w:caps w:val="0"/>
                      <w:color w:val="000000"/>
                      <w:spacing w:val="0"/>
                      <w:sz w:val="24"/>
                      <w:szCs w:val="24"/>
                    </w:rPr>
                    <w:t>重庆银行七星岗支行</w:t>
                  </w:r>
                </w:p>
              </w:tc>
            </w:tr>
            <w:tr>
              <w:tblPrEx>
                <w:tblLayout w:type="fixed"/>
                <w:tblCellMar>
                  <w:top w:w="15" w:type="dxa"/>
                  <w:left w:w="15" w:type="dxa"/>
                  <w:bottom w:w="15" w:type="dxa"/>
                  <w:right w:w="15" w:type="dxa"/>
                </w:tblCellMar>
              </w:tblPrEx>
              <w:trPr>
                <w:jc w:val="center"/>
              </w:trPr>
              <w:tc>
                <w:tcPr>
                  <w:tcW w:w="736" w:type="dxa"/>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p>
              </w:tc>
              <w:tc>
                <w:tcPr>
                  <w:tcW w:w="7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账</w:t>
                  </w:r>
                  <w:r>
                    <w:rPr>
                      <w:rFonts w:hint="eastAsia" w:ascii="仿宋" w:hAnsi="仿宋" w:eastAsia="仿宋" w:cs="仿宋"/>
                      <w:color w:val="auto"/>
                      <w:szCs w:val="22"/>
                      <w:highlight w:val="none"/>
                      <w:lang w:val="en-US" w:eastAsia="zh-CN"/>
                    </w:rPr>
                    <w:t xml:space="preserve">  </w:t>
                  </w:r>
                  <w:r>
                    <w:rPr>
                      <w:rFonts w:ascii="仿宋" w:hAnsi="仿宋" w:eastAsia="仿宋" w:cs="仿宋"/>
                      <w:color w:val="auto"/>
                      <w:szCs w:val="22"/>
                      <w:highlight w:val="none"/>
                    </w:rPr>
                    <w:t>号</w:t>
                  </w:r>
                </w:p>
              </w:tc>
              <w:tc>
                <w:tcPr>
                  <w:tcW w:w="4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hint="eastAsia" w:ascii="宋体" w:hAnsi="宋体" w:eastAsia="宋体" w:cs="宋体"/>
                      <w:i w:val="0"/>
                      <w:caps w:val="0"/>
                      <w:color w:val="000000"/>
                      <w:spacing w:val="0"/>
                      <w:sz w:val="24"/>
                      <w:szCs w:val="24"/>
                    </w:rPr>
                    <w:t>150101040015061159410</w:t>
                  </w:r>
                </w:p>
              </w:tc>
            </w:tr>
            <w:tr>
              <w:tblPrEx>
                <w:tblLayout w:type="fixed"/>
                <w:tblCellMar>
                  <w:top w:w="15" w:type="dxa"/>
                  <w:left w:w="15" w:type="dxa"/>
                  <w:bottom w:w="15" w:type="dxa"/>
                  <w:right w:w="15" w:type="dxa"/>
                </w:tblCellMar>
              </w:tblPrEx>
              <w:trPr>
                <w:jc w:val="center"/>
              </w:trPr>
              <w:tc>
                <w:tcPr>
                  <w:tcW w:w="736" w:type="dxa"/>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账号2</w:t>
                  </w:r>
                </w:p>
              </w:tc>
              <w:tc>
                <w:tcPr>
                  <w:tcW w:w="7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开户行</w:t>
                  </w:r>
                </w:p>
              </w:tc>
              <w:tc>
                <w:tcPr>
                  <w:tcW w:w="4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hint="eastAsia" w:ascii="宋体" w:hAnsi="宋体" w:eastAsia="宋体" w:cs="宋体"/>
                      <w:i w:val="0"/>
                      <w:caps w:val="0"/>
                      <w:color w:val="000000"/>
                      <w:spacing w:val="0"/>
                      <w:sz w:val="24"/>
                      <w:szCs w:val="24"/>
                    </w:rPr>
                    <w:t>建设银行重庆中山路支行</w:t>
                  </w:r>
                </w:p>
              </w:tc>
            </w:tr>
            <w:tr>
              <w:tblPrEx>
                <w:tblLayout w:type="fixed"/>
                <w:tblCellMar>
                  <w:top w:w="15" w:type="dxa"/>
                  <w:left w:w="15" w:type="dxa"/>
                  <w:bottom w:w="15" w:type="dxa"/>
                  <w:right w:w="15" w:type="dxa"/>
                </w:tblCellMar>
              </w:tblPrEx>
              <w:trPr>
                <w:jc w:val="center"/>
              </w:trPr>
              <w:tc>
                <w:tcPr>
                  <w:tcW w:w="736" w:type="dxa"/>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p>
              </w:tc>
              <w:tc>
                <w:tcPr>
                  <w:tcW w:w="7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账</w:t>
                  </w:r>
                  <w:r>
                    <w:rPr>
                      <w:rFonts w:hint="eastAsia" w:ascii="仿宋" w:hAnsi="仿宋" w:eastAsia="仿宋" w:cs="仿宋"/>
                      <w:color w:val="auto"/>
                      <w:szCs w:val="22"/>
                      <w:highlight w:val="none"/>
                      <w:lang w:val="en-US" w:eastAsia="zh-CN"/>
                    </w:rPr>
                    <w:t xml:space="preserve">  </w:t>
                  </w:r>
                  <w:r>
                    <w:rPr>
                      <w:rFonts w:ascii="仿宋" w:hAnsi="仿宋" w:eastAsia="仿宋" w:cs="仿宋"/>
                      <w:color w:val="auto"/>
                      <w:szCs w:val="22"/>
                      <w:highlight w:val="none"/>
                    </w:rPr>
                    <w:t>号</w:t>
                  </w:r>
                </w:p>
              </w:tc>
              <w:tc>
                <w:tcPr>
                  <w:tcW w:w="4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424"/>
                    <w:rPr>
                      <w:rFonts w:ascii="仿宋" w:hAnsi="仿宋" w:eastAsia="仿宋" w:cs="仿宋"/>
                      <w:color w:val="auto"/>
                      <w:szCs w:val="22"/>
                      <w:highlight w:val="none"/>
                    </w:rPr>
                  </w:pPr>
                  <w:r>
                    <w:rPr>
                      <w:rFonts w:hint="eastAsia" w:ascii="宋体" w:hAnsi="宋体" w:eastAsia="宋体" w:cs="宋体"/>
                      <w:i w:val="0"/>
                      <w:caps w:val="0"/>
                      <w:color w:val="000000"/>
                      <w:spacing w:val="0"/>
                      <w:sz w:val="24"/>
                      <w:szCs w:val="24"/>
                    </w:rPr>
                    <w:t>6232813760001740751</w:t>
                  </w:r>
                </w:p>
              </w:tc>
            </w:tr>
          </w:tbl>
          <w:p>
            <w:pPr>
              <w:ind w:firstLine="424"/>
              <w:rPr>
                <w:rFonts w:ascii="仿宋" w:hAnsi="仿宋" w:eastAsia="仿宋" w:cs="仿宋"/>
                <w:color w:val="auto"/>
                <w:szCs w:val="22"/>
                <w:highlight w:val="none"/>
              </w:rPr>
            </w:pPr>
          </w:p>
        </w:tc>
      </w:tr>
      <w:tr>
        <w:tblPrEx>
          <w:tblLayout w:type="fixed"/>
          <w:tblCellMar>
            <w:top w:w="15" w:type="dxa"/>
            <w:left w:w="15" w:type="dxa"/>
            <w:bottom w:w="15" w:type="dxa"/>
            <w:right w:w="15" w:type="dxa"/>
          </w:tblCellMar>
        </w:tblPrEx>
        <w:trPr>
          <w:jc w:val="center"/>
        </w:trPr>
        <w:tc>
          <w:tcPr>
            <w:tcW w:w="9000" w:type="dxa"/>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 xml:space="preserve">银行行号： </w:t>
            </w:r>
          </w:p>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请登录重庆市公共资源交易网（www.cqggzy.com）对应栏目查看。</w:t>
            </w:r>
          </w:p>
          <w:p>
            <w:pPr>
              <w:ind w:firstLine="0" w:firstLineChars="0"/>
              <w:rPr>
                <w:rFonts w:ascii="仿宋" w:hAnsi="仿宋" w:eastAsia="仿宋" w:cs="仿宋"/>
                <w:color w:val="auto"/>
                <w:szCs w:val="22"/>
                <w:highlight w:val="none"/>
              </w:rPr>
            </w:pPr>
            <w:r>
              <w:rPr>
                <w:rFonts w:ascii="仿宋" w:hAnsi="仿宋" w:eastAsia="仿宋" w:cs="仿宋"/>
                <w:color w:val="auto"/>
                <w:szCs w:val="22"/>
                <w:highlight w:val="none"/>
              </w:rPr>
              <w:t>路径：服务导航-政府采购-办事指引-重庆市公共资源交易中心政府采购项目保证金银行联行行号。</w:t>
            </w:r>
          </w:p>
        </w:tc>
      </w:tr>
    </w:tbl>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2.各供应商在银行转账（电汇）时，须充分考虑银行转账（电汇）的时间差风险，如同城转账、异地转账或汇款、跨行转账或电汇的时间要求。</w:t>
      </w:r>
      <w:bookmarkEnd w:id="226"/>
    </w:p>
    <w:p>
      <w:pPr>
        <w:ind w:firstLine="424"/>
        <w:rPr>
          <w:rFonts w:ascii="仿宋" w:hAnsi="仿宋" w:eastAsia="仿宋" w:cs="仿宋"/>
          <w:color w:val="auto"/>
          <w:szCs w:val="22"/>
          <w:highlight w:val="none"/>
        </w:rPr>
      </w:pPr>
      <w:bookmarkStart w:id="227" w:name="_Toc2191"/>
      <w:r>
        <w:rPr>
          <w:rFonts w:hint="eastAsia" w:ascii="仿宋" w:hAnsi="仿宋" w:eastAsia="仿宋" w:cs="仿宋"/>
          <w:color w:val="auto"/>
          <w:szCs w:val="22"/>
          <w:highlight w:val="none"/>
        </w:rPr>
        <w:t>3.保证金退还方式</w:t>
      </w:r>
      <w:bookmarkEnd w:id="227"/>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3.1未中标供应商的保证金，在中标通知书发放后，重庆市公共资源交易中心在五个工作日内按来款渠道直接退还。</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3.2中标人的投标保证金，在中标人与采购人签订合同后，重庆市公共资源交易中心在五个工作日内按资金来款渠道直接退还。</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重庆市公共资源交易中心咨询电话：023-63625633</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4.投标保证金缴纳截止时间：北京时间202</w:t>
      </w:r>
      <w:r>
        <w:rPr>
          <w:rFonts w:hint="eastAsia" w:ascii="仿宋" w:hAnsi="仿宋" w:eastAsia="仿宋" w:cs="仿宋"/>
          <w:color w:val="auto"/>
          <w:szCs w:val="22"/>
          <w:highlight w:val="none"/>
          <w:lang w:val="en-US" w:eastAsia="zh-CN"/>
        </w:rPr>
        <w:t>5</w:t>
      </w:r>
      <w:r>
        <w:rPr>
          <w:rFonts w:hint="eastAsia" w:ascii="仿宋" w:hAnsi="仿宋" w:eastAsia="仿宋" w:cs="仿宋"/>
          <w:color w:val="auto"/>
          <w:szCs w:val="22"/>
          <w:highlight w:val="none"/>
        </w:rPr>
        <w:t>年</w:t>
      </w:r>
      <w:r>
        <w:rPr>
          <w:rFonts w:hint="eastAsia" w:ascii="仿宋" w:hAnsi="仿宋" w:eastAsia="仿宋" w:cs="仿宋"/>
          <w:color w:val="auto"/>
          <w:szCs w:val="22"/>
          <w:highlight w:val="none"/>
          <w:lang w:val="en-US" w:eastAsia="zh-CN"/>
        </w:rPr>
        <w:t>3</w:t>
      </w:r>
      <w:r>
        <w:rPr>
          <w:rFonts w:hint="eastAsia" w:ascii="仿宋" w:hAnsi="仿宋" w:eastAsia="仿宋" w:cs="仿宋"/>
          <w:color w:val="auto"/>
          <w:szCs w:val="22"/>
          <w:highlight w:val="none"/>
        </w:rPr>
        <w:t xml:space="preserve">月 </w:t>
      </w:r>
      <w:r>
        <w:rPr>
          <w:rFonts w:hint="eastAsia" w:ascii="仿宋" w:hAnsi="仿宋" w:eastAsia="仿宋" w:cs="仿宋"/>
          <w:color w:val="auto"/>
          <w:szCs w:val="22"/>
          <w:highlight w:val="none"/>
          <w:lang w:val="en-US" w:eastAsia="zh-CN"/>
        </w:rPr>
        <w:t>25</w:t>
      </w:r>
      <w:r>
        <w:rPr>
          <w:rFonts w:hint="eastAsia" w:ascii="仿宋" w:hAnsi="仿宋" w:eastAsia="仿宋" w:cs="仿宋"/>
          <w:color w:val="auto"/>
          <w:szCs w:val="22"/>
          <w:highlight w:val="none"/>
        </w:rPr>
        <w:t>日1</w:t>
      </w:r>
      <w:r>
        <w:rPr>
          <w:rFonts w:hint="eastAsia" w:ascii="仿宋" w:hAnsi="仿宋" w:eastAsia="仿宋" w:cs="仿宋"/>
          <w:color w:val="auto"/>
          <w:szCs w:val="22"/>
          <w:highlight w:val="none"/>
          <w:lang w:val="en-US" w:eastAsia="zh-CN"/>
        </w:rPr>
        <w:t>1</w:t>
      </w:r>
      <w:r>
        <w:rPr>
          <w:rFonts w:hint="eastAsia" w:ascii="仿宋" w:hAnsi="仿宋" w:eastAsia="仿宋" w:cs="仿宋"/>
          <w:color w:val="auto"/>
          <w:szCs w:val="22"/>
          <w:highlight w:val="none"/>
        </w:rPr>
        <w:t>:00（以到账时间为准）。</w:t>
      </w:r>
    </w:p>
    <w:p>
      <w:pPr>
        <w:ind w:firstLine="426"/>
        <w:rPr>
          <w:rFonts w:hint="eastAsia" w:ascii="仿宋" w:eastAsia="仿宋"/>
          <w:b/>
          <w:bCs/>
          <w:color w:val="auto"/>
          <w:szCs w:val="24"/>
          <w:highlight w:val="none"/>
        </w:rPr>
      </w:pPr>
      <w:r>
        <w:rPr>
          <w:rFonts w:hint="eastAsia" w:ascii="仿宋" w:eastAsia="仿宋"/>
          <w:b/>
          <w:bCs/>
          <w:color w:val="auto"/>
          <w:szCs w:val="24"/>
          <w:highlight w:val="none"/>
        </w:rPr>
        <w:t>方式二：以纸质投标保函形式交纳投标保证金</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1.纸质投标保函交纳形式及要求:</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(1)缴纳形式:投标人提供金融机构、担保机构出具的保函;</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具体要求:投标人须在电子投标文件资格审查部分中提供相关机构开具的纸质投标保函正本扫描件,纸质投标保函正本原件应当在项目唱标前在开标现场递交采购人保管，如未递交由评标委员会作无效投标处理。纸质投标保函应至少体现如下内容:①担保项目必须为本项目:②受益人必须为本项目采购人;③保函担保金额必须满足本项目要求;④保函生效时间必须在投标截止时间前有效期限必须至少包含整个投标有效期;⑤保函须不可撤销见索即付。</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不满足上述要求的纸质投标保函无效。</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以纸质投标保函形式担保的投标保证金的金额:</w:t>
      </w:r>
      <w:r>
        <w:rPr>
          <w:rFonts w:hint="eastAsia" w:ascii="仿宋" w:hAnsi="仿宋" w:eastAsia="仿宋" w:cs="仿宋"/>
          <w:color w:val="auto"/>
          <w:szCs w:val="22"/>
          <w:highlight w:val="none"/>
          <w:u w:val="single"/>
          <w:lang w:val="en-US" w:eastAsia="zh-CN"/>
        </w:rPr>
        <w:t>12</w:t>
      </w:r>
      <w:r>
        <w:rPr>
          <w:rFonts w:hint="eastAsia" w:ascii="仿宋" w:hAnsi="仿宋" w:eastAsia="仿宋" w:cs="仿宋"/>
          <w:color w:val="auto"/>
          <w:szCs w:val="22"/>
          <w:highlight w:val="none"/>
          <w:u w:val="single"/>
        </w:rPr>
        <w:t>万元</w:t>
      </w:r>
      <w:r>
        <w:rPr>
          <w:rFonts w:hint="eastAsia" w:ascii="仿宋" w:hAnsi="仿宋" w:eastAsia="仿宋" w:cs="仿宋"/>
          <w:color w:val="auto"/>
          <w:szCs w:val="22"/>
          <w:highlight w:val="none"/>
        </w:rPr>
        <w:t>（人民币）。</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投标人须确保其递交的纸质投标保函能在重庆市巴南区相关机构核验真伪,并在电子投标文件资格审查部分中提供纸质投标保函的核验地点、方式和联系人，否则该纸质投标保函视为无效。</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2.投标人在开标现场递交的纸质投标保函原件应与电子投标文件中提供的纸质投标保函扫描件一致,否则由评标委员会作无效投标处理。</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3.在发出中标通知书前，采购人应当对投标人的纸质投标保函开展核验。采购人按照投标人提供的核验地点、方式和联系人等信息无法对该纸质投标保函进行核验的，如发现投标人递交的纸质投标保函弄虛作假的,对已取得中标人资格的，取消中标人资格，给采购人造成损失的，投标人依法承担赔偿责任。采购人对纸质投标保函无法核验的,应当报行政监管部门依法依规处理;对纸质投标保函弄虚作假的，应当报行政监管部门和公安机关依法依规处理。</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4.纸质投标保函的退还、注销</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采购人在发出中标通知书的同时向除中标人以外的其他投标人退还纸质投标保函正本并书面通知相关机构本项目准予提前注销纸质投标保函。具体注销事宜由投标人与相关机构协商。采购人应在与中标人签订合同同时书面通知相关机构向中标人注销纸质投标保函。具体注销事宜由投标人与相关机构协商。</w:t>
      </w:r>
    </w:p>
    <w:p>
      <w:pPr>
        <w:ind w:firstLine="426"/>
        <w:rPr>
          <w:rFonts w:hint="eastAsia" w:ascii="仿宋" w:eastAsia="仿宋"/>
          <w:b/>
          <w:bCs/>
          <w:color w:val="auto"/>
          <w:szCs w:val="24"/>
          <w:highlight w:val="none"/>
        </w:rPr>
      </w:pPr>
      <w:r>
        <w:rPr>
          <w:rFonts w:hint="eastAsia" w:ascii="仿宋" w:eastAsia="仿宋"/>
          <w:b/>
          <w:bCs/>
          <w:color w:val="auto"/>
          <w:szCs w:val="24"/>
          <w:highlight w:val="none"/>
        </w:rPr>
        <w:t>方式三：电子投标保函的缴纳方式</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本项目保证金支持电子投标保函形式，如需申请保函请登录重庆市政府采购网（</w:t>
      </w:r>
      <w:r>
        <w:rPr>
          <w:rFonts w:hint="eastAsia" w:ascii="仿宋" w:hAnsi="仿宋" w:eastAsia="仿宋" w:cs="仿宋"/>
          <w:color w:val="auto"/>
          <w:szCs w:val="22"/>
          <w:highlight w:val="none"/>
        </w:rPr>
        <w:drawing>
          <wp:inline distT="0" distB="0" distL="114300" distR="114300">
            <wp:extent cx="190500" cy="1428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2"/>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Cs w:val="22"/>
          <w:highlight w:val="none"/>
        </w:rPr>
        <w:t>www.ccgp-chongqing.gov.cn）申请。</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电子投标保函缴纳形式及要求：</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具体要求：投标人须提供开具的电子投标保函（打印件），电子投标保函（打印件）应当与电子投标文件同时递交(不密封)。电子投标保函应至少体现如下内容：①担保项目必须为本项目；②受益人必须为本项目采购人；③保函担保金额必须满足本项目要求；④保函生效时间必须在投标截止时间前，有效期限必须至少包含整个投标有效期。</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1.采购人负责对保函内容进行审查，不满足上述要求的电子投标保函无效。</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2.以电子投标保函形式担保的投标保证金的金额：</w:t>
      </w:r>
      <w:r>
        <w:rPr>
          <w:rFonts w:hint="eastAsia" w:ascii="仿宋" w:hAnsi="仿宋" w:eastAsia="仿宋" w:cs="仿宋"/>
          <w:color w:val="auto"/>
          <w:szCs w:val="22"/>
          <w:highlight w:val="none"/>
          <w:u w:val="single"/>
          <w:lang w:val="en-US" w:eastAsia="zh-CN"/>
        </w:rPr>
        <w:t>12</w:t>
      </w:r>
      <w:r>
        <w:rPr>
          <w:rFonts w:hint="eastAsia" w:ascii="仿宋" w:hAnsi="仿宋" w:eastAsia="仿宋" w:cs="仿宋"/>
          <w:color w:val="auto"/>
          <w:szCs w:val="22"/>
          <w:highlight w:val="none"/>
          <w:u w:val="single"/>
        </w:rPr>
        <w:t>万元（</w:t>
      </w:r>
      <w:r>
        <w:rPr>
          <w:rFonts w:hint="eastAsia" w:ascii="仿宋" w:hAnsi="仿宋" w:eastAsia="仿宋" w:cs="仿宋"/>
          <w:color w:val="auto"/>
          <w:szCs w:val="22"/>
          <w:highlight w:val="none"/>
        </w:rPr>
        <w:t>人民币）。</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3.投标人提供的投标保函不得有弄虚作假行为，否则一经采购人核实，将上报行政主管部门按照相关法律法规处理。同时，取消其中标资格。投标人须确保其递交的电子投标保函能在重庆市巴南区相关机构核验真伪，并提供电子投标保函的核验地点、方式和联系人，否则该电子投标保函视为无效。</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4.投标人递交的电子投标保函（打印件）应与重庆市政府采购网申请的电子投标保函一致，否则该电子投标保函视为无效。</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5.在发出中标通知书前，采购人有权对投标人（至少中标候选人或中标人）的电子投标保函开展核验。</w:t>
      </w:r>
    </w:p>
    <w:p>
      <w:pPr>
        <w:pStyle w:val="4"/>
        <w:spacing w:before="190" w:after="190"/>
        <w:ind w:firstLine="506"/>
        <w:rPr>
          <w:rFonts w:ascii="仿宋" w:hAnsi="仿宋" w:eastAsia="仿宋" w:cs="仿宋"/>
          <w:color w:val="auto"/>
          <w:szCs w:val="22"/>
          <w:highlight w:val="none"/>
        </w:rPr>
      </w:pPr>
      <w:bookmarkStart w:id="228" w:name="_Toc2070"/>
      <w:bookmarkStart w:id="229" w:name="_Toc25539"/>
      <w:bookmarkStart w:id="230" w:name="_Toc11809"/>
      <w:bookmarkStart w:id="231" w:name="_Toc2076"/>
      <w:bookmarkStart w:id="232" w:name="_Toc708"/>
      <w:bookmarkStart w:id="233" w:name="_Toc8946"/>
      <w:bookmarkStart w:id="234" w:name="_Toc5861"/>
      <w:bookmarkStart w:id="235" w:name="_Toc20489867"/>
      <w:bookmarkStart w:id="236" w:name="_Toc30015"/>
      <w:bookmarkStart w:id="237" w:name="_Toc16143"/>
      <w:bookmarkStart w:id="238" w:name="_Toc18129"/>
      <w:bookmarkStart w:id="239" w:name="_Toc28998"/>
      <w:bookmarkStart w:id="240" w:name="_Toc10287"/>
      <w:bookmarkStart w:id="241" w:name="_Toc63600406"/>
      <w:bookmarkStart w:id="242" w:name="_Toc28807"/>
      <w:bookmarkStart w:id="243" w:name="_Toc20488311"/>
      <w:bookmarkStart w:id="244" w:name="_Toc495592636"/>
      <w:bookmarkStart w:id="245" w:name="_Toc23666"/>
      <w:bookmarkStart w:id="246" w:name="_Toc7932"/>
      <w:r>
        <w:rPr>
          <w:rFonts w:hint="eastAsia" w:ascii="仿宋" w:hAnsi="仿宋" w:eastAsia="仿宋" w:cs="仿宋"/>
          <w:color w:val="auto"/>
          <w:highlight w:val="none"/>
        </w:rPr>
        <w:t>六、</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Start w:id="247" w:name="_Toc16219"/>
      <w:bookmarkStart w:id="248" w:name="_Toc22777"/>
      <w:bookmarkStart w:id="249" w:name="_Toc6675"/>
      <w:bookmarkStart w:id="250" w:name="_Toc21831"/>
      <w:bookmarkStart w:id="251" w:name="_Toc20489868"/>
      <w:bookmarkStart w:id="252" w:name="_Toc15155"/>
      <w:bookmarkStart w:id="253" w:name="_Toc493506283"/>
      <w:bookmarkStart w:id="254" w:name="_Toc20488312"/>
      <w:bookmarkStart w:id="255" w:name="_Toc22773"/>
      <w:bookmarkStart w:id="256" w:name="_Toc20128"/>
      <w:bookmarkStart w:id="257" w:name="_Toc28044"/>
      <w:bookmarkStart w:id="258" w:name="_Toc7270"/>
      <w:bookmarkStart w:id="259" w:name="_Toc24055"/>
      <w:bookmarkStart w:id="260" w:name="_Toc63600407"/>
      <w:bookmarkStart w:id="261" w:name="_Toc27060"/>
      <w:bookmarkStart w:id="262" w:name="_Toc17599"/>
      <w:bookmarkStart w:id="263" w:name="_Toc495592637"/>
      <w:bookmarkStart w:id="264" w:name="_Toc29124"/>
      <w:bookmarkStart w:id="265" w:name="_Toc28336"/>
      <w:r>
        <w:rPr>
          <w:rFonts w:hint="eastAsia" w:ascii="仿宋" w:hAnsi="仿宋" w:eastAsia="仿宋" w:cs="仿宋"/>
          <w:color w:val="auto"/>
          <w:highlight w:val="none"/>
        </w:rPr>
        <w:t>采购项目需落实的政府采购政策</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（二）按照财政部、工业和信息化部关于印发《政府采购促进中小企业发展管理办法》的通知（财库〔2020〕46号）的规定，落实促进中小企业发展政策。</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（三）按照《财政部、司法部关于政府采购支持监狱企业发展有关问题的通知》（财库〔2014〕68号）的规定，落实支持监狱企业发展政策。</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（四）按照《三部门联合发布关于促进残疾人就业政府采购政策的通知》（财库〔2017〕 141号）的规定，落实支持残疾人福利性单位发展政策。</w:t>
      </w:r>
    </w:p>
    <w:p>
      <w:pPr>
        <w:pStyle w:val="4"/>
        <w:spacing w:before="190" w:after="190"/>
        <w:ind w:firstLine="506"/>
        <w:rPr>
          <w:rFonts w:ascii="仿宋" w:hAnsi="仿宋" w:eastAsia="仿宋" w:cs="仿宋"/>
          <w:color w:val="auto"/>
          <w:szCs w:val="22"/>
          <w:highlight w:val="none"/>
        </w:rPr>
      </w:pPr>
      <w:bookmarkStart w:id="266" w:name="_Toc30509"/>
      <w:bookmarkStart w:id="267" w:name="_Toc31457"/>
      <w:bookmarkStart w:id="268" w:name="_Toc31034"/>
      <w:bookmarkStart w:id="269" w:name="_Toc13151"/>
      <w:bookmarkStart w:id="270" w:name="_Toc24228"/>
      <w:bookmarkStart w:id="271" w:name="_Toc16266"/>
      <w:bookmarkStart w:id="272" w:name="_Toc20488313"/>
      <w:bookmarkStart w:id="273" w:name="_Toc21467"/>
      <w:bookmarkStart w:id="274" w:name="_Toc12057"/>
      <w:bookmarkStart w:id="275" w:name="_Toc3508"/>
      <w:bookmarkStart w:id="276" w:name="_Toc10542"/>
      <w:bookmarkStart w:id="277" w:name="_Toc22630"/>
      <w:bookmarkStart w:id="278" w:name="_Toc28451"/>
      <w:bookmarkStart w:id="279" w:name="_Toc24948"/>
      <w:bookmarkStart w:id="280" w:name="_Toc495592638"/>
      <w:bookmarkStart w:id="281" w:name="_Toc20489869"/>
      <w:bookmarkStart w:id="282" w:name="_Toc29217"/>
      <w:bookmarkStart w:id="283" w:name="_Toc3459"/>
      <w:bookmarkStart w:id="284" w:name="_Toc63600408"/>
      <w:r>
        <w:rPr>
          <w:rFonts w:hint="eastAsia" w:ascii="仿宋" w:hAnsi="仿宋" w:eastAsia="仿宋" w:cs="仿宋"/>
          <w:color w:val="auto"/>
          <w:highlight w:val="none"/>
        </w:rPr>
        <w:t>七、投标有关规定</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（一）单位负责人为同一人或者存在直接控股、管理关系的不同投标人，不得参加同一合同项（包）下的政府采购活动。</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（二）为采购项目提供整体设计、规范编制或者项目管理、监理、检测等服务的投标人，不得再参加该采购项目的其他采购活动。</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（三）本项目若有更正、补遗文件一律在重庆市政府采购网（http://www.ccgp-chongqing.gov.cn）上发布，请各投标人注意下载；无论投标人下载与否，均视同投标人已知晓本项目补遗文件的内容。</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（四）</w:t>
      </w:r>
      <w:bookmarkStart w:id="285" w:name="_Hlk148216246"/>
      <w:r>
        <w:rPr>
          <w:rFonts w:hint="eastAsia" w:ascii="仿宋" w:hAnsi="仿宋" w:eastAsia="仿宋" w:cs="仿宋"/>
          <w:color w:val="auto"/>
          <w:szCs w:val="22"/>
          <w:highlight w:val="none"/>
        </w:rPr>
        <w:t>超过电子投标文件递交截止时间递交的电子投标文件，恕不接收。</w:t>
      </w:r>
      <w:bookmarkEnd w:id="285"/>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（五）投标费用：无论投标结果如何，投标人参与本项目投标的所有费用均应由投标人自行承担。</w:t>
      </w:r>
    </w:p>
    <w:p>
      <w:pPr>
        <w:ind w:firstLine="424"/>
        <w:rPr>
          <w:rFonts w:hint="eastAsia" w:ascii="仿宋" w:hAnsi="仿宋" w:eastAsia="仿宋" w:cs="仿宋"/>
          <w:b/>
          <w:bCs/>
          <w:color w:val="auto"/>
          <w:szCs w:val="22"/>
          <w:highlight w:val="none"/>
        </w:rPr>
      </w:pPr>
      <w:r>
        <w:rPr>
          <w:rFonts w:hint="eastAsia" w:ascii="仿宋" w:hAnsi="仿宋" w:eastAsia="仿宋" w:cs="仿宋"/>
          <w:b/>
          <w:bCs/>
          <w:color w:val="auto"/>
          <w:szCs w:val="22"/>
          <w:highlight w:val="none"/>
        </w:rPr>
        <w:t>（六）本项目不接受联合体参与投标，否则按无效投标处理，本招标文件联合体相关条款不生效。</w:t>
      </w:r>
    </w:p>
    <w:p>
      <w:pPr>
        <w:ind w:firstLine="424"/>
        <w:rPr>
          <w:rFonts w:ascii="仿宋" w:hAnsi="仿宋" w:eastAsia="仿宋"/>
          <w:bCs/>
          <w:color w:val="auto"/>
          <w:szCs w:val="22"/>
          <w:highlight w:val="none"/>
        </w:rPr>
      </w:pPr>
      <w:r>
        <w:rPr>
          <w:rFonts w:hint="eastAsia" w:ascii="仿宋" w:hAnsi="仿宋" w:eastAsia="仿宋"/>
          <w:b/>
          <w:bCs/>
          <w:color w:val="auto"/>
          <w:szCs w:val="22"/>
          <w:highlight w:val="none"/>
        </w:rPr>
        <w:t>（七）</w:t>
      </w:r>
      <w:r>
        <w:rPr>
          <w:rFonts w:hint="eastAsia" w:ascii="仿宋" w:hAnsi="仿宋" w:eastAsia="仿宋" w:cs="仿宋"/>
          <w:b/>
          <w:bCs/>
          <w:color w:val="auto"/>
          <w:szCs w:val="22"/>
        </w:rPr>
        <w:t>本项目不接受合同分包，否则按无效处理。</w:t>
      </w:r>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八）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投标人，将拒绝其参与政府采购活动。</w:t>
      </w:r>
    </w:p>
    <w:p>
      <w:pPr>
        <w:pStyle w:val="4"/>
        <w:spacing w:before="190" w:after="190"/>
        <w:ind w:firstLine="506"/>
        <w:rPr>
          <w:rFonts w:ascii="仿宋" w:hAnsi="仿宋" w:eastAsia="仿宋" w:cs="仿宋"/>
          <w:color w:val="auto"/>
          <w:szCs w:val="22"/>
          <w:highlight w:val="none"/>
        </w:rPr>
      </w:pPr>
      <w:bookmarkStart w:id="286" w:name="_Toc27328"/>
      <w:bookmarkStart w:id="287" w:name="_Toc10997"/>
      <w:bookmarkStart w:id="288" w:name="_Toc18472"/>
      <w:bookmarkStart w:id="289" w:name="_Toc1564"/>
      <w:bookmarkStart w:id="290" w:name="_Toc409189614"/>
      <w:bookmarkStart w:id="291" w:name="_Toc19623"/>
      <w:bookmarkStart w:id="292" w:name="_Toc17887"/>
      <w:bookmarkStart w:id="293" w:name="_Toc21166"/>
      <w:bookmarkStart w:id="294" w:name="_Toc26420"/>
      <w:bookmarkStart w:id="295" w:name="_Toc16717"/>
      <w:bookmarkStart w:id="296" w:name="_Toc21576"/>
      <w:bookmarkStart w:id="297" w:name="_Toc63600409"/>
      <w:bookmarkStart w:id="298" w:name="_Toc1015"/>
      <w:bookmarkStart w:id="299" w:name="_Toc20488314"/>
      <w:bookmarkStart w:id="300" w:name="_Toc18258"/>
      <w:bookmarkStart w:id="301" w:name="_Toc9193"/>
      <w:bookmarkStart w:id="302" w:name="_Toc16732"/>
      <w:bookmarkStart w:id="303" w:name="_Toc20489870"/>
      <w:bookmarkStart w:id="304" w:name="_Toc23841"/>
      <w:r>
        <w:rPr>
          <w:rFonts w:hint="eastAsia" w:ascii="仿宋" w:hAnsi="仿宋" w:eastAsia="仿宋" w:cs="仿宋"/>
          <w:color w:val="auto"/>
          <w:highlight w:val="none"/>
        </w:rPr>
        <w:t>八、联系方式</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（一）采购代理机构：重庆市巴南区政府采购中心</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联系人：</w:t>
      </w:r>
      <w:r>
        <w:rPr>
          <w:rFonts w:hint="eastAsia" w:ascii="仿宋" w:hAnsi="仿宋" w:eastAsia="仿宋" w:cs="仿宋"/>
          <w:color w:val="auto"/>
          <w:szCs w:val="22"/>
          <w:highlight w:val="none"/>
          <w:lang w:val="en-US" w:eastAsia="zh-CN"/>
        </w:rPr>
        <w:t>杨</w:t>
      </w:r>
      <w:r>
        <w:rPr>
          <w:rFonts w:hint="eastAsia" w:ascii="仿宋" w:hAnsi="仿宋" w:eastAsia="仿宋" w:cs="仿宋"/>
          <w:color w:val="auto"/>
          <w:szCs w:val="22"/>
          <w:highlight w:val="none"/>
        </w:rPr>
        <w:t xml:space="preserve">老师（文书制作）             </w:t>
      </w:r>
      <w:r>
        <w:rPr>
          <w:rFonts w:hint="eastAsia" w:ascii="仿宋" w:hAnsi="仿宋" w:eastAsia="仿宋" w:cs="仿宋"/>
          <w:color w:val="auto"/>
          <w:szCs w:val="22"/>
          <w:highlight w:val="none"/>
          <w:lang w:val="en-US" w:eastAsia="zh-CN"/>
        </w:rPr>
        <w:t>张</w:t>
      </w:r>
      <w:r>
        <w:rPr>
          <w:rFonts w:hint="eastAsia" w:ascii="仿宋" w:hAnsi="仿宋" w:eastAsia="仿宋" w:cs="仿宋"/>
          <w:color w:val="auto"/>
          <w:szCs w:val="22"/>
          <w:highlight w:val="none"/>
        </w:rPr>
        <w:t>老师（开标事宜）</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rPr>
        <w:t>电话：（023）</w:t>
      </w:r>
      <w:r>
        <w:rPr>
          <w:rFonts w:hint="eastAsia" w:ascii="仿宋" w:hAnsi="仿宋" w:eastAsia="仿宋" w:cs="仿宋"/>
          <w:color w:val="auto"/>
          <w:szCs w:val="22"/>
          <w:highlight w:val="none"/>
          <w:lang w:val="en-US" w:eastAsia="zh-CN"/>
        </w:rPr>
        <w:t>66231389</w:t>
      </w:r>
      <w:r>
        <w:rPr>
          <w:rFonts w:hint="eastAsia" w:ascii="仿宋" w:hAnsi="仿宋" w:eastAsia="仿宋" w:cs="仿宋"/>
          <w:color w:val="auto"/>
          <w:szCs w:val="22"/>
          <w:highlight w:val="none"/>
        </w:rPr>
        <w:t xml:space="preserve">               （023）</w:t>
      </w:r>
      <w:r>
        <w:rPr>
          <w:rFonts w:hint="eastAsia" w:ascii="仿宋" w:hAnsi="仿宋" w:eastAsia="仿宋" w:cs="仿宋"/>
          <w:color w:val="auto"/>
          <w:szCs w:val="22"/>
          <w:highlight w:val="none"/>
          <w:lang w:val="en-US" w:eastAsia="zh-CN"/>
        </w:rPr>
        <w:t>66239860</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地址：重庆市巴南区龙洲湾街道公园北路12号（重庆市巴南区行政服务和公共资源交易中心三楼）</w:t>
      </w:r>
    </w:p>
    <w:p>
      <w:pPr>
        <w:numPr>
          <w:ilvl w:val="0"/>
          <w:numId w:val="2"/>
        </w:numPr>
        <w:ind w:firstLine="424"/>
        <w:rPr>
          <w:rFonts w:hint="eastAsia" w:ascii="仿宋" w:hAnsi="仿宋" w:eastAsia="仿宋" w:cs="仿宋"/>
          <w:color w:val="auto"/>
          <w:szCs w:val="22"/>
          <w:highlight w:val="none"/>
          <w:lang w:val="en-US" w:eastAsia="zh-CN"/>
        </w:rPr>
      </w:pPr>
      <w:bookmarkStart w:id="305" w:name="_Toc20489876"/>
      <w:bookmarkStart w:id="306" w:name="_Toc421783196"/>
      <w:bookmarkStart w:id="307" w:name="_Toc20488320"/>
      <w:r>
        <w:rPr>
          <w:rFonts w:hint="eastAsia" w:ascii="仿宋" w:hAnsi="仿宋" w:eastAsia="仿宋" w:cs="仿宋"/>
          <w:color w:val="auto"/>
          <w:szCs w:val="22"/>
          <w:highlight w:val="none"/>
        </w:rPr>
        <w:t>采购人：重庆市巴南区现代教育技术中心</w:t>
      </w:r>
    </w:p>
    <w:p>
      <w:pPr>
        <w:numPr>
          <w:ilvl w:val="0"/>
          <w:numId w:val="0"/>
        </w:numPr>
        <w:ind w:firstLine="424" w:firstLineChars="2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rPr>
        <w:t>联系人：邱</w:t>
      </w:r>
      <w:r>
        <w:rPr>
          <w:rFonts w:hint="eastAsia" w:ascii="仿宋" w:hAnsi="仿宋" w:eastAsia="仿宋" w:cs="仿宋"/>
          <w:color w:val="auto"/>
          <w:szCs w:val="22"/>
          <w:highlight w:val="none"/>
          <w:lang w:val="en-US" w:eastAsia="zh-CN"/>
        </w:rPr>
        <w:t>老师</w:t>
      </w:r>
    </w:p>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电话：13696452675</w:t>
      </w:r>
    </w:p>
    <w:p>
      <w:pPr>
        <w:numPr>
          <w:ilvl w:val="0"/>
          <w:numId w:val="2"/>
        </w:num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rPr>
        <w:t>地址：重庆市巴南区现代教育技术中心</w:t>
      </w:r>
    </w:p>
    <w:p>
      <w:pPr>
        <w:ind w:firstLine="424"/>
        <w:rPr>
          <w:rFonts w:ascii="仿宋" w:hAnsi="仿宋" w:eastAsia="仿宋" w:cs="仿宋"/>
          <w:color w:val="auto"/>
          <w:szCs w:val="22"/>
          <w:highlight w:val="none"/>
        </w:rPr>
      </w:pPr>
      <w:bookmarkStart w:id="881" w:name="_GoBack"/>
      <w:bookmarkEnd w:id="881"/>
      <w:r>
        <w:rPr>
          <w:rFonts w:hint="eastAsia" w:ascii="仿宋" w:hAnsi="仿宋" w:eastAsia="仿宋" w:cs="仿宋"/>
          <w:color w:val="auto"/>
          <w:szCs w:val="22"/>
          <w:highlight w:val="none"/>
        </w:rPr>
        <w:t>（三）电子招投标系统技术指导：重庆港澳大家软件产业有限公司</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联系人：</w:t>
      </w:r>
      <w:r>
        <w:rPr>
          <w:rFonts w:hint="eastAsia" w:ascii="仿宋" w:hAnsi="仿宋" w:eastAsia="仿宋" w:cs="仿宋"/>
          <w:color w:val="auto"/>
          <w:szCs w:val="22"/>
          <w:highlight w:val="none"/>
          <w:lang w:val="en-US" w:eastAsia="zh-CN"/>
        </w:rPr>
        <w:t>吴</w:t>
      </w:r>
      <w:r>
        <w:rPr>
          <w:rFonts w:hint="eastAsia" w:ascii="仿宋" w:hAnsi="仿宋" w:eastAsia="仿宋" w:cs="仿宋"/>
          <w:color w:val="auto"/>
          <w:szCs w:val="22"/>
          <w:highlight w:val="none"/>
        </w:rPr>
        <w:t>老师</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电话：023-88158029（工作日）  </w:t>
      </w:r>
      <w:r>
        <w:rPr>
          <w:rFonts w:hint="eastAsia" w:ascii="仿宋" w:hAnsi="仿宋" w:eastAsia="仿宋" w:cs="仿宋"/>
          <w:color w:val="auto"/>
          <w:szCs w:val="22"/>
          <w:highlight w:val="none"/>
          <w:lang w:val="en-US" w:eastAsia="zh-CN"/>
        </w:rPr>
        <w:t>13452691314</w:t>
      </w:r>
      <w:r>
        <w:rPr>
          <w:rFonts w:hint="eastAsia" w:ascii="仿宋" w:hAnsi="仿宋" w:eastAsia="仿宋" w:cs="仿宋"/>
          <w:color w:val="auto"/>
          <w:szCs w:val="22"/>
          <w:highlight w:val="none"/>
        </w:rPr>
        <w:t>（节假日）</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（四）CA数字证书办理服务平台：</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1.CA数字证书：网证通</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联系人：刘娟</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电话：023-63010240  18996084960</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（五）CA数字证书：东方中讯数字证书认证有限公司</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联系人：何晓伦</w:t>
      </w: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t>电话：023-88257082  023-63153662 （工作日）   13983787460（节假日）</w:t>
      </w:r>
    </w:p>
    <w:p>
      <w:pPr>
        <w:ind w:firstLine="424"/>
        <w:rPr>
          <w:rFonts w:ascii="仿宋" w:hAnsi="仿宋" w:eastAsia="仿宋" w:cs="仿宋"/>
          <w:color w:val="auto"/>
          <w:szCs w:val="22"/>
          <w:highlight w:val="none"/>
        </w:rPr>
      </w:pPr>
    </w:p>
    <w:p>
      <w:pPr>
        <w:ind w:firstLine="424"/>
        <w:rPr>
          <w:rFonts w:ascii="仿宋" w:hAnsi="仿宋" w:eastAsia="仿宋" w:cs="仿宋"/>
          <w:color w:val="auto"/>
          <w:szCs w:val="22"/>
          <w:highlight w:val="none"/>
        </w:rPr>
      </w:pPr>
      <w:r>
        <w:rPr>
          <w:rFonts w:hint="eastAsia" w:ascii="仿宋" w:hAnsi="仿宋" w:eastAsia="仿宋" w:cs="仿宋"/>
          <w:color w:val="auto"/>
          <w:szCs w:val="22"/>
          <w:highlight w:val="none"/>
        </w:rPr>
        <w:br w:type="page"/>
      </w:r>
    </w:p>
    <w:p>
      <w:pPr>
        <w:numPr>
          <w:ilvl w:val="0"/>
          <w:numId w:val="1"/>
        </w:numPr>
        <w:spacing w:beforeLines="50" w:afterLines="50" w:line="800" w:lineRule="exact"/>
        <w:ind w:left="1531" w:hanging="1531" w:firstLineChars="0"/>
        <w:jc w:val="center"/>
        <w:outlineLvl w:val="0"/>
        <w:rPr>
          <w:rStyle w:val="39"/>
          <w:rFonts w:hint="eastAsia" w:ascii="方正小标宋简体" w:eastAsia="方正小标宋简体"/>
          <w:color w:val="auto"/>
          <w:szCs w:val="22"/>
          <w:highlight w:val="none"/>
        </w:rPr>
      </w:pPr>
      <w:bookmarkStart w:id="308" w:name="_Toc3295"/>
      <w:r>
        <w:rPr>
          <w:rStyle w:val="39"/>
          <w:rFonts w:hint="eastAsia" w:ascii="方正小标宋简体" w:eastAsia="方正小标宋简体"/>
          <w:color w:val="auto"/>
          <w:szCs w:val="22"/>
          <w:highlight w:val="none"/>
        </w:rPr>
        <w:t>项目服务需求</w:t>
      </w:r>
      <w:bookmarkEnd w:id="308"/>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“※”标注的服务需求为符合性审查中的实质性要求，电子投标文件若不满足按无效投标处理</w:t>
      </w:r>
      <w:bookmarkStart w:id="309" w:name="_Toc14490"/>
      <w:bookmarkStart w:id="310" w:name="_Toc16628"/>
      <w:bookmarkStart w:id="311" w:name="_Toc25042"/>
      <w:bookmarkStart w:id="312" w:name="_Toc63600413"/>
      <w:bookmarkStart w:id="313" w:name="_Toc22564"/>
      <w:bookmarkStart w:id="314" w:name="_Toc25622"/>
      <w:bookmarkStart w:id="315" w:name="_Toc29395"/>
      <w:bookmarkStart w:id="316" w:name="_Toc8834"/>
      <w:bookmarkStart w:id="317" w:name="_Toc17404"/>
      <w:bookmarkStart w:id="318" w:name="_Toc24001"/>
      <w:bookmarkStart w:id="319" w:name="_Toc8003"/>
      <w:bookmarkStart w:id="320" w:name="_Toc23514"/>
      <w:bookmarkStart w:id="321" w:name="_Toc5392"/>
      <w:bookmarkStart w:id="322" w:name="_Toc28221"/>
      <w:bookmarkStart w:id="323" w:name="_Toc12592"/>
    </w:p>
    <w:bookmarkEnd w:id="309"/>
    <w:p>
      <w:pPr>
        <w:widowControl/>
        <w:spacing w:line="360" w:lineRule="auto"/>
        <w:ind w:firstLine="424" w:firstLineChars="200"/>
        <w:outlineLvl w:val="1"/>
        <w:rPr>
          <w:rFonts w:hint="eastAsia" w:ascii="宋体" w:hAnsi="宋体" w:eastAsia="宋体" w:cs="宋体"/>
          <w:b/>
          <w:color w:val="000000" w:themeColor="text1"/>
          <w:kern w:val="0"/>
          <w:szCs w:val="28"/>
          <w:highlight w:val="none"/>
          <w:lang w:val="en-US" w:eastAsia="zh-CN"/>
          <w14:textFill>
            <w14:solidFill>
              <w14:schemeClr w14:val="tx1"/>
            </w14:solidFill>
          </w14:textFill>
        </w:rPr>
      </w:pPr>
      <w:bookmarkStart w:id="324" w:name="_Toc1591"/>
      <w:r>
        <w:rPr>
          <w:rFonts w:hint="eastAsia" w:ascii="宋体" w:hAnsi="宋体" w:eastAsia="宋体" w:cs="宋体"/>
          <w:b/>
          <w:color w:val="000000" w:themeColor="text1"/>
          <w:kern w:val="0"/>
          <w:szCs w:val="28"/>
          <w:highlight w:val="none"/>
          <w:lang w:val="en-US" w:eastAsia="zh-CN"/>
          <w14:textFill>
            <w14:solidFill>
              <w14:schemeClr w14:val="tx1"/>
            </w14:solidFill>
          </w14:textFill>
        </w:rPr>
        <w:t>一、项目一览表</w:t>
      </w:r>
      <w:bookmarkEnd w:id="324"/>
    </w:p>
    <w:tbl>
      <w:tblPr>
        <w:tblStyle w:val="32"/>
        <w:tblW w:w="795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106"/>
        <w:gridCol w:w="1095"/>
        <w:gridCol w:w="1031"/>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09" w:type="dxa"/>
            <w:vAlign w:val="center"/>
          </w:tcPr>
          <w:p>
            <w:pPr>
              <w:ind w:firstLine="0" w:firstLineChars="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序号</w:t>
            </w:r>
          </w:p>
        </w:tc>
        <w:tc>
          <w:tcPr>
            <w:tcW w:w="4106" w:type="dxa"/>
            <w:vAlign w:val="center"/>
          </w:tcPr>
          <w:p>
            <w:pPr>
              <w:ind w:firstLine="0" w:firstLineChars="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服务名称</w:t>
            </w:r>
          </w:p>
        </w:tc>
        <w:tc>
          <w:tcPr>
            <w:tcW w:w="1095" w:type="dxa"/>
            <w:vAlign w:val="center"/>
          </w:tcPr>
          <w:p>
            <w:pPr>
              <w:ind w:firstLine="0" w:firstLineChars="0"/>
              <w:jc w:val="center"/>
              <w:rPr>
                <w:rFonts w:hint="eastAsia" w:cs="Times New Roman"/>
                <w:b/>
                <w:bCs/>
                <w:color w:val="000000" w:themeColor="text1"/>
                <w:highlight w:val="none"/>
                <w14:textFill>
                  <w14:solidFill>
                    <w14:schemeClr w14:val="tx1"/>
                  </w14:solidFill>
                </w14:textFill>
              </w:rPr>
            </w:pPr>
            <w:r>
              <w:rPr>
                <w:rFonts w:hint="eastAsia" w:cs="Times New Roman"/>
                <w:b/>
                <w:bCs/>
                <w:color w:val="000000" w:themeColor="text1"/>
                <w:highlight w:val="none"/>
                <w14:textFill>
                  <w14:solidFill>
                    <w14:schemeClr w14:val="tx1"/>
                  </w14:solidFill>
                </w14:textFill>
              </w:rPr>
              <w:t>单位</w:t>
            </w:r>
          </w:p>
        </w:tc>
        <w:tc>
          <w:tcPr>
            <w:tcW w:w="1031" w:type="dxa"/>
            <w:vAlign w:val="center"/>
          </w:tcPr>
          <w:p>
            <w:pPr>
              <w:ind w:firstLine="0" w:firstLineChars="0"/>
              <w:jc w:val="center"/>
              <w:rPr>
                <w:rFonts w:hint="eastAsia" w:cs="Times New Roman"/>
                <w:b/>
                <w:bCs/>
                <w:color w:val="000000" w:themeColor="text1"/>
                <w:highlight w:val="none"/>
                <w14:textFill>
                  <w14:solidFill>
                    <w14:schemeClr w14:val="tx1"/>
                  </w14:solidFill>
                </w14:textFill>
              </w:rPr>
            </w:pPr>
            <w:r>
              <w:rPr>
                <w:rFonts w:hint="eastAsia" w:cs="Times New Roman"/>
                <w:b/>
                <w:bCs/>
                <w:color w:val="000000" w:themeColor="text1"/>
                <w:highlight w:val="none"/>
                <w14:textFill>
                  <w14:solidFill>
                    <w14:schemeClr w14:val="tx1"/>
                  </w14:solidFill>
                </w14:textFill>
              </w:rPr>
              <w:t>数量</w:t>
            </w:r>
          </w:p>
        </w:tc>
        <w:tc>
          <w:tcPr>
            <w:tcW w:w="1009" w:type="dxa"/>
            <w:vAlign w:val="center"/>
          </w:tcPr>
          <w:p>
            <w:pPr>
              <w:ind w:firstLine="0" w:firstLineChars="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4" w:hRule="atLeast"/>
          <w:jc w:val="center"/>
        </w:trPr>
        <w:tc>
          <w:tcPr>
            <w:tcW w:w="709" w:type="dxa"/>
            <w:vAlign w:val="center"/>
          </w:tcPr>
          <w:p>
            <w:pPr>
              <w:ind w:firstLine="0" w:firstLineChars="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4106" w:type="dxa"/>
            <w:vAlign w:val="center"/>
          </w:tcPr>
          <w:p>
            <w:pPr>
              <w:ind w:left="0" w:leftChars="0" w:firstLine="0" w:firstLineChars="0"/>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lang w:val="en-US" w:eastAsia="zh-CN"/>
              </w:rPr>
              <w:t>重庆市巴南区教育城域网项目</w:t>
            </w:r>
          </w:p>
        </w:tc>
        <w:tc>
          <w:tcPr>
            <w:tcW w:w="1095" w:type="dxa"/>
            <w:vAlign w:val="center"/>
          </w:tcPr>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套</w:t>
            </w:r>
          </w:p>
        </w:tc>
        <w:tc>
          <w:tcPr>
            <w:tcW w:w="1031" w:type="dxa"/>
            <w:vAlign w:val="center"/>
          </w:tcPr>
          <w:p>
            <w:pPr>
              <w:ind w:firstLine="424"/>
              <w:rPr>
                <w:rFonts w:hint="eastAsia" w:ascii="仿宋" w:hAnsi="仿宋" w:eastAsia="仿宋" w:cs="仿宋"/>
                <w:color w:val="auto"/>
                <w:szCs w:val="22"/>
                <w:highlight w:val="none"/>
              </w:rPr>
            </w:pPr>
            <w:r>
              <w:rPr>
                <w:rFonts w:hint="eastAsia" w:ascii="仿宋" w:hAnsi="仿宋" w:eastAsia="仿宋" w:cs="仿宋"/>
                <w:color w:val="auto"/>
                <w:szCs w:val="22"/>
                <w:highlight w:val="none"/>
              </w:rPr>
              <w:t>1</w:t>
            </w:r>
          </w:p>
        </w:tc>
        <w:tc>
          <w:tcPr>
            <w:tcW w:w="1009" w:type="dxa"/>
            <w:vAlign w:val="center"/>
          </w:tcPr>
          <w:p>
            <w:pPr>
              <w:ind w:firstLine="424"/>
              <w:rPr>
                <w:rFonts w:hint="eastAsia" w:ascii="仿宋" w:hAnsi="仿宋" w:eastAsia="仿宋" w:cs="仿宋"/>
                <w:color w:val="auto"/>
                <w:szCs w:val="22"/>
                <w:highlight w:val="none"/>
              </w:rPr>
            </w:pPr>
          </w:p>
        </w:tc>
      </w:tr>
    </w:tbl>
    <w:p>
      <w:pPr>
        <w:widowControl/>
        <w:spacing w:line="360" w:lineRule="auto"/>
        <w:ind w:firstLine="424" w:firstLineChars="200"/>
        <w:outlineLvl w:val="1"/>
        <w:rPr>
          <w:rFonts w:hint="eastAsia" w:ascii="宋体" w:hAnsi="宋体" w:eastAsia="宋体" w:cs="宋体"/>
          <w:b/>
          <w:color w:val="000000" w:themeColor="text1"/>
          <w:kern w:val="0"/>
          <w:szCs w:val="28"/>
          <w:highlight w:val="none"/>
          <w:lang w:val="en-US" w:eastAsia="zh-CN"/>
          <w14:textFill>
            <w14:solidFill>
              <w14:schemeClr w14:val="tx1"/>
            </w14:solidFill>
          </w14:textFill>
        </w:rPr>
      </w:pPr>
      <w:bookmarkStart w:id="325" w:name="_Toc86653014"/>
      <w:bookmarkStart w:id="326" w:name="_Toc28597"/>
      <w:r>
        <w:rPr>
          <w:rFonts w:hint="eastAsia" w:ascii="宋体" w:hAnsi="宋体" w:eastAsia="宋体" w:cs="宋体"/>
          <w:b/>
          <w:color w:val="000000" w:themeColor="text1"/>
          <w:kern w:val="0"/>
          <w:szCs w:val="28"/>
          <w:highlight w:val="none"/>
          <w:lang w:val="en-US" w:eastAsia="zh-CN"/>
          <w14:textFill>
            <w14:solidFill>
              <w14:schemeClr w14:val="tx1"/>
            </w14:solidFill>
          </w14:textFill>
        </w:rPr>
        <w:t>二、项目服务需求</w:t>
      </w:r>
      <w:bookmarkEnd w:id="325"/>
      <w:bookmarkEnd w:id="326"/>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巴南区教育城域网项目包含巴南区教育城域专网、互联网带宽、网络安全设备、IDC服务器托管等配套网络设备租赁及系统运维服务。</w:t>
      </w:r>
    </w:p>
    <w:p>
      <w:pPr>
        <w:widowControl/>
        <w:spacing w:line="360" w:lineRule="auto"/>
        <w:ind w:firstLine="424" w:firstLineChars="200"/>
        <w:outlineLvl w:val="1"/>
        <w:rPr>
          <w:rFonts w:ascii="宋体" w:hAnsi="宋体" w:cs="宋体"/>
          <w:b/>
          <w:color w:val="000000" w:themeColor="text1"/>
          <w:kern w:val="0"/>
          <w:szCs w:val="28"/>
          <w:highlight w:val="none"/>
          <w14:textFill>
            <w14:solidFill>
              <w14:schemeClr w14:val="tx1"/>
            </w14:solidFill>
          </w14:textFill>
        </w:rPr>
      </w:pPr>
      <w:bookmarkStart w:id="327" w:name="_Toc13726"/>
      <w:r>
        <w:rPr>
          <w:rFonts w:hint="eastAsia" w:ascii="仿宋" w:hAnsi="仿宋" w:eastAsia="仿宋" w:cs="仿宋"/>
          <w:color w:val="auto"/>
          <w:szCs w:val="22"/>
          <w:highlight w:val="none"/>
          <w:lang w:val="en-US" w:eastAsia="zh-CN"/>
        </w:rPr>
        <w:t>※</w:t>
      </w:r>
      <w:r>
        <w:rPr>
          <w:rFonts w:hint="eastAsia" w:ascii="宋体" w:hAnsi="宋体" w:eastAsia="宋体" w:cs="宋体"/>
          <w:b/>
          <w:color w:val="000000" w:themeColor="text1"/>
          <w:kern w:val="0"/>
          <w:szCs w:val="28"/>
          <w:highlight w:val="none"/>
          <w:lang w:val="en-US" w:eastAsia="zh-CN"/>
          <w14:textFill>
            <w14:solidFill>
              <w14:schemeClr w14:val="tx1"/>
            </w14:solidFill>
          </w14:textFill>
        </w:rPr>
        <w:t>三</w:t>
      </w:r>
      <w:r>
        <w:rPr>
          <w:rFonts w:hint="eastAsia" w:ascii="宋体" w:hAnsi="宋体" w:cs="宋体"/>
          <w:b/>
          <w:color w:val="000000" w:themeColor="text1"/>
          <w:kern w:val="0"/>
          <w:szCs w:val="28"/>
          <w:highlight w:val="none"/>
          <w14:textFill>
            <w14:solidFill>
              <w14:schemeClr w14:val="tx1"/>
            </w14:solidFill>
          </w14:textFill>
        </w:rPr>
        <w:t>、服务标准</w:t>
      </w:r>
      <w:bookmarkEnd w:id="327"/>
    </w:p>
    <w:p>
      <w:pPr>
        <w:ind w:firstLine="424"/>
        <w:rPr>
          <w:rFonts w:hint="eastAsia" w:ascii="仿宋" w:hAnsi="仿宋" w:eastAsia="仿宋" w:cs="仿宋"/>
          <w:color w:val="auto"/>
          <w:szCs w:val="22"/>
          <w:highlight w:val="none"/>
          <w:lang w:val="en-US" w:eastAsia="zh-CN"/>
        </w:rPr>
      </w:pPr>
      <w:bookmarkStart w:id="328" w:name="_Toc25337"/>
      <w:r>
        <w:rPr>
          <w:rFonts w:hint="eastAsia" w:ascii="仿宋" w:hAnsi="仿宋" w:eastAsia="仿宋" w:cs="仿宋"/>
          <w:color w:val="auto"/>
          <w:szCs w:val="22"/>
          <w:highlight w:val="none"/>
          <w:lang w:val="en-US" w:eastAsia="zh-CN"/>
        </w:rPr>
        <w:t>（一）基本情况</w:t>
      </w:r>
      <w:bookmarkEnd w:id="328"/>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根据“数字重庆”建设总体部署及工作要求，为纵深推进巴南区教育数字化工作，积极以教育数字化赋能教育现代化，按照教育部《教育信息化2.0行动计划》和《重庆市教育事业发展十四五规划》的要求，根据《重庆市区县教育城域网升级改造参考技术标准》《2024年全市教育系统网信工作要点》等要求，本项目按够用实用、着眼长远为原则，以“深化应用、融合创新、分类部署、提升服务”为宗旨，着力于解决巴南教育系统未来一段时间网络资源需求，为全区教育数字化应用提供网络环境，以数字化开辟教育发展新赛道。</w:t>
      </w:r>
    </w:p>
    <w:p>
      <w:pPr>
        <w:ind w:firstLine="424"/>
        <w:rPr>
          <w:rFonts w:hint="eastAsia" w:ascii="仿宋" w:hAnsi="仿宋" w:eastAsia="仿宋" w:cs="仿宋"/>
          <w:color w:val="auto"/>
          <w:szCs w:val="22"/>
          <w:highlight w:val="none"/>
          <w:lang w:val="en-US" w:eastAsia="zh-CN"/>
        </w:rPr>
      </w:pPr>
      <w:bookmarkStart w:id="329" w:name="_Toc22018"/>
      <w:r>
        <w:rPr>
          <w:rFonts w:hint="eastAsia" w:ascii="仿宋" w:hAnsi="仿宋" w:eastAsia="仿宋" w:cs="仿宋"/>
          <w:color w:val="auto"/>
          <w:szCs w:val="22"/>
          <w:highlight w:val="none"/>
          <w:lang w:val="en-US" w:eastAsia="zh-CN"/>
        </w:rPr>
        <w:t>（二）建设目标</w:t>
      </w:r>
      <w:bookmarkEnd w:id="329"/>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巴南区教育城域网建设的目标是：建成覆盖全区各中小学及相关单位的高带宽、安全稳定、大服务且有特色的巴南区教育城域网络及支撑教育信息化运维体系。中标服务商须实现以下主要建设目标：</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结合我区教育城域网情况，将运营商IDC机房作为我区教育城域网主网络互联网出口中心，将区现代教育技术中心机房作为教育城域网备份中心（网络拓扑图详见附件2）。</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1、全区教育系统各学校（单位）及共建共享资源的相关单位接入教育城域网，实现网络互联互通，数字资源共建共享。所有设备全面支持IPV6，并配合完成向IPV6的过渡。</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本次巴南区教育城域网网络建设成城域网主中心与城域网备份中心。城域网主中心建设在运营商高等级IDC机房内，作为我区教育城域网的互联网主要出口，中心内部署城域网核心交换机、综合安全网关；城域网备份中心建设在区现代教育技术中心机房内，中心内部署核心交换机、堡垒机运维审计、</w:t>
      </w:r>
      <w:bookmarkStart w:id="330" w:name="OLE_LINK3"/>
      <w:r>
        <w:rPr>
          <w:rFonts w:hint="eastAsia" w:ascii="仿宋" w:hAnsi="仿宋" w:eastAsia="仿宋" w:cs="仿宋"/>
          <w:color w:val="auto"/>
          <w:szCs w:val="22"/>
          <w:highlight w:val="none"/>
          <w:lang w:val="en-US" w:eastAsia="zh-CN"/>
        </w:rPr>
        <w:t>日志审计、数据库审计和服务</w:t>
      </w:r>
      <w:bookmarkEnd w:id="330"/>
      <w:r>
        <w:rPr>
          <w:rFonts w:hint="eastAsia" w:ascii="仿宋" w:hAnsi="仿宋" w:eastAsia="仿宋" w:cs="仿宋"/>
          <w:color w:val="auto"/>
          <w:szCs w:val="22"/>
          <w:highlight w:val="none"/>
          <w:lang w:val="en-US" w:eastAsia="zh-CN"/>
        </w:rPr>
        <w:t>器。城域网主中心和备份中心各部署一台城域网核心交换机做双机热备份，高标准保障城域网安全稳定运行。</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w:t>
      </w:r>
      <w:bookmarkStart w:id="331" w:name="OLE_LINK5"/>
      <w:bookmarkStart w:id="332" w:name="OLE_LINK15"/>
      <w:r>
        <w:rPr>
          <w:rFonts w:hint="eastAsia" w:ascii="仿宋" w:hAnsi="仿宋" w:eastAsia="仿宋" w:cs="仿宋"/>
          <w:color w:val="auto"/>
          <w:szCs w:val="22"/>
          <w:highlight w:val="none"/>
          <w:lang w:val="en-US" w:eastAsia="zh-CN"/>
        </w:rPr>
        <w:t>提供有效的网络信息安全技术保障机制。互联网必须采用先进的近源清洗技术抵御分布式拒绝服务DDoS网络攻击。在教育城域网内部署堡垒机运维审计、日志审计、数据库审计、安全态势感知系统、安全终端准入系统保障我区教育城域网网络、数据和信息安全，从而构建4-7层的防护网络，能全程保护信息安全（事前预知、事中防御、事后检测响应），同时与态势感知协同联动，建立闭环处置机制。能透彻了解当前、历史带宽资源使用情况，并据此数据制定带宽管理策略，验证策略有效性。通过行为及日志分析，能清晰掌握城域网内部的网络行为和行为分布情况，借助综合安全网关管理功能，提供专业的入侵防御、病毒防护、上网行为管理、威胁情报及挖矿情报、Web应用防护等功能</w:t>
      </w:r>
      <w:bookmarkStart w:id="333" w:name="OLE_LINK19"/>
      <w:r>
        <w:rPr>
          <w:rFonts w:hint="eastAsia" w:ascii="仿宋" w:hAnsi="仿宋" w:eastAsia="仿宋" w:cs="仿宋"/>
          <w:color w:val="auto"/>
          <w:szCs w:val="22"/>
          <w:highlight w:val="none"/>
          <w:lang w:val="en-US" w:eastAsia="zh-CN"/>
        </w:rPr>
        <w:t>，</w:t>
      </w:r>
      <w:bookmarkEnd w:id="333"/>
      <w:bookmarkStart w:id="334" w:name="OLE_LINK22"/>
      <w:r>
        <w:rPr>
          <w:rFonts w:hint="eastAsia" w:ascii="仿宋" w:hAnsi="仿宋" w:eastAsia="仿宋" w:cs="仿宋"/>
          <w:color w:val="auto"/>
          <w:szCs w:val="22"/>
          <w:highlight w:val="none"/>
          <w:lang w:val="en-US" w:eastAsia="zh-CN"/>
        </w:rPr>
        <w:t>实现入侵防御和防病毒的安全防护，挖矿、勒索等病毒</w:t>
      </w:r>
      <w:bookmarkStart w:id="335" w:name="OLE_LINK20"/>
      <w:r>
        <w:rPr>
          <w:rFonts w:hint="eastAsia" w:ascii="仿宋" w:hAnsi="仿宋" w:eastAsia="仿宋" w:cs="仿宋"/>
          <w:color w:val="auto"/>
          <w:szCs w:val="22"/>
          <w:highlight w:val="none"/>
          <w:lang w:val="en-US" w:eastAsia="zh-CN"/>
        </w:rPr>
        <w:t>提供</w:t>
      </w:r>
      <w:bookmarkEnd w:id="335"/>
      <w:r>
        <w:rPr>
          <w:rFonts w:hint="eastAsia" w:ascii="仿宋" w:hAnsi="仿宋" w:eastAsia="仿宋" w:cs="仿宋"/>
          <w:color w:val="auto"/>
          <w:szCs w:val="22"/>
          <w:highlight w:val="none"/>
          <w:lang w:val="en-US" w:eastAsia="zh-CN"/>
        </w:rPr>
        <w:t>预警能力的威胁情报管控，实现基于IP地址、网络应用、时间段等网络行为控制。实现基于关键字过滤、文件传输、发送和接收邮件等行为的审计，</w:t>
      </w:r>
      <w:bookmarkStart w:id="336" w:name="OLE_LINK21"/>
      <w:r>
        <w:rPr>
          <w:rFonts w:hint="eastAsia" w:ascii="仿宋" w:hAnsi="仿宋" w:eastAsia="仿宋" w:cs="仿宋"/>
          <w:color w:val="auto"/>
          <w:szCs w:val="22"/>
          <w:highlight w:val="none"/>
          <w:lang w:val="en-US" w:eastAsia="zh-CN"/>
        </w:rPr>
        <w:t>对</w:t>
      </w:r>
      <w:bookmarkEnd w:id="336"/>
      <w:r>
        <w:rPr>
          <w:rFonts w:hint="eastAsia" w:ascii="仿宋" w:hAnsi="仿宋" w:eastAsia="仿宋" w:cs="仿宋"/>
          <w:color w:val="auto"/>
          <w:szCs w:val="22"/>
          <w:highlight w:val="none"/>
          <w:lang w:val="en-US" w:eastAsia="zh-CN"/>
        </w:rPr>
        <w:t>网络中的异常流量、用户异常行为及时发起告警，并保留相关日志，监控发现潜在的违规用户，实现“事前预防、事发拦截、事后追查”，针对服务器Web应用对事前扫描、事中攻击及事后的网页篡改及信息窃取都能提供相应的防护策略，全面保障Web应用的安全。</w:t>
      </w:r>
      <w:bookmarkEnd w:id="331"/>
    </w:p>
    <w:bookmarkEnd w:id="332"/>
    <w:bookmarkEnd w:id="334"/>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w:t>
      </w:r>
      <w:bookmarkStart w:id="337" w:name="OLE_LINK6"/>
      <w:r>
        <w:rPr>
          <w:rFonts w:hint="eastAsia" w:ascii="仿宋" w:hAnsi="仿宋" w:eastAsia="仿宋" w:cs="仿宋"/>
          <w:color w:val="auto"/>
          <w:szCs w:val="22"/>
          <w:highlight w:val="none"/>
          <w:lang w:val="en-US" w:eastAsia="zh-CN"/>
        </w:rPr>
        <w:t>通过安全态势感知系统的全流量分析、沙箱技术和威胁情报技术，有效的对整个教育城域网的威胁流量进行监测，包括勒索病毒、挖矿木马、远控木马、网络扫描、高级威胁、未知威胁等。能够第一时间发现对教育城域网、业务系统、服务器和办公终端可能造成威胁的网络流量，并通过告警和终端杀毒系统安全联动等方式，自动化的对威胁予以处置，包括终端恶意进程关闭、终端威胁流量阻断等。安全终端准入系统提供电脑终端上网安全认证，并对用户终端环境进行安全检测（检测是否安装防病毒软件、是否存在高危风险漏洞等），允许安全可信终端接入互联网络。</w:t>
      </w:r>
    </w:p>
    <w:bookmarkEnd w:id="337"/>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w:t>
      </w:r>
      <w:bookmarkStart w:id="338" w:name="OLE_LINK7"/>
      <w:r>
        <w:rPr>
          <w:rFonts w:hint="eastAsia" w:ascii="仿宋" w:hAnsi="仿宋" w:eastAsia="仿宋" w:cs="仿宋"/>
          <w:color w:val="auto"/>
          <w:szCs w:val="22"/>
          <w:highlight w:val="none"/>
          <w:lang w:val="en-US" w:eastAsia="zh-CN"/>
        </w:rPr>
        <w:t>支持配合区教委推进“数字重庆”建设工作，落实上级工作要求，</w:t>
      </w:r>
      <w:bookmarkEnd w:id="338"/>
      <w:r>
        <w:rPr>
          <w:rFonts w:hint="eastAsia" w:ascii="仿宋" w:hAnsi="仿宋" w:eastAsia="仿宋" w:cs="仿宋"/>
          <w:color w:val="auto"/>
          <w:szCs w:val="22"/>
          <w:highlight w:val="none"/>
          <w:lang w:val="en-US" w:eastAsia="zh-CN"/>
        </w:rPr>
        <w:t>提升全区教育系统教育数字化水平。本项目服务期内，根据上级网络安全管理、运维服务等要求的变化，服务商要实时动态调整巴南区教育城域网软硬件设备、运维服务、出口带宽等服务项目，以满足工作要求，切实有效支撑全区教育数字化工作。</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确保教育城域网各学校（单位）光纤链路管理平台正常运行，实现各学校（单位）能使用巴南教育城域网访问市区级优质教育资源，满足互联网应用需求。做好政务云信息系统的日常安全监管、管理运维服务。</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7、提供2套5G网络接入设备，在不改变校园网络IP地址的情况下实现网络互通，用于学校连接城域网应急出口保障，确保重大活动互联网应用需求。探索基于5G的城域网内网络资源访问、平台应用等应用场景。</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8、支持区教委开展数字化专家团队培训、研讨等活动，提升团队专业技能；探索教育数字化转型新路径，积极推动和支持在大数据、人工智能大模型等新一代技术在教育场景中的创新应用。</w:t>
      </w:r>
    </w:p>
    <w:p>
      <w:pPr>
        <w:pStyle w:val="12"/>
        <w:spacing w:line="360" w:lineRule="auto"/>
        <w:ind w:left="-89" w:leftChars="-42" w:firstLine="424" w:firstLineChars="200"/>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（三）技术要求</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1、组网方式</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城域网专线：各学校（单位）到城域网核心交换机之间，全部采用光纤方式连接，带宽支持万兆接入；网络保持现有组网方式，不改变学校（单位）现有IP地址分配规则，区现代教育技术中心可对学校IP地址段实行直接管理。</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（2）教育城域网采用最优组网技术，确保专线上下行对称带宽。城域网两台核心交换机之间使用2条10GE光纤链路做端口捆绑</w:t>
      </w:r>
      <w:bookmarkStart w:id="339" w:name="OLE_LINK8"/>
      <w:r>
        <w:rPr>
          <w:rFonts w:hint="eastAsia" w:ascii="仿宋" w:hAnsi="仿宋" w:eastAsia="仿宋" w:cs="仿宋"/>
          <w:color w:val="auto"/>
          <w:szCs w:val="22"/>
          <w:highlight w:val="none"/>
          <w:lang w:val="en-US" w:eastAsia="zh-CN"/>
        </w:rPr>
        <w:t>，带宽为20GE；两</w:t>
      </w:r>
      <w:bookmarkEnd w:id="339"/>
      <w:r>
        <w:rPr>
          <w:rFonts w:hint="eastAsia" w:ascii="仿宋" w:hAnsi="仿宋" w:eastAsia="仿宋" w:cs="仿宋"/>
          <w:color w:val="auto"/>
          <w:szCs w:val="22"/>
          <w:highlight w:val="none"/>
          <w:lang w:val="en-US" w:eastAsia="zh-CN"/>
        </w:rPr>
        <w:t>台核心交换机到运营商网络之间分别连接2条10GE光纤链路，带宽分别为20GE。大型学校（市实验中学、清华中学、巴南中学、木洞中学、渝南田家炳中学、龙洲湾中学、大江中学、鱼洞中学、鱼洞二小、鱼洞四小、清华小学、龙洲湾小学、界石小学、花溪小学、融汇小学等45个学校（单位），其网络中心核心交换机采用万兆光纤专线接入，专线带宽为万兆专线接入。其余</w:t>
      </w:r>
      <w:bookmarkStart w:id="340" w:name="OLE_LINK27"/>
      <w:r>
        <w:rPr>
          <w:rFonts w:hint="eastAsia" w:ascii="仿宋" w:hAnsi="仿宋" w:eastAsia="仿宋" w:cs="仿宋"/>
          <w:color w:val="auto"/>
          <w:szCs w:val="22"/>
          <w:highlight w:val="none"/>
          <w:lang w:val="en-US" w:eastAsia="zh-CN"/>
        </w:rPr>
        <w:t>100</w:t>
      </w:r>
      <w:bookmarkEnd w:id="340"/>
      <w:r>
        <w:rPr>
          <w:rFonts w:hint="eastAsia" w:ascii="仿宋" w:hAnsi="仿宋" w:eastAsia="仿宋" w:cs="仿宋"/>
          <w:color w:val="auto"/>
          <w:szCs w:val="22"/>
          <w:highlight w:val="none"/>
          <w:lang w:val="en-US" w:eastAsia="zh-CN"/>
        </w:rPr>
        <w:t>个学校（单位）网络中心核心交换机采用千兆光纤专线接入，专线带宽为千兆。详情见（附件1巴南教育城域网接入单位名单）。</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2、租赁标准及要求</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（1）城域网专线带宽要求</w:t>
      </w:r>
      <w:bookmarkStart w:id="341" w:name="OLE_LINK12"/>
      <w:bookmarkStart w:id="342" w:name="OLE_LINK14"/>
      <w:r>
        <w:rPr>
          <w:rFonts w:hint="eastAsia" w:ascii="仿宋" w:hAnsi="仿宋" w:eastAsia="仿宋" w:cs="仿宋"/>
          <w:color w:val="auto"/>
          <w:szCs w:val="22"/>
          <w:highlight w:val="none"/>
          <w:lang w:val="en-US" w:eastAsia="zh-CN"/>
        </w:rPr>
        <w:t>：</w:t>
      </w:r>
      <w:bookmarkStart w:id="343" w:name="OLE_LINK13"/>
      <w:r>
        <w:rPr>
          <w:rFonts w:hint="eastAsia" w:ascii="仿宋" w:hAnsi="仿宋" w:eastAsia="仿宋" w:cs="仿宋"/>
          <w:color w:val="auto"/>
          <w:szCs w:val="22"/>
          <w:highlight w:val="none"/>
          <w:lang w:val="en-US" w:eastAsia="zh-CN"/>
        </w:rPr>
        <w:t>10条万</w:t>
      </w:r>
      <w:bookmarkEnd w:id="343"/>
      <w:r>
        <w:rPr>
          <w:rFonts w:hint="eastAsia" w:ascii="仿宋" w:hAnsi="仿宋" w:eastAsia="仿宋" w:cs="仿宋"/>
          <w:color w:val="auto"/>
          <w:szCs w:val="22"/>
          <w:highlight w:val="none"/>
          <w:lang w:val="en-US" w:eastAsia="zh-CN"/>
        </w:rPr>
        <w:t>兆（10GE）中继链路</w:t>
      </w:r>
      <w:bookmarkEnd w:id="341"/>
      <w:r>
        <w:rPr>
          <w:rFonts w:hint="eastAsia" w:ascii="仿宋" w:hAnsi="仿宋" w:eastAsia="仿宋" w:cs="仿宋"/>
          <w:color w:val="auto"/>
          <w:szCs w:val="22"/>
          <w:highlight w:val="none"/>
          <w:lang w:val="en-US" w:eastAsia="zh-CN"/>
        </w:rPr>
        <w:t>；</w:t>
      </w:r>
      <w:bookmarkStart w:id="344" w:name="OLE_LINK25"/>
      <w:r>
        <w:rPr>
          <w:rFonts w:hint="eastAsia" w:ascii="仿宋" w:hAnsi="仿宋" w:eastAsia="仿宋" w:cs="仿宋"/>
          <w:color w:val="auto"/>
          <w:szCs w:val="22"/>
          <w:highlight w:val="none"/>
          <w:lang w:val="en-US" w:eastAsia="zh-CN"/>
        </w:rPr>
        <w:t>1</w:t>
      </w:r>
      <w:bookmarkEnd w:id="342"/>
      <w:r>
        <w:rPr>
          <w:rFonts w:hint="eastAsia" w:ascii="仿宋" w:hAnsi="仿宋" w:eastAsia="仿宋" w:cs="仿宋"/>
          <w:color w:val="auto"/>
          <w:szCs w:val="22"/>
          <w:highlight w:val="none"/>
          <w:lang w:val="en-US" w:eastAsia="zh-CN"/>
        </w:rPr>
        <w:t>45</w:t>
      </w:r>
      <w:bookmarkEnd w:id="344"/>
      <w:r>
        <w:rPr>
          <w:rFonts w:hint="eastAsia" w:ascii="仿宋" w:hAnsi="仿宋" w:eastAsia="仿宋" w:cs="仿宋"/>
          <w:color w:val="auto"/>
          <w:szCs w:val="22"/>
          <w:highlight w:val="none"/>
          <w:lang w:val="en-US" w:eastAsia="zh-CN"/>
        </w:rPr>
        <w:t>条学校(单位）光纤接入链路租赁，其中</w:t>
      </w:r>
      <w:bookmarkStart w:id="345" w:name="OLE_LINK26"/>
      <w:r>
        <w:rPr>
          <w:rFonts w:hint="eastAsia" w:ascii="仿宋" w:hAnsi="仿宋" w:eastAsia="仿宋" w:cs="仿宋"/>
          <w:color w:val="auto"/>
          <w:szCs w:val="22"/>
          <w:highlight w:val="none"/>
          <w:lang w:val="en-US" w:eastAsia="zh-CN"/>
        </w:rPr>
        <w:t>100</w:t>
      </w:r>
      <w:bookmarkEnd w:id="345"/>
      <w:r>
        <w:rPr>
          <w:rFonts w:hint="eastAsia" w:ascii="仿宋" w:hAnsi="仿宋" w:eastAsia="仿宋" w:cs="仿宋"/>
          <w:color w:val="auto"/>
          <w:szCs w:val="22"/>
          <w:highlight w:val="none"/>
          <w:lang w:val="en-US" w:eastAsia="zh-CN"/>
        </w:rPr>
        <w:t>条千兆（1GE）接入链路，45条万兆（10GE）接入链路，后期根据新增学校（单位）数量确定，并按实际需求接入，建设周期不超过15天。本项目在合同结束时，按实际情况据实结算，确保过渡期间的网络及安全等服务。同时提供上一周期与本项目过渡期间的网络及安全运维等服务，保障平稳过渡到本项目验收合格前。保证所有接入单位独享上下行对称带宽，到城域网网络中心机房之间千兆、万兆裸光纤连接。详见附件1《巴南教育城域网接入单位名单》。</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（2）互联网出口带宽：一条互联网出口带宽5Gbps对称光纤专线。</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（3）在重庆本地3星级以上的IDC机房内，租用2个标准42U机柜。</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（4）租用1台城域网核心交换机，与现有城域网核心交换机（华为S12708）形成主从关系，或提供2台配置不低于现有城域网核心交换机性能和配置的设备进行替代，提供核心交换机质保和运维服务。</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租用学校（单位）接入三层交换机，按学校（单位）规模及规划提供100台24端口可管理千兆三层交换机和45台48口可管理万兆三层交换机。另免费提供2台48口可管理万兆三层交换机用于城域网备份中心服务器集群接入，所有交换机均提供光纤模块。</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（6）租用网络安全产品：综合安全网关、堡垒机运维审计、日志审计、数据库审计、安全终端准入系统各1台，安全态势感知系统（探针和分析系统）1套台。</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3、网络技术要求</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（1）教育城域网管理员能对投标方提供的线路进行监控；投标方所提供的设备必须兼容甲方运维系统，进行图形化分析与管理；投标方要将学校现有网络设备接入教育城域网。</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（2）投标人提供的光纤线路须直接接到数据网的核心骨干节点上，平均丢包率不高于3‰。</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（3）提供不少于50个公网IP</w:t>
      </w:r>
      <w:r>
        <w:rPr>
          <w:rFonts w:hint="default" w:ascii="仿宋" w:hAnsi="仿宋" w:eastAsia="仿宋" w:cs="仿宋"/>
          <w:color w:val="auto"/>
          <w:szCs w:val="22"/>
          <w:highlight w:val="none"/>
          <w:lang w:val="en-US" w:eastAsia="zh-CN"/>
        </w:rPr>
        <w:t>v</w:t>
      </w:r>
      <w:r>
        <w:rPr>
          <w:rFonts w:hint="eastAsia" w:ascii="仿宋" w:hAnsi="仿宋" w:eastAsia="仿宋" w:cs="仿宋"/>
          <w:color w:val="auto"/>
          <w:szCs w:val="22"/>
          <w:highlight w:val="none"/>
          <w:lang w:val="en-US" w:eastAsia="zh-CN"/>
        </w:rPr>
        <w:t>4地址，按需提供公网IP</w:t>
      </w:r>
      <w:r>
        <w:rPr>
          <w:rFonts w:hint="default" w:ascii="仿宋" w:hAnsi="仿宋" w:eastAsia="仿宋" w:cs="仿宋"/>
          <w:color w:val="auto"/>
          <w:szCs w:val="22"/>
          <w:highlight w:val="none"/>
          <w:lang w:val="en-US" w:eastAsia="zh-CN"/>
        </w:rPr>
        <w:t>v6</w:t>
      </w:r>
      <w:r>
        <w:rPr>
          <w:rFonts w:hint="eastAsia" w:ascii="仿宋" w:hAnsi="仿宋" w:eastAsia="仿宋" w:cs="仿宋"/>
          <w:color w:val="auto"/>
          <w:szCs w:val="22"/>
          <w:highlight w:val="none"/>
          <w:lang w:val="en-US" w:eastAsia="zh-CN"/>
        </w:rPr>
        <w:t>地址。</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（4）投标人提供的互联网出口数据链路带宽必须是独占带宽，不得为共享带宽方式。</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（5）到达乙方通信互联网骨干节点的网络延时不超过15ms，在网络繁忙时间不得超过20ms。</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（6）网络可用性达到99.9％，即平均到每条线路每月不可用时间累计不超过45分钟。</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（7）任意网络节点间的最大单程端到端时延要求&lt;10ms（不含传输时延）、丢包率要求&lt;0.1％。</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（8）能提供接口的流量监控，即甲方对出口实际需求的监控记录，并根据甲方要求提供流量分析报表。</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4、服务要求</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（1）提供7×24小时的售后服务</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（2）为快速处理城域网网络障碍，投标人在辖区23个镇/街应设置有维护机构，每个维护机构至少有1名维护人员。投标人须提供维护队伍的人员配置和数据网的维护指标等。</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（3）重保服务：重保服务支持, 在国庆节、两会等网络安全重要时期以及护网、迎检等特殊时期，根据工作要求，重要时期保障期间安排专人提供7×24小时现场值守。根据需要，再提供二线</w:t>
      </w:r>
      <w:bookmarkStart w:id="346" w:name="OLE_LINK11"/>
      <w:r>
        <w:rPr>
          <w:rFonts w:hint="eastAsia" w:ascii="仿宋" w:hAnsi="仿宋" w:eastAsia="仿宋" w:cs="仿宋"/>
          <w:color w:val="auto"/>
          <w:szCs w:val="22"/>
          <w:highlight w:val="none"/>
          <w:lang w:val="en-US" w:eastAsia="zh-CN"/>
        </w:rPr>
        <w:t>7</w:t>
      </w:r>
      <w:bookmarkStart w:id="347" w:name="OLE_LINK10"/>
      <w:r>
        <w:rPr>
          <w:rFonts w:hint="eastAsia" w:ascii="仿宋" w:hAnsi="仿宋" w:eastAsia="仿宋" w:cs="仿宋"/>
          <w:color w:val="auto"/>
          <w:szCs w:val="22"/>
          <w:highlight w:val="none"/>
          <w:lang w:val="en-US" w:eastAsia="zh-CN"/>
        </w:rPr>
        <w:t>×2</w:t>
      </w:r>
      <w:bookmarkEnd w:id="347"/>
      <w:r>
        <w:rPr>
          <w:rFonts w:hint="eastAsia" w:ascii="仿宋" w:hAnsi="仿宋" w:eastAsia="仿宋" w:cs="仿宋"/>
          <w:color w:val="auto"/>
          <w:szCs w:val="22"/>
          <w:highlight w:val="none"/>
          <w:lang w:val="en-US" w:eastAsia="zh-CN"/>
        </w:rPr>
        <w:t>4</w:t>
      </w:r>
      <w:bookmarkEnd w:id="346"/>
      <w:r>
        <w:rPr>
          <w:rFonts w:hint="eastAsia" w:ascii="仿宋" w:hAnsi="仿宋" w:eastAsia="仿宋" w:cs="仿宋"/>
          <w:color w:val="auto"/>
          <w:szCs w:val="22"/>
          <w:highlight w:val="none"/>
          <w:lang w:val="en-US" w:eastAsia="zh-CN"/>
        </w:rPr>
        <w:t>小时支撑服务。对各种网络设备、系统、平台、上网行为进行全面安全检查及实时监控。重保期间不能对网络、系统、平台做升级和割接工作，对全部信息系统、平台做安全日志搜集、分析、攻击防护、策略调整、信息上报等工作。</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（4）系统运维标准</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服务期间提供教育城域网和政务信息系统7×24小时技术服务，服务商每天安排专人按照业主方要求完成运维服务作业计划，每日检查网络设备和各种系统的运行情况，检查完毕后并通过邮件方式向业务方主管人员反馈结果。服务商应主动发现、分析网络、系统是否稳定、安全，及时回复工作群内各学校故障反馈并立即处置，若发现隐患需及时向业主方主管人员汇报并制定解决方案，在获得业主方授权的情况下快速处置隐患。</w:t>
      </w:r>
    </w:p>
    <w:p>
      <w:pPr>
        <w:ind w:firstLine="424"/>
        <w:rPr>
          <w:rFonts w:hint="eastAsia" w:ascii="仿宋" w:hAnsi="仿宋" w:eastAsia="仿宋" w:cs="仿宋"/>
          <w:color w:val="auto"/>
          <w:szCs w:val="22"/>
          <w:highlight w:val="none"/>
          <w:lang w:val="en-US" w:eastAsia="zh-CN"/>
        </w:rPr>
      </w:pPr>
    </w:p>
    <w:tbl>
      <w:tblPr>
        <w:tblStyle w:val="32"/>
        <w:tblW w:w="87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096"/>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55" w:type="dxa"/>
            <w:gridSpan w:val="3"/>
            <w:vAlign w:val="top"/>
          </w:tcPr>
          <w:p>
            <w:pPr>
              <w:ind w:firstLine="3604" w:firstLineChars="17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运维服务作业计划内容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序号</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检查内容</w:t>
            </w:r>
          </w:p>
        </w:tc>
        <w:tc>
          <w:tcPr>
            <w:tcW w:w="1417"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执行周期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检测学校（单位）网络连通性</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检测学校（单位）网络带宽占用情况</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w:t>
            </w:r>
          </w:p>
        </w:tc>
        <w:tc>
          <w:tcPr>
            <w:tcW w:w="6096" w:type="dxa"/>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检查城域网内网络设备的CPU、内存、硬盘空间使用情况，检查各区级信息系统运行状态</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巡查互联网带宽使用情况，分析占用带宽较大的接入学校（单位）和终端</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每日巡查是否有DDOS攻击</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分析防火墙告警信息，发现高危告警事件，在授权的情况下可进行验证，编制报告并提交业主</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在授权的情况下巡查上网行为记录，编制报告并提交业主</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提供态势感知监测分析报告，反馈高危、疑似挖矿等病毒及网络威胁。</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0" w:hRule="atLeast"/>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出具设备日志分析报告，反馈设备运行状态及资源占用等。</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0" w:hRule="atLeast"/>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提供流量监测分析报告，按用户、应用等流量大小排序，做好优化策略调整。</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按月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每季度初进行一次全面的区级信息系统安全巡检，并出具报告，配合完成整改。</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w:t>
            </w:r>
          </w:p>
        </w:tc>
        <w:tc>
          <w:tcPr>
            <w:tcW w:w="6096" w:type="dxa"/>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按时清洁网络设备（设备表面、防尘罩、防尘网、风扇等）；网络中心空调设备内外机清洗（每年1次）</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每季度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77" w:hRule="atLeast"/>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重保服务支持, 在国庆节、两会等网络安全重要时期以及护网、迎检等特殊时期，根据工作要求，重要时期保障期间安排专人提供7*24小时现场值守。根据需要，再提供二线7*24小时支撑服务。</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按需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9" w:hRule="atLeast"/>
          <w:jc w:val="center"/>
        </w:trPr>
        <w:tc>
          <w:tcPr>
            <w:tcW w:w="1242"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14</w:t>
            </w:r>
          </w:p>
        </w:tc>
        <w:tc>
          <w:tcPr>
            <w:tcW w:w="6096"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经过设备厂家核实，在业主方授权的情况下升级本项目包含的网络设备、安全设备、服务器的系统版本。</w:t>
            </w:r>
          </w:p>
        </w:tc>
        <w:tc>
          <w:tcPr>
            <w:tcW w:w="141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按需</w:t>
            </w:r>
          </w:p>
        </w:tc>
      </w:tr>
    </w:tbl>
    <w:p>
      <w:pPr>
        <w:pStyle w:val="12"/>
        <w:spacing w:line="240" w:lineRule="auto"/>
        <w:ind w:left="0" w:leftChars="0" w:firstLine="0" w:firstLineChars="0"/>
        <w:rPr>
          <w:rFonts w:ascii="宋体" w:hAnsi="宋体"/>
          <w:color w:val="000000" w:themeColor="text1"/>
          <w:sz w:val="28"/>
          <w:szCs w:val="28"/>
          <w:highlight w:val="none"/>
          <w14:textFill>
            <w14:solidFill>
              <w14:schemeClr w14:val="tx1"/>
            </w14:solidFill>
          </w14:textFill>
        </w:rPr>
      </w:pPr>
    </w:p>
    <w:p>
      <w:pPr>
        <w:pStyle w:val="12"/>
        <w:spacing w:line="360" w:lineRule="auto"/>
        <w:ind w:left="0" w:firstLine="318" w:firstLineChars="150"/>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（四）服务清单及维保内容</w:t>
      </w:r>
    </w:p>
    <w:p>
      <w:pPr>
        <w:pStyle w:val="12"/>
        <w:spacing w:line="360" w:lineRule="auto"/>
        <w:ind w:left="-89" w:leftChars="-42" w:firstLine="530" w:firstLineChars="250"/>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1.该项目设备租赁及运维服务周期为3年，从工程项目验收合格之日起计算。除特别说明的设备外，其它设备产权属中标方，所有管理数据、应用数据、资源数据等归采购人所有，所提供的设备均含3年免费数据库、特征库等升级及7×24小时运维托管服务。服务方必须书面承诺保障所提供的设备、网络稳定运行，若因提供的服务未按照采购人要求履行造成信息安全事件，应由服务方承担所有安全责任。</w:t>
      </w:r>
    </w:p>
    <w:p>
      <w:pPr>
        <w:pStyle w:val="12"/>
        <w:spacing w:line="360" w:lineRule="auto"/>
        <w:ind w:left="0" w:firstLine="424" w:firstLineChars="200"/>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2.服务清单及参数</w:t>
      </w:r>
    </w:p>
    <w:tbl>
      <w:tblPr>
        <w:tblStyle w:val="32"/>
        <w:tblW w:w="92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28"/>
        <w:gridCol w:w="4089"/>
        <w:gridCol w:w="927"/>
        <w:gridCol w:w="791"/>
        <w:gridCol w:w="1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jc w:val="center"/>
        </w:trPr>
        <w:tc>
          <w:tcPr>
            <w:tcW w:w="840"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序号</w:t>
            </w:r>
          </w:p>
        </w:tc>
        <w:tc>
          <w:tcPr>
            <w:tcW w:w="1428"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设备名称</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主要技术参数</w:t>
            </w:r>
          </w:p>
        </w:tc>
        <w:tc>
          <w:tcPr>
            <w:tcW w:w="927"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数量</w:t>
            </w:r>
          </w:p>
        </w:tc>
        <w:tc>
          <w:tcPr>
            <w:tcW w:w="791"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单位</w:t>
            </w:r>
          </w:p>
        </w:tc>
        <w:tc>
          <w:tcPr>
            <w:tcW w:w="1141"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jc w:val="center"/>
        </w:trPr>
        <w:tc>
          <w:tcPr>
            <w:tcW w:w="8075" w:type="dxa"/>
            <w:gridSpan w:val="5"/>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一、教育城域网专线及互联网带宽</w:t>
            </w:r>
          </w:p>
        </w:tc>
        <w:tc>
          <w:tcPr>
            <w:tcW w:w="1141" w:type="dxa"/>
            <w:vMerge w:val="restart"/>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3年租赁及7×24小时运维托管服务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1428"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互联网</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专线</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互联网出口带宽5G，双路由</w:t>
            </w:r>
          </w:p>
        </w:tc>
        <w:tc>
          <w:tcPr>
            <w:tcW w:w="927" w:type="dxa"/>
            <w:vAlign w:val="center"/>
          </w:tcPr>
          <w:p>
            <w:pPr>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w:t>
            </w:r>
          </w:p>
        </w:tc>
        <w:tc>
          <w:tcPr>
            <w:tcW w:w="1428"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专线链路</w:t>
            </w:r>
          </w:p>
        </w:tc>
        <w:tc>
          <w:tcPr>
            <w:tcW w:w="4089"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光纤1GE、10GE，上下行对称带宽</w:t>
            </w:r>
          </w:p>
        </w:tc>
        <w:tc>
          <w:tcPr>
            <w:tcW w:w="927" w:type="dxa"/>
            <w:vAlign w:val="center"/>
          </w:tcPr>
          <w:p>
            <w:pPr>
              <w:ind w:left="0" w:leftChars="0" w:firstLine="212" w:firstLineChars="100"/>
              <w:rPr>
                <w:rFonts w:hint="default" w:ascii="仿宋" w:hAnsi="仿宋" w:eastAsia="仿宋" w:cs="仿宋"/>
                <w:color w:val="auto"/>
                <w:szCs w:val="22"/>
                <w:highlight w:val="none"/>
                <w:lang w:val="en-US" w:eastAsia="zh-CN"/>
              </w:rPr>
            </w:pPr>
            <w:bookmarkStart w:id="348" w:name="OLE_LINK23"/>
            <w:r>
              <w:rPr>
                <w:rFonts w:hint="eastAsia" w:ascii="仿宋" w:hAnsi="仿宋" w:eastAsia="仿宋" w:cs="仿宋"/>
                <w:color w:val="auto"/>
                <w:szCs w:val="22"/>
                <w:highlight w:val="none"/>
                <w:lang w:val="en-US" w:eastAsia="zh-CN"/>
              </w:rPr>
              <w:t>155</w:t>
            </w:r>
            <w:bookmarkEnd w:id="348"/>
          </w:p>
        </w:tc>
        <w:tc>
          <w:tcPr>
            <w:tcW w:w="791"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条</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w:t>
            </w:r>
          </w:p>
        </w:tc>
        <w:tc>
          <w:tcPr>
            <w:tcW w:w="1428"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DDOS安全防护</w:t>
            </w:r>
          </w:p>
        </w:tc>
        <w:tc>
          <w:tcPr>
            <w:tcW w:w="4089"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采用分布式部署、近源清洗技术，清洗能力5Gbps</w:t>
            </w:r>
          </w:p>
        </w:tc>
        <w:tc>
          <w:tcPr>
            <w:tcW w:w="927"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top"/>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075" w:type="dxa"/>
            <w:gridSpan w:val="5"/>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二、IDC机房</w:t>
            </w:r>
          </w:p>
        </w:tc>
        <w:tc>
          <w:tcPr>
            <w:tcW w:w="1141" w:type="dxa"/>
            <w:vMerge w:val="continue"/>
            <w:vAlign w:val="top"/>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1428"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IDC机柜</w:t>
            </w:r>
          </w:p>
        </w:tc>
        <w:tc>
          <w:tcPr>
            <w:tcW w:w="4089"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42u标准机柜</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个</w:t>
            </w:r>
          </w:p>
        </w:tc>
        <w:tc>
          <w:tcPr>
            <w:tcW w:w="1141" w:type="dxa"/>
            <w:vMerge w:val="continue"/>
            <w:vAlign w:val="top"/>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075" w:type="dxa"/>
            <w:gridSpan w:val="5"/>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三、网络设备及其他</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1428"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三层交换机（千兆上行）</w:t>
            </w:r>
          </w:p>
        </w:tc>
        <w:tc>
          <w:tcPr>
            <w:tcW w:w="4089"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不低于24口10/100/1000M自适应电口，4个1000M光口，4个千兆光模块</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100</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台</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w:t>
            </w:r>
          </w:p>
        </w:tc>
        <w:tc>
          <w:tcPr>
            <w:tcW w:w="1428"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三层交换机（万兆上行）</w:t>
            </w:r>
          </w:p>
        </w:tc>
        <w:tc>
          <w:tcPr>
            <w:tcW w:w="4089"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不低于48口10/100/1000M自适应电口，4个1G/10G SFP+光口，4个万兆光模块</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47</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个</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w:t>
            </w:r>
          </w:p>
        </w:tc>
        <w:tc>
          <w:tcPr>
            <w:tcW w:w="1428" w:type="dxa"/>
            <w:vAlign w:val="center"/>
          </w:tcPr>
          <w:p>
            <w:pPr>
              <w:ind w:left="0" w:leftChars="0" w:firstLine="212" w:firstLineChars="100"/>
              <w:rPr>
                <w:rFonts w:hint="eastAsia" w:ascii="仿宋" w:hAnsi="仿宋" w:eastAsia="仿宋" w:cs="仿宋"/>
                <w:color w:val="auto"/>
                <w:szCs w:val="22"/>
                <w:highlight w:val="none"/>
                <w:lang w:val="en-US" w:eastAsia="zh-CN"/>
              </w:rPr>
            </w:pPr>
            <w:bookmarkStart w:id="349" w:name="OLE_LINK4"/>
            <w:r>
              <w:rPr>
                <w:rFonts w:hint="eastAsia" w:ascii="仿宋" w:hAnsi="仿宋" w:eastAsia="仿宋" w:cs="仿宋"/>
                <w:color w:val="auto"/>
                <w:szCs w:val="22"/>
                <w:highlight w:val="none"/>
                <w:lang w:val="en-US" w:eastAsia="zh-CN"/>
              </w:rPr>
              <w:t>综合安全网关</w:t>
            </w:r>
            <w:bookmarkEnd w:id="349"/>
          </w:p>
        </w:tc>
        <w:tc>
          <w:tcPr>
            <w:tcW w:w="4089"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含出口防火墙组件、流量转发组件、入侵防御组件、上网行为审计及流控组件、Web应用防护组件、威胁情报组件。运行日志存储时间≥365天，含3年设备升级及售后服务。</w:t>
            </w:r>
          </w:p>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一、流量转发组件：</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1.主控槽位≥2块，电源槽位≥4个，业务板槽位≥4个，接口卡槽位≥4个，本次实配双主控，双电源；</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2.每秒新建连接数≥250万，最大并发连接数≥3200万；</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3.配置≥8个10G光口，≥4个40G光口。</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二、出口防火墙组件：</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1.三层吞吐量≥140G，应用层吞吐量≥40G，配置≥3年病毒库升级授权，≥300个SSL VPN，≥1000个ipsec vpn；</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2.IPv4、IPv6访问控制策略支持基于源/目的IP，源/目的端口，源/目的区域，服务类型的细化控制方式</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3.支持自动生成安全策略。统一管理平台可通过对流量日志的统计整理，自动生成安全策略，并下发给设备，提高运维人员工作效率。</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三、入侵防御组件：</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1.吞吐量≥30G，配置≥3年入侵防御特征库升级授权；</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2.支持攻击检测与防护、病毒检测与防护、未知威胁检测与防护、敏感信息隐藏、应用识别与管控、文件白名单、IPV4/IPV6双栈等功能；</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3.为提高运维人员工作效率，应支持对被保护对象的流量进行分析，通过对流量日志的统计整理，智能生成包过滤策略。</w:t>
            </w:r>
          </w:p>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四、上网行为审计及流控组件：</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1.吞吐量≥40G，配置≥3年APP特征库升级授权，配置≥3年URL特征库升级授权；</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2.支持全面的网络行为审计，包含网页、邮件、微博论坛等，并能及时过滤非法言论和不良应用，支持对审计保存内容的自定义设置，可以设置保存邮件内容、论坛发帖、文件传输等内容的保存；</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3.支持流量控制功能，且识别应用数量超过3000种，通过告警、限速、阻断等模式可提供万种以上应用规则，支持根据IP、端口、协议等自定义应用规则；</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4.为便于进行故障排查，应支持通过命令行的方式对设备内部数据流进行分析，可快速定位造成故障的内部功能模块。</w:t>
            </w:r>
          </w:p>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五、web应用防护组件：</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1.吞吐量≥30G，配置≥3年WAF特征库升级授权；</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2.支持黑名单联动、网页防篡改、基于五元组防护控制功能、基于地理位置的访问控制能力、网站一键下线、网站一键锁定、DDoS防护等功能。</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六、威胁情报组件：</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1.威胁情报库≥800万，检测规则库≥35000，配置≥3年威胁情报与挖矿病毒特征库升级授权；</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2.支持基于威胁情报的恶意IP、DNS的防护能力，包含C&amp;C节点、木马病毒网址、挖矿病毒网址、钓鱼网址、勒索病毒网址、色情网址、赌博网址、恶意推广网址、数字货币、垃圾邮件等，同时可以实现恶意域名防护日志的存储和展示；</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3.支持地址段导入功能，可一键对地址段中的地址进行封禁或放通；支持基于组的策略配置管理，对组内IP进行一键阻断或放通，支持对地址库总数量的统计功能，支持对地址库中的IP进行精细化检索；</w:t>
            </w:r>
            <w:r>
              <w:rPr>
                <w:rFonts w:hint="eastAsia" w:ascii="仿宋" w:hAnsi="仿宋" w:eastAsia="仿宋" w:cs="仿宋"/>
                <w:color w:val="auto"/>
                <w:szCs w:val="22"/>
                <w:highlight w:val="none"/>
                <w:lang w:val="en-US" w:eastAsia="zh-CN"/>
              </w:rPr>
              <w:br w:type="textWrapping"/>
            </w:r>
            <w:r>
              <w:rPr>
                <w:rFonts w:hint="eastAsia" w:ascii="仿宋" w:hAnsi="仿宋" w:eastAsia="仿宋" w:cs="仿宋"/>
                <w:color w:val="auto"/>
                <w:szCs w:val="22"/>
                <w:highlight w:val="none"/>
                <w:lang w:val="en-US" w:eastAsia="zh-CN"/>
              </w:rPr>
              <w:t>4.支持基于不同安全策略设定会话长连接老化时间。</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态势感知分析平台</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与现有杀毒终端形成联动，能有效阻断和查杀终端病毒。态势感知分析平台主系统：支持4*GE管理电口；4*USB接口；1*DB9 Console接口；冗余电源；960G SSD ，≥48TB SATA 存储硬盘。态势感知流量探针：2*GE流量监听电口；2*10GE流量监听光口；2*GE管理电口；4*USB接口；1*DB9 Console接口；冗余电源；4TB SATA存储硬盘；吞吐8Gbps；含软件和威胁检测引擎一套；威胁检测引擎包括服务器入侵检测、网站漏洞利用检测和webshell上传检测模块。威胁情报；提供威胁情报更新功能，能够支持最多3台设备（分析平台、流量传感器）使用。运行日志存储时间≥365天，含3年设备升级及售后服务。</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安全终端准入系统</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1.建立巴南教育城域网准入机制，支持多种主流杀毒终端联动、准入控制。</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2.支持杀毒软件自动检测与推送服务，发现异常流量进行阻断，可将策略下发给系统，由系统管理执行阻断，并提供满足所有教育城域网终端并发的检测能力等功能；</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3.适用10G带宽/50000人以下网络环境使用；最大并发连接数为300万;最大新建连接数为10万/秒；2U硬件;标配1个管理口和1个HA口; 4个SFP+接口，8电口千兆网卡，2个扩展槽;1T硬盘;交流冗余电源。</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数据库审计</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2U机架式软硬一体化设备，1+1冗余电源，网口≥4个千兆以太网接口，其中至少2个管理口，2个审计口，吞吐能力≥2,000M，SQL语句交易量≥20,000条/秒，会话并发数≥3000个，硬盘≥1T*2 ，数据库IP≥10个。支持旁路侦听模式，无需安装Agent；无需改造数据库、中间件等；覆盖主流商用数据库，包括：Oracle 8/9/10/11等，Sybase所有版本，SQL Server 2000/2005/2008，Informix所有版本，DB2所有版本，MYSQL所有版本；Cache所有版本；达梦所有版本；人大金仓所有版本；南大通用所有版本，日志存储时间≥365天。</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运维审计（堡垒机）</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1U机架式软硬一体化设备，可管理设备数≥100个，网络接口 ≥4个千兆自适应电口，内置存储≥1TB；开通APP远程管理模块，支持双机热备，支持系统配置以及审计日志实时同步；支持集群部署，系统策略支持统一下发，后期升级扩容方式支持单节点扩容，无需进行软硬件的二次升级即可完成；支持第三方负载均衡，并支持集群自带的负载均衡模块,日志存储时间≥365天。</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日志审计</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U标准机架式，无需在被采集目标系统上安装任何软件；产品功能的实现无需额外增加服务器等设备；无需安装客户端软件；采用B/S架构操作方式，HTTPS访问，适配启明WAF防火墙、绿盟IDS、华为防火墙、Juniper防火墙、天融信防火墙等安全设备，适配Linux、Windows、Window server、Uinx等操作系统的日志收集并分析。系统需支持Syslog、Syslog-ng 、SNMP Trap、文件、WMI、FTP、数据库 等协议采集日志,不少于100个日志采集源，日志存储时间≥365天。</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核心交换机</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1.要求为国产设备,采用插槽式CLOS架构交换机，交换机应实现控制与转发物理分离，单台设备必须具有独立的交换网板槽位和主控板槽位，实现交换和控制完全分离；</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2.整机交换容量≥25Tbps ，整机包转发率≥6200Mpps；</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3.主控板槽位数量≥2，业务板槽位数量≥8，独立交换网板槽位数量≥4；</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4.支持模块化风扇框，可热插拔，独立风扇框数≥4，单个风扇框在线更换过程中，系统仍有独立风扇框保持运行；</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5.支持每槽位转发能力≥640G；6.支持交换网硬件背靠背集群技术，可以把两台物理设备虚拟化为一台逻辑设备，集群不占用业务槽位，集群卡和主控物理分离，集群卡可单独插拔；</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7.横向虚拟化后，主控板支持1+N冗余备份；</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8.交换网板支持N+1冗余，移除交换任何一块交换网板，设备性能不受影响；</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9.具备全可编程和SDN 能力，支持协议无关转发Protocol Oblivious Forwarding（POF）；</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10.支持整机MAC地址≥1M，支持ARP表项≥256K，支持IPv4路由转发表项≥1M，IPv6路由转发表（FIB）≥512K；</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11.支持静态路由；支持RIP v1/v2、OSPF、IS-IS、BGP等IPv4路由协议和RIPng、IS-IS v6、OSPF v3、BGPv4+等IPv6路由协议；支持策略路由；</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12.支持组播技术，支持IGMPv1/v2/v3、IGMP v1/v2/v3 Snooping，支持 PIM DM、PIM SM、PIM SSM，支持组播流量控制；</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13.支持5级H-QoS；</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14.支持统一用户管理功能，支持PPPoE/802.1X/ MAC/Portal等多种认证方式；</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15.支持硬件BFD/OAM技术，遵循协议标准，支持3.3ms稳定均匀发包检测，50ms内完成故障倒换；</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16.支持G.8032开放环、SEP、REP半环协议,可与其他厂商设备混合组网，要求倒换时间≤50ms；</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17.支持有线无线深度融合，业务接口板支持同时集成无线AC功能，只占用一个槽位，可以实现对无线AP进行管理；</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18.支持纵向虚拟化技术，支持把交换机和AP虚拟为一台设备；</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19.本次实配：16端口万兆接口板*1块（含光模块），36端口十兆/百兆/千兆以太网电接板*1块，12端口百兆/千兆以太网光接口板*1块（含光模块），本次实配双主控,提供电源冗余；</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Merge w:val="continue"/>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网络及安全运维服务</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含教育城域网和政务信息系统重保服务支持, 在国庆、全国两会等重大活动节日，护网、迎检等特殊时期，根据工作要求，重要时期保障期间安排专人提供7</w:t>
            </w:r>
            <w:bookmarkStart w:id="350" w:name="OLE_LINK16"/>
            <w:r>
              <w:rPr>
                <w:rFonts w:hint="eastAsia" w:ascii="仿宋" w:hAnsi="仿宋" w:eastAsia="仿宋" w:cs="仿宋"/>
                <w:color w:val="auto"/>
                <w:szCs w:val="22"/>
                <w:highlight w:val="none"/>
                <w:lang w:val="en-US" w:eastAsia="zh-CN"/>
              </w:rPr>
              <w:t>*</w:t>
            </w:r>
            <w:bookmarkEnd w:id="350"/>
            <w:r>
              <w:rPr>
                <w:rFonts w:hint="eastAsia" w:ascii="仿宋" w:hAnsi="仿宋" w:eastAsia="仿宋" w:cs="仿宋"/>
                <w:color w:val="auto"/>
                <w:szCs w:val="22"/>
                <w:highlight w:val="none"/>
                <w:lang w:val="en-US" w:eastAsia="zh-CN"/>
              </w:rPr>
              <w:t>24小时现场值守。根据需要，再提供二线7*24小时支撑服务。针对市区级攻防演练活动进行现场值守和攻防对抗；协助制定应急响应机制，完善应急响应预案，并根据用户实际情况，提供应急事件演练；完成设备和网络日常维护等。</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年</w:t>
            </w:r>
          </w:p>
        </w:tc>
        <w:tc>
          <w:tcPr>
            <w:tcW w:w="1141" w:type="dxa"/>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w:t>
            </w:r>
          </w:p>
        </w:tc>
        <w:tc>
          <w:tcPr>
            <w:tcW w:w="1428"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续保</w:t>
            </w:r>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服务</w:t>
            </w:r>
          </w:p>
        </w:tc>
        <w:tc>
          <w:tcPr>
            <w:tcW w:w="4089" w:type="dxa"/>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提供巴南教育城域网链路运维管理平台、巴南区教学设备管理系统、数据看板及电子证书管理系统的续保服务。同时提供华为E9000刀箱（含10块刀片20颗CPU）质保和运维服务，确保设备正常运行。</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年</w:t>
            </w:r>
          </w:p>
        </w:tc>
        <w:tc>
          <w:tcPr>
            <w:tcW w:w="1141" w:type="dxa"/>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国产虚拟化服务器集群管理</w:t>
            </w:r>
          </w:p>
        </w:tc>
        <w:tc>
          <w:tcPr>
            <w:tcW w:w="4089" w:type="dxa"/>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提供具有CPU数量≥20颗，内存容量≥128G×10管理能力的国产虚拟化服务器管理软件及永久授权，替代现有虚拟化服务器管理。并完成现有虚拟化服务器整体迁移，数据量约60T，确保数据完整和安全，平台迁移后稳定运行。服务期结束后，产品所有权归巴南区现代教育技术中心。</w:t>
            </w:r>
          </w:p>
        </w:tc>
        <w:tc>
          <w:tcPr>
            <w:tcW w:w="927" w:type="dxa"/>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8" w:hRule="atLeast"/>
          <w:jc w:val="center"/>
        </w:trPr>
        <w:tc>
          <w:tcPr>
            <w:tcW w:w="840" w:type="dxa"/>
            <w:vAlign w:val="center"/>
          </w:tcPr>
          <w:p>
            <w:pPr>
              <w:ind w:left="0" w:leftChars="0" w:firstLine="212" w:firstLineChars="100"/>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数据管理中台</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建立装备管理应用数据仓，提供实现区校两级装备数据的台账管理、任意条件查询、配备标准数据差缺比对、设施设备调拨、一表通数据建模、数据报表等功能。标准数据接口，支持并配合三方平台接入，满足接入区级信息化管理平台。服务期结束后，产品所有权归巴南区现代教育技术中心。</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Align w:val="center"/>
          </w:tcPr>
          <w:p>
            <w:pPr>
              <w:ind w:firstLine="424"/>
              <w:rPr>
                <w:rFonts w:hint="eastAsia" w:ascii="仿宋" w:hAnsi="仿宋" w:eastAsia="仿宋" w:cs="仿宋"/>
                <w:color w:val="auto"/>
                <w:szCs w:val="22"/>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jc w:val="center"/>
        </w:trPr>
        <w:tc>
          <w:tcPr>
            <w:tcW w:w="840" w:type="dxa"/>
            <w:vAlign w:val="center"/>
          </w:tcPr>
          <w:p>
            <w:pPr>
              <w:ind w:left="0" w:leftChars="0" w:firstLine="212" w:firstLineChars="100"/>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14</w:t>
            </w:r>
          </w:p>
        </w:tc>
        <w:tc>
          <w:tcPr>
            <w:tcW w:w="1428" w:type="dxa"/>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无线认证升级</w:t>
            </w:r>
          </w:p>
        </w:tc>
        <w:tc>
          <w:tcPr>
            <w:tcW w:w="4089"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新增1台迭代升级无线AC控制器，控制器要求支持现有无线控制上接入AP的平滑管理过渡，性能要求支持不低于10000无线AP管理（增加512个AP授权），与现有区级无线控制器配套叠加实现集群部署，完成新旧设备数据迁移。同步升级认证系统。服务期结束后，产品所有权归巴南区现代教育技术中心。</w:t>
            </w:r>
          </w:p>
        </w:tc>
        <w:tc>
          <w:tcPr>
            <w:tcW w:w="927"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791" w:type="dxa"/>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套</w:t>
            </w:r>
          </w:p>
        </w:tc>
        <w:tc>
          <w:tcPr>
            <w:tcW w:w="1141" w:type="dxa"/>
            <w:vAlign w:val="center"/>
          </w:tcPr>
          <w:p>
            <w:pPr>
              <w:ind w:firstLine="424"/>
              <w:rPr>
                <w:rFonts w:hint="eastAsia" w:ascii="仿宋" w:hAnsi="仿宋" w:eastAsia="仿宋" w:cs="仿宋"/>
                <w:color w:val="auto"/>
                <w:szCs w:val="22"/>
                <w:highlight w:val="none"/>
                <w:lang w:val="en-US" w:eastAsia="zh-CN"/>
              </w:rPr>
            </w:pPr>
          </w:p>
        </w:tc>
      </w:tr>
    </w:tbl>
    <w:p>
      <w:pPr>
        <w:ind w:firstLine="424"/>
        <w:rPr>
          <w:rFonts w:hint="eastAsia" w:ascii="仿宋" w:hAnsi="仿宋" w:eastAsia="仿宋" w:cs="仿宋"/>
          <w:color w:val="auto"/>
          <w:szCs w:val="22"/>
          <w:highlight w:val="none"/>
          <w:lang w:val="en-US" w:eastAsia="zh-CN"/>
        </w:rPr>
      </w:pPr>
    </w:p>
    <w:p>
      <w:pPr>
        <w:ind w:firstLine="424"/>
        <w:rPr>
          <w:rFonts w:hint="eastAsia" w:ascii="仿宋" w:hAnsi="仿宋" w:eastAsia="仿宋" w:cs="仿宋"/>
          <w:color w:val="auto"/>
          <w:szCs w:val="22"/>
          <w:highlight w:val="none"/>
          <w:lang w:val="en-US" w:eastAsia="zh-CN"/>
        </w:rPr>
      </w:pPr>
      <w:bookmarkStart w:id="351" w:name="_Toc235550926"/>
      <w:r>
        <w:rPr>
          <w:rFonts w:hint="eastAsia" w:ascii="仿宋" w:hAnsi="仿宋" w:eastAsia="仿宋" w:cs="仿宋"/>
          <w:color w:val="auto"/>
          <w:szCs w:val="22"/>
          <w:highlight w:val="none"/>
          <w:lang w:val="en-US" w:eastAsia="zh-CN"/>
        </w:rPr>
        <w:t>注：三年运维服务从项目工程验收合格之日起计算。</w:t>
      </w:r>
    </w:p>
    <w:p>
      <w:pPr>
        <w:ind w:firstLine="424"/>
        <w:rPr>
          <w:rFonts w:hint="eastAsia" w:ascii="仿宋" w:hAnsi="仿宋" w:eastAsia="仿宋" w:cs="仿宋"/>
          <w:color w:val="auto"/>
          <w:szCs w:val="22"/>
          <w:highlight w:val="none"/>
          <w:lang w:val="en-US" w:eastAsia="zh-CN"/>
        </w:rPr>
      </w:pPr>
      <w:bookmarkStart w:id="352" w:name="_Toc267320053"/>
      <w:bookmarkStart w:id="353" w:name="_Toc477355094"/>
      <w:r>
        <w:rPr>
          <w:rFonts w:hint="eastAsia" w:ascii="仿宋" w:hAnsi="仿宋" w:eastAsia="仿宋" w:cs="仿宋"/>
          <w:color w:val="auto"/>
          <w:szCs w:val="22"/>
          <w:highlight w:val="none"/>
          <w:lang w:val="en-US" w:eastAsia="zh-CN"/>
        </w:rPr>
        <w:t>三、培训</w:t>
      </w:r>
      <w:bookmarkEnd w:id="352"/>
      <w:bookmarkEnd w:id="353"/>
    </w:p>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供应商对其提供产品的使用和操作应尽培训义务。供应商应提供对采购人的基本免费培训，使采购人使用人员能够正常操作。</w:t>
      </w:r>
    </w:p>
    <w:p>
      <w:pPr>
        <w:ind w:firstLine="424"/>
        <w:rPr>
          <w:rFonts w:hint="eastAsia" w:ascii="仿宋" w:hAnsi="仿宋" w:eastAsia="仿宋" w:cs="仿宋"/>
          <w:color w:val="auto"/>
          <w:szCs w:val="22"/>
          <w:highlight w:val="none"/>
          <w:lang w:val="en-US" w:eastAsia="zh-CN"/>
        </w:rPr>
      </w:pPr>
    </w:p>
    <w:p>
      <w:pPr>
        <w:ind w:firstLine="424"/>
        <w:rPr>
          <w:rFonts w:hint="eastAsia" w:ascii="仿宋" w:hAnsi="仿宋" w:eastAsia="仿宋" w:cs="仿宋"/>
          <w:color w:val="auto"/>
          <w:szCs w:val="22"/>
          <w:highlight w:val="none"/>
          <w:lang w:val="en-US" w:eastAsia="zh-CN"/>
        </w:rPr>
      </w:pPr>
    </w:p>
    <w:bookmarkEnd w:id="351"/>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附件1 巴南教育城域网接入单位名单；</w:t>
      </w:r>
    </w:p>
    <w:p>
      <w:pPr>
        <w:ind w:firstLine="424"/>
        <w:rPr>
          <w:rFonts w:hint="eastAsia" w:ascii="宋体" w:hAnsi="宋体"/>
          <w:color w:val="000000" w:themeColor="text1"/>
          <w:szCs w:val="28"/>
          <w:highlight w:val="none"/>
          <w14:textFill>
            <w14:solidFill>
              <w14:schemeClr w14:val="tx1"/>
            </w14:solidFill>
          </w14:textFill>
        </w:rPr>
      </w:pPr>
      <w:r>
        <w:rPr>
          <w:rFonts w:hint="eastAsia" w:ascii="仿宋" w:hAnsi="仿宋" w:eastAsia="仿宋" w:cs="仿宋"/>
          <w:color w:val="auto"/>
          <w:szCs w:val="22"/>
          <w:highlight w:val="none"/>
          <w:lang w:val="en-US" w:eastAsia="zh-CN"/>
        </w:rPr>
        <w:t>附件2 巴南区教育城域网网络拓扑图；</w:t>
      </w:r>
    </w:p>
    <w:p>
      <w:pPr>
        <w:rPr>
          <w:rFonts w:ascii="宋体" w:hAnsi="宋体"/>
          <w:color w:val="000000" w:themeColor="text1"/>
          <w:szCs w:val="28"/>
          <w:highlight w:val="none"/>
          <w14:textFill>
            <w14:solidFill>
              <w14:schemeClr w14:val="tx1"/>
            </w14:solidFill>
          </w14:textFill>
        </w:rPr>
      </w:pPr>
    </w:p>
    <w:p>
      <w:pPr>
        <w:rPr>
          <w:rFonts w:ascii="宋体" w:hAnsi="宋体"/>
          <w:color w:val="000000" w:themeColor="text1"/>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br w:type="page"/>
      </w:r>
      <w:r>
        <w:rPr>
          <w:rFonts w:hint="eastAsia" w:ascii="宋体" w:hAnsi="宋体"/>
          <w:color w:val="000000" w:themeColor="text1"/>
          <w:szCs w:val="28"/>
          <w:highlight w:val="none"/>
          <w14:textFill>
            <w14:solidFill>
              <w14:schemeClr w14:val="tx1"/>
            </w14:solidFill>
          </w14:textFill>
        </w:rPr>
        <w:t>附件</w:t>
      </w:r>
      <w:r>
        <w:rPr>
          <w:rFonts w:ascii="宋体" w:hAnsi="宋体"/>
          <w:color w:val="000000" w:themeColor="text1"/>
          <w:szCs w:val="28"/>
          <w:highlight w:val="none"/>
          <w14:textFill>
            <w14:solidFill>
              <w14:schemeClr w14:val="tx1"/>
            </w14:solidFill>
          </w14:textFill>
        </w:rPr>
        <w:t>1</w:t>
      </w:r>
      <w:r>
        <w:rPr>
          <w:rFonts w:hint="eastAsia" w:ascii="宋体" w:hAnsi="宋体"/>
          <w:color w:val="000000" w:themeColor="text1"/>
          <w:szCs w:val="28"/>
          <w:highlight w:val="none"/>
          <w14:textFill>
            <w14:solidFill>
              <w14:schemeClr w14:val="tx1"/>
            </w14:solidFill>
          </w14:textFill>
        </w:rPr>
        <w:t>：</w:t>
      </w:r>
    </w:p>
    <w:p>
      <w:pPr>
        <w:jc w:val="center"/>
        <w:rPr>
          <w:rFonts w:hint="eastAsia" w:ascii="宋体" w:hAnsi="宋体"/>
          <w:color w:val="000000" w:themeColor="text1"/>
          <w:szCs w:val="28"/>
          <w:highlight w:val="none"/>
          <w:lang w:val="en-US" w:eastAsia="zh-CN"/>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巴南教育城域网接入单位名单</w:t>
      </w:r>
    </w:p>
    <w:tbl>
      <w:tblPr>
        <w:tblStyle w:val="32"/>
        <w:tblW w:w="9091" w:type="dxa"/>
        <w:jc w:val="center"/>
        <w:tblInd w:w="0" w:type="dxa"/>
        <w:tblLayout w:type="fixed"/>
        <w:tblCellMar>
          <w:top w:w="0" w:type="dxa"/>
          <w:left w:w="108" w:type="dxa"/>
          <w:bottom w:w="0" w:type="dxa"/>
          <w:right w:w="108" w:type="dxa"/>
        </w:tblCellMar>
      </w:tblPr>
      <w:tblGrid>
        <w:gridCol w:w="1320"/>
        <w:gridCol w:w="1080"/>
        <w:gridCol w:w="2858"/>
        <w:gridCol w:w="1427"/>
        <w:gridCol w:w="1195"/>
        <w:gridCol w:w="1211"/>
      </w:tblGrid>
      <w:tr>
        <w:tblPrEx>
          <w:tblLayout w:type="fixed"/>
          <w:tblCellMar>
            <w:top w:w="0" w:type="dxa"/>
            <w:left w:w="108" w:type="dxa"/>
            <w:bottom w:w="0" w:type="dxa"/>
            <w:right w:w="108" w:type="dxa"/>
          </w:tblCellMar>
        </w:tblPrEx>
        <w:trPr>
          <w:trHeight w:val="270" w:hRule="atLeast"/>
          <w:jc w:val="center"/>
        </w:trPr>
        <w:tc>
          <w:tcPr>
            <w:tcW w:w="1320" w:type="dxa"/>
            <w:tcBorders>
              <w:top w:val="single" w:color="auto" w:sz="4" w:space="0"/>
              <w:left w:val="single" w:color="auto" w:sz="4" w:space="0"/>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单位区域</w:t>
            </w:r>
          </w:p>
        </w:tc>
        <w:tc>
          <w:tcPr>
            <w:tcW w:w="1080" w:type="dxa"/>
            <w:tcBorders>
              <w:top w:val="single" w:color="auto" w:sz="4" w:space="0"/>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序号</w:t>
            </w:r>
          </w:p>
        </w:tc>
        <w:tc>
          <w:tcPr>
            <w:tcW w:w="2858" w:type="dxa"/>
            <w:tcBorders>
              <w:top w:val="single" w:color="auto" w:sz="4" w:space="0"/>
              <w:left w:val="nil"/>
              <w:bottom w:val="single" w:color="auto" w:sz="4" w:space="0"/>
              <w:right w:val="single" w:color="auto" w:sz="4" w:space="0"/>
            </w:tcBorders>
            <w:vAlign w:val="center"/>
          </w:tcPr>
          <w:p>
            <w:pPr>
              <w:ind w:left="0" w:leftChars="0" w:firstLine="848" w:firstLineChars="4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单位名称</w:t>
            </w:r>
          </w:p>
        </w:tc>
        <w:tc>
          <w:tcPr>
            <w:tcW w:w="1427" w:type="dxa"/>
            <w:tcBorders>
              <w:top w:val="single" w:color="auto" w:sz="4" w:space="0"/>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单位性质</w:t>
            </w:r>
          </w:p>
        </w:tc>
        <w:tc>
          <w:tcPr>
            <w:tcW w:w="1195" w:type="dxa"/>
            <w:tcBorders>
              <w:top w:val="single" w:color="auto" w:sz="4" w:space="0"/>
              <w:left w:val="nil"/>
              <w:bottom w:val="single" w:color="auto" w:sz="4" w:space="0"/>
              <w:right w:val="single" w:color="auto" w:sz="4" w:space="0"/>
            </w:tcBorders>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办学性质</w:t>
            </w:r>
          </w:p>
        </w:tc>
        <w:tc>
          <w:tcPr>
            <w:tcW w:w="1211" w:type="dxa"/>
            <w:tcBorders>
              <w:top w:val="single" w:color="auto" w:sz="4" w:space="0"/>
              <w:left w:val="nil"/>
              <w:bottom w:val="single" w:color="auto" w:sz="4" w:space="0"/>
              <w:right w:val="single" w:color="auto" w:sz="4" w:space="0"/>
            </w:tcBorders>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光纤类别</w:t>
            </w:r>
          </w:p>
        </w:tc>
      </w:tr>
      <w:tr>
        <w:tblPrEx>
          <w:tblLayout w:type="fixed"/>
          <w:tblCellMar>
            <w:top w:w="0" w:type="dxa"/>
            <w:left w:w="108" w:type="dxa"/>
            <w:bottom w:w="0" w:type="dxa"/>
            <w:right w:w="108" w:type="dxa"/>
          </w:tblCellMar>
        </w:tblPrEx>
        <w:trPr>
          <w:trHeight w:val="270" w:hRule="atLeast"/>
          <w:jc w:val="center"/>
        </w:trPr>
        <w:tc>
          <w:tcPr>
            <w:tcW w:w="1320" w:type="dxa"/>
            <w:vMerge w:val="restart"/>
            <w:tcBorders>
              <w:top w:val="nil"/>
              <w:left w:val="single" w:color="auto" w:sz="4" w:space="0"/>
              <w:right w:val="single" w:color="auto" w:sz="4" w:space="0"/>
            </w:tcBorders>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鱼洞片区</w:t>
            </w: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区教委</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教委机关</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教委机关</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考试中心</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进修学院</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技术中心</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服务中心</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9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实践中心A区</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卫保所</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9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大江中学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大江小学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职教中心</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中职</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鱼洞中学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高完中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巴南实验中学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市实验中学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高中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9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14</w:t>
            </w:r>
          </w:p>
        </w:tc>
        <w:tc>
          <w:tcPr>
            <w:tcW w:w="2858"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莲花小学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鱼洞四小</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鱼洞二小</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17</w:t>
            </w:r>
          </w:p>
        </w:tc>
        <w:tc>
          <w:tcPr>
            <w:tcW w:w="2858"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南区学校云锦校区</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龙洲湾中学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鱼胡路小学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百节小学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云篆山小学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鱼洞幼儿园</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南区学校</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松花江小学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一品小学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一品中学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圣灯山小学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石庙点校</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29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陈家点校</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9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圣灯山中学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安澜学校</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南龙点校</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点校</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龙洲湾小学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巴南小学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巴渝小学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星澜汇小学</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鲁能幼儿园</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云水苑幼儿园</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39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龙洲南苑幼儿园</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bookmarkStart w:id="354" w:name="OLE_LINK32" w:colFirst="1" w:colLast="1"/>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浩立阳光花园幼儿园</w:t>
            </w:r>
          </w:p>
        </w:tc>
        <w:tc>
          <w:tcPr>
            <w:tcW w:w="1427"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left="0" w:leftChars="0" w:firstLine="212" w:firstLineChars="10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41</w:t>
            </w:r>
          </w:p>
        </w:tc>
        <w:tc>
          <w:tcPr>
            <w:tcW w:w="2858" w:type="dxa"/>
            <w:tcBorders>
              <w:top w:val="nil"/>
              <w:left w:val="nil"/>
              <w:bottom w:val="single" w:color="auto" w:sz="4" w:space="0"/>
              <w:right w:val="single" w:color="auto" w:sz="4" w:space="0"/>
            </w:tcBorders>
            <w:shd w:val="clear" w:color="000000" w:fill="FFFFFF"/>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箭滩河小学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42</w:t>
            </w:r>
          </w:p>
        </w:tc>
        <w:tc>
          <w:tcPr>
            <w:tcW w:w="2858" w:type="dxa"/>
            <w:tcBorders>
              <w:top w:val="nil"/>
              <w:left w:val="nil"/>
              <w:bottom w:val="single" w:color="auto" w:sz="4" w:space="0"/>
              <w:right w:val="single" w:color="auto" w:sz="4" w:space="0"/>
            </w:tcBorders>
            <w:shd w:val="clear" w:color="000000" w:fill="FFFFFF"/>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 xml:space="preserve">中交锦悦幼儿园   </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bookmarkEnd w:id="354"/>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43</w:t>
            </w:r>
          </w:p>
        </w:tc>
        <w:tc>
          <w:tcPr>
            <w:tcW w:w="2858" w:type="dxa"/>
            <w:tcBorders>
              <w:top w:val="nil"/>
              <w:left w:val="nil"/>
              <w:bottom w:val="single" w:color="auto" w:sz="4" w:space="0"/>
              <w:right w:val="single" w:color="auto" w:sz="4" w:space="0"/>
            </w:tcBorders>
            <w:shd w:val="clear" w:color="000000" w:fill="FFFFFF"/>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龙泽路校区</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明晨小学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云山晓幼儿园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集美锦湾幼儿园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高职城一小</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金竹小学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49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南风启程幼儿园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重庆护士学校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中职</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51</w:t>
            </w:r>
          </w:p>
        </w:tc>
        <w:tc>
          <w:tcPr>
            <w:tcW w:w="2858"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云锦小学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restart"/>
            <w:tcBorders>
              <w:top w:val="nil"/>
              <w:left w:val="single" w:color="auto" w:sz="4" w:space="0"/>
              <w:right w:val="single" w:color="auto" w:sz="4" w:space="0"/>
            </w:tcBorders>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李家沱片区</w:t>
            </w: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马王坪学校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南华小学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李家沱小学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巴南中学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高完中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李家沱幼儿园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特殊教育学校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特教校</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道角小学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9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59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道角中学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花溪小学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清华中学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高中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典雅小学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昕晖小学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花溪新屋幼儿园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新屋小学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花溪中学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恒大城小学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融汇小学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69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清华小学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兰花幼儿园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71</w:t>
            </w:r>
          </w:p>
        </w:tc>
        <w:tc>
          <w:tcPr>
            <w:tcW w:w="2858" w:type="dxa"/>
            <w:tcBorders>
              <w:top w:val="nil"/>
              <w:left w:val="nil"/>
              <w:bottom w:val="single" w:color="auto" w:sz="4" w:space="0"/>
              <w:right w:val="single" w:color="auto" w:sz="4" w:space="0"/>
            </w:tcBorders>
            <w:shd w:val="clear" w:color="000000" w:fill="FFFFFF"/>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宗申小学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85" w:hRule="atLeast"/>
          <w:jc w:val="center"/>
        </w:trPr>
        <w:tc>
          <w:tcPr>
            <w:tcW w:w="1320" w:type="dxa"/>
            <w:vMerge w:val="continue"/>
            <w:tcBorders>
              <w:left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shd w:val="clear" w:color="auto" w:fill="auto"/>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72</w:t>
            </w:r>
          </w:p>
        </w:tc>
        <w:tc>
          <w:tcPr>
            <w:tcW w:w="2858" w:type="dxa"/>
            <w:tcBorders>
              <w:top w:val="nil"/>
              <w:left w:val="nil"/>
              <w:bottom w:val="single" w:color="auto" w:sz="4" w:space="0"/>
              <w:right w:val="single" w:color="auto" w:sz="4" w:space="0"/>
            </w:tcBorders>
            <w:shd w:val="clear" w:color="000000" w:fill="FFFFFF"/>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世贸小学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清华中学融汇校区</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珠江城小学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珠江城中学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蓝光小学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 xml:space="preserve">花溪二小  </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恒达幼儿园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79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滨江新城幼儿园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学堂湾学校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渝汇小学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新屋佳苑幼儿园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滨江第一小学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春江天镜幼儿园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restart"/>
            <w:tcBorders>
              <w:top w:val="nil"/>
              <w:left w:val="single" w:color="auto" w:sz="4" w:space="0"/>
              <w:right w:val="single" w:color="auto" w:sz="4" w:space="0"/>
            </w:tcBorders>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木洞片区</w:t>
            </w: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麻柳小学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麻柳中学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双河口学校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88</w:t>
            </w:r>
          </w:p>
        </w:tc>
        <w:tc>
          <w:tcPr>
            <w:tcW w:w="2858"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羊鹿点校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点校</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89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丰盛学校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木洞中学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高完中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木洞小学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二圣学校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五布幼儿园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94</w:t>
            </w:r>
          </w:p>
        </w:tc>
        <w:tc>
          <w:tcPr>
            <w:tcW w:w="2858"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五布点校</w:t>
            </w:r>
          </w:p>
        </w:tc>
        <w:tc>
          <w:tcPr>
            <w:tcW w:w="1427"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点校</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东温泉学校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钱佳花园幼儿园（木洞安置房）</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生物城小学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2" w:hRule="atLeast"/>
          <w:jc w:val="center"/>
        </w:trPr>
        <w:tc>
          <w:tcPr>
            <w:tcW w:w="1320" w:type="dxa"/>
            <w:vMerge w:val="restart"/>
            <w:tcBorders>
              <w:top w:val="single" w:color="auto" w:sz="4" w:space="0"/>
              <w:left w:val="single" w:color="auto" w:sz="4" w:space="0"/>
              <w:bottom w:val="single" w:color="auto" w:sz="4" w:space="0"/>
              <w:right w:val="single" w:color="auto" w:sz="4" w:space="0"/>
            </w:tcBorders>
            <w:vAlign w:val="center"/>
          </w:tcPr>
          <w:p>
            <w:pPr>
              <w:ind w:left="0" w:leftChars="0" w:firstLine="0" w:firstLineChars="0"/>
              <w:rPr>
                <w:rFonts w:hint="eastAsia" w:ascii="仿宋" w:hAnsi="仿宋" w:eastAsia="仿宋" w:cs="仿宋"/>
                <w:color w:val="auto"/>
                <w:szCs w:val="22"/>
                <w:highlight w:val="none"/>
                <w:lang w:val="en-US" w:eastAsia="zh-CN"/>
              </w:rPr>
            </w:pPr>
            <w:bookmarkStart w:id="355" w:name="OLE_LINK33" w:colFirst="1" w:colLast="1"/>
            <w:r>
              <w:rPr>
                <w:rFonts w:hint="eastAsia" w:ascii="仿宋" w:hAnsi="仿宋" w:eastAsia="仿宋" w:cs="仿宋"/>
                <w:color w:val="auto"/>
                <w:szCs w:val="22"/>
                <w:highlight w:val="none"/>
                <w:lang w:val="en-US" w:eastAsia="zh-CN"/>
              </w:rPr>
              <w:t>接龙片区</w:t>
            </w: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98</w:t>
            </w:r>
          </w:p>
        </w:tc>
        <w:tc>
          <w:tcPr>
            <w:tcW w:w="2858"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光彩点校</w:t>
            </w:r>
          </w:p>
        </w:tc>
        <w:tc>
          <w:tcPr>
            <w:tcW w:w="1427"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点校</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99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接龙小学附属幼儿园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接龙小学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接龙中学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石龙小学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石龙中学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石滩中学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bookmarkEnd w:id="355"/>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石滩小学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花石小学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小观点校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点校</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凉水点校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点校</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continue"/>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109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姜家学校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2" w:hRule="atLeast"/>
          <w:jc w:val="center"/>
        </w:trPr>
        <w:tc>
          <w:tcPr>
            <w:tcW w:w="1320" w:type="dxa"/>
            <w:vMerge w:val="restart"/>
            <w:tcBorders>
              <w:top w:val="single" w:color="auto" w:sz="4" w:space="0"/>
              <w:left w:val="single" w:color="auto" w:sz="4" w:space="0"/>
              <w:right w:val="single" w:color="auto" w:sz="4" w:space="0"/>
            </w:tcBorders>
            <w:vAlign w:val="center"/>
          </w:tcPr>
          <w:p>
            <w:pPr>
              <w:ind w:left="0" w:leftChars="0" w:firstLine="0" w:firstLineChars="0"/>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界石片区</w:t>
            </w: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良模学校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九年一贯制</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南泉中学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南温泉小学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bookmarkStart w:id="356" w:name="OLE_LINK34" w:colFirst="1" w:colLast="1"/>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田家炳中学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高完中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界石小学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南泉小学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樵坪点校</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点校</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bookmarkEnd w:id="356"/>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南湖小学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南湖中学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119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忠兴小学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惠民小学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惠民中学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桂花小学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123</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融创小学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124</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融创中学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125</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实践中心B区</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委属单位</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126</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华南城中学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初中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127</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华南城小学</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万兆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128</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巴桂苑安置房幼儿园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129</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樵坪春晓安置房幼儿园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130</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樵坪人家幼儿园</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131</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 xml:space="preserve">东城国际幼儿园  </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132</w:t>
            </w:r>
          </w:p>
        </w:tc>
        <w:tc>
          <w:tcPr>
            <w:tcW w:w="2858"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 xml:space="preserve">百合佳园幼儿园  </w:t>
            </w:r>
          </w:p>
        </w:tc>
        <w:tc>
          <w:tcPr>
            <w:tcW w:w="1427"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nil"/>
              <w:left w:val="nil"/>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133</w:t>
            </w:r>
          </w:p>
        </w:tc>
        <w:tc>
          <w:tcPr>
            <w:tcW w:w="2858"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 xml:space="preserve">巴南华府幼儿园   </w:t>
            </w:r>
          </w:p>
        </w:tc>
        <w:tc>
          <w:tcPr>
            <w:tcW w:w="1427"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134</w:t>
            </w:r>
          </w:p>
        </w:tc>
        <w:tc>
          <w:tcPr>
            <w:tcW w:w="2858"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渝锦悦幼儿园</w:t>
            </w:r>
          </w:p>
        </w:tc>
        <w:tc>
          <w:tcPr>
            <w:tcW w:w="1427"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幼儿园</w:t>
            </w:r>
          </w:p>
        </w:tc>
        <w:tc>
          <w:tcPr>
            <w:tcW w:w="1195"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135</w:t>
            </w:r>
          </w:p>
        </w:tc>
        <w:tc>
          <w:tcPr>
            <w:tcW w:w="2858"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南环小学</w:t>
            </w:r>
          </w:p>
        </w:tc>
        <w:tc>
          <w:tcPr>
            <w:tcW w:w="1427"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r>
        <w:tblPrEx>
          <w:tblLayout w:type="fixed"/>
          <w:tblCellMar>
            <w:top w:w="0" w:type="dxa"/>
            <w:left w:w="108" w:type="dxa"/>
            <w:bottom w:w="0" w:type="dxa"/>
            <w:right w:w="108" w:type="dxa"/>
          </w:tblCellMar>
        </w:tblPrEx>
        <w:trPr>
          <w:trHeight w:val="270" w:hRule="atLeast"/>
          <w:jc w:val="center"/>
        </w:trPr>
        <w:tc>
          <w:tcPr>
            <w:tcW w:w="1320" w:type="dxa"/>
            <w:vMerge w:val="continue"/>
            <w:tcBorders>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vAlign w:val="center"/>
          </w:tcPr>
          <w:p>
            <w:pPr>
              <w:ind w:firstLine="424"/>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136</w:t>
            </w:r>
          </w:p>
        </w:tc>
        <w:tc>
          <w:tcPr>
            <w:tcW w:w="2858"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界石东城小学</w:t>
            </w:r>
          </w:p>
        </w:tc>
        <w:tc>
          <w:tcPr>
            <w:tcW w:w="1427"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小学</w:t>
            </w:r>
          </w:p>
        </w:tc>
        <w:tc>
          <w:tcPr>
            <w:tcW w:w="1195"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公立</w:t>
            </w:r>
          </w:p>
        </w:tc>
        <w:tc>
          <w:tcPr>
            <w:tcW w:w="1211" w:type="dxa"/>
            <w:tcBorders>
              <w:top w:val="single" w:color="auto" w:sz="4" w:space="0"/>
              <w:left w:val="single" w:color="auto" w:sz="4" w:space="0"/>
              <w:bottom w:val="single" w:color="auto" w:sz="4" w:space="0"/>
              <w:right w:val="single" w:color="auto" w:sz="4" w:space="0"/>
            </w:tcBorders>
            <w:vAlign w:val="center"/>
          </w:tcPr>
          <w:p>
            <w:pPr>
              <w:ind w:firstLine="424"/>
              <w:rPr>
                <w:rFonts w:hint="eastAsia" w:ascii="仿宋" w:hAnsi="仿宋" w:eastAsia="仿宋" w:cs="仿宋"/>
                <w:color w:val="auto"/>
                <w:szCs w:val="22"/>
                <w:highlight w:val="none"/>
                <w:lang w:val="en-US" w:eastAsia="zh-CN"/>
              </w:rPr>
            </w:pPr>
            <w:r>
              <w:rPr>
                <w:rFonts w:hint="eastAsia" w:ascii="仿宋" w:hAnsi="仿宋" w:eastAsia="仿宋" w:cs="仿宋"/>
                <w:color w:val="auto"/>
                <w:szCs w:val="22"/>
                <w:highlight w:val="none"/>
                <w:lang w:val="en-US" w:eastAsia="zh-CN"/>
              </w:rPr>
              <w:t>千兆</w:t>
            </w:r>
          </w:p>
        </w:tc>
      </w:tr>
    </w:tbl>
    <w:p>
      <w:pPr>
        <w:ind w:left="0" w:leftChars="0" w:firstLine="0" w:firstLineChars="0"/>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附件2：</w:t>
      </w:r>
    </w:p>
    <w:p>
      <w:pPr>
        <w:adjustRightInd w:val="0"/>
        <w:jc w:val="center"/>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巴南区</w:t>
      </w:r>
      <w:r>
        <w:rPr>
          <w:rFonts w:ascii="宋体" w:hAnsi="宋体"/>
          <w:color w:val="000000" w:themeColor="text1"/>
          <w:szCs w:val="28"/>
          <w:highlight w:val="none"/>
          <w14:textFill>
            <w14:solidFill>
              <w14:schemeClr w14:val="tx1"/>
            </w14:solidFill>
          </w14:textFill>
        </w:rPr>
        <w:t>教育城域网</w:t>
      </w:r>
      <w:r>
        <w:rPr>
          <w:rFonts w:hint="eastAsia" w:ascii="宋体" w:hAnsi="宋体"/>
          <w:color w:val="000000" w:themeColor="text1"/>
          <w:szCs w:val="28"/>
          <w:highlight w:val="none"/>
          <w14:textFill>
            <w14:solidFill>
              <w14:schemeClr w14:val="tx1"/>
            </w14:solidFill>
          </w14:textFill>
        </w:rPr>
        <w:t>网络</w:t>
      </w:r>
      <w:r>
        <w:rPr>
          <w:rFonts w:ascii="宋体" w:hAnsi="宋体"/>
          <w:color w:val="000000" w:themeColor="text1"/>
          <w:szCs w:val="28"/>
          <w:highlight w:val="none"/>
          <w14:textFill>
            <w14:solidFill>
              <w14:schemeClr w14:val="tx1"/>
            </w14:solidFill>
          </w14:textFill>
        </w:rPr>
        <w:t>拓扑图</w:t>
      </w:r>
    </w:p>
    <w:p>
      <w:pPr>
        <w:adjustRightInd w:val="0"/>
        <w:rPr>
          <w:rFonts w:ascii="宋体" w:hAnsi="宋体"/>
          <w:color w:val="000000" w:themeColor="text1"/>
          <w:szCs w:val="28"/>
          <w:highlight w:val="none"/>
          <w14:textFill>
            <w14:solidFill>
              <w14:schemeClr w14:val="tx1"/>
            </w14:solidFill>
          </w14:textFill>
        </w:rPr>
      </w:pPr>
      <w:r>
        <w:rPr>
          <w:color w:val="000000" w:themeColor="text1"/>
          <w:sz w:val="24"/>
          <w:highlight w:val="none"/>
          <w14:textFill>
            <w14:solidFill>
              <w14:schemeClr w14:val="tx1"/>
            </w14:solidFill>
          </w14:textFill>
        </w:rPr>
        <w:drawing>
          <wp:anchor distT="0" distB="0" distL="114300" distR="114300" simplePos="0" relativeHeight="251661312" behindDoc="0" locked="0" layoutInCell="1" allowOverlap="1">
            <wp:simplePos x="0" y="0"/>
            <wp:positionH relativeFrom="column">
              <wp:posOffset>44450</wp:posOffset>
            </wp:positionH>
            <wp:positionV relativeFrom="paragraph">
              <wp:posOffset>287655</wp:posOffset>
            </wp:positionV>
            <wp:extent cx="5845810" cy="3867150"/>
            <wp:effectExtent l="0" t="0" r="2540" b="0"/>
            <wp:wrapNone/>
            <wp:docPr id="11" name="图片 11" descr="C:/Users/Administrator/Desktop/城域网拓扑- 2025-10-31 .jpg城域网拓扑- 2025-10-3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strator/Desktop/城域网拓扑- 2025-10-31 .jpg城域网拓扑- 2025-10-31 "/>
                    <pic:cNvPicPr>
                      <a:picLocks noChangeAspect="1"/>
                    </pic:cNvPicPr>
                  </pic:nvPicPr>
                  <pic:blipFill>
                    <a:blip r:embed="rId13"/>
                    <a:srcRect t="5" b="5"/>
                    <a:stretch>
                      <a:fillRect/>
                    </a:stretch>
                  </pic:blipFill>
                  <pic:spPr>
                    <a:xfrm>
                      <a:off x="872490" y="2134870"/>
                      <a:ext cx="5845810" cy="3867150"/>
                    </a:xfrm>
                    <a:prstGeom prst="rect">
                      <a:avLst/>
                    </a:prstGeom>
                    <a:solidFill>
                      <a:schemeClr val="bg1">
                        <a:lumMod val="95000"/>
                      </a:schemeClr>
                    </a:solidFill>
                    <a:ln>
                      <a:noFill/>
                    </a:ln>
                  </pic:spPr>
                </pic:pic>
              </a:graphicData>
            </a:graphic>
          </wp:anchor>
        </w:drawing>
      </w:r>
    </w:p>
    <w:p>
      <w:pPr>
        <w:adjustRightInd w:val="0"/>
        <w:rPr>
          <w:rFonts w:hint="eastAsia" w:ascii="宋体" w:hAnsi="宋体" w:eastAsia="宋体"/>
          <w:color w:val="000000" w:themeColor="text1"/>
          <w:szCs w:val="28"/>
          <w:highlight w:val="none"/>
          <w:lang w:eastAsia="zh-CN"/>
          <w14:textFill>
            <w14:solidFill>
              <w14:schemeClr w14:val="tx1"/>
            </w14:solidFill>
          </w14:textFill>
        </w:rPr>
      </w:pPr>
    </w:p>
    <w:p>
      <w:pPr>
        <w:rPr>
          <w:rFonts w:hint="eastAsia"/>
          <w:color w:val="000000" w:themeColor="text1"/>
          <w:highlight w:val="none"/>
          <w14:textFill>
            <w14:solidFill>
              <w14:schemeClr w14:val="tx1"/>
            </w14:solidFill>
          </w14:textFill>
        </w:rPr>
      </w:pPr>
    </w:p>
    <w:p>
      <w:pPr>
        <w:adjustRightInd w:val="0"/>
        <w:rPr>
          <w:rFonts w:hint="eastAsia" w:ascii="宋体" w:hAnsi="宋体"/>
          <w:color w:val="000000" w:themeColor="text1"/>
          <w:szCs w:val="28"/>
          <w:highlight w:val="none"/>
          <w14:textFill>
            <w14:solidFill>
              <w14:schemeClr w14:val="tx1"/>
            </w14:solidFill>
          </w14:textFill>
        </w:rPr>
      </w:pPr>
    </w:p>
    <w:p>
      <w:pPr>
        <w:adjustRightInd w:val="0"/>
        <w:rPr>
          <w:rFonts w:hint="eastAsia" w:ascii="宋体" w:hAnsi="宋体"/>
          <w:color w:val="000000" w:themeColor="text1"/>
          <w:szCs w:val="28"/>
          <w:highlight w:val="none"/>
          <w14:textFill>
            <w14:solidFill>
              <w14:schemeClr w14:val="tx1"/>
            </w14:solidFill>
          </w14:textFill>
        </w:rPr>
      </w:pPr>
    </w:p>
    <w:p>
      <w:pPr>
        <w:adjustRightInd w:val="0"/>
        <w:rPr>
          <w:rFonts w:hint="eastAsia" w:ascii="宋体" w:hAnsi="宋体"/>
          <w:color w:val="000000" w:themeColor="text1"/>
          <w:szCs w:val="28"/>
          <w:highlight w:val="none"/>
          <w14:textFill>
            <w14:solidFill>
              <w14:schemeClr w14:val="tx1"/>
            </w14:solidFill>
          </w14:textFill>
        </w:rPr>
      </w:pPr>
    </w:p>
    <w:p>
      <w:pPr>
        <w:adjustRightInd w:val="0"/>
        <w:rPr>
          <w:rFonts w:hint="eastAsia" w:ascii="宋体" w:hAnsi="宋体"/>
          <w:color w:val="000000" w:themeColor="text1"/>
          <w:szCs w:val="28"/>
          <w:highlight w:val="none"/>
          <w14:textFill>
            <w14:solidFill>
              <w14:schemeClr w14:val="tx1"/>
            </w14:solidFill>
          </w14:textFill>
        </w:rPr>
      </w:pPr>
    </w:p>
    <w:p>
      <w:pPr>
        <w:adjustRightInd w:val="0"/>
        <w:rPr>
          <w:rFonts w:hint="eastAsia" w:ascii="宋体" w:hAnsi="宋体"/>
          <w:color w:val="000000" w:themeColor="text1"/>
          <w:szCs w:val="28"/>
          <w:highlight w:val="none"/>
          <w14:textFill>
            <w14:solidFill>
              <w14:schemeClr w14:val="tx1"/>
            </w14:solidFill>
          </w14:textFill>
        </w:rPr>
      </w:pPr>
    </w:p>
    <w:p>
      <w:pPr>
        <w:adjustRightInd w:val="0"/>
        <w:ind w:firstLine="438"/>
        <w:rPr>
          <w:rFonts w:ascii="宋体" w:hAnsi="宋体"/>
          <w:color w:val="000000" w:themeColor="text1"/>
          <w:szCs w:val="28"/>
          <w:highlight w:val="none"/>
          <w14:textFill>
            <w14:solidFill>
              <w14:schemeClr w14:val="tx1"/>
            </w14:solidFill>
          </w14:textFill>
        </w:rPr>
      </w:pPr>
    </w:p>
    <w:p>
      <w:pPr>
        <w:adjustRightInd w:val="0"/>
        <w:ind w:firstLine="438"/>
        <w:rPr>
          <w:rFonts w:ascii="宋体" w:hAnsi="宋体"/>
          <w:color w:val="000000" w:themeColor="text1"/>
          <w:szCs w:val="28"/>
          <w:highlight w:val="none"/>
          <w14:textFill>
            <w14:solidFill>
              <w14:schemeClr w14:val="tx1"/>
            </w14:solidFill>
          </w14:textFill>
        </w:rPr>
      </w:pPr>
    </w:p>
    <w:p>
      <w:pPr>
        <w:adjustRightInd w:val="0"/>
        <w:ind w:firstLine="438"/>
        <w:rPr>
          <w:rFonts w:ascii="宋体" w:hAnsi="宋体"/>
          <w:color w:val="000000" w:themeColor="text1"/>
          <w:szCs w:val="28"/>
          <w:highlight w:val="none"/>
          <w14:textFill>
            <w14:solidFill>
              <w14:schemeClr w14:val="tx1"/>
            </w14:solidFill>
          </w14:textFill>
        </w:rPr>
      </w:pPr>
    </w:p>
    <w:p>
      <w:pPr>
        <w:adjustRightInd w:val="0"/>
        <w:ind w:firstLine="438"/>
        <w:rPr>
          <w:rFonts w:ascii="宋体" w:hAnsi="宋体"/>
          <w:color w:val="000000" w:themeColor="text1"/>
          <w:szCs w:val="28"/>
          <w:highlight w:val="none"/>
          <w14:textFill>
            <w14:solidFill>
              <w14:schemeClr w14:val="tx1"/>
            </w14:solidFill>
          </w14:textFill>
        </w:rPr>
      </w:pPr>
      <w:r>
        <w:rPr>
          <w:color w:val="000000" w:themeColor="text1"/>
          <w:sz w:val="28"/>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4238625</wp:posOffset>
                </wp:positionH>
                <wp:positionV relativeFrom="paragraph">
                  <wp:posOffset>321310</wp:posOffset>
                </wp:positionV>
                <wp:extent cx="435610" cy="175260"/>
                <wp:effectExtent l="0" t="0" r="2540" b="15240"/>
                <wp:wrapNone/>
                <wp:docPr id="5" name="文本框 5"/>
                <wp:cNvGraphicFramePr/>
                <a:graphic xmlns:a="http://schemas.openxmlformats.org/drawingml/2006/main">
                  <a:graphicData uri="http://schemas.microsoft.com/office/word/2010/wordprocessingShape">
                    <wps:wsp>
                      <wps:cNvSpPr txBox="1"/>
                      <wps:spPr>
                        <a:xfrm>
                          <a:off x="0" y="0"/>
                          <a:ext cx="435610" cy="175260"/>
                        </a:xfrm>
                        <a:prstGeom prst="rect">
                          <a:avLst/>
                        </a:prstGeom>
                        <a:solidFill>
                          <a:schemeClr val="bg1">
                            <a:lumMod val="9500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000000" w:themeColor="text1"/>
                                <w:sz w:val="13"/>
                                <w:szCs w:val="13"/>
                                <w:lang w:val="en-US" w:eastAsia="zh-CN"/>
                                <w14:textFill>
                                  <w14:solidFill>
                                    <w14:schemeClr w14:val="tx1"/>
                                  </w14:solidFill>
                                </w14:textFill>
                              </w:rPr>
                            </w:pPr>
                            <w:bookmarkStart w:id="880" w:name="OLE_LINK31"/>
                            <w:r>
                              <w:rPr>
                                <w:rFonts w:hint="eastAsia"/>
                                <w:color w:val="000000" w:themeColor="text1"/>
                                <w:sz w:val="13"/>
                                <w:szCs w:val="13"/>
                                <w:lang w:val="en-US" w:eastAsia="zh-CN"/>
                                <w14:textFill>
                                  <w14:solidFill>
                                    <w14:schemeClr w14:val="tx1"/>
                                  </w14:solidFill>
                                </w14:textFill>
                              </w:rPr>
                              <w:t>100个</w:t>
                            </w:r>
                            <w:bookmarkEnd w:id="88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3.75pt;margin-top:25.3pt;height:13.8pt;width:34.3pt;z-index:251660288;mso-width-relative:page;mso-height-relative:page;" fillcolor="#F2F2F2 [3052]" filled="t" stroked="f" coordsize="21600,21600" o:gfxdata="UEsDBAoAAAAAAIdO4kAAAAAAAAAAAAAAAAAEAAAAZHJzL1BLAwQUAAAACACHTuJA6ehR1dYAAAAJ&#10;AQAADwAAAGRycy9kb3ducmV2LnhtbE2PwU7DMAyG70i8Q2QkbizpYFnpmu6A4A5bxTlrvLTQJFWT&#10;rWVPjzmxmy1/+v395XZ2PTvjGLvgFWQLAQx9E0znrYJ6//aQA4tJe6P74FHBD0bYVrc3pS5MmPwH&#10;nnfJMgrxsdAK2pSGgvPYtOh0XIQBPd2OYXQ60TpabkY9Ubjr+VIIyZ3uPH1o9YAvLTbfu5NT8F7P&#10;+8/8a36qHdrXS7xMXXi2St3fZWIDLOGc/mH40yd1qMjpEE7eRNYrkHK9IlTBSkhgBKwfZQbsQEO+&#10;BF6V/LpB9QtQSwMEFAAAAAgAh07iQN1zVlpEAgAAYgQAAA4AAABkcnMvZTJvRG9jLnhtbK1UzY7a&#10;MBC+V+o7WL6XJCxhu4iwoqyoKtHuSrTq2TgORLI9rm1I6AN036CnXnrvc/EcHTvA0p9TVSGZ+fk8&#10;4/lmJuPbVkmyE9bVoAua9VJKhOZQ1npd0A/v5y9eUuI80yWToEVB98LR28nzZ+PGjEQfNiBLYQkG&#10;0W7UmIJuvDejJHF8IxRzPTBCo7MCq5hH1a6T0rIGoyuZ9NN0mDRgS2OBC+fQetc56STGryrB/X1V&#10;OeGJLCi+zcfTxnMVzmQyZqO1ZWZT8+Mz2D+8QrFaY9JzqDvmGdna+o9QquYWHFS+x0ElUFU1F7EG&#10;rCZLf6tmuWFGxFqQHGfONLn/F5a/2z1YUpcFzSnRTGGLDl8fD99+HL5/IXmgpzFuhKilQZxvX0GL&#10;bT7ZHRpD1W1lVfjHegj6kej9mVzResLROLjKhxl6OLqy67w/jOQnT5eNdf61AEWCUFCLvYuUst3C&#10;eXwIQk+QkMuBrMt5LWVU7Ho1k5bsGPZ53g+/eFdu1VsoO/NNnqannK7Dx6C/BJKaNAUdXuVpvK8h&#10;ZOiSS43wwEZXdZB8u2qPFK2g3CNDFroRc4bPa6xjwZx/YBZnCkvHPfH3eFQSMAkcJUo2YD//zR7w&#10;2Gr0UtLgjBbUfdoyKyiRbzQOwU02GIShjsogv+6jYi89q0uP3qoZID0ZbqThUQx4L09iZUF9xHWa&#10;hqzoYppj7oL6kzjz3ebgOnIxnUYQjrFhfqGXhofQoRkaplsPVR2bFmjquDmyh4McaT8uXdiUSz2i&#10;nj4Nk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p6FHV1gAAAAkBAAAPAAAAAAAAAAEAIAAAACIA&#10;AABkcnMvZG93bnJldi54bWxQSwECFAAUAAAACACHTuJA3XNWWkQCAABiBAAADgAAAAAAAAABACAA&#10;AAAlAQAAZHJzL2Uyb0RvYy54bWxQSwUGAAAAAAYABgBZAQAA2wUAAAAA&#10;">
                <v:fill on="t" focussize="0,0"/>
                <v:stroke on="f" weight="0.5pt"/>
                <v:imagedata o:title=""/>
                <o:lock v:ext="edit" aspectratio="f"/>
                <v:textbox>
                  <w:txbxContent>
                    <w:p>
                      <w:pPr>
                        <w:rPr>
                          <w:rFonts w:hint="default" w:eastAsia="宋体"/>
                          <w:color w:val="000000" w:themeColor="text1"/>
                          <w:sz w:val="13"/>
                          <w:szCs w:val="13"/>
                          <w:lang w:val="en-US" w:eastAsia="zh-CN"/>
                          <w14:textFill>
                            <w14:solidFill>
                              <w14:schemeClr w14:val="tx1"/>
                            </w14:solidFill>
                          </w14:textFill>
                        </w:rPr>
                      </w:pPr>
                      <w:bookmarkStart w:id="880" w:name="OLE_LINK31"/>
                      <w:r>
                        <w:rPr>
                          <w:rFonts w:hint="eastAsia"/>
                          <w:color w:val="000000" w:themeColor="text1"/>
                          <w:sz w:val="13"/>
                          <w:szCs w:val="13"/>
                          <w:lang w:val="en-US" w:eastAsia="zh-CN"/>
                          <w14:textFill>
                            <w14:solidFill>
                              <w14:schemeClr w14:val="tx1"/>
                            </w14:solidFill>
                          </w14:textFill>
                        </w:rPr>
                        <w:t>100个</w:t>
                      </w:r>
                      <w:bookmarkEnd w:id="880"/>
                    </w:p>
                  </w:txbxContent>
                </v:textbox>
              </v:shape>
            </w:pict>
          </mc:Fallback>
        </mc:AlternateContent>
      </w:r>
      <w:r>
        <w:rPr>
          <w:rFonts w:ascii="宋体" w:hAnsi="宋体"/>
          <w:color w:val="000000" w:themeColor="text1"/>
          <w:szCs w:val="28"/>
          <w:highlight w:val="none"/>
          <w14:textFill>
            <w14:solidFill>
              <w14:schemeClr w14:val="tx1"/>
            </w14:solidFill>
          </w14:textFill>
        </w:rPr>
        <w:br w:type="page"/>
      </w:r>
    </w:p>
    <w:p>
      <w:pPr>
        <w:numPr>
          <w:ilvl w:val="0"/>
          <w:numId w:val="1"/>
        </w:numPr>
        <w:spacing w:beforeLines="50" w:afterLines="50" w:line="800" w:lineRule="exact"/>
        <w:ind w:left="1531" w:hanging="1531" w:firstLineChars="0"/>
        <w:jc w:val="center"/>
        <w:outlineLvl w:val="0"/>
        <w:rPr>
          <w:rStyle w:val="39"/>
          <w:rFonts w:hint="eastAsia" w:ascii="方正小标宋简体" w:eastAsia="方正小标宋简体"/>
          <w:color w:val="auto"/>
          <w:highlight w:val="none"/>
        </w:rPr>
      </w:pPr>
      <w:bookmarkStart w:id="357" w:name="_Toc5095"/>
      <w:r>
        <w:rPr>
          <w:rStyle w:val="39"/>
          <w:rFonts w:hint="eastAsia" w:ascii="方正小标宋简体" w:eastAsia="方正小标宋简体"/>
          <w:color w:val="auto"/>
          <w:highlight w:val="none"/>
        </w:rPr>
        <w:t>项目商务需求</w:t>
      </w:r>
      <w:bookmarkEnd w:id="310"/>
      <w:bookmarkEnd w:id="311"/>
      <w:bookmarkEnd w:id="312"/>
      <w:bookmarkEnd w:id="313"/>
      <w:bookmarkEnd w:id="314"/>
      <w:bookmarkEnd w:id="357"/>
    </w:p>
    <w:bookmarkEnd w:id="305"/>
    <w:bookmarkEnd w:id="306"/>
    <w:bookmarkEnd w:id="307"/>
    <w:bookmarkEnd w:id="315"/>
    <w:bookmarkEnd w:id="316"/>
    <w:bookmarkEnd w:id="317"/>
    <w:bookmarkEnd w:id="318"/>
    <w:bookmarkEnd w:id="319"/>
    <w:bookmarkEnd w:id="320"/>
    <w:bookmarkEnd w:id="321"/>
    <w:bookmarkEnd w:id="322"/>
    <w:bookmarkEnd w:id="323"/>
    <w:p>
      <w:pPr>
        <w:ind w:firstLine="0" w:firstLineChars="0"/>
        <w:jc w:val="center"/>
        <w:rPr>
          <w:rFonts w:hint="eastAsia" w:ascii="仿宋" w:hAnsi="仿宋" w:eastAsia="仿宋"/>
          <w:color w:val="auto"/>
          <w:szCs w:val="22"/>
          <w:highlight w:val="none"/>
        </w:rPr>
      </w:pPr>
      <w:bookmarkStart w:id="358" w:name="_Toc10846"/>
      <w:bookmarkStart w:id="359" w:name="_Toc16744"/>
      <w:bookmarkStart w:id="360" w:name="_Toc15610"/>
      <w:bookmarkStart w:id="361" w:name="_Toc16283"/>
      <w:bookmarkStart w:id="362" w:name="_Toc23849"/>
      <w:bookmarkStart w:id="363" w:name="_Toc2253"/>
      <w:bookmarkStart w:id="364" w:name="_Toc12924"/>
      <w:bookmarkStart w:id="365" w:name="_Toc6555"/>
      <w:bookmarkStart w:id="366" w:name="_Toc23563"/>
      <w:bookmarkStart w:id="367" w:name="_Toc26963"/>
      <w:bookmarkStart w:id="368" w:name="_Toc22193"/>
      <w:bookmarkStart w:id="369" w:name="_Toc384905065"/>
      <w:bookmarkStart w:id="370" w:name="_Toc435689002"/>
      <w:bookmarkStart w:id="371" w:name="_Toc409189624"/>
      <w:r>
        <w:rPr>
          <w:rFonts w:hint="eastAsia" w:ascii="仿宋" w:hAnsi="仿宋" w:eastAsia="仿宋"/>
          <w:color w:val="auto"/>
          <w:highlight w:val="none"/>
        </w:rPr>
        <w:t>“※”</w:t>
      </w:r>
      <w:bookmarkEnd w:id="358"/>
      <w:bookmarkEnd w:id="359"/>
      <w:bookmarkEnd w:id="360"/>
      <w:bookmarkEnd w:id="361"/>
      <w:bookmarkEnd w:id="362"/>
      <w:bookmarkEnd w:id="363"/>
      <w:bookmarkEnd w:id="364"/>
      <w:bookmarkEnd w:id="365"/>
      <w:bookmarkEnd w:id="366"/>
      <w:bookmarkEnd w:id="367"/>
      <w:bookmarkEnd w:id="368"/>
      <w:r>
        <w:rPr>
          <w:rFonts w:hint="eastAsia" w:ascii="仿宋" w:hAnsi="仿宋" w:eastAsia="仿宋"/>
          <w:color w:val="auto"/>
          <w:highlight w:val="none"/>
        </w:rPr>
        <w:t>标注的商务需求为符合性审查内容，电子投标文件若不满足按无效投标处理</w:t>
      </w:r>
      <w:bookmarkStart w:id="372" w:name="_Toc267320049"/>
      <w:bookmarkStart w:id="373" w:name="_Toc20488321"/>
      <w:bookmarkStart w:id="374" w:name="_Toc27749"/>
      <w:bookmarkStart w:id="375" w:name="_Toc6086"/>
      <w:bookmarkStart w:id="376" w:name="_Toc63600414"/>
      <w:bookmarkStart w:id="377" w:name="_Toc31526"/>
      <w:bookmarkStart w:id="378" w:name="_Toc3303"/>
      <w:bookmarkStart w:id="379" w:name="_Toc14448"/>
      <w:bookmarkStart w:id="380" w:name="_Toc13497"/>
      <w:bookmarkStart w:id="381" w:name="_Toc3156"/>
      <w:bookmarkStart w:id="382" w:name="_Toc13360"/>
      <w:bookmarkStart w:id="383" w:name="_Toc20489877"/>
    </w:p>
    <w:p>
      <w:pPr>
        <w:pStyle w:val="4"/>
        <w:spacing w:before="190" w:after="190"/>
        <w:ind w:firstLine="506"/>
        <w:rPr>
          <w:rFonts w:ascii="仿宋" w:hAnsi="仿宋" w:eastAsia="仿宋"/>
          <w:color w:val="auto"/>
          <w:szCs w:val="22"/>
          <w:highlight w:val="none"/>
        </w:rPr>
      </w:pPr>
      <w:bookmarkStart w:id="384" w:name="_Toc881"/>
      <w:r>
        <w:rPr>
          <w:rFonts w:hint="eastAsia" w:ascii="仿宋" w:hAnsi="仿宋" w:eastAsia="仿宋"/>
          <w:color w:val="auto"/>
          <w:szCs w:val="22"/>
          <w:highlight w:val="none"/>
        </w:rPr>
        <w:t>※一、</w:t>
      </w:r>
      <w:bookmarkEnd w:id="372"/>
      <w:bookmarkEnd w:id="373"/>
      <w:bookmarkEnd w:id="374"/>
      <w:bookmarkEnd w:id="375"/>
      <w:bookmarkEnd w:id="376"/>
      <w:bookmarkEnd w:id="377"/>
      <w:bookmarkEnd w:id="378"/>
      <w:bookmarkEnd w:id="379"/>
      <w:bookmarkEnd w:id="380"/>
      <w:bookmarkEnd w:id="381"/>
      <w:bookmarkEnd w:id="382"/>
      <w:bookmarkEnd w:id="383"/>
      <w:r>
        <w:rPr>
          <w:rFonts w:hint="eastAsia" w:ascii="仿宋" w:hAnsi="仿宋" w:eastAsia="仿宋"/>
          <w:color w:val="auto"/>
          <w:szCs w:val="22"/>
          <w:highlight w:val="none"/>
        </w:rPr>
        <w:t>服务期、服务地点及验收方式</w:t>
      </w:r>
      <w:bookmarkEnd w:id="384"/>
    </w:p>
    <w:p>
      <w:pPr>
        <w:ind w:firstLine="0" w:firstLineChars="0"/>
        <w:jc w:val="both"/>
        <w:rPr>
          <w:rFonts w:hint="eastAsia" w:ascii="仿宋" w:hAnsi="仿宋" w:eastAsia="仿宋"/>
          <w:color w:val="auto"/>
          <w:szCs w:val="22"/>
          <w:highlight w:val="none"/>
        </w:rPr>
      </w:pPr>
      <w:bookmarkStart w:id="385" w:name="_Toc14048"/>
      <w:bookmarkStart w:id="386" w:name="_Toc22445"/>
      <w:bookmarkStart w:id="387" w:name="_Toc8430"/>
      <w:bookmarkStart w:id="388" w:name="_Toc2000"/>
      <w:bookmarkStart w:id="389" w:name="_Toc536"/>
      <w:bookmarkStart w:id="390" w:name="_Toc21633"/>
      <w:bookmarkStart w:id="391" w:name="_Toc3823"/>
      <w:bookmarkStart w:id="392" w:name="_Toc2854"/>
      <w:bookmarkStart w:id="393" w:name="_Toc28205"/>
      <w:bookmarkStart w:id="394" w:name="_Toc31294"/>
      <w:bookmarkStart w:id="395" w:name="_Toc63600415"/>
      <w:bookmarkStart w:id="396" w:name="_Toc22188"/>
      <w:bookmarkStart w:id="397" w:name="_Toc24605"/>
      <w:bookmarkStart w:id="398" w:name="_Toc840"/>
      <w:bookmarkStart w:id="399" w:name="_Toc18787"/>
      <w:bookmarkStart w:id="400" w:name="_Toc1847"/>
      <w:bookmarkStart w:id="401" w:name="_Toc31981"/>
      <w:r>
        <w:rPr>
          <w:rFonts w:hint="eastAsia" w:ascii="仿宋" w:hAnsi="仿宋" w:eastAsia="仿宋"/>
          <w:color w:val="auto"/>
          <w:szCs w:val="22"/>
          <w:highlight w:val="none"/>
        </w:rPr>
        <w:t>※（一）</w:t>
      </w:r>
      <w:bookmarkEnd w:id="385"/>
      <w:bookmarkEnd w:id="386"/>
      <w:bookmarkEnd w:id="387"/>
      <w:bookmarkEnd w:id="388"/>
      <w:bookmarkEnd w:id="389"/>
      <w:r>
        <w:rPr>
          <w:rFonts w:hint="eastAsia" w:ascii="仿宋" w:hAnsi="仿宋" w:eastAsia="仿宋"/>
          <w:color w:val="auto"/>
          <w:szCs w:val="22"/>
          <w:highlight w:val="none"/>
        </w:rPr>
        <w:t>服务期</w:t>
      </w:r>
    </w:p>
    <w:p>
      <w:pPr>
        <w:ind w:firstLine="424" w:firstLineChars="200"/>
        <w:jc w:val="both"/>
        <w:rPr>
          <w:rFonts w:hint="eastAsia" w:ascii="仿宋" w:hAnsi="仿宋" w:eastAsia="仿宋"/>
          <w:color w:val="auto"/>
          <w:szCs w:val="22"/>
          <w:highlight w:val="none"/>
        </w:rPr>
      </w:pPr>
      <w:bookmarkStart w:id="402" w:name="_Toc6462"/>
      <w:bookmarkStart w:id="403" w:name="_Toc16735"/>
      <w:bookmarkStart w:id="404" w:name="_Toc12842"/>
      <w:bookmarkStart w:id="405" w:name="_Toc26482"/>
      <w:bookmarkStart w:id="406" w:name="_Toc15501"/>
      <w:r>
        <w:rPr>
          <w:rFonts w:hint="eastAsia" w:ascii="仿宋" w:hAnsi="仿宋" w:eastAsia="仿宋"/>
          <w:color w:val="auto"/>
          <w:szCs w:val="22"/>
          <w:highlight w:val="none"/>
        </w:rPr>
        <w:t>服务期限：三年，自验收合格之日算起（中标人在服务期限内承担本项目所有的管理、运维及安全保障工作）。</w:t>
      </w:r>
    </w:p>
    <w:p>
      <w:pPr>
        <w:ind w:firstLine="424" w:firstLineChars="200"/>
        <w:jc w:val="both"/>
        <w:rPr>
          <w:rFonts w:hint="eastAsia" w:ascii="仿宋" w:hAnsi="仿宋" w:eastAsia="仿宋"/>
          <w:color w:val="auto"/>
          <w:szCs w:val="22"/>
          <w:highlight w:val="none"/>
        </w:rPr>
      </w:pPr>
      <w:r>
        <w:rPr>
          <w:rFonts w:hint="eastAsia" w:ascii="仿宋" w:hAnsi="仿宋" w:eastAsia="仿宋"/>
          <w:color w:val="auto"/>
          <w:szCs w:val="22"/>
          <w:highlight w:val="none"/>
        </w:rPr>
        <w:t>1.建设工期：中标</w:t>
      </w:r>
      <w:r>
        <w:rPr>
          <w:rFonts w:hint="eastAsia" w:ascii="仿宋" w:hAnsi="仿宋" w:eastAsia="仿宋"/>
          <w:color w:val="auto"/>
          <w:szCs w:val="22"/>
          <w:highlight w:val="none"/>
          <w:lang w:val="en-US" w:eastAsia="zh-CN"/>
        </w:rPr>
        <w:t>公示完结后，中标人与采购人10日内签订合同，</w:t>
      </w:r>
      <w:r>
        <w:rPr>
          <w:rFonts w:hint="eastAsia" w:ascii="仿宋" w:hAnsi="仿宋" w:eastAsia="仿宋"/>
          <w:color w:val="auto"/>
          <w:szCs w:val="22"/>
          <w:highlight w:val="none"/>
        </w:rPr>
        <w:t>合同</w:t>
      </w:r>
      <w:r>
        <w:rPr>
          <w:rFonts w:hint="eastAsia" w:ascii="仿宋" w:hAnsi="仿宋" w:eastAsia="仿宋"/>
          <w:color w:val="auto"/>
          <w:szCs w:val="22"/>
          <w:highlight w:val="none"/>
          <w:lang w:val="en-US" w:eastAsia="zh-CN"/>
        </w:rPr>
        <w:t>签订</w:t>
      </w:r>
      <w:r>
        <w:rPr>
          <w:rFonts w:hint="eastAsia" w:ascii="仿宋" w:hAnsi="仿宋" w:eastAsia="仿宋"/>
          <w:color w:val="auto"/>
          <w:szCs w:val="22"/>
          <w:highlight w:val="none"/>
        </w:rPr>
        <w:t>之日起</w:t>
      </w:r>
      <w:r>
        <w:rPr>
          <w:rFonts w:hint="eastAsia" w:ascii="仿宋" w:hAnsi="仿宋" w:eastAsia="仿宋"/>
          <w:color w:val="auto"/>
          <w:szCs w:val="22"/>
          <w:highlight w:val="none"/>
          <w:lang w:val="en-US" w:eastAsia="zh-CN"/>
        </w:rPr>
        <w:t>45</w:t>
      </w:r>
      <w:r>
        <w:rPr>
          <w:rFonts w:hint="eastAsia" w:ascii="仿宋" w:hAnsi="仿宋" w:eastAsia="仿宋"/>
          <w:color w:val="auto"/>
          <w:szCs w:val="22"/>
          <w:highlight w:val="none"/>
        </w:rPr>
        <w:t>个日历日内完成本项目的所有建设工作并验收合格。若因建设点位的自身原因导致无法按期完成的，中标人应提前</w:t>
      </w:r>
      <w:r>
        <w:rPr>
          <w:rFonts w:hint="eastAsia" w:ascii="仿宋" w:hAnsi="仿宋" w:eastAsia="仿宋"/>
          <w:color w:val="auto"/>
          <w:szCs w:val="22"/>
          <w:highlight w:val="none"/>
          <w:lang w:val="en-US" w:eastAsia="zh-CN"/>
        </w:rPr>
        <w:t>5</w:t>
      </w:r>
      <w:r>
        <w:rPr>
          <w:rFonts w:hint="eastAsia" w:ascii="仿宋" w:hAnsi="仿宋" w:eastAsia="仿宋"/>
          <w:color w:val="auto"/>
          <w:szCs w:val="22"/>
          <w:highlight w:val="none"/>
        </w:rPr>
        <w:t>日与采购人协商。项目未能按约定交付，中标人应承担相应违约责任。造成采购人损失的，中标人应负责赔偿。</w:t>
      </w:r>
    </w:p>
    <w:p>
      <w:pPr>
        <w:ind w:firstLine="424" w:firstLineChars="200"/>
        <w:jc w:val="both"/>
        <w:rPr>
          <w:rFonts w:hint="eastAsia" w:ascii="仿宋" w:hAnsi="仿宋" w:eastAsia="仿宋"/>
          <w:color w:val="auto"/>
          <w:szCs w:val="22"/>
          <w:highlight w:val="none"/>
        </w:rPr>
      </w:pPr>
      <w:r>
        <w:rPr>
          <w:rFonts w:hint="eastAsia" w:ascii="仿宋" w:hAnsi="仿宋" w:eastAsia="仿宋"/>
          <w:color w:val="auto"/>
          <w:szCs w:val="22"/>
          <w:highlight w:val="none"/>
        </w:rPr>
        <w:t>2.过渡期服务</w:t>
      </w:r>
    </w:p>
    <w:tbl>
      <w:tblPr>
        <w:tblStyle w:val="32"/>
        <w:tblW w:w="9424"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136"/>
        <w:gridCol w:w="6746"/>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1"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hint="eastAsia" w:ascii="仿宋" w:hAnsi="仿宋" w:eastAsia="仿宋"/>
                <w:color w:val="auto"/>
                <w:szCs w:val="22"/>
                <w:highlight w:val="none"/>
              </w:rPr>
            </w:pPr>
            <w:r>
              <w:rPr>
                <w:rFonts w:hint="eastAsia" w:ascii="仿宋" w:hAnsi="仿宋" w:eastAsia="仿宋"/>
                <w:color w:val="auto"/>
                <w:szCs w:val="22"/>
                <w:highlight w:val="none"/>
              </w:rPr>
              <w:t>1</w:t>
            </w:r>
          </w:p>
        </w:tc>
        <w:tc>
          <w:tcPr>
            <w:tcW w:w="1136"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hint="eastAsia" w:ascii="仿宋" w:hAnsi="仿宋" w:eastAsia="仿宋"/>
                <w:color w:val="auto"/>
                <w:szCs w:val="22"/>
                <w:highlight w:val="none"/>
              </w:rPr>
            </w:pPr>
            <w:r>
              <w:rPr>
                <w:rFonts w:hint="eastAsia" w:ascii="仿宋" w:hAnsi="仿宋" w:eastAsia="仿宋"/>
                <w:color w:val="auto"/>
                <w:szCs w:val="22"/>
                <w:highlight w:val="none"/>
              </w:rPr>
              <w:t>过渡期</w:t>
            </w:r>
          </w:p>
          <w:p>
            <w:pPr>
              <w:ind w:firstLine="0" w:firstLineChars="0"/>
              <w:jc w:val="center"/>
              <w:rPr>
                <w:rFonts w:hint="eastAsia" w:ascii="仿宋" w:hAnsi="仿宋" w:eastAsia="仿宋"/>
                <w:color w:val="auto"/>
                <w:szCs w:val="22"/>
                <w:highlight w:val="none"/>
              </w:rPr>
            </w:pPr>
            <w:r>
              <w:rPr>
                <w:rFonts w:hint="eastAsia" w:ascii="仿宋" w:hAnsi="仿宋" w:eastAsia="仿宋"/>
                <w:color w:val="auto"/>
                <w:szCs w:val="22"/>
                <w:highlight w:val="none"/>
              </w:rPr>
              <w:t>服务</w:t>
            </w:r>
          </w:p>
        </w:tc>
        <w:tc>
          <w:tcPr>
            <w:tcW w:w="6746"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hint="eastAsia" w:ascii="仿宋" w:hAnsi="仿宋" w:eastAsia="仿宋"/>
                <w:color w:val="auto"/>
                <w:szCs w:val="22"/>
                <w:highlight w:val="none"/>
              </w:rPr>
            </w:pPr>
            <w:r>
              <w:rPr>
                <w:rFonts w:hint="eastAsia" w:ascii="仿宋" w:hAnsi="仿宋" w:eastAsia="仿宋"/>
                <w:color w:val="auto"/>
                <w:szCs w:val="22"/>
                <w:highlight w:val="none"/>
                <w:lang w:eastAsia="zh-CN"/>
              </w:rPr>
              <w:t>本项目中标人</w:t>
            </w:r>
            <w:r>
              <w:rPr>
                <w:rFonts w:hint="eastAsia" w:ascii="仿宋" w:hAnsi="仿宋" w:eastAsia="仿宋"/>
                <w:color w:val="auto"/>
                <w:szCs w:val="22"/>
                <w:highlight w:val="none"/>
              </w:rPr>
              <w:t>提供上一周期与本项目过渡期间的网络及安全运维等服务，保障平稳过渡到本项目验收合格前。</w:t>
            </w:r>
          </w:p>
        </w:tc>
        <w:tc>
          <w:tcPr>
            <w:tcW w:w="831"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hint="eastAsia" w:ascii="仿宋" w:hAnsi="仿宋" w:eastAsia="仿宋"/>
                <w:color w:val="auto"/>
                <w:szCs w:val="22"/>
                <w:highlight w:val="none"/>
              </w:rPr>
            </w:pPr>
            <w:r>
              <w:rPr>
                <w:rFonts w:hint="eastAsia" w:ascii="仿宋" w:hAnsi="仿宋" w:eastAsia="仿宋"/>
                <w:color w:val="auto"/>
                <w:szCs w:val="22"/>
                <w:highlight w:val="none"/>
              </w:rPr>
              <w:t>1项</w:t>
            </w:r>
          </w:p>
        </w:tc>
      </w:tr>
    </w:tbl>
    <w:p>
      <w:pPr>
        <w:ind w:firstLine="0" w:firstLineChars="0"/>
        <w:jc w:val="both"/>
        <w:rPr>
          <w:rFonts w:hint="eastAsia" w:ascii="仿宋" w:hAnsi="仿宋" w:eastAsia="仿宋"/>
          <w:color w:val="auto"/>
          <w:szCs w:val="22"/>
          <w:highlight w:val="none"/>
        </w:rPr>
      </w:pPr>
      <w:r>
        <w:rPr>
          <w:rFonts w:hint="eastAsia" w:ascii="仿宋" w:hAnsi="仿宋" w:eastAsia="仿宋"/>
          <w:color w:val="auto"/>
          <w:szCs w:val="22"/>
          <w:highlight w:val="none"/>
        </w:rPr>
        <w:t>（二）</w:t>
      </w:r>
      <w:bookmarkEnd w:id="402"/>
      <w:bookmarkEnd w:id="403"/>
      <w:bookmarkEnd w:id="404"/>
      <w:bookmarkEnd w:id="405"/>
      <w:bookmarkEnd w:id="406"/>
      <w:r>
        <w:rPr>
          <w:rFonts w:hint="eastAsia" w:ascii="仿宋" w:hAnsi="仿宋" w:eastAsia="仿宋"/>
          <w:color w:val="auto"/>
          <w:szCs w:val="22"/>
          <w:highlight w:val="none"/>
        </w:rPr>
        <w:t>服务地点：重庆市巴南区。</w:t>
      </w:r>
    </w:p>
    <w:p>
      <w:pPr>
        <w:ind w:firstLine="0" w:firstLineChars="0"/>
        <w:jc w:val="both"/>
        <w:rPr>
          <w:rFonts w:hint="eastAsia" w:ascii="仿宋" w:hAnsi="仿宋" w:eastAsia="仿宋"/>
          <w:color w:val="auto"/>
          <w:szCs w:val="22"/>
          <w:highlight w:val="none"/>
        </w:rPr>
      </w:pPr>
      <w:bookmarkStart w:id="407" w:name="_Toc5805"/>
      <w:bookmarkStart w:id="408" w:name="_Toc13080"/>
      <w:bookmarkStart w:id="409" w:name="_Toc26651"/>
      <w:bookmarkStart w:id="410" w:name="_Toc1112"/>
      <w:bookmarkStart w:id="411" w:name="_Toc3085"/>
      <w:r>
        <w:rPr>
          <w:rFonts w:hint="eastAsia" w:ascii="仿宋" w:hAnsi="仿宋" w:eastAsia="仿宋"/>
          <w:color w:val="auto"/>
          <w:szCs w:val="22"/>
          <w:highlight w:val="none"/>
        </w:rPr>
        <w:t>（三）验收方式</w:t>
      </w:r>
      <w:bookmarkEnd w:id="407"/>
      <w:bookmarkEnd w:id="408"/>
      <w:bookmarkEnd w:id="409"/>
      <w:bookmarkEnd w:id="410"/>
      <w:bookmarkEnd w:id="411"/>
    </w:p>
    <w:p>
      <w:pPr>
        <w:ind w:firstLine="424" w:firstLineChars="200"/>
        <w:jc w:val="both"/>
        <w:rPr>
          <w:rFonts w:hint="eastAsia" w:ascii="仿宋" w:hAnsi="仿宋" w:eastAsia="仿宋"/>
          <w:color w:val="auto"/>
          <w:szCs w:val="22"/>
          <w:highlight w:val="none"/>
        </w:rPr>
      </w:pPr>
      <w:r>
        <w:rPr>
          <w:rFonts w:hint="eastAsia" w:ascii="仿宋" w:hAnsi="仿宋" w:eastAsia="仿宋"/>
          <w:color w:val="auto"/>
          <w:szCs w:val="22"/>
          <w:highlight w:val="none"/>
        </w:rPr>
        <w:t>按《财政部关于进一步加强政府采购需求和履约验收管理的指导意见》（财库〔2016〕205号）的要求，本项目由采购人或授权委托人依法组织履约验收工作。中标人按招标文件规定程序要求申报验收，采购人组织验收。合同履行完毕，采购人原则上应在7个工作日内组织履约验收，不得无故拖延或附加额外条款。</w:t>
      </w:r>
    </w:p>
    <w:p>
      <w:pPr>
        <w:pStyle w:val="4"/>
        <w:spacing w:before="190" w:after="190"/>
        <w:ind w:firstLine="506"/>
        <w:rPr>
          <w:rFonts w:ascii="仿宋" w:hAnsi="仿宋" w:eastAsia="仿宋"/>
          <w:color w:val="auto"/>
          <w:szCs w:val="22"/>
          <w:highlight w:val="none"/>
        </w:rPr>
      </w:pPr>
      <w:bookmarkStart w:id="412" w:name="_Toc1620"/>
      <w:r>
        <w:rPr>
          <w:rFonts w:hint="eastAsia" w:ascii="仿宋" w:hAnsi="仿宋" w:eastAsia="仿宋"/>
          <w:color w:val="auto"/>
          <w:highlight w:val="none"/>
        </w:rPr>
        <w:t>※</w:t>
      </w:r>
      <w:r>
        <w:rPr>
          <w:rFonts w:hint="eastAsia" w:ascii="仿宋" w:hAnsi="仿宋" w:eastAsia="仿宋"/>
          <w:color w:val="auto"/>
          <w:szCs w:val="22"/>
          <w:highlight w:val="none"/>
        </w:rPr>
        <w:t>二、报价要求</w:t>
      </w:r>
      <w:bookmarkEnd w:id="390"/>
      <w:bookmarkEnd w:id="391"/>
      <w:bookmarkEnd w:id="392"/>
      <w:bookmarkEnd w:id="393"/>
      <w:bookmarkEnd w:id="394"/>
      <w:bookmarkEnd w:id="395"/>
      <w:bookmarkEnd w:id="396"/>
      <w:bookmarkEnd w:id="397"/>
      <w:bookmarkEnd w:id="398"/>
      <w:bookmarkEnd w:id="399"/>
      <w:bookmarkEnd w:id="400"/>
      <w:bookmarkEnd w:id="401"/>
      <w:bookmarkEnd w:id="412"/>
    </w:p>
    <w:p>
      <w:pPr>
        <w:ind w:firstLine="424" w:firstLineChars="200"/>
        <w:jc w:val="both"/>
        <w:rPr>
          <w:rFonts w:hint="eastAsia" w:ascii="仿宋" w:hAnsi="仿宋" w:eastAsia="仿宋"/>
          <w:color w:val="auto"/>
          <w:szCs w:val="22"/>
          <w:highlight w:val="none"/>
          <w:lang w:val="en-US" w:eastAsia="zh-CN"/>
        </w:rPr>
      </w:pPr>
      <w:bookmarkStart w:id="413" w:name="_Toc63600417"/>
      <w:bookmarkStart w:id="414" w:name="_Toc30461"/>
      <w:bookmarkStart w:id="415" w:name="_Toc26152"/>
      <w:bookmarkStart w:id="416" w:name="_Toc26590"/>
      <w:bookmarkStart w:id="417" w:name="_Toc2875"/>
      <w:bookmarkStart w:id="418" w:name="_Toc27525"/>
      <w:bookmarkStart w:id="419" w:name="_Toc2377"/>
      <w:bookmarkStart w:id="420" w:name="_Toc25982"/>
      <w:bookmarkStart w:id="421" w:name="_Toc16677"/>
      <w:bookmarkStart w:id="422" w:name="_Toc13619"/>
      <w:bookmarkStart w:id="423" w:name="_Toc4472"/>
      <w:r>
        <w:rPr>
          <w:rFonts w:hint="eastAsia" w:ascii="仿宋" w:hAnsi="仿宋" w:eastAsia="仿宋"/>
          <w:color w:val="auto"/>
          <w:szCs w:val="22"/>
          <w:highlight w:val="none"/>
          <w:lang w:val="en-US" w:eastAsia="zh-CN"/>
        </w:rPr>
        <w:t>本次报价须为人民币报价，投标人应根据本招标文件、国家有关标准规范结合本项目特点和现场情况，自行编制报价，包含完成设计直至通过验收的所有费用。因投标人自身原因造成漏报、少报皆由其自行承担责任，采购人不再补偿。</w:t>
      </w:r>
    </w:p>
    <w:p>
      <w:pPr>
        <w:pStyle w:val="10"/>
        <w:ind w:firstLine="2332" w:firstLineChars="1100"/>
        <w:rPr>
          <w:rFonts w:hint="eastAsia" w:ascii="仿宋" w:hAnsi="仿宋" w:eastAsia="仿宋" w:cs="等线"/>
          <w:b/>
          <w:bCs/>
          <w:color w:val="auto"/>
          <w:kern w:val="0"/>
          <w:sz w:val="24"/>
          <w:szCs w:val="24"/>
          <w:highlight w:val="none"/>
          <w:lang w:val="en-US" w:eastAsia="zh-CN" w:bidi="ar-SA"/>
        </w:rPr>
      </w:pPr>
    </w:p>
    <w:p>
      <w:pPr>
        <w:pStyle w:val="4"/>
        <w:spacing w:before="190" w:after="190"/>
        <w:ind w:left="0" w:leftChars="0" w:firstLine="212" w:firstLineChars="100"/>
        <w:rPr>
          <w:rFonts w:ascii="仿宋" w:hAnsi="仿宋" w:eastAsia="仿宋"/>
          <w:color w:val="auto"/>
          <w:sz w:val="24"/>
          <w:szCs w:val="24"/>
          <w:highlight w:val="none"/>
        </w:rPr>
      </w:pPr>
      <w:bookmarkStart w:id="424" w:name="_Toc30484"/>
      <w:r>
        <w:rPr>
          <w:rFonts w:hint="eastAsia" w:ascii="仿宋" w:hAnsi="仿宋" w:eastAsia="仿宋"/>
          <w:color w:val="auto"/>
          <w:sz w:val="24"/>
          <w:szCs w:val="24"/>
          <w:highlight w:val="none"/>
        </w:rPr>
        <w:t>※三、付款方式</w:t>
      </w:r>
      <w:bookmarkEnd w:id="424"/>
    </w:p>
    <w:p>
      <w:pPr>
        <w:ind w:firstLine="438"/>
        <w:rPr>
          <w:rFonts w:ascii="方正仿宋_GBK" w:hAnsi="方正仿宋_GBK" w:eastAsia="方正仿宋_GBK" w:cs="方正仿宋_GBK"/>
          <w:color w:val="000000" w:themeColor="text1"/>
          <w:szCs w:val="22"/>
          <w:highlight w:val="none"/>
          <w14:textFill>
            <w14:solidFill>
              <w14:schemeClr w14:val="tx1"/>
            </w14:solidFill>
          </w14:textFill>
        </w:rPr>
      </w:pPr>
      <w:r>
        <w:rPr>
          <w:rFonts w:hint="eastAsia" w:ascii="方正仿宋_GBK" w:hAnsi="方正仿宋_GBK" w:eastAsia="方正仿宋_GBK" w:cs="方正仿宋_GBK"/>
          <w:color w:val="000000" w:themeColor="text1"/>
          <w:szCs w:val="22"/>
          <w:highlight w:val="none"/>
          <w14:textFill>
            <w14:solidFill>
              <w14:schemeClr w14:val="tx1"/>
            </w14:solidFill>
          </w14:textFill>
        </w:rPr>
        <w:t>该项目由采购人自行付款，具体支付方式如下：</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合同签订后5个工作日内采购人向中标供应商支付合同金额的30%作为预付款。验收合格12个月后15日内支付中标金额的30%，验收合格24个月后15日内支付中标金额的20%，合同结束前1月内付清余款（供应商垫支期间不计息）。</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对满足合同约定支付条件的，采购单位在收到发票后5个工作日内按程序启动支付流程。</w:t>
      </w:r>
    </w:p>
    <w:p>
      <w:pPr>
        <w:pStyle w:val="18"/>
        <w:ind w:firstLine="424"/>
        <w:rPr>
          <w:rFonts w:ascii="仿宋" w:hAnsi="仿宋" w:eastAsia="仿宋" w:cs="等线"/>
          <w:color w:val="auto"/>
          <w:kern w:val="0"/>
          <w:sz w:val="24"/>
          <w:szCs w:val="24"/>
          <w:highlight w:val="none"/>
        </w:rPr>
      </w:pPr>
      <w:r>
        <w:rPr>
          <w:rFonts w:hint="eastAsia" w:ascii="仿宋" w:hAnsi="仿宋" w:eastAsia="仿宋" w:cs="等线"/>
          <w:color w:val="auto"/>
          <w:kern w:val="0"/>
          <w:sz w:val="24"/>
          <w:szCs w:val="24"/>
          <w:highlight w:val="none"/>
        </w:rPr>
        <w:t>采购人向供应商支付预付款时，供应商须提供与预付款同等额度的担保函（含电子保函）。如供应商收到预付款后不履行相关义务，采购人可通过担保函收回已支付的预付款。</w:t>
      </w:r>
    </w:p>
    <w:p>
      <w:pPr>
        <w:pStyle w:val="18"/>
        <w:ind w:firstLine="424"/>
        <w:rPr>
          <w:rFonts w:hint="eastAsia" w:ascii="仿宋" w:hAnsi="仿宋" w:eastAsia="仿宋" w:cs="等线"/>
          <w:color w:val="auto"/>
          <w:kern w:val="0"/>
          <w:sz w:val="24"/>
          <w:szCs w:val="24"/>
          <w:highlight w:val="none"/>
        </w:rPr>
      </w:pPr>
      <w:r>
        <w:rPr>
          <w:rFonts w:hint="eastAsia" w:ascii="仿宋" w:hAnsi="仿宋" w:eastAsia="仿宋" w:cs="等线"/>
          <w:color w:val="auto"/>
          <w:kern w:val="0"/>
          <w:sz w:val="24"/>
          <w:szCs w:val="24"/>
          <w:highlight w:val="none"/>
        </w:rPr>
        <w:t>承接巴南区保函业务的保函出具担保方必须是中华人民共和国境内注册的可开展非融资担保类业务且通过巴南区财政局备案同意的银行、保险公司、担保公司等。</w:t>
      </w:r>
    </w:p>
    <w:p>
      <w:pPr>
        <w:pStyle w:val="4"/>
        <w:spacing w:before="190" w:after="190"/>
        <w:ind w:left="0" w:leftChars="0" w:firstLine="212" w:firstLineChars="100"/>
        <w:rPr>
          <w:rFonts w:hint="eastAsia" w:ascii="仿宋" w:hAnsi="仿宋" w:eastAsia="仿宋"/>
          <w:color w:val="auto"/>
          <w:sz w:val="24"/>
          <w:szCs w:val="24"/>
          <w:highlight w:val="none"/>
        </w:rPr>
      </w:pPr>
      <w:bookmarkStart w:id="425" w:name="_Toc11982"/>
      <w:bookmarkStart w:id="426" w:name="_Toc86653019"/>
      <w:r>
        <w:rPr>
          <w:rFonts w:hint="eastAsia" w:ascii="仿宋" w:hAnsi="仿宋" w:eastAsia="仿宋"/>
          <w:color w:val="auto"/>
          <w:sz w:val="24"/>
          <w:szCs w:val="24"/>
          <w:highlight w:val="none"/>
        </w:rPr>
        <w:t>※</w:t>
      </w:r>
      <w:r>
        <w:rPr>
          <w:rFonts w:hint="eastAsia" w:ascii="仿宋" w:hAnsi="仿宋" w:eastAsia="仿宋"/>
          <w:color w:val="auto"/>
          <w:sz w:val="24"/>
          <w:szCs w:val="24"/>
          <w:highlight w:val="none"/>
          <w:lang w:val="en-US" w:eastAsia="zh-CN"/>
        </w:rPr>
        <w:t>四</w:t>
      </w:r>
      <w:r>
        <w:rPr>
          <w:rFonts w:hint="eastAsia" w:ascii="仿宋" w:hAnsi="仿宋" w:eastAsia="仿宋"/>
          <w:color w:val="auto"/>
          <w:sz w:val="24"/>
          <w:szCs w:val="24"/>
          <w:highlight w:val="none"/>
        </w:rPr>
        <w:t>、质量保证</w:t>
      </w:r>
      <w:bookmarkEnd w:id="425"/>
      <w:bookmarkEnd w:id="426"/>
    </w:p>
    <w:p>
      <w:pPr>
        <w:ind w:firstLine="438"/>
        <w:rPr>
          <w:rFonts w:hint="eastAsia" w:ascii="仿宋" w:hAnsi="仿宋" w:eastAsia="仿宋" w:cs="等线"/>
          <w:color w:val="auto"/>
          <w:kern w:val="0"/>
          <w:sz w:val="24"/>
          <w:szCs w:val="24"/>
          <w:highlight w:val="none"/>
          <w:lang w:val="en-US" w:eastAsia="zh-CN" w:bidi="ar-SA"/>
        </w:rPr>
      </w:pPr>
      <w:bookmarkStart w:id="427" w:name="_Toc20755"/>
      <w:bookmarkStart w:id="428" w:name="_Toc15306"/>
      <w:bookmarkStart w:id="429" w:name="_Toc11406"/>
      <w:bookmarkStart w:id="430" w:name="_Toc11826"/>
      <w:bookmarkStart w:id="431" w:name="_Toc4918"/>
      <w:bookmarkStart w:id="432" w:name="_Toc11553"/>
      <w:bookmarkStart w:id="433" w:name="_Toc31647"/>
      <w:bookmarkStart w:id="434" w:name="_Toc5672"/>
      <w:bookmarkStart w:id="435" w:name="_Toc30385"/>
      <w:bookmarkStart w:id="436" w:name="_Toc14273"/>
      <w:bookmarkStart w:id="437" w:name="_Toc63600419"/>
      <w:bookmarkStart w:id="438" w:name="_Toc22440"/>
      <w:bookmarkStart w:id="439" w:name="_Toc86653020"/>
      <w:r>
        <w:rPr>
          <w:rFonts w:hint="eastAsia" w:ascii="仿宋" w:hAnsi="仿宋" w:eastAsia="仿宋" w:cs="等线"/>
          <w:color w:val="auto"/>
          <w:kern w:val="0"/>
          <w:sz w:val="24"/>
          <w:szCs w:val="24"/>
          <w:highlight w:val="none"/>
          <w:lang w:val="en-US" w:eastAsia="zh-CN" w:bidi="ar-SA"/>
        </w:rPr>
        <w:t>中标人应在保证服务期和服务质量的前提下履行合同，并对维护结果负责。</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质量保证期内服务要求</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（1）电话咨询</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 xml:space="preserve">中标人应当为用户提供技术援助电话，提供7×24小时响应服务。解答用户在使用中遇到的问题，及时为用户提出解决问题的建议。 </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（2）服务保障</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采购人遇到使用及技术问题，电话咨询不能解决的，中标人应在4小时内采取相应响应措施；无法在4小时内解决的，应在8小时内派出专业人员进行技术支持,书面承诺加盖投标人鲜章。</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投标人在项目所属区县具备完善的服务保障机构（投标人或下属服务分公司）</w:t>
      </w:r>
    </w:p>
    <w:p>
      <w:pPr>
        <w:pStyle w:val="17"/>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（3）重保服务</w:t>
      </w:r>
    </w:p>
    <w:p>
      <w:pPr>
        <w:ind w:firstLine="438"/>
        <w:rPr>
          <w:rFonts w:hint="eastAsia" w:ascii="仿宋" w:hAnsi="仿宋" w:eastAsia="仿宋" w:cs="等线"/>
          <w:color w:val="auto"/>
          <w:kern w:val="0"/>
          <w:sz w:val="24"/>
          <w:szCs w:val="24"/>
          <w:highlight w:val="none"/>
          <w:lang w:val="en-US" w:eastAsia="zh-CN" w:bidi="ar-SA"/>
        </w:rPr>
      </w:pPr>
      <w:r>
        <w:rPr>
          <w:rFonts w:hint="eastAsia" w:ascii="仿宋" w:hAnsi="仿宋" w:eastAsia="仿宋" w:cs="等线"/>
          <w:color w:val="auto"/>
          <w:kern w:val="0"/>
          <w:sz w:val="24"/>
          <w:szCs w:val="24"/>
          <w:highlight w:val="none"/>
          <w:lang w:val="en-US" w:eastAsia="zh-CN" w:bidi="ar-SA"/>
        </w:rPr>
        <w:t>重保服务支持，在国庆节、两会等网络安全重要时期以及护网、迎检等特殊时期，根据工作要求，重要时期保障期间安排专人提供7×24小时现场值守。根据需要，再提供二线7×24小时支撑服务。对各种网络设备、系统、平台、上网行为进行全面安全检查及实时监控。重保期间不能对网络、系统、平台做升级和割接工作，对全部信息系统、平台做安全日志搜集、分析、攻击防护、策略调整、信息上报等工作。</w:t>
      </w:r>
    </w:p>
    <w:p>
      <w:pPr>
        <w:pStyle w:val="4"/>
        <w:spacing w:before="190" w:after="190"/>
        <w:ind w:left="0" w:leftChars="0" w:firstLine="424" w:firstLineChars="200"/>
        <w:rPr>
          <w:rFonts w:hint="eastAsia" w:ascii="仿宋" w:hAnsi="仿宋" w:eastAsia="仿宋"/>
          <w:color w:val="auto"/>
          <w:sz w:val="24"/>
          <w:szCs w:val="24"/>
          <w:highlight w:val="none"/>
        </w:rPr>
      </w:pPr>
      <w:bookmarkStart w:id="440" w:name="_Toc18214"/>
      <w:r>
        <w:rPr>
          <w:rFonts w:hint="eastAsia" w:ascii="仿宋" w:hAnsi="仿宋" w:eastAsia="仿宋"/>
          <w:color w:val="auto"/>
          <w:sz w:val="24"/>
          <w:szCs w:val="24"/>
          <w:highlight w:val="none"/>
          <w:lang w:val="en-US" w:eastAsia="zh-CN"/>
        </w:rPr>
        <w:t>五</w:t>
      </w:r>
      <w:r>
        <w:rPr>
          <w:rFonts w:hint="eastAsia" w:ascii="仿宋" w:hAnsi="仿宋" w:eastAsia="仿宋"/>
          <w:color w:val="auto"/>
          <w:sz w:val="24"/>
          <w:szCs w:val="24"/>
          <w:highlight w:val="none"/>
        </w:rPr>
        <w:t>、</w:t>
      </w:r>
      <w:bookmarkEnd w:id="427"/>
      <w:bookmarkEnd w:id="428"/>
      <w:bookmarkEnd w:id="429"/>
      <w:bookmarkEnd w:id="430"/>
      <w:bookmarkEnd w:id="431"/>
      <w:bookmarkEnd w:id="432"/>
      <w:bookmarkEnd w:id="433"/>
      <w:bookmarkEnd w:id="434"/>
      <w:bookmarkEnd w:id="435"/>
      <w:bookmarkEnd w:id="436"/>
      <w:bookmarkStart w:id="441" w:name="_Toc25512"/>
      <w:bookmarkStart w:id="442" w:name="_Toc17992"/>
      <w:bookmarkStart w:id="443" w:name="_Toc20841"/>
      <w:bookmarkStart w:id="444" w:name="_Toc31219"/>
      <w:bookmarkStart w:id="445" w:name="_Toc10336"/>
      <w:bookmarkStart w:id="446" w:name="_Toc23495"/>
      <w:bookmarkStart w:id="447" w:name="_Toc14929"/>
      <w:bookmarkStart w:id="448" w:name="_Toc16107"/>
      <w:bookmarkStart w:id="449" w:name="_Toc8742"/>
      <w:r>
        <w:rPr>
          <w:rFonts w:hint="eastAsia" w:ascii="仿宋" w:hAnsi="仿宋" w:eastAsia="仿宋"/>
          <w:color w:val="auto"/>
          <w:sz w:val="24"/>
          <w:szCs w:val="24"/>
          <w:highlight w:val="none"/>
        </w:rPr>
        <w:t>知识产权</w:t>
      </w:r>
      <w:bookmarkEnd w:id="437"/>
      <w:bookmarkEnd w:id="438"/>
      <w:bookmarkEnd w:id="439"/>
      <w:bookmarkEnd w:id="440"/>
      <w:bookmarkEnd w:id="441"/>
      <w:bookmarkEnd w:id="442"/>
      <w:bookmarkEnd w:id="443"/>
      <w:bookmarkEnd w:id="444"/>
      <w:bookmarkEnd w:id="445"/>
      <w:bookmarkEnd w:id="446"/>
      <w:bookmarkEnd w:id="447"/>
      <w:bookmarkEnd w:id="448"/>
      <w:bookmarkEnd w:id="449"/>
    </w:p>
    <w:p>
      <w:pPr>
        <w:ind w:left="0" w:leftChars="0" w:firstLine="424" w:firstLineChars="200"/>
      </w:pPr>
      <w:r>
        <w:rPr>
          <w:rFonts w:hint="eastAsia" w:ascii="仿宋" w:hAnsi="仿宋" w:eastAsia="仿宋" w:cs="等线"/>
          <w:color w:val="auto"/>
          <w:kern w:val="0"/>
          <w:sz w:val="24"/>
          <w:szCs w:val="24"/>
          <w:highlight w:val="none"/>
          <w:lang w:val="en-US" w:eastAsia="zh-CN" w:bidi="ar-SA"/>
        </w:rPr>
        <w:t>采购人在中华人民共和国境内使用中标人提供的货物及服务时免受第三方提出的侵犯其专利权或其它知识产权的起诉。如果第三方提出侵权指控，中标人应承担由此而引起的一切法律责任和费用。</w:t>
      </w:r>
    </w:p>
    <w:bookmarkEnd w:id="413"/>
    <w:bookmarkEnd w:id="414"/>
    <w:bookmarkEnd w:id="415"/>
    <w:bookmarkEnd w:id="416"/>
    <w:bookmarkEnd w:id="417"/>
    <w:bookmarkEnd w:id="418"/>
    <w:bookmarkEnd w:id="419"/>
    <w:bookmarkEnd w:id="420"/>
    <w:bookmarkEnd w:id="421"/>
    <w:bookmarkEnd w:id="422"/>
    <w:bookmarkEnd w:id="423"/>
    <w:p>
      <w:pPr>
        <w:pStyle w:val="4"/>
        <w:spacing w:before="190" w:after="190"/>
        <w:ind w:left="0" w:leftChars="0" w:firstLine="424" w:firstLineChars="200"/>
        <w:rPr>
          <w:rFonts w:hint="eastAsia" w:ascii="仿宋" w:hAnsi="仿宋" w:eastAsia="仿宋"/>
          <w:color w:val="auto"/>
          <w:sz w:val="24"/>
          <w:szCs w:val="24"/>
          <w:highlight w:val="none"/>
          <w:lang w:val="en-US" w:eastAsia="zh-CN"/>
        </w:rPr>
      </w:pPr>
      <w:bookmarkStart w:id="450" w:name="_Toc26426"/>
      <w:bookmarkStart w:id="451" w:name="_Toc483297047"/>
      <w:bookmarkStart w:id="452" w:name="_Toc63600420"/>
      <w:bookmarkStart w:id="453" w:name="_Toc4758"/>
      <w:bookmarkStart w:id="454" w:name="_Toc24222"/>
      <w:bookmarkStart w:id="455" w:name="_Toc12730"/>
      <w:bookmarkStart w:id="456" w:name="_Toc30732"/>
      <w:bookmarkStart w:id="457" w:name="_Toc15162"/>
      <w:bookmarkStart w:id="458" w:name="_Toc15412"/>
      <w:r>
        <w:rPr>
          <w:rFonts w:hint="eastAsia" w:ascii="仿宋" w:hAnsi="仿宋" w:eastAsia="仿宋"/>
          <w:color w:val="auto"/>
          <w:sz w:val="24"/>
          <w:szCs w:val="24"/>
          <w:highlight w:val="none"/>
          <w:lang w:val="en-US" w:eastAsia="zh-CN"/>
        </w:rPr>
        <w:t>六、其他商务要求</w:t>
      </w:r>
      <w:bookmarkEnd w:id="450"/>
      <w:bookmarkEnd w:id="451"/>
    </w:p>
    <w:p>
      <w:pPr>
        <w:ind w:firstLine="424"/>
        <w:rPr>
          <w:rFonts w:ascii="仿宋" w:hAnsi="仿宋" w:eastAsia="仿宋"/>
          <w:color w:val="auto"/>
          <w:szCs w:val="22"/>
          <w:highlight w:val="none"/>
        </w:rPr>
      </w:pPr>
      <w:r>
        <w:rPr>
          <w:rFonts w:hint="eastAsia" w:ascii="仿宋" w:hAnsi="仿宋" w:eastAsia="仿宋"/>
          <w:color w:val="auto"/>
          <w:szCs w:val="22"/>
          <w:highlight w:val="none"/>
        </w:rPr>
        <w:t>（一）投标人必须在电子投标文件中对以上条款和服务承诺明确列出，承诺内容必须达到本篇及招标文件其他条款的要求。</w:t>
      </w:r>
    </w:p>
    <w:p>
      <w:pPr>
        <w:adjustRightInd w:val="0"/>
        <w:snapToGrid w:val="0"/>
        <w:ind w:firstLine="424"/>
        <w:jc w:val="left"/>
        <w:rPr>
          <w:rFonts w:ascii="方正仿宋_GBK" w:hAnsi="方正仿宋_GBK" w:eastAsia="仿宋" w:cs="方正仿宋_GBK"/>
          <w:color w:val="auto"/>
          <w:szCs w:val="28"/>
          <w:highlight w:val="none"/>
        </w:rPr>
      </w:pPr>
      <w:r>
        <w:rPr>
          <w:rFonts w:hint="eastAsia" w:ascii="方正仿宋_GBK" w:hAnsi="方正仿宋_GBK" w:eastAsia="仿宋" w:cs="方正仿宋_GBK"/>
          <w:color w:val="auto"/>
          <w:szCs w:val="28"/>
          <w:highlight w:val="none"/>
        </w:rPr>
        <w:t>（二）中标人确定后，由采购人和中标单位按照相关规定和程序办理有关手续，签订合同。</w:t>
      </w:r>
    </w:p>
    <w:p>
      <w:pPr>
        <w:ind w:firstLine="424"/>
        <w:rPr>
          <w:rFonts w:ascii="仿宋" w:hAnsi="仿宋" w:eastAsia="仿宋"/>
          <w:color w:val="auto"/>
          <w:szCs w:val="22"/>
          <w:highlight w:val="none"/>
        </w:rPr>
      </w:pPr>
      <w:r>
        <w:rPr>
          <w:rFonts w:hint="eastAsia" w:ascii="仿宋" w:hAnsi="仿宋" w:eastAsia="仿宋"/>
          <w:color w:val="auto"/>
          <w:szCs w:val="22"/>
          <w:highlight w:val="none"/>
        </w:rPr>
        <w:t>（三）其他未尽事宜由供需双方在采购合同中详细约定。</w:t>
      </w:r>
    </w:p>
    <w:p>
      <w:pPr>
        <w:pStyle w:val="18"/>
        <w:ind w:firstLine="304"/>
        <w:rPr>
          <w:rFonts w:ascii="仿宋" w:hAnsi="仿宋" w:eastAsia="仿宋"/>
          <w:color w:val="auto"/>
          <w:szCs w:val="22"/>
          <w:highlight w:val="none"/>
        </w:rPr>
      </w:pPr>
    </w:p>
    <w:p>
      <w:pPr>
        <w:pStyle w:val="18"/>
        <w:ind w:firstLine="304"/>
        <w:rPr>
          <w:rFonts w:ascii="仿宋" w:hAnsi="仿宋" w:eastAsia="仿宋"/>
          <w:color w:val="auto"/>
          <w:szCs w:val="22"/>
          <w:highlight w:val="none"/>
        </w:rPr>
        <w:sectPr>
          <w:headerReference r:id="rId9" w:type="default"/>
          <w:footerReference r:id="rId10" w:type="default"/>
          <w:pgSz w:w="11907" w:h="16840"/>
          <w:pgMar w:top="1134" w:right="1191" w:bottom="1134" w:left="1304" w:header="794" w:footer="992" w:gutter="0"/>
          <w:cols w:space="720" w:num="1"/>
          <w:docGrid w:type="linesAndChars" w:linePitch="380" w:charSpace="-5735"/>
        </w:sectPr>
      </w:pPr>
    </w:p>
    <w:bookmarkEnd w:id="369"/>
    <w:bookmarkEnd w:id="370"/>
    <w:bookmarkEnd w:id="371"/>
    <w:bookmarkEnd w:id="452"/>
    <w:bookmarkEnd w:id="453"/>
    <w:bookmarkEnd w:id="454"/>
    <w:bookmarkEnd w:id="455"/>
    <w:bookmarkEnd w:id="456"/>
    <w:bookmarkEnd w:id="457"/>
    <w:bookmarkEnd w:id="458"/>
    <w:p>
      <w:pPr>
        <w:pStyle w:val="3"/>
        <w:numPr>
          <w:ilvl w:val="0"/>
          <w:numId w:val="1"/>
        </w:numPr>
        <w:tabs>
          <w:tab w:val="clear" w:pos="3360"/>
        </w:tabs>
        <w:spacing w:before="190" w:after="190"/>
        <w:ind w:left="1112" w:hanging="1113" w:hangingChars="270"/>
        <w:rPr>
          <w:rFonts w:hint="eastAsia" w:ascii="方正小标宋简体" w:eastAsia="方正小标宋简体"/>
          <w:color w:val="auto"/>
          <w:highlight w:val="none"/>
        </w:rPr>
      </w:pPr>
      <w:bookmarkStart w:id="459" w:name="_Toc12798"/>
      <w:bookmarkStart w:id="460" w:name="_Toc18366"/>
      <w:bookmarkStart w:id="461" w:name="_Toc5645"/>
      <w:bookmarkStart w:id="462" w:name="_Toc3226"/>
      <w:bookmarkStart w:id="463" w:name="_Toc27938"/>
      <w:bookmarkStart w:id="464" w:name="_Toc5268"/>
      <w:bookmarkStart w:id="465" w:name="_Toc21567"/>
      <w:bookmarkStart w:id="466" w:name="_Toc63600421"/>
      <w:bookmarkStart w:id="467" w:name="_Toc17462"/>
      <w:bookmarkStart w:id="468" w:name="_Toc16359"/>
      <w:bookmarkStart w:id="469" w:name="_Toc28723"/>
      <w:bookmarkStart w:id="470" w:name="_Toc26177"/>
      <w:bookmarkStart w:id="471" w:name="_Toc30846"/>
      <w:bookmarkStart w:id="472" w:name="_Toc6948"/>
      <w:r>
        <w:rPr>
          <w:rFonts w:hint="eastAsia" w:ascii="方正小标宋简体" w:eastAsia="方正小标宋简体"/>
          <w:color w:val="auto"/>
          <w:highlight w:val="none"/>
        </w:rPr>
        <w:t>资格审查及评标办法</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pPr>
        <w:pStyle w:val="4"/>
        <w:numPr>
          <w:ilvl w:val="0"/>
          <w:numId w:val="3"/>
        </w:numPr>
        <w:spacing w:before="190" w:after="190"/>
        <w:ind w:firstLine="506"/>
        <w:rPr>
          <w:rFonts w:ascii="仿宋" w:hAnsi="仿宋" w:eastAsia="仿宋"/>
          <w:color w:val="auto"/>
          <w:szCs w:val="22"/>
          <w:highlight w:val="none"/>
        </w:rPr>
      </w:pPr>
      <w:bookmarkStart w:id="473" w:name="_Toc18672"/>
      <w:r>
        <w:rPr>
          <w:rFonts w:hint="eastAsia" w:ascii="仿宋" w:hAnsi="仿宋" w:eastAsia="仿宋"/>
          <w:color w:val="auto"/>
          <w:szCs w:val="22"/>
          <w:highlight w:val="none"/>
        </w:rPr>
        <w:t>资格审查及符合性审查</w:t>
      </w:r>
      <w:bookmarkEnd w:id="473"/>
    </w:p>
    <w:p>
      <w:pPr>
        <w:ind w:firstLine="506"/>
        <w:rPr>
          <w:rFonts w:ascii="仿宋" w:hAnsi="仿宋" w:eastAsia="仿宋"/>
          <w:b/>
          <w:color w:val="auto"/>
          <w:kern w:val="0"/>
          <w:sz w:val="24"/>
          <w:szCs w:val="24"/>
          <w:highlight w:val="none"/>
        </w:rPr>
      </w:pPr>
      <w:r>
        <w:rPr>
          <w:rFonts w:hint="eastAsia" w:ascii="仿宋" w:hAnsi="仿宋" w:eastAsia="仿宋"/>
          <w:b/>
          <w:color w:val="auto"/>
          <w:kern w:val="0"/>
          <w:sz w:val="24"/>
          <w:szCs w:val="24"/>
          <w:highlight w:val="none"/>
        </w:rPr>
        <w:t>若未通过资格审查及符合性审查的电子投标文件，不进入评审环节。</w:t>
      </w:r>
    </w:p>
    <w:p>
      <w:pPr>
        <w:ind w:firstLine="426"/>
        <w:rPr>
          <w:rFonts w:ascii="仿宋" w:hAnsi="仿宋" w:eastAsia="仿宋"/>
          <w:b/>
          <w:bCs/>
          <w:color w:val="auto"/>
          <w:highlight w:val="none"/>
        </w:rPr>
      </w:pPr>
      <w:r>
        <w:rPr>
          <w:rFonts w:hint="eastAsia" w:ascii="仿宋" w:hAnsi="仿宋" w:eastAsia="仿宋"/>
          <w:b/>
          <w:bCs/>
          <w:color w:val="auto"/>
          <w:highlight w:val="none"/>
        </w:rPr>
        <w:t>（一）资格审查</w:t>
      </w:r>
    </w:p>
    <w:p>
      <w:pPr>
        <w:ind w:firstLine="424"/>
        <w:rPr>
          <w:rFonts w:ascii="仿宋" w:hAnsi="仿宋" w:eastAsia="仿宋"/>
          <w:color w:val="auto"/>
          <w:highlight w:val="none"/>
        </w:rPr>
      </w:pPr>
      <w:r>
        <w:rPr>
          <w:rFonts w:hint="eastAsia" w:ascii="仿宋" w:hAnsi="仿宋" w:eastAsia="仿宋"/>
          <w:color w:val="auto"/>
          <w:highlight w:val="none"/>
        </w:rPr>
        <w:t>依据政府采购相关法律法规规定，由采购人对电子投标文件中的资格证明文件进行审查。资格审查资料表如下：</w:t>
      </w:r>
    </w:p>
    <w:tbl>
      <w:tblPr>
        <w:tblStyle w:val="32"/>
        <w:tblW w:w="98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684"/>
        <w:gridCol w:w="3119"/>
        <w:gridCol w:w="5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jc w:val="center"/>
        </w:trPr>
        <w:tc>
          <w:tcPr>
            <w:tcW w:w="676" w:type="dxa"/>
            <w:vAlign w:val="center"/>
          </w:tcPr>
          <w:p>
            <w:pPr>
              <w:adjustRightInd w:val="0"/>
              <w:snapToGrid w:val="0"/>
              <w:spacing w:line="440" w:lineRule="exact"/>
              <w:ind w:firstLine="0" w:firstLineChars="0"/>
              <w:jc w:val="center"/>
              <w:rPr>
                <w:rFonts w:ascii="仿宋" w:hAnsi="仿宋" w:eastAsia="仿宋" w:cs="黑体"/>
                <w:b/>
                <w:color w:val="auto"/>
                <w:kern w:val="0"/>
                <w:sz w:val="21"/>
                <w:szCs w:val="21"/>
                <w:highlight w:val="none"/>
              </w:rPr>
            </w:pPr>
            <w:r>
              <w:rPr>
                <w:rFonts w:hint="eastAsia" w:ascii="仿宋" w:hAnsi="仿宋" w:eastAsia="仿宋" w:cs="黑体"/>
                <w:b/>
                <w:color w:val="auto"/>
                <w:kern w:val="0"/>
                <w:sz w:val="21"/>
                <w:szCs w:val="21"/>
                <w:highlight w:val="none"/>
              </w:rPr>
              <w:t>序号</w:t>
            </w:r>
          </w:p>
        </w:tc>
        <w:tc>
          <w:tcPr>
            <w:tcW w:w="3803" w:type="dxa"/>
            <w:gridSpan w:val="2"/>
            <w:vAlign w:val="center"/>
          </w:tcPr>
          <w:p>
            <w:pPr>
              <w:adjustRightInd w:val="0"/>
              <w:snapToGrid w:val="0"/>
              <w:spacing w:line="440" w:lineRule="exact"/>
              <w:ind w:firstLine="0" w:firstLineChars="0"/>
              <w:jc w:val="center"/>
              <w:rPr>
                <w:rFonts w:ascii="仿宋" w:hAnsi="仿宋" w:eastAsia="仿宋" w:cs="黑体"/>
                <w:b/>
                <w:color w:val="auto"/>
                <w:kern w:val="0"/>
                <w:sz w:val="21"/>
                <w:szCs w:val="21"/>
                <w:highlight w:val="none"/>
              </w:rPr>
            </w:pPr>
            <w:r>
              <w:rPr>
                <w:rFonts w:hint="eastAsia" w:ascii="仿宋" w:hAnsi="仿宋" w:eastAsia="仿宋" w:cs="黑体"/>
                <w:b/>
                <w:color w:val="auto"/>
                <w:kern w:val="0"/>
                <w:sz w:val="21"/>
                <w:szCs w:val="21"/>
                <w:highlight w:val="none"/>
              </w:rPr>
              <w:t>检查因素</w:t>
            </w:r>
          </w:p>
        </w:tc>
        <w:tc>
          <w:tcPr>
            <w:tcW w:w="5385" w:type="dxa"/>
            <w:vAlign w:val="center"/>
          </w:tcPr>
          <w:p>
            <w:pPr>
              <w:adjustRightInd w:val="0"/>
              <w:snapToGrid w:val="0"/>
              <w:spacing w:line="440" w:lineRule="exact"/>
              <w:ind w:firstLine="0" w:firstLineChars="0"/>
              <w:jc w:val="center"/>
              <w:rPr>
                <w:rFonts w:ascii="仿宋" w:hAnsi="仿宋" w:eastAsia="仿宋"/>
                <w:color w:val="auto"/>
                <w:szCs w:val="22"/>
                <w:highlight w:val="none"/>
              </w:rPr>
            </w:pPr>
            <w:r>
              <w:rPr>
                <w:rFonts w:hint="eastAsia" w:ascii="仿宋" w:hAnsi="仿宋" w:eastAsia="仿宋" w:cs="黑体"/>
                <w:b/>
                <w:color w:val="auto"/>
                <w:kern w:val="0"/>
                <w:sz w:val="21"/>
                <w:szCs w:val="21"/>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56" w:hRule="atLeast"/>
          <w:jc w:val="center"/>
        </w:trPr>
        <w:tc>
          <w:tcPr>
            <w:tcW w:w="676" w:type="dxa"/>
            <w:vMerge w:val="restart"/>
            <w:vAlign w:val="center"/>
          </w:tcPr>
          <w:p>
            <w:pPr>
              <w:adjustRightInd w:val="0"/>
              <w:snapToGrid w:val="0"/>
              <w:spacing w:line="440" w:lineRule="exact"/>
              <w:ind w:firstLine="0" w:firstLineChars="0"/>
              <w:jc w:val="center"/>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（一）</w:t>
            </w:r>
          </w:p>
        </w:tc>
        <w:tc>
          <w:tcPr>
            <w:tcW w:w="684" w:type="dxa"/>
            <w:vMerge w:val="restart"/>
            <w:vAlign w:val="center"/>
          </w:tcPr>
          <w:p>
            <w:pPr>
              <w:adjustRightInd w:val="0"/>
              <w:snapToGrid w:val="0"/>
              <w:spacing w:line="440" w:lineRule="exact"/>
              <w:ind w:firstLine="0" w:firstLineChars="0"/>
              <w:jc w:val="left"/>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《中华人民共和国政府采购法》第二十二条规定</w:t>
            </w:r>
          </w:p>
        </w:tc>
        <w:tc>
          <w:tcPr>
            <w:tcW w:w="3119" w:type="dxa"/>
            <w:vAlign w:val="center"/>
          </w:tcPr>
          <w:p>
            <w:pPr>
              <w:adjustRightInd w:val="0"/>
              <w:snapToGrid w:val="0"/>
              <w:spacing w:line="44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1</w:t>
            </w:r>
            <w:r>
              <w:rPr>
                <w:rFonts w:ascii="仿宋" w:hAnsi="仿宋" w:eastAsia="仿宋"/>
                <w:color w:val="auto"/>
                <w:sz w:val="21"/>
                <w:szCs w:val="21"/>
                <w:highlight w:val="none"/>
              </w:rPr>
              <w:t>.</w:t>
            </w:r>
            <w:r>
              <w:rPr>
                <w:rFonts w:hint="eastAsia" w:ascii="仿宋" w:hAnsi="仿宋" w:eastAsia="仿宋"/>
                <w:color w:val="auto"/>
                <w:sz w:val="21"/>
                <w:szCs w:val="21"/>
                <w:highlight w:val="none"/>
              </w:rPr>
              <w:t>具有独立承担民事责任的能力</w:t>
            </w:r>
          </w:p>
        </w:tc>
        <w:tc>
          <w:tcPr>
            <w:tcW w:w="5385" w:type="dxa"/>
            <w:vAlign w:val="center"/>
          </w:tcPr>
          <w:p>
            <w:pPr>
              <w:adjustRightInd w:val="0"/>
              <w:snapToGrid w:val="0"/>
              <w:spacing w:line="440" w:lineRule="exact"/>
              <w:ind w:firstLine="0" w:firstLineChars="0"/>
              <w:jc w:val="left"/>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1.投标人法人营业执照（副本）或事业单位法人证书（副本）或个体工商户营业执照或有效的自然人身份证明或社会团体法人登记证书（提供复印件）；</w:t>
            </w:r>
          </w:p>
          <w:p>
            <w:pPr>
              <w:adjustRightInd w:val="0"/>
              <w:snapToGrid w:val="0"/>
              <w:spacing w:line="440" w:lineRule="exact"/>
              <w:ind w:firstLine="0" w:firstLineChars="0"/>
              <w:jc w:val="left"/>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2.投标人法定代表人</w:t>
            </w:r>
            <w:r>
              <w:rPr>
                <w:rFonts w:hint="eastAsia" w:ascii="仿宋" w:hAnsi="仿宋" w:eastAsia="仿宋" w:cs="黑体"/>
                <w:color w:val="auto"/>
                <w:sz w:val="21"/>
                <w:szCs w:val="21"/>
                <w:highlight w:val="none"/>
                <w:lang w:eastAsia="zh-CN"/>
              </w:rPr>
              <w:t>（</w:t>
            </w:r>
            <w:r>
              <w:rPr>
                <w:rFonts w:hint="eastAsia" w:ascii="仿宋" w:hAnsi="仿宋" w:eastAsia="仿宋" w:cs="黑体"/>
                <w:color w:val="auto"/>
                <w:sz w:val="21"/>
                <w:szCs w:val="21"/>
                <w:highlight w:val="none"/>
                <w:lang w:val="en-US" w:eastAsia="zh-CN"/>
              </w:rPr>
              <w:t>负责人</w:t>
            </w:r>
            <w:r>
              <w:rPr>
                <w:rFonts w:hint="eastAsia" w:ascii="仿宋" w:hAnsi="仿宋" w:eastAsia="仿宋" w:cs="黑体"/>
                <w:color w:val="auto"/>
                <w:sz w:val="21"/>
                <w:szCs w:val="21"/>
                <w:highlight w:val="none"/>
                <w:lang w:eastAsia="zh-CN"/>
              </w:rPr>
              <w:t>）</w:t>
            </w:r>
            <w:r>
              <w:rPr>
                <w:rFonts w:hint="eastAsia" w:ascii="仿宋" w:hAnsi="仿宋" w:eastAsia="仿宋" w:cs="黑体"/>
                <w:color w:val="auto"/>
                <w:sz w:val="21"/>
                <w:szCs w:val="21"/>
                <w:highlight w:val="none"/>
              </w:rPr>
              <w:t>身份证明书和法定代表人</w:t>
            </w:r>
            <w:r>
              <w:rPr>
                <w:rFonts w:hint="eastAsia" w:ascii="仿宋" w:hAnsi="仿宋" w:eastAsia="仿宋" w:cs="黑体"/>
                <w:color w:val="auto"/>
                <w:sz w:val="21"/>
                <w:szCs w:val="21"/>
                <w:highlight w:val="none"/>
                <w:lang w:eastAsia="zh-CN"/>
              </w:rPr>
              <w:t>（</w:t>
            </w:r>
            <w:r>
              <w:rPr>
                <w:rFonts w:hint="eastAsia" w:ascii="仿宋" w:hAnsi="仿宋" w:eastAsia="仿宋" w:cs="黑体"/>
                <w:color w:val="auto"/>
                <w:sz w:val="21"/>
                <w:szCs w:val="21"/>
                <w:highlight w:val="none"/>
                <w:lang w:val="en-US" w:eastAsia="zh-CN"/>
              </w:rPr>
              <w:t>负责人</w:t>
            </w:r>
            <w:r>
              <w:rPr>
                <w:rFonts w:hint="eastAsia" w:ascii="仿宋" w:hAnsi="仿宋" w:eastAsia="仿宋" w:cs="黑体"/>
                <w:color w:val="auto"/>
                <w:sz w:val="21"/>
                <w:szCs w:val="21"/>
                <w:highlight w:val="none"/>
                <w:lang w:eastAsia="zh-CN"/>
              </w:rPr>
              <w:t>）</w:t>
            </w:r>
            <w:r>
              <w:rPr>
                <w:rFonts w:hint="eastAsia" w:ascii="仿宋" w:hAnsi="仿宋" w:eastAsia="仿宋" w:cs="黑体"/>
                <w:color w:val="auto"/>
                <w:sz w:val="21"/>
                <w:szCs w:val="21"/>
                <w:highlight w:val="none"/>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69" w:hRule="atLeast"/>
          <w:jc w:val="center"/>
        </w:trPr>
        <w:tc>
          <w:tcPr>
            <w:tcW w:w="676" w:type="dxa"/>
            <w:vMerge w:val="continue"/>
            <w:vAlign w:val="center"/>
          </w:tcPr>
          <w:p>
            <w:pPr>
              <w:adjustRightInd w:val="0"/>
              <w:snapToGrid w:val="0"/>
              <w:spacing w:line="440" w:lineRule="exact"/>
              <w:ind w:firstLine="384"/>
              <w:jc w:val="center"/>
              <w:rPr>
                <w:rFonts w:ascii="仿宋" w:hAnsi="仿宋" w:eastAsia="仿宋" w:cs="黑体"/>
                <w:color w:val="auto"/>
                <w:sz w:val="22"/>
                <w:szCs w:val="22"/>
                <w:highlight w:val="none"/>
              </w:rPr>
            </w:pPr>
          </w:p>
        </w:tc>
        <w:tc>
          <w:tcPr>
            <w:tcW w:w="684" w:type="dxa"/>
            <w:vMerge w:val="continue"/>
            <w:vAlign w:val="center"/>
          </w:tcPr>
          <w:p>
            <w:pPr>
              <w:adjustRightInd w:val="0"/>
              <w:snapToGrid w:val="0"/>
              <w:spacing w:line="440" w:lineRule="exact"/>
              <w:ind w:firstLine="364"/>
              <w:jc w:val="center"/>
              <w:rPr>
                <w:rFonts w:ascii="仿宋" w:hAnsi="仿宋" w:eastAsia="仿宋" w:cs="黑体"/>
                <w:color w:val="auto"/>
                <w:sz w:val="21"/>
                <w:szCs w:val="21"/>
                <w:highlight w:val="none"/>
              </w:rPr>
            </w:pPr>
          </w:p>
        </w:tc>
        <w:tc>
          <w:tcPr>
            <w:tcW w:w="3119" w:type="dxa"/>
            <w:vAlign w:val="center"/>
          </w:tcPr>
          <w:p>
            <w:pPr>
              <w:adjustRightInd w:val="0"/>
              <w:snapToGrid w:val="0"/>
              <w:spacing w:line="44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2</w:t>
            </w:r>
            <w:r>
              <w:rPr>
                <w:rFonts w:ascii="仿宋" w:hAnsi="仿宋" w:eastAsia="仿宋"/>
                <w:color w:val="auto"/>
                <w:sz w:val="21"/>
                <w:szCs w:val="21"/>
                <w:highlight w:val="none"/>
              </w:rPr>
              <w:t>.</w:t>
            </w:r>
            <w:r>
              <w:rPr>
                <w:rFonts w:hint="eastAsia" w:ascii="仿宋" w:hAnsi="仿宋" w:eastAsia="仿宋"/>
                <w:color w:val="auto"/>
                <w:sz w:val="21"/>
                <w:szCs w:val="21"/>
                <w:highlight w:val="none"/>
              </w:rPr>
              <w:t>具有良好的商业信誉和健全的财务会计制度</w:t>
            </w:r>
          </w:p>
        </w:tc>
        <w:tc>
          <w:tcPr>
            <w:tcW w:w="5385" w:type="dxa"/>
            <w:vMerge w:val="restart"/>
            <w:vAlign w:val="center"/>
          </w:tcPr>
          <w:p>
            <w:pPr>
              <w:adjustRightInd w:val="0"/>
              <w:snapToGrid w:val="0"/>
              <w:spacing w:line="440" w:lineRule="exact"/>
              <w:ind w:firstLine="0" w:firstLineChars="0"/>
              <w:rPr>
                <w:rFonts w:ascii="仿宋" w:hAnsi="仿宋" w:eastAsia="仿宋"/>
                <w:bCs/>
                <w:color w:val="auto"/>
                <w:sz w:val="21"/>
                <w:szCs w:val="21"/>
                <w:highlight w:val="none"/>
              </w:rPr>
            </w:pPr>
            <w:r>
              <w:rPr>
                <w:rFonts w:hint="eastAsia" w:ascii="仿宋" w:hAnsi="仿宋" w:eastAsia="仿宋"/>
                <w:bCs/>
                <w:color w:val="auto"/>
                <w:sz w:val="21"/>
                <w:szCs w:val="21"/>
                <w:highlight w:val="none"/>
              </w:rPr>
              <w:t>2-5项投标人提供“基本资格条件承诺函”</w:t>
            </w:r>
            <w:r>
              <w:rPr>
                <w:rFonts w:hint="eastAsia" w:eastAsia="仿宋"/>
                <w:color w:val="auto"/>
                <w:kern w:val="0"/>
                <w:sz w:val="21"/>
                <w:szCs w:val="21"/>
                <w:highlight w:val="none"/>
              </w:rPr>
              <w:t>（格式详见第七篇）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1" w:hRule="atLeast"/>
          <w:jc w:val="center"/>
        </w:trPr>
        <w:tc>
          <w:tcPr>
            <w:tcW w:w="676" w:type="dxa"/>
            <w:vMerge w:val="continue"/>
            <w:vAlign w:val="center"/>
          </w:tcPr>
          <w:p>
            <w:pPr>
              <w:adjustRightInd w:val="0"/>
              <w:snapToGrid w:val="0"/>
              <w:spacing w:line="440" w:lineRule="exact"/>
              <w:ind w:firstLine="384"/>
              <w:jc w:val="center"/>
              <w:rPr>
                <w:rFonts w:ascii="仿宋" w:hAnsi="仿宋" w:eastAsia="仿宋" w:cs="黑体"/>
                <w:color w:val="auto"/>
                <w:sz w:val="22"/>
                <w:szCs w:val="22"/>
                <w:highlight w:val="none"/>
              </w:rPr>
            </w:pPr>
          </w:p>
        </w:tc>
        <w:tc>
          <w:tcPr>
            <w:tcW w:w="684" w:type="dxa"/>
            <w:vMerge w:val="continue"/>
            <w:vAlign w:val="center"/>
          </w:tcPr>
          <w:p>
            <w:pPr>
              <w:adjustRightInd w:val="0"/>
              <w:snapToGrid w:val="0"/>
              <w:spacing w:line="440" w:lineRule="exact"/>
              <w:ind w:firstLine="364"/>
              <w:jc w:val="center"/>
              <w:rPr>
                <w:rFonts w:ascii="仿宋" w:hAnsi="仿宋" w:eastAsia="仿宋" w:cs="黑体"/>
                <w:color w:val="auto"/>
                <w:sz w:val="21"/>
                <w:szCs w:val="21"/>
                <w:highlight w:val="none"/>
              </w:rPr>
            </w:pPr>
          </w:p>
        </w:tc>
        <w:tc>
          <w:tcPr>
            <w:tcW w:w="3119" w:type="dxa"/>
            <w:vAlign w:val="center"/>
          </w:tcPr>
          <w:p>
            <w:pPr>
              <w:adjustRightInd w:val="0"/>
              <w:snapToGrid w:val="0"/>
              <w:spacing w:line="44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3</w:t>
            </w:r>
            <w:r>
              <w:rPr>
                <w:rFonts w:ascii="仿宋" w:hAnsi="仿宋" w:eastAsia="仿宋"/>
                <w:color w:val="auto"/>
                <w:sz w:val="21"/>
                <w:szCs w:val="21"/>
                <w:highlight w:val="none"/>
              </w:rPr>
              <w:t>.</w:t>
            </w:r>
            <w:r>
              <w:rPr>
                <w:rFonts w:hint="eastAsia" w:ascii="仿宋" w:hAnsi="仿宋" w:eastAsia="仿宋"/>
                <w:color w:val="auto"/>
                <w:sz w:val="21"/>
                <w:szCs w:val="21"/>
                <w:highlight w:val="none"/>
              </w:rPr>
              <w:t>具有履行合同所必需的设备和专业技术能力</w:t>
            </w:r>
          </w:p>
        </w:tc>
        <w:tc>
          <w:tcPr>
            <w:tcW w:w="5385" w:type="dxa"/>
            <w:vMerge w:val="continue"/>
            <w:vAlign w:val="center"/>
          </w:tcPr>
          <w:p>
            <w:pPr>
              <w:adjustRightInd w:val="0"/>
              <w:snapToGrid w:val="0"/>
              <w:spacing w:line="440" w:lineRule="exact"/>
              <w:ind w:firstLine="0" w:firstLineChars="0"/>
              <w:jc w:val="left"/>
              <w:rPr>
                <w:rFonts w:ascii="仿宋" w:hAnsi="仿宋" w:eastAsia="仿宋" w:cs="黑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3" w:hRule="atLeast"/>
          <w:jc w:val="center"/>
        </w:trPr>
        <w:tc>
          <w:tcPr>
            <w:tcW w:w="676" w:type="dxa"/>
            <w:vMerge w:val="continue"/>
            <w:vAlign w:val="center"/>
          </w:tcPr>
          <w:p>
            <w:pPr>
              <w:adjustRightInd w:val="0"/>
              <w:snapToGrid w:val="0"/>
              <w:spacing w:line="440" w:lineRule="exact"/>
              <w:ind w:firstLine="384"/>
              <w:jc w:val="center"/>
              <w:rPr>
                <w:rFonts w:ascii="仿宋" w:hAnsi="仿宋" w:eastAsia="仿宋" w:cs="黑体"/>
                <w:color w:val="auto"/>
                <w:sz w:val="22"/>
                <w:szCs w:val="22"/>
                <w:highlight w:val="none"/>
              </w:rPr>
            </w:pPr>
          </w:p>
        </w:tc>
        <w:tc>
          <w:tcPr>
            <w:tcW w:w="684" w:type="dxa"/>
            <w:vMerge w:val="continue"/>
            <w:vAlign w:val="center"/>
          </w:tcPr>
          <w:p>
            <w:pPr>
              <w:adjustRightInd w:val="0"/>
              <w:snapToGrid w:val="0"/>
              <w:spacing w:line="440" w:lineRule="exact"/>
              <w:ind w:firstLine="364"/>
              <w:jc w:val="center"/>
              <w:rPr>
                <w:rFonts w:ascii="仿宋" w:hAnsi="仿宋" w:eastAsia="仿宋" w:cs="黑体"/>
                <w:color w:val="auto"/>
                <w:sz w:val="21"/>
                <w:szCs w:val="21"/>
                <w:highlight w:val="none"/>
              </w:rPr>
            </w:pPr>
          </w:p>
        </w:tc>
        <w:tc>
          <w:tcPr>
            <w:tcW w:w="3119" w:type="dxa"/>
            <w:vAlign w:val="center"/>
          </w:tcPr>
          <w:p>
            <w:pPr>
              <w:adjustRightInd w:val="0"/>
              <w:snapToGrid w:val="0"/>
              <w:spacing w:line="44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4</w:t>
            </w:r>
            <w:r>
              <w:rPr>
                <w:rFonts w:ascii="仿宋" w:hAnsi="仿宋" w:eastAsia="仿宋"/>
                <w:color w:val="auto"/>
                <w:sz w:val="21"/>
                <w:szCs w:val="21"/>
                <w:highlight w:val="none"/>
              </w:rPr>
              <w:t>.</w:t>
            </w:r>
            <w:r>
              <w:rPr>
                <w:rFonts w:hint="eastAsia" w:ascii="仿宋" w:hAnsi="仿宋" w:eastAsia="仿宋"/>
                <w:color w:val="auto"/>
                <w:sz w:val="21"/>
                <w:szCs w:val="21"/>
                <w:highlight w:val="none"/>
              </w:rPr>
              <w:t>有依法缴纳税收和社会保障金的良好记录</w:t>
            </w:r>
          </w:p>
        </w:tc>
        <w:tc>
          <w:tcPr>
            <w:tcW w:w="5385" w:type="dxa"/>
            <w:vMerge w:val="continue"/>
            <w:vAlign w:val="center"/>
          </w:tcPr>
          <w:p>
            <w:pPr>
              <w:adjustRightInd w:val="0"/>
              <w:snapToGrid w:val="0"/>
              <w:spacing w:line="440" w:lineRule="exact"/>
              <w:ind w:firstLine="0" w:firstLineChars="0"/>
              <w:jc w:val="left"/>
              <w:rPr>
                <w:rFonts w:ascii="仿宋" w:hAnsi="仿宋" w:eastAsia="仿宋" w:cs="黑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86" w:hRule="atLeast"/>
          <w:jc w:val="center"/>
        </w:trPr>
        <w:tc>
          <w:tcPr>
            <w:tcW w:w="676" w:type="dxa"/>
            <w:vMerge w:val="continue"/>
            <w:vAlign w:val="center"/>
          </w:tcPr>
          <w:p>
            <w:pPr>
              <w:adjustRightInd w:val="0"/>
              <w:snapToGrid w:val="0"/>
              <w:spacing w:line="440" w:lineRule="exact"/>
              <w:ind w:firstLine="384"/>
              <w:jc w:val="center"/>
              <w:rPr>
                <w:rFonts w:ascii="仿宋" w:hAnsi="仿宋" w:eastAsia="仿宋" w:cs="黑体"/>
                <w:color w:val="auto"/>
                <w:sz w:val="22"/>
                <w:szCs w:val="22"/>
                <w:highlight w:val="none"/>
              </w:rPr>
            </w:pPr>
          </w:p>
        </w:tc>
        <w:tc>
          <w:tcPr>
            <w:tcW w:w="684" w:type="dxa"/>
            <w:vMerge w:val="continue"/>
            <w:vAlign w:val="center"/>
          </w:tcPr>
          <w:p>
            <w:pPr>
              <w:adjustRightInd w:val="0"/>
              <w:snapToGrid w:val="0"/>
              <w:spacing w:line="440" w:lineRule="exact"/>
              <w:ind w:firstLine="364"/>
              <w:jc w:val="center"/>
              <w:rPr>
                <w:rFonts w:ascii="仿宋" w:hAnsi="仿宋" w:eastAsia="仿宋" w:cs="黑体"/>
                <w:color w:val="auto"/>
                <w:sz w:val="21"/>
                <w:szCs w:val="21"/>
                <w:highlight w:val="none"/>
              </w:rPr>
            </w:pPr>
          </w:p>
        </w:tc>
        <w:tc>
          <w:tcPr>
            <w:tcW w:w="3119" w:type="dxa"/>
            <w:vAlign w:val="center"/>
          </w:tcPr>
          <w:p>
            <w:pPr>
              <w:adjustRightInd w:val="0"/>
              <w:snapToGrid w:val="0"/>
              <w:spacing w:line="44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5</w:t>
            </w:r>
            <w:r>
              <w:rPr>
                <w:rFonts w:ascii="仿宋" w:hAnsi="仿宋" w:eastAsia="仿宋"/>
                <w:color w:val="auto"/>
                <w:sz w:val="21"/>
                <w:szCs w:val="21"/>
                <w:highlight w:val="none"/>
              </w:rPr>
              <w:t>.</w:t>
            </w:r>
            <w:r>
              <w:rPr>
                <w:rFonts w:hint="eastAsia" w:ascii="仿宋" w:hAnsi="仿宋" w:eastAsia="仿宋"/>
                <w:color w:val="auto"/>
                <w:sz w:val="21"/>
                <w:szCs w:val="21"/>
                <w:highlight w:val="none"/>
              </w:rPr>
              <w:t>参加政府采购活动前三年内，在经营活动中没有重大违法记录</w:t>
            </w:r>
          </w:p>
        </w:tc>
        <w:tc>
          <w:tcPr>
            <w:tcW w:w="5385" w:type="dxa"/>
            <w:vMerge w:val="continue"/>
            <w:vAlign w:val="center"/>
          </w:tcPr>
          <w:p>
            <w:pPr>
              <w:adjustRightInd w:val="0"/>
              <w:snapToGrid w:val="0"/>
              <w:spacing w:line="440" w:lineRule="exact"/>
              <w:ind w:firstLine="0" w:firstLineChars="0"/>
              <w:rPr>
                <w:rFonts w:ascii="仿宋" w:hAnsi="仿宋" w:eastAsia="仿宋"/>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6" w:hRule="atLeast"/>
          <w:jc w:val="center"/>
        </w:trPr>
        <w:tc>
          <w:tcPr>
            <w:tcW w:w="676" w:type="dxa"/>
            <w:vMerge w:val="continue"/>
            <w:vAlign w:val="center"/>
          </w:tcPr>
          <w:p>
            <w:pPr>
              <w:adjustRightInd w:val="0"/>
              <w:snapToGrid w:val="0"/>
              <w:spacing w:line="440" w:lineRule="exact"/>
              <w:ind w:firstLine="384"/>
              <w:jc w:val="center"/>
              <w:rPr>
                <w:rFonts w:ascii="仿宋" w:hAnsi="仿宋" w:eastAsia="仿宋" w:cs="黑体"/>
                <w:color w:val="auto"/>
                <w:sz w:val="22"/>
                <w:szCs w:val="22"/>
                <w:highlight w:val="none"/>
              </w:rPr>
            </w:pPr>
          </w:p>
        </w:tc>
        <w:tc>
          <w:tcPr>
            <w:tcW w:w="684" w:type="dxa"/>
            <w:vMerge w:val="continue"/>
            <w:vAlign w:val="center"/>
          </w:tcPr>
          <w:p>
            <w:pPr>
              <w:adjustRightInd w:val="0"/>
              <w:snapToGrid w:val="0"/>
              <w:spacing w:line="440" w:lineRule="exact"/>
              <w:ind w:firstLine="364"/>
              <w:jc w:val="center"/>
              <w:rPr>
                <w:rFonts w:ascii="仿宋" w:hAnsi="仿宋" w:eastAsia="仿宋" w:cs="黑体"/>
                <w:color w:val="auto"/>
                <w:sz w:val="21"/>
                <w:szCs w:val="21"/>
                <w:highlight w:val="none"/>
              </w:rPr>
            </w:pPr>
          </w:p>
        </w:tc>
        <w:tc>
          <w:tcPr>
            <w:tcW w:w="3119" w:type="dxa"/>
            <w:vAlign w:val="center"/>
          </w:tcPr>
          <w:p>
            <w:pPr>
              <w:adjustRightInd w:val="0"/>
              <w:snapToGrid w:val="0"/>
              <w:spacing w:line="44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6</w:t>
            </w:r>
            <w:r>
              <w:rPr>
                <w:rFonts w:ascii="仿宋" w:hAnsi="仿宋" w:eastAsia="仿宋"/>
                <w:color w:val="auto"/>
                <w:sz w:val="21"/>
                <w:szCs w:val="21"/>
                <w:highlight w:val="none"/>
              </w:rPr>
              <w:t>.</w:t>
            </w:r>
            <w:r>
              <w:rPr>
                <w:rFonts w:hint="eastAsia" w:ascii="仿宋" w:hAnsi="仿宋" w:eastAsia="仿宋"/>
                <w:color w:val="auto"/>
                <w:sz w:val="21"/>
                <w:szCs w:val="21"/>
                <w:highlight w:val="none"/>
              </w:rPr>
              <w:t>法律、行政法规规定的其他条件</w:t>
            </w:r>
          </w:p>
        </w:tc>
        <w:tc>
          <w:tcPr>
            <w:tcW w:w="5385" w:type="dxa"/>
            <w:vAlign w:val="center"/>
          </w:tcPr>
          <w:p>
            <w:pPr>
              <w:adjustRightInd w:val="0"/>
              <w:snapToGrid w:val="0"/>
              <w:spacing w:line="440" w:lineRule="exact"/>
              <w:ind w:firstLine="0" w:firstLineChars="0"/>
              <w:jc w:val="left"/>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0" w:hRule="atLeast"/>
          <w:jc w:val="center"/>
        </w:trPr>
        <w:tc>
          <w:tcPr>
            <w:tcW w:w="676" w:type="dxa"/>
            <w:vMerge w:val="continue"/>
            <w:vAlign w:val="center"/>
          </w:tcPr>
          <w:p>
            <w:pPr>
              <w:adjustRightInd w:val="0"/>
              <w:snapToGrid w:val="0"/>
              <w:spacing w:line="440" w:lineRule="exact"/>
              <w:ind w:firstLine="0" w:firstLineChars="0"/>
              <w:jc w:val="center"/>
              <w:rPr>
                <w:rFonts w:ascii="仿宋" w:hAnsi="仿宋" w:eastAsia="仿宋" w:cs="黑体"/>
                <w:color w:val="auto"/>
                <w:sz w:val="21"/>
                <w:szCs w:val="21"/>
                <w:highlight w:val="none"/>
              </w:rPr>
            </w:pPr>
          </w:p>
        </w:tc>
        <w:tc>
          <w:tcPr>
            <w:tcW w:w="684" w:type="dxa"/>
            <w:vMerge w:val="continue"/>
            <w:vAlign w:val="center"/>
          </w:tcPr>
          <w:p>
            <w:pPr>
              <w:adjustRightInd w:val="0"/>
              <w:snapToGrid w:val="0"/>
              <w:spacing w:line="440" w:lineRule="exact"/>
              <w:ind w:firstLine="0" w:firstLineChars="0"/>
              <w:jc w:val="center"/>
              <w:rPr>
                <w:rFonts w:ascii="仿宋" w:hAnsi="仿宋" w:eastAsia="仿宋" w:cs="黑体"/>
                <w:color w:val="auto"/>
                <w:sz w:val="21"/>
                <w:szCs w:val="21"/>
                <w:highlight w:val="none"/>
              </w:rPr>
            </w:pPr>
          </w:p>
        </w:tc>
        <w:tc>
          <w:tcPr>
            <w:tcW w:w="3119" w:type="dxa"/>
            <w:vAlign w:val="center"/>
          </w:tcPr>
          <w:p>
            <w:pPr>
              <w:adjustRightInd w:val="0"/>
              <w:snapToGrid w:val="0"/>
              <w:spacing w:line="44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7</w:t>
            </w:r>
            <w:r>
              <w:rPr>
                <w:rFonts w:ascii="仿宋" w:hAnsi="仿宋" w:eastAsia="仿宋"/>
                <w:color w:val="auto"/>
                <w:sz w:val="21"/>
                <w:szCs w:val="21"/>
                <w:highlight w:val="none"/>
              </w:rPr>
              <w:t>.</w:t>
            </w:r>
            <w:r>
              <w:rPr>
                <w:rFonts w:hint="eastAsia" w:ascii="仿宋" w:hAnsi="仿宋" w:eastAsia="仿宋"/>
                <w:color w:val="auto"/>
                <w:sz w:val="21"/>
                <w:szCs w:val="21"/>
                <w:highlight w:val="none"/>
              </w:rPr>
              <w:t>特定资格条件</w:t>
            </w:r>
          </w:p>
        </w:tc>
        <w:tc>
          <w:tcPr>
            <w:tcW w:w="5385" w:type="dxa"/>
            <w:vAlign w:val="center"/>
          </w:tcPr>
          <w:p>
            <w:pPr>
              <w:adjustRightInd w:val="0"/>
              <w:snapToGrid w:val="0"/>
              <w:spacing w:line="440" w:lineRule="exact"/>
              <w:ind w:firstLine="0" w:firstLineChars="0"/>
              <w:jc w:val="left"/>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按“第一篇三、投标人资格要求（三）本项目的特定资格要求落实政府采购政策需满足的资格要求”的要求提交。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6" w:hRule="atLeast"/>
          <w:jc w:val="center"/>
        </w:trPr>
        <w:tc>
          <w:tcPr>
            <w:tcW w:w="676" w:type="dxa"/>
            <w:vAlign w:val="center"/>
          </w:tcPr>
          <w:p>
            <w:pPr>
              <w:adjustRightInd w:val="0"/>
              <w:snapToGrid w:val="0"/>
              <w:spacing w:line="440" w:lineRule="exact"/>
              <w:ind w:firstLine="0" w:firstLineChars="0"/>
              <w:jc w:val="center"/>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（二）</w:t>
            </w:r>
          </w:p>
        </w:tc>
        <w:tc>
          <w:tcPr>
            <w:tcW w:w="3803" w:type="dxa"/>
            <w:gridSpan w:val="2"/>
            <w:vAlign w:val="center"/>
          </w:tcPr>
          <w:p>
            <w:pPr>
              <w:adjustRightInd w:val="0"/>
              <w:snapToGrid w:val="0"/>
              <w:spacing w:line="440" w:lineRule="exact"/>
              <w:ind w:firstLine="0" w:firstLineChars="0"/>
              <w:jc w:val="center"/>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落实政府采购政策需满足的资格要求</w:t>
            </w:r>
          </w:p>
        </w:tc>
        <w:tc>
          <w:tcPr>
            <w:tcW w:w="5385" w:type="dxa"/>
            <w:vAlign w:val="center"/>
          </w:tcPr>
          <w:p>
            <w:pPr>
              <w:adjustRightInd w:val="0"/>
              <w:snapToGrid w:val="0"/>
              <w:spacing w:line="440" w:lineRule="exact"/>
              <w:ind w:firstLine="0" w:firstLineChars="0"/>
              <w:rPr>
                <w:rFonts w:ascii="仿宋" w:hAnsi="仿宋" w:eastAsia="仿宋" w:cs="黑体"/>
                <w:color w:val="auto"/>
                <w:sz w:val="21"/>
                <w:szCs w:val="21"/>
                <w:highlight w:val="none"/>
              </w:rPr>
            </w:pPr>
            <w:r>
              <w:rPr>
                <w:rFonts w:hint="eastAsia" w:ascii="仿宋" w:hAnsi="仿宋" w:eastAsia="仿宋" w:cs="黑体"/>
                <w:color w:val="auto"/>
                <w:sz w:val="21"/>
                <w:szCs w:val="21"/>
                <w:highlight w:val="none"/>
              </w:rPr>
              <w:t>按“第一篇三、投标人资格要求（二）落实政府采购政策需满足的资格要求”的要求提交。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6" w:hRule="atLeast"/>
          <w:jc w:val="center"/>
        </w:trPr>
        <w:tc>
          <w:tcPr>
            <w:tcW w:w="676" w:type="dxa"/>
            <w:vAlign w:val="center"/>
          </w:tcPr>
          <w:p>
            <w:pPr>
              <w:ind w:firstLine="0" w:firstLineChars="0"/>
              <w:rPr>
                <w:rFonts w:ascii="仿宋" w:hAnsi="仿宋" w:eastAsia="仿宋" w:cs="黑体"/>
                <w:color w:val="auto"/>
                <w:sz w:val="21"/>
                <w:szCs w:val="21"/>
                <w:highlight w:val="none"/>
              </w:rPr>
            </w:pPr>
            <w:r>
              <w:rPr>
                <w:rFonts w:hint="eastAsia" w:ascii="方正仿宋_GBK" w:hAnsi="仿宋" w:eastAsia="方正仿宋_GBK"/>
                <w:color w:val="auto"/>
                <w:sz w:val="21"/>
                <w:szCs w:val="21"/>
                <w:highlight w:val="none"/>
              </w:rPr>
              <w:t>（三）</w:t>
            </w:r>
          </w:p>
        </w:tc>
        <w:tc>
          <w:tcPr>
            <w:tcW w:w="3803" w:type="dxa"/>
            <w:gridSpan w:val="2"/>
            <w:vAlign w:val="center"/>
          </w:tcPr>
          <w:p>
            <w:pPr>
              <w:ind w:firstLine="364"/>
              <w:rPr>
                <w:rFonts w:ascii="仿宋" w:hAnsi="仿宋" w:eastAsia="仿宋" w:cs="黑体"/>
                <w:color w:val="auto"/>
                <w:sz w:val="21"/>
                <w:szCs w:val="21"/>
                <w:highlight w:val="none"/>
              </w:rPr>
            </w:pPr>
            <w:r>
              <w:rPr>
                <w:rFonts w:hint="eastAsia" w:ascii="方正仿宋_GBK" w:hAnsi="仿宋" w:eastAsia="方正仿宋_GBK"/>
                <w:color w:val="auto"/>
                <w:sz w:val="21"/>
                <w:szCs w:val="21"/>
                <w:highlight w:val="none"/>
              </w:rPr>
              <w:t>投标保证金</w:t>
            </w:r>
          </w:p>
        </w:tc>
        <w:tc>
          <w:tcPr>
            <w:tcW w:w="5385" w:type="dxa"/>
            <w:vAlign w:val="center"/>
          </w:tcPr>
          <w:p>
            <w:pPr>
              <w:ind w:firstLine="0" w:firstLineChars="0"/>
              <w:rPr>
                <w:rFonts w:ascii="仿宋" w:hAnsi="仿宋" w:eastAsia="仿宋" w:cs="黑体"/>
                <w:color w:val="auto"/>
                <w:sz w:val="21"/>
                <w:szCs w:val="21"/>
                <w:highlight w:val="none"/>
              </w:rPr>
            </w:pPr>
            <w:r>
              <w:rPr>
                <w:rFonts w:hint="eastAsia" w:ascii="方正仿宋_GBK" w:hAnsi="仿宋" w:eastAsia="方正仿宋_GBK"/>
                <w:color w:val="auto"/>
                <w:sz w:val="21"/>
                <w:szCs w:val="21"/>
                <w:highlight w:val="none"/>
              </w:rPr>
              <w:t>按照招标文件要求足额交纳投标保证金。</w:t>
            </w:r>
          </w:p>
        </w:tc>
      </w:tr>
    </w:tbl>
    <w:p>
      <w:pPr>
        <w:ind w:firstLine="424" w:firstLineChars="0"/>
        <w:rPr>
          <w:rFonts w:ascii="仿宋" w:hAnsi="仿宋" w:eastAsia="仿宋"/>
          <w:color w:val="auto"/>
          <w:highlight w:val="none"/>
        </w:rPr>
      </w:pPr>
      <w:r>
        <w:rPr>
          <w:rFonts w:hint="eastAsia" w:ascii="仿宋" w:hAnsi="仿宋" w:eastAsia="仿宋"/>
          <w:color w:val="auto"/>
          <w:highlight w:val="none"/>
        </w:rPr>
        <w:t>注：</w:t>
      </w:r>
    </w:p>
    <w:p>
      <w:pPr>
        <w:ind w:firstLine="424"/>
        <w:rPr>
          <w:rFonts w:ascii="仿宋" w:hAnsi="仿宋" w:eastAsia="仿宋"/>
          <w:color w:val="auto"/>
          <w:highlight w:val="none"/>
        </w:rPr>
      </w:pPr>
      <w:bookmarkStart w:id="474" w:name="_Hlk73522913"/>
      <w:r>
        <w:rPr>
          <w:rFonts w:hint="eastAsia" w:ascii="仿宋" w:hAnsi="仿宋" w:eastAsia="仿宋"/>
          <w:color w:val="auto"/>
          <w:szCs w:val="22"/>
          <w:highlight w:val="none"/>
        </w:rPr>
        <w:t>①</w:t>
      </w:r>
      <w:r>
        <w:rPr>
          <w:rFonts w:hint="eastAsia" w:ascii="仿宋" w:hAnsi="仿宋" w:eastAsia="仿宋"/>
          <w:color w:val="auto"/>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w:t>
      </w:r>
    </w:p>
    <w:bookmarkEnd w:id="474"/>
    <w:p>
      <w:pPr>
        <w:ind w:firstLine="424"/>
        <w:rPr>
          <w:rFonts w:ascii="仿宋" w:hAnsi="仿宋" w:eastAsia="仿宋"/>
          <w:color w:val="auto"/>
          <w:szCs w:val="22"/>
          <w:highlight w:val="none"/>
        </w:rPr>
      </w:pPr>
      <w:bookmarkStart w:id="475" w:name="_Toc63600423"/>
      <w:bookmarkStart w:id="476" w:name="_Toc4701"/>
      <w:r>
        <w:rPr>
          <w:rFonts w:hint="eastAsia" w:ascii="仿宋" w:hAnsi="仿宋" w:eastAsia="仿宋"/>
          <w:color w:val="auto"/>
          <w:highlight w:val="none"/>
        </w:rPr>
        <w:t>②以联合体形式参与投标的，联合投标协议中应确定主办方（主体），代表联合体进行在线投标和在线澄清。法定代表人授权委托书由联合体主办方（主体）出具。联合体各方均应满足投标人资格要求</w:t>
      </w:r>
      <w:r>
        <w:rPr>
          <w:rFonts w:hint="eastAsia" w:ascii="仿宋" w:hAnsi="仿宋" w:eastAsia="仿宋"/>
          <w:color w:val="auto"/>
          <w:szCs w:val="22"/>
          <w:highlight w:val="none"/>
        </w:rPr>
        <w:t>（详见“第一篇”）。</w:t>
      </w:r>
    </w:p>
    <w:p>
      <w:pPr>
        <w:ind w:firstLine="424"/>
        <w:rPr>
          <w:rFonts w:ascii="仿宋" w:hAnsi="仿宋" w:eastAsia="仿宋"/>
          <w:color w:val="auto"/>
          <w:highlight w:val="none"/>
        </w:rPr>
      </w:pPr>
      <w:r>
        <w:rPr>
          <w:rFonts w:hint="eastAsia" w:ascii="仿宋" w:hAnsi="仿宋" w:eastAsia="仿宋"/>
          <w:color w:val="auto"/>
          <w:szCs w:val="22"/>
          <w:highlight w:val="none"/>
        </w:rPr>
        <w:t>③以联合体形式</w:t>
      </w:r>
      <w:r>
        <w:rPr>
          <w:rFonts w:hint="eastAsia" w:ascii="仿宋" w:hAnsi="仿宋" w:eastAsia="仿宋"/>
          <w:color w:val="auto"/>
          <w:highlight w:val="none"/>
        </w:rPr>
        <w:t>参加投标的，联合体各方均为中小企业的，联合体视同中小企业（其中，联合体各方均为小微企业的，联合体视同小微企业）。</w:t>
      </w:r>
    </w:p>
    <w:p>
      <w:pPr>
        <w:ind w:firstLine="426"/>
        <w:rPr>
          <w:rFonts w:ascii="仿宋" w:hAnsi="仿宋" w:eastAsia="仿宋"/>
          <w:b/>
          <w:bCs/>
          <w:color w:val="auto"/>
          <w:highlight w:val="none"/>
        </w:rPr>
      </w:pPr>
      <w:r>
        <w:rPr>
          <w:rFonts w:hint="eastAsia" w:ascii="仿宋" w:hAnsi="仿宋" w:eastAsia="仿宋"/>
          <w:b/>
          <w:bCs/>
          <w:color w:val="auto"/>
          <w:szCs w:val="22"/>
          <w:highlight w:val="none"/>
        </w:rPr>
        <w:t>（二）符合性</w:t>
      </w:r>
      <w:r>
        <w:rPr>
          <w:rFonts w:hint="eastAsia" w:ascii="仿宋" w:hAnsi="仿宋" w:eastAsia="仿宋"/>
          <w:b/>
          <w:bCs/>
          <w:color w:val="auto"/>
          <w:highlight w:val="none"/>
        </w:rPr>
        <w:t>审查</w:t>
      </w:r>
    </w:p>
    <w:p>
      <w:pPr>
        <w:ind w:firstLine="424"/>
        <w:rPr>
          <w:rFonts w:ascii="仿宋" w:hAnsi="仿宋" w:eastAsia="仿宋"/>
          <w:color w:val="auto"/>
          <w:highlight w:val="none"/>
        </w:rPr>
      </w:pPr>
      <w:r>
        <w:rPr>
          <w:rFonts w:hint="eastAsia" w:ascii="仿宋" w:hAnsi="仿宋" w:eastAsia="仿宋"/>
          <w:color w:val="auto"/>
          <w:highlight w:val="none"/>
        </w:rPr>
        <w:t>评标委员会应当对符合资格的投标人的电子投标文件进行符合性审查，以确定其是否满足招标文件的实质性要求。符合性审查资料表如下：</w:t>
      </w:r>
    </w:p>
    <w:tbl>
      <w:tblPr>
        <w:tblStyle w:val="3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5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jc w:val="center"/>
        </w:trPr>
        <w:tc>
          <w:tcPr>
            <w:tcW w:w="675" w:type="dxa"/>
            <w:vAlign w:val="center"/>
          </w:tcPr>
          <w:p>
            <w:pPr>
              <w:spacing w:line="400" w:lineRule="exact"/>
              <w:ind w:firstLine="0" w:firstLineChars="0"/>
              <w:jc w:val="center"/>
              <w:rPr>
                <w:rFonts w:ascii="仿宋" w:hAnsi="仿宋" w:eastAsia="仿宋"/>
                <w:b/>
                <w:bCs/>
                <w:color w:val="auto"/>
                <w:szCs w:val="24"/>
                <w:highlight w:val="none"/>
              </w:rPr>
            </w:pPr>
            <w:r>
              <w:rPr>
                <w:rFonts w:hint="eastAsia" w:ascii="仿宋" w:hAnsi="仿宋" w:eastAsia="仿宋"/>
                <w:b/>
                <w:bCs/>
                <w:color w:val="auto"/>
                <w:szCs w:val="24"/>
                <w:highlight w:val="none"/>
              </w:rPr>
              <w:t>序号</w:t>
            </w:r>
          </w:p>
        </w:tc>
        <w:tc>
          <w:tcPr>
            <w:tcW w:w="3544" w:type="dxa"/>
            <w:gridSpan w:val="2"/>
            <w:vAlign w:val="center"/>
          </w:tcPr>
          <w:p>
            <w:pPr>
              <w:spacing w:line="400" w:lineRule="exact"/>
              <w:ind w:firstLine="0" w:firstLineChars="0"/>
              <w:jc w:val="center"/>
              <w:rPr>
                <w:rFonts w:ascii="仿宋" w:hAnsi="仿宋" w:eastAsia="仿宋"/>
                <w:b/>
                <w:bCs/>
                <w:color w:val="auto"/>
                <w:szCs w:val="24"/>
                <w:highlight w:val="none"/>
              </w:rPr>
            </w:pPr>
            <w:r>
              <w:rPr>
                <w:rFonts w:hint="eastAsia" w:ascii="仿宋" w:hAnsi="仿宋" w:eastAsia="仿宋"/>
                <w:b/>
                <w:bCs/>
                <w:color w:val="auto"/>
                <w:szCs w:val="24"/>
                <w:highlight w:val="none"/>
              </w:rPr>
              <w:t>评审因素</w:t>
            </w:r>
          </w:p>
        </w:tc>
        <w:tc>
          <w:tcPr>
            <w:tcW w:w="5409" w:type="dxa"/>
            <w:vAlign w:val="center"/>
          </w:tcPr>
          <w:p>
            <w:pPr>
              <w:spacing w:line="400" w:lineRule="exact"/>
              <w:ind w:firstLine="0" w:firstLineChars="0"/>
              <w:jc w:val="center"/>
              <w:rPr>
                <w:rFonts w:ascii="仿宋" w:hAnsi="仿宋" w:eastAsia="仿宋"/>
                <w:b/>
                <w:bCs/>
                <w:color w:val="auto"/>
                <w:szCs w:val="24"/>
                <w:highlight w:val="none"/>
              </w:rPr>
            </w:pPr>
            <w:r>
              <w:rPr>
                <w:rFonts w:hint="eastAsia" w:ascii="仿宋" w:hAnsi="仿宋" w:eastAsia="仿宋"/>
                <w:b/>
                <w:bCs/>
                <w:color w:val="auto"/>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4" w:hRule="atLeast"/>
          <w:jc w:val="center"/>
        </w:trPr>
        <w:tc>
          <w:tcPr>
            <w:tcW w:w="675" w:type="dxa"/>
            <w:vMerge w:val="restart"/>
            <w:vAlign w:val="center"/>
          </w:tcPr>
          <w:p>
            <w:pPr>
              <w:spacing w:line="400" w:lineRule="exact"/>
              <w:ind w:firstLine="0" w:firstLineChars="0"/>
              <w:jc w:val="center"/>
              <w:rPr>
                <w:rFonts w:ascii="仿宋" w:hAnsi="仿宋" w:eastAsia="仿宋"/>
                <w:color w:val="auto"/>
                <w:szCs w:val="24"/>
                <w:highlight w:val="none"/>
              </w:rPr>
            </w:pPr>
            <w:r>
              <w:rPr>
                <w:rFonts w:hint="eastAsia" w:ascii="仿宋" w:hAnsi="仿宋" w:eastAsia="仿宋"/>
                <w:color w:val="auto"/>
                <w:szCs w:val="24"/>
                <w:highlight w:val="none"/>
              </w:rPr>
              <w:t>1</w:t>
            </w:r>
          </w:p>
        </w:tc>
        <w:tc>
          <w:tcPr>
            <w:tcW w:w="1560" w:type="dxa"/>
            <w:vMerge w:val="restart"/>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有效性审查</w:t>
            </w:r>
          </w:p>
        </w:tc>
        <w:tc>
          <w:tcPr>
            <w:tcW w:w="1984"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电子投标文件签署或盖章</w:t>
            </w:r>
          </w:p>
        </w:tc>
        <w:tc>
          <w:tcPr>
            <w:tcW w:w="5409"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电子投标文件上法定代表人（或其授权代表）或自然人（投标人为自然人）的签署或盖章齐全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675" w:type="dxa"/>
            <w:vMerge w:val="continue"/>
            <w:vAlign w:val="center"/>
          </w:tcPr>
          <w:p>
            <w:pPr>
              <w:spacing w:line="400" w:lineRule="exact"/>
              <w:ind w:firstLine="424"/>
              <w:jc w:val="center"/>
              <w:rPr>
                <w:rFonts w:ascii="仿宋" w:hAnsi="仿宋" w:eastAsia="仿宋"/>
                <w:color w:val="auto"/>
                <w:szCs w:val="24"/>
                <w:highlight w:val="none"/>
              </w:rPr>
            </w:pPr>
          </w:p>
        </w:tc>
        <w:tc>
          <w:tcPr>
            <w:tcW w:w="1560" w:type="dxa"/>
            <w:vMerge w:val="continue"/>
            <w:vAlign w:val="center"/>
          </w:tcPr>
          <w:p>
            <w:pPr>
              <w:spacing w:line="400" w:lineRule="exact"/>
              <w:ind w:firstLine="0" w:firstLineChars="0"/>
              <w:jc w:val="left"/>
              <w:rPr>
                <w:rFonts w:ascii="仿宋" w:hAnsi="仿宋" w:eastAsia="仿宋"/>
                <w:color w:val="auto"/>
                <w:szCs w:val="24"/>
                <w:highlight w:val="none"/>
              </w:rPr>
            </w:pPr>
          </w:p>
        </w:tc>
        <w:tc>
          <w:tcPr>
            <w:tcW w:w="1984"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投标方案</w:t>
            </w:r>
          </w:p>
        </w:tc>
        <w:tc>
          <w:tcPr>
            <w:tcW w:w="5409"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每个包只能有一个方案投标。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jc w:val="center"/>
        </w:trPr>
        <w:tc>
          <w:tcPr>
            <w:tcW w:w="675" w:type="dxa"/>
            <w:vMerge w:val="continue"/>
            <w:vAlign w:val="center"/>
          </w:tcPr>
          <w:p>
            <w:pPr>
              <w:spacing w:line="400" w:lineRule="exact"/>
              <w:ind w:firstLine="424"/>
              <w:jc w:val="center"/>
              <w:rPr>
                <w:rFonts w:ascii="仿宋" w:hAnsi="仿宋" w:eastAsia="仿宋"/>
                <w:color w:val="auto"/>
                <w:szCs w:val="24"/>
                <w:highlight w:val="none"/>
              </w:rPr>
            </w:pPr>
          </w:p>
        </w:tc>
        <w:tc>
          <w:tcPr>
            <w:tcW w:w="1560" w:type="dxa"/>
            <w:vMerge w:val="continue"/>
            <w:vAlign w:val="center"/>
          </w:tcPr>
          <w:p>
            <w:pPr>
              <w:spacing w:line="400" w:lineRule="exact"/>
              <w:ind w:firstLine="0" w:firstLineChars="0"/>
              <w:jc w:val="left"/>
              <w:rPr>
                <w:rFonts w:ascii="仿宋" w:hAnsi="仿宋" w:eastAsia="仿宋"/>
                <w:color w:val="auto"/>
                <w:szCs w:val="24"/>
                <w:highlight w:val="none"/>
              </w:rPr>
            </w:pPr>
          </w:p>
        </w:tc>
        <w:tc>
          <w:tcPr>
            <w:tcW w:w="1984"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报价唯一</w:t>
            </w:r>
          </w:p>
        </w:tc>
        <w:tc>
          <w:tcPr>
            <w:tcW w:w="5409"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只能在预算金额和最高限价内报价，只能有一个有效报价，不得提交选择性报价。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atLeast"/>
          <w:jc w:val="center"/>
        </w:trPr>
        <w:tc>
          <w:tcPr>
            <w:tcW w:w="675" w:type="dxa"/>
            <w:vAlign w:val="center"/>
          </w:tcPr>
          <w:p>
            <w:pPr>
              <w:spacing w:line="400" w:lineRule="exact"/>
              <w:ind w:firstLine="0" w:firstLineChars="0"/>
              <w:jc w:val="center"/>
              <w:rPr>
                <w:rFonts w:ascii="仿宋" w:hAnsi="仿宋" w:eastAsia="仿宋"/>
                <w:color w:val="auto"/>
                <w:szCs w:val="24"/>
                <w:highlight w:val="none"/>
              </w:rPr>
            </w:pPr>
            <w:r>
              <w:rPr>
                <w:rFonts w:hint="eastAsia" w:ascii="仿宋" w:hAnsi="仿宋" w:eastAsia="仿宋"/>
                <w:color w:val="auto"/>
                <w:szCs w:val="24"/>
                <w:highlight w:val="none"/>
              </w:rPr>
              <w:t>2</w:t>
            </w:r>
          </w:p>
        </w:tc>
        <w:tc>
          <w:tcPr>
            <w:tcW w:w="1560"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完整性审查</w:t>
            </w:r>
          </w:p>
        </w:tc>
        <w:tc>
          <w:tcPr>
            <w:tcW w:w="1984"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电子投标文件份数</w:t>
            </w:r>
          </w:p>
        </w:tc>
        <w:tc>
          <w:tcPr>
            <w:tcW w:w="5409"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lang w:val="zh-CN"/>
              </w:rPr>
              <w:t>电子投标文件数量和须提交的相关原件数量（如果有）符合招标文件要求。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3" w:hRule="atLeast"/>
          <w:jc w:val="center"/>
        </w:trPr>
        <w:tc>
          <w:tcPr>
            <w:tcW w:w="675" w:type="dxa"/>
            <w:vAlign w:val="center"/>
          </w:tcPr>
          <w:p>
            <w:pPr>
              <w:spacing w:line="400" w:lineRule="exact"/>
              <w:ind w:firstLine="0" w:firstLineChars="0"/>
              <w:jc w:val="center"/>
              <w:rPr>
                <w:rFonts w:ascii="仿宋" w:hAnsi="仿宋" w:eastAsia="仿宋"/>
                <w:color w:val="auto"/>
                <w:szCs w:val="24"/>
                <w:highlight w:val="none"/>
              </w:rPr>
            </w:pPr>
            <w:r>
              <w:rPr>
                <w:rFonts w:hint="eastAsia" w:ascii="仿宋" w:hAnsi="仿宋" w:eastAsia="仿宋"/>
                <w:color w:val="auto"/>
                <w:szCs w:val="24"/>
                <w:highlight w:val="none"/>
              </w:rPr>
              <w:t>3</w:t>
            </w:r>
          </w:p>
        </w:tc>
        <w:tc>
          <w:tcPr>
            <w:tcW w:w="1560"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技术部分</w:t>
            </w:r>
          </w:p>
        </w:tc>
        <w:tc>
          <w:tcPr>
            <w:tcW w:w="1984"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电子投标文件内容</w:t>
            </w:r>
          </w:p>
        </w:tc>
        <w:tc>
          <w:tcPr>
            <w:tcW w:w="5409"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本招标文件第二篇中（※）号标注的部分。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675" w:type="dxa"/>
            <w:vAlign w:val="center"/>
          </w:tcPr>
          <w:p>
            <w:pPr>
              <w:spacing w:line="400" w:lineRule="exact"/>
              <w:ind w:firstLine="0" w:firstLineChars="0"/>
              <w:jc w:val="center"/>
              <w:rPr>
                <w:rFonts w:ascii="仿宋" w:hAnsi="仿宋" w:eastAsia="仿宋"/>
                <w:color w:val="auto"/>
                <w:szCs w:val="24"/>
                <w:highlight w:val="none"/>
              </w:rPr>
            </w:pPr>
            <w:r>
              <w:rPr>
                <w:rFonts w:hint="eastAsia" w:ascii="仿宋" w:hAnsi="仿宋" w:eastAsia="仿宋"/>
                <w:color w:val="auto"/>
                <w:szCs w:val="24"/>
                <w:highlight w:val="none"/>
              </w:rPr>
              <w:t>4</w:t>
            </w:r>
          </w:p>
        </w:tc>
        <w:tc>
          <w:tcPr>
            <w:tcW w:w="1560"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商务部分</w:t>
            </w:r>
          </w:p>
        </w:tc>
        <w:tc>
          <w:tcPr>
            <w:tcW w:w="1984"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电子投标文件内容</w:t>
            </w:r>
          </w:p>
        </w:tc>
        <w:tc>
          <w:tcPr>
            <w:tcW w:w="5409"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本招标文件第三篇中（※）号标注的部分。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675" w:type="dxa"/>
            <w:vAlign w:val="center"/>
          </w:tcPr>
          <w:p>
            <w:pPr>
              <w:spacing w:line="400" w:lineRule="exact"/>
              <w:ind w:firstLine="0" w:firstLineChars="0"/>
              <w:jc w:val="center"/>
              <w:rPr>
                <w:rFonts w:ascii="仿宋" w:hAnsi="仿宋" w:eastAsia="仿宋"/>
                <w:color w:val="auto"/>
                <w:szCs w:val="24"/>
                <w:highlight w:val="none"/>
              </w:rPr>
            </w:pPr>
            <w:r>
              <w:rPr>
                <w:rFonts w:hint="eastAsia" w:ascii="仿宋" w:hAnsi="仿宋" w:eastAsia="仿宋"/>
                <w:color w:val="auto"/>
                <w:szCs w:val="24"/>
                <w:highlight w:val="none"/>
              </w:rPr>
              <w:t>5</w:t>
            </w:r>
          </w:p>
        </w:tc>
        <w:tc>
          <w:tcPr>
            <w:tcW w:w="1560"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投标有效期</w:t>
            </w:r>
          </w:p>
        </w:tc>
        <w:tc>
          <w:tcPr>
            <w:tcW w:w="1984"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电子投标文件内容</w:t>
            </w:r>
          </w:p>
        </w:tc>
        <w:tc>
          <w:tcPr>
            <w:tcW w:w="5409" w:type="dxa"/>
            <w:vAlign w:val="center"/>
          </w:tcPr>
          <w:p>
            <w:pPr>
              <w:spacing w:line="400" w:lineRule="exact"/>
              <w:ind w:firstLine="0" w:firstLineChars="0"/>
              <w:jc w:val="left"/>
              <w:rPr>
                <w:rFonts w:ascii="仿宋" w:hAnsi="仿宋" w:eastAsia="仿宋"/>
                <w:color w:val="auto"/>
                <w:szCs w:val="24"/>
                <w:highlight w:val="none"/>
              </w:rPr>
            </w:pPr>
            <w:r>
              <w:rPr>
                <w:rFonts w:hint="eastAsia" w:ascii="仿宋" w:hAnsi="仿宋" w:eastAsia="仿宋"/>
                <w:color w:val="auto"/>
                <w:szCs w:val="24"/>
                <w:highlight w:val="none"/>
              </w:rPr>
              <w:t>投标有效期为电子投标文件递交截止时间起90天。</w:t>
            </w:r>
          </w:p>
        </w:tc>
      </w:tr>
    </w:tbl>
    <w:p>
      <w:pPr>
        <w:pStyle w:val="4"/>
        <w:spacing w:before="190" w:after="190"/>
        <w:ind w:firstLine="506"/>
        <w:rPr>
          <w:rFonts w:ascii="仿宋" w:hAnsi="仿宋" w:eastAsia="仿宋"/>
          <w:color w:val="auto"/>
          <w:sz w:val="24"/>
          <w:szCs w:val="24"/>
          <w:highlight w:val="none"/>
        </w:rPr>
      </w:pPr>
      <w:bookmarkStart w:id="477" w:name="_Toc1809"/>
      <w:r>
        <w:rPr>
          <w:rFonts w:hint="eastAsia" w:ascii="仿宋" w:hAnsi="仿宋" w:eastAsia="仿宋"/>
          <w:color w:val="auto"/>
          <w:sz w:val="24"/>
          <w:szCs w:val="24"/>
          <w:highlight w:val="none"/>
        </w:rPr>
        <w:t>二、评标方法</w:t>
      </w:r>
      <w:bookmarkEnd w:id="475"/>
      <w:bookmarkEnd w:id="476"/>
      <w:bookmarkEnd w:id="477"/>
    </w:p>
    <w:p>
      <w:pPr>
        <w:ind w:firstLine="424"/>
        <w:rPr>
          <w:rFonts w:ascii="仿宋" w:hAnsi="仿宋" w:eastAsia="仿宋"/>
          <w:color w:val="auto"/>
          <w:highlight w:val="none"/>
        </w:rPr>
      </w:pPr>
      <w:r>
        <w:rPr>
          <w:rFonts w:hint="eastAsia" w:ascii="仿宋" w:hAnsi="仿宋" w:eastAsia="仿宋"/>
          <w:color w:val="auto"/>
          <w:highlight w:val="none"/>
        </w:rPr>
        <w:t>本项目采用综合评分法进行评标。</w:t>
      </w:r>
    </w:p>
    <w:p>
      <w:pPr>
        <w:ind w:firstLine="424"/>
        <w:rPr>
          <w:rFonts w:ascii="仿宋" w:hAnsi="仿宋" w:eastAsia="仿宋"/>
          <w:color w:val="auto"/>
          <w:highlight w:val="none"/>
        </w:rPr>
      </w:pPr>
      <w:r>
        <w:rPr>
          <w:rFonts w:hint="eastAsia" w:ascii="仿宋" w:hAnsi="仿宋" w:eastAsia="仿宋"/>
          <w:color w:val="auto"/>
          <w:highlight w:val="none"/>
        </w:rPr>
        <w:t>综合评分法，是指电子投标文件满足招标文件全部实质性要求且按照评审因素的量化指标评审得分最高的投标人为中标候选人的评标方法。投标人总得分为价格、商务、服务等评定因素分别按照相应权重值计算分项得分后相加，满分为100分。</w:t>
      </w:r>
    </w:p>
    <w:p>
      <w:pPr>
        <w:ind w:firstLine="424"/>
        <w:rPr>
          <w:rFonts w:ascii="仿宋" w:hAnsi="仿宋" w:eastAsia="仿宋"/>
          <w:color w:val="auto"/>
          <w:highlight w:val="none"/>
        </w:rPr>
      </w:pPr>
      <w:r>
        <w:rPr>
          <w:rFonts w:hint="eastAsia" w:ascii="仿宋" w:hAnsi="仿宋" w:eastAsia="仿宋"/>
          <w:color w:val="auto"/>
          <w:highlight w:val="none"/>
        </w:rPr>
        <w:t>澄清有关问题。对电子投标文件中含义不明确、同类问题表述不一致或者有明显文字和计算错误的内容，评标委员会可在线要求投标人作出必要澄清、说明或者纠正，其澄清的内容不得超出电子投标文件的范围或者改变电子投标文件的实质性内容。澄清内容以线下书面形式作出，</w:t>
      </w:r>
      <w:bookmarkStart w:id="478" w:name="_Hlk148269031"/>
      <w:r>
        <w:rPr>
          <w:rFonts w:hint="eastAsia" w:ascii="仿宋" w:hAnsi="仿宋" w:eastAsia="仿宋"/>
          <w:color w:val="auto"/>
          <w:highlight w:val="none"/>
        </w:rPr>
        <w:t>文件电子化上传</w:t>
      </w:r>
      <w:bookmarkEnd w:id="478"/>
      <w:r>
        <w:rPr>
          <w:rFonts w:hint="eastAsia" w:ascii="仿宋" w:hAnsi="仿宋" w:eastAsia="仿宋"/>
          <w:color w:val="auto"/>
          <w:highlight w:val="none"/>
        </w:rPr>
        <w:t>。</w:t>
      </w:r>
      <w:bookmarkStart w:id="479" w:name="_Hlk148269077"/>
      <w:r>
        <w:rPr>
          <w:rFonts w:hint="eastAsia" w:ascii="仿宋" w:hAnsi="仿宋" w:eastAsia="仿宋"/>
          <w:color w:val="auto"/>
          <w:highlight w:val="none"/>
        </w:rPr>
        <w:t>投标人通过书面形式作出的澄清、说明或者纠正应当由法定代表人（或其授权代表）或自然人（投标人为自然人）签署或者加盖公章并将澄清等文件扫描为PDF格式，上传至电子开标室的“问题澄清”输入框中的“澄清附件”中。由授权代表签署的，应当附法定代表人授权书。投标人为自然人的，应当由本人签署并附身份证明。以上签署等文件都要以PDF格式上传到“问题澄清”输入框中的“澄清附件”（注意：澄清附件只允许一个文档上传，所有上传文件都应归到一个PDF文档当中）</w:t>
      </w:r>
      <w:bookmarkEnd w:id="479"/>
      <w:r>
        <w:rPr>
          <w:rFonts w:hint="eastAsia" w:ascii="仿宋" w:hAnsi="仿宋" w:eastAsia="仿宋"/>
          <w:color w:val="auto"/>
          <w:highlight w:val="none"/>
        </w:rPr>
        <w:t>。</w:t>
      </w:r>
    </w:p>
    <w:p>
      <w:pPr>
        <w:ind w:firstLine="424"/>
        <w:rPr>
          <w:rFonts w:ascii="仿宋" w:hAnsi="仿宋" w:eastAsia="仿宋"/>
          <w:color w:val="auto"/>
          <w:szCs w:val="22"/>
          <w:highlight w:val="none"/>
        </w:rPr>
      </w:pPr>
      <w:r>
        <w:rPr>
          <w:rFonts w:hint="eastAsia" w:ascii="仿宋" w:hAnsi="仿宋" w:eastAsia="仿宋"/>
          <w:color w:val="auto"/>
          <w:highlight w:val="none"/>
        </w:rPr>
        <w:t>（一）</w:t>
      </w:r>
      <w:bookmarkStart w:id="480" w:name="_Hlk63496383"/>
      <w:r>
        <w:rPr>
          <w:rFonts w:hint="eastAsia" w:ascii="仿宋" w:hAnsi="仿宋" w:eastAsia="仿宋"/>
          <w:color w:val="auto"/>
          <w:highlight w:val="none"/>
        </w:rPr>
        <w:t>比较与评价。按招标文件中规定的评标方法和标准，对资格审查和符合性审查合格的电子投标文件进行商务和技术评估。</w:t>
      </w:r>
    </w:p>
    <w:bookmarkEnd w:id="480"/>
    <w:p>
      <w:pPr>
        <w:ind w:firstLine="424"/>
        <w:rPr>
          <w:rFonts w:ascii="仿宋" w:hAnsi="仿宋" w:eastAsia="仿宋"/>
          <w:color w:val="auto"/>
          <w:highlight w:val="none"/>
        </w:rPr>
      </w:pPr>
      <w:r>
        <w:rPr>
          <w:rFonts w:hint="eastAsia" w:ascii="仿宋" w:hAnsi="仿宋" w:eastAsia="仿宋"/>
          <w:color w:val="auto"/>
          <w:highlight w:val="none"/>
        </w:rPr>
        <w:t>评标委员会各成员独立对每个有效投标人（通过资格审查、符合性审查的投标人）的电子投标文件进行评价、打分，然后由评标委员会对各成员打分情况进行核查及复核，个别成员对同一投标人同一评分项的打分偏离较大的，应对投标人的电子投标文件进行再次核对，确属打分有误的，应及时进行修正。</w:t>
      </w:r>
    </w:p>
    <w:p>
      <w:pPr>
        <w:ind w:firstLine="424"/>
        <w:rPr>
          <w:rFonts w:ascii="仿宋" w:hAnsi="仿宋" w:eastAsia="仿宋"/>
          <w:color w:val="auto"/>
          <w:highlight w:val="none"/>
        </w:rPr>
      </w:pPr>
      <w:r>
        <w:rPr>
          <w:rFonts w:hint="eastAsia" w:ascii="仿宋" w:hAnsi="仿宋" w:eastAsia="仿宋"/>
          <w:color w:val="auto"/>
          <w:highlight w:val="none"/>
        </w:rPr>
        <w:t>复核后，评标委员会汇总每个投标人每项评分因素的得分。</w:t>
      </w:r>
    </w:p>
    <w:p>
      <w:pPr>
        <w:ind w:firstLine="424"/>
        <w:rPr>
          <w:rFonts w:ascii="仿宋" w:hAnsi="仿宋" w:eastAsia="仿宋"/>
          <w:color w:val="auto"/>
          <w:szCs w:val="24"/>
          <w:highlight w:val="none"/>
        </w:rPr>
      </w:pPr>
      <w:r>
        <w:rPr>
          <w:rFonts w:hint="eastAsia" w:ascii="仿宋" w:hAnsi="仿宋" w:eastAsia="仿宋"/>
          <w:color w:val="auto"/>
          <w:highlight w:val="none"/>
        </w:rPr>
        <w:t>（二）推荐中标候选人名单。</w:t>
      </w:r>
    </w:p>
    <w:p>
      <w:pPr>
        <w:ind w:firstLine="424"/>
        <w:rPr>
          <w:rFonts w:ascii="仿宋" w:hAnsi="仿宋" w:eastAsia="仿宋"/>
          <w:color w:val="auto"/>
          <w:highlight w:val="none"/>
        </w:rPr>
      </w:pPr>
      <w:r>
        <w:rPr>
          <w:rFonts w:hint="eastAsia" w:ascii="仿宋" w:hAnsi="仿宋" w:eastAsia="仿宋"/>
          <w:color w:val="auto"/>
          <w:szCs w:val="24"/>
          <w:highlight w:val="none"/>
        </w:rPr>
        <w:t>按评审后得分由高到低的排列顺序推荐综合得分排名前三的投标人为本包（项目）中标候选人，排名第一的为第一中标候选人。得分相同的，按投标报价由低到高顺序排列。得分且投标报价相同的并列。服务部分得分为0分的投标人，将失去成为中标候选人的资格。</w:t>
      </w:r>
      <w:bookmarkStart w:id="481" w:name="_Toc22514"/>
      <w:bookmarkStart w:id="482" w:name="_Toc25199"/>
      <w:bookmarkStart w:id="483" w:name="_Toc12313"/>
      <w:bookmarkStart w:id="484" w:name="_Toc20488330"/>
      <w:bookmarkStart w:id="485" w:name="_Toc26574"/>
      <w:bookmarkStart w:id="486" w:name="_Toc2230"/>
      <w:bookmarkStart w:id="487" w:name="_Toc23541"/>
      <w:bookmarkStart w:id="488" w:name="_Toc20489886"/>
      <w:bookmarkStart w:id="489" w:name="_Toc17974"/>
      <w:bookmarkStart w:id="490" w:name="_Toc10624"/>
      <w:bookmarkStart w:id="491" w:name="_Toc24579"/>
      <w:bookmarkStart w:id="492" w:name="_Toc6861"/>
      <w:bookmarkStart w:id="493" w:name="_Toc17124"/>
      <w:bookmarkStart w:id="494" w:name="_Toc63600424"/>
      <w:bookmarkStart w:id="495" w:name="_Toc19917"/>
      <w:bookmarkStart w:id="496" w:name="_Toc409189626"/>
      <w:bookmarkStart w:id="497" w:name="_Toc25258"/>
    </w:p>
    <w:p>
      <w:pPr>
        <w:pStyle w:val="4"/>
        <w:spacing w:before="190" w:after="190"/>
        <w:ind w:firstLine="506"/>
        <w:rPr>
          <w:rFonts w:ascii="仿宋" w:hAnsi="仿宋" w:eastAsia="仿宋"/>
          <w:color w:val="auto"/>
          <w:szCs w:val="22"/>
          <w:highlight w:val="none"/>
        </w:rPr>
      </w:pPr>
      <w:bookmarkStart w:id="498" w:name="_Toc18881"/>
      <w:r>
        <w:rPr>
          <w:rFonts w:hint="eastAsia" w:ascii="仿宋" w:hAnsi="仿宋" w:eastAsia="仿宋"/>
          <w:color w:val="auto"/>
          <w:szCs w:val="22"/>
          <w:highlight w:val="none"/>
        </w:rPr>
        <w:t>三、评标标准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pPr>
        <w:numPr>
          <w:ilvl w:val="0"/>
          <w:numId w:val="4"/>
        </w:numPr>
        <w:snapToGrid w:val="0"/>
        <w:spacing w:line="400" w:lineRule="exact"/>
        <w:ind w:firstLineChars="0"/>
        <w:rPr>
          <w:rFonts w:ascii="仿宋" w:hAnsi="仿宋" w:eastAsia="仿宋"/>
          <w:color w:val="auto"/>
          <w:highlight w:val="none"/>
        </w:rPr>
      </w:pPr>
      <w:r>
        <w:rPr>
          <w:rFonts w:hint="eastAsia" w:ascii="仿宋" w:hAnsi="仿宋" w:eastAsia="仿宋"/>
          <w:color w:val="auto"/>
          <w:highlight w:val="none"/>
        </w:rPr>
        <w:t>评审因素</w:t>
      </w:r>
    </w:p>
    <w:tbl>
      <w:tblPr>
        <w:tblStyle w:val="32"/>
        <w:tblpPr w:leftFromText="180" w:rightFromText="180" w:vertAnchor="text" w:tblpXSpec="center" w:tblpY="1"/>
        <w:tblOverlap w:val="never"/>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708"/>
        <w:gridCol w:w="627"/>
        <w:gridCol w:w="775"/>
        <w:gridCol w:w="5462"/>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trPr>
        <w:tc>
          <w:tcPr>
            <w:tcW w:w="534" w:type="dxa"/>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b/>
                <w:bCs/>
                <w:color w:val="000000" w:themeColor="text1"/>
                <w:sz w:val="21"/>
                <w:szCs w:val="21"/>
                <w:highlight w:val="none"/>
                <w14:textFill>
                  <w14:solidFill>
                    <w14:schemeClr w14:val="tx1"/>
                  </w14:solidFill>
                </w14:textFill>
              </w:rPr>
            </w:pPr>
            <w:bookmarkStart w:id="499" w:name="_Toc20488331"/>
            <w:bookmarkStart w:id="500" w:name="_Toc20489887"/>
            <w:r>
              <w:rPr>
                <w:rFonts w:hint="eastAsia" w:ascii="仿宋" w:hAnsi="仿宋" w:eastAsia="仿宋" w:cs="仿宋"/>
                <w:b/>
                <w:bCs/>
                <w:color w:val="000000" w:themeColor="text1"/>
                <w:sz w:val="21"/>
                <w:szCs w:val="21"/>
                <w:highlight w:val="none"/>
                <w14:textFill>
                  <w14:solidFill>
                    <w14:schemeClr w14:val="tx1"/>
                  </w14:solidFill>
                </w14:textFill>
              </w:rPr>
              <w:t>序号</w:t>
            </w:r>
          </w:p>
        </w:tc>
        <w:tc>
          <w:tcPr>
            <w:tcW w:w="1335" w:type="dxa"/>
            <w:gridSpan w:val="2"/>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评分因素及权重</w:t>
            </w:r>
          </w:p>
        </w:tc>
        <w:tc>
          <w:tcPr>
            <w:tcW w:w="775" w:type="dxa"/>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分值</w:t>
            </w:r>
          </w:p>
        </w:tc>
        <w:tc>
          <w:tcPr>
            <w:tcW w:w="5462" w:type="dxa"/>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评分标准</w:t>
            </w:r>
          </w:p>
        </w:tc>
        <w:tc>
          <w:tcPr>
            <w:tcW w:w="1358" w:type="dxa"/>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w:t>
            </w:r>
          </w:p>
        </w:tc>
        <w:tc>
          <w:tcPr>
            <w:tcW w:w="1335" w:type="dxa"/>
            <w:gridSpan w:val="2"/>
            <w:vAlign w:val="center"/>
          </w:tcPr>
          <w:p>
            <w:pPr>
              <w:ind w:left="0" w:leftChars="0" w:firstLine="0" w:firstLineChars="0"/>
              <w:rPr>
                <w:rFonts w:hint="eastAsia" w:ascii="仿宋" w:hAnsi="仿宋" w:eastAsia="仿宋"/>
                <w:color w:val="auto"/>
                <w:szCs w:val="22"/>
                <w:highlight w:val="none"/>
              </w:rPr>
            </w:pPr>
            <w:r>
              <w:rPr>
                <w:rFonts w:hint="eastAsia" w:ascii="仿宋" w:hAnsi="仿宋" w:eastAsia="仿宋"/>
                <w:color w:val="auto"/>
                <w:szCs w:val="22"/>
                <w:highlight w:val="none"/>
              </w:rPr>
              <w:t>投标报价</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w:t>
            </w:r>
            <w:r>
              <w:rPr>
                <w:rFonts w:hint="default" w:ascii="仿宋" w:hAnsi="仿宋" w:eastAsia="仿宋"/>
                <w:color w:val="auto"/>
                <w:szCs w:val="22"/>
                <w:highlight w:val="none"/>
                <w:lang w:val="en-US"/>
              </w:rPr>
              <w:t>3</w:t>
            </w:r>
            <w:r>
              <w:rPr>
                <w:rFonts w:hint="eastAsia" w:ascii="仿宋" w:hAnsi="仿宋" w:eastAsia="仿宋"/>
                <w:color w:val="auto"/>
                <w:szCs w:val="22"/>
                <w:highlight w:val="none"/>
              </w:rPr>
              <w:t>0%）</w:t>
            </w:r>
          </w:p>
        </w:tc>
        <w:tc>
          <w:tcPr>
            <w:tcW w:w="775" w:type="dxa"/>
            <w:vAlign w:val="center"/>
          </w:tcPr>
          <w:p>
            <w:pPr>
              <w:ind w:left="0" w:leftChars="0" w:firstLine="0" w:firstLineChars="0"/>
              <w:rPr>
                <w:rFonts w:hint="eastAsia" w:ascii="仿宋" w:hAnsi="仿宋" w:eastAsia="仿宋"/>
                <w:color w:val="auto"/>
                <w:szCs w:val="22"/>
                <w:highlight w:val="none"/>
              </w:rPr>
            </w:pPr>
            <w:r>
              <w:rPr>
                <w:rFonts w:hint="default" w:ascii="仿宋" w:hAnsi="仿宋" w:eastAsia="仿宋"/>
                <w:color w:val="auto"/>
                <w:szCs w:val="22"/>
                <w:highlight w:val="none"/>
                <w:lang w:val="en-US"/>
              </w:rPr>
              <w:t>3</w:t>
            </w:r>
            <w:r>
              <w:rPr>
                <w:rFonts w:hint="eastAsia" w:ascii="仿宋" w:hAnsi="仿宋" w:eastAsia="仿宋"/>
                <w:color w:val="auto"/>
                <w:szCs w:val="22"/>
                <w:highlight w:val="none"/>
              </w:rPr>
              <w:t>0分</w:t>
            </w:r>
          </w:p>
        </w:tc>
        <w:tc>
          <w:tcPr>
            <w:tcW w:w="5462" w:type="dxa"/>
            <w:vAlign w:val="center"/>
          </w:tcPr>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有效的投标报价中的最低价为评标基准价，按照下列公式计算每个投标人的投标价格得分。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投标报价得分＝（评标基准价/投标报价）×价格权重×100。</w:t>
            </w:r>
          </w:p>
        </w:tc>
        <w:tc>
          <w:tcPr>
            <w:tcW w:w="1358" w:type="dxa"/>
            <w:vAlign w:val="center"/>
          </w:tcPr>
          <w:p>
            <w:pPr>
              <w:ind w:firstLine="424"/>
              <w:rPr>
                <w:rFonts w:hint="eastAsia"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trPr>
        <w:tc>
          <w:tcPr>
            <w:tcW w:w="534" w:type="dxa"/>
            <w:vMerge w:val="restart"/>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14:textFill>
                  <w14:solidFill>
                    <w14:schemeClr w14:val="tx1"/>
                  </w14:solidFill>
                </w14:textFill>
              </w:rPr>
            </w:pPr>
          </w:p>
        </w:tc>
        <w:tc>
          <w:tcPr>
            <w:tcW w:w="708" w:type="dxa"/>
            <w:vMerge w:val="restart"/>
            <w:vAlign w:val="center"/>
          </w:tcPr>
          <w:p>
            <w:pPr>
              <w:ind w:left="0" w:leftChars="0" w:firstLine="0" w:firstLineChars="0"/>
              <w:rPr>
                <w:rFonts w:hint="eastAsia" w:ascii="仿宋" w:hAnsi="仿宋" w:eastAsia="仿宋"/>
                <w:color w:val="auto"/>
                <w:szCs w:val="22"/>
                <w:highlight w:val="none"/>
              </w:rPr>
            </w:pPr>
            <w:r>
              <w:rPr>
                <w:rFonts w:hint="eastAsia" w:ascii="仿宋" w:hAnsi="仿宋" w:eastAsia="仿宋"/>
                <w:color w:val="auto"/>
                <w:szCs w:val="22"/>
                <w:highlight w:val="none"/>
                <w:lang w:val="en-US" w:eastAsia="zh-CN"/>
              </w:rPr>
              <w:t>技术服（63%）</w:t>
            </w:r>
          </w:p>
        </w:tc>
        <w:tc>
          <w:tcPr>
            <w:tcW w:w="627" w:type="dxa"/>
            <w:vAlign w:val="center"/>
          </w:tcPr>
          <w:p>
            <w:pPr>
              <w:ind w:left="0" w:leftChars="0" w:firstLine="0" w:firstLineChars="0"/>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技术保障</w:t>
            </w:r>
          </w:p>
        </w:tc>
        <w:tc>
          <w:tcPr>
            <w:tcW w:w="775" w:type="dxa"/>
            <w:vAlign w:val="center"/>
          </w:tcPr>
          <w:p>
            <w:pPr>
              <w:ind w:left="0" w:leftChars="0" w:firstLine="0" w:firstLineChars="0"/>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22分</w:t>
            </w:r>
          </w:p>
        </w:tc>
        <w:tc>
          <w:tcPr>
            <w:tcW w:w="5462" w:type="dxa"/>
            <w:vAlign w:val="center"/>
          </w:tcPr>
          <w:p>
            <w:pPr>
              <w:ind w:firstLine="424"/>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1.在该项目的互联网出口带宽5Gbps对等光纤专线基础上进行叠加，每叠加500M对等光纤专线加2分,总加分不超过</w:t>
            </w:r>
            <w:r>
              <w:rPr>
                <w:rFonts w:hint="default" w:ascii="仿宋" w:hAnsi="仿宋" w:eastAsia="仿宋"/>
                <w:color w:val="auto"/>
                <w:szCs w:val="22"/>
                <w:highlight w:val="none"/>
                <w:lang w:val="en-US" w:eastAsia="zh-CN"/>
              </w:rPr>
              <w:t>12</w:t>
            </w:r>
            <w:r>
              <w:rPr>
                <w:rFonts w:hint="eastAsia" w:ascii="仿宋" w:hAnsi="仿宋" w:eastAsia="仿宋"/>
                <w:color w:val="auto"/>
                <w:szCs w:val="22"/>
                <w:highlight w:val="none"/>
                <w:lang w:val="en-US" w:eastAsia="zh-CN"/>
              </w:rPr>
              <w:t>分。</w:t>
            </w:r>
          </w:p>
          <w:p>
            <w:pPr>
              <w:ind w:firstLine="424"/>
              <w:rPr>
                <w:rFonts w:hint="default"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2.承诺提供该周期内巴南教育城域网信息系统网络安全二级等级保护测评1次，并配合完成整改，得3分。未承诺不得分。</w:t>
            </w:r>
          </w:p>
          <w:p>
            <w:pPr>
              <w:ind w:firstLine="424"/>
              <w:rPr>
                <w:rFonts w:hint="default"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3.承诺提供5G与巴南教育城域网融合试点设备及授权，支持授权5G全网通用户在全国范围内均能无感知访问城域网内资源，授权用户量≥300，得4分，每增加100加1分，总得分不超过7分。未承诺不得分。</w:t>
            </w:r>
          </w:p>
        </w:tc>
        <w:tc>
          <w:tcPr>
            <w:tcW w:w="1358" w:type="dxa"/>
            <w:vAlign w:val="center"/>
          </w:tcPr>
          <w:p>
            <w:pPr>
              <w:ind w:firstLine="424"/>
              <w:rPr>
                <w:rFonts w:hint="eastAsia" w:ascii="仿宋" w:hAnsi="仿宋" w:eastAsia="仿宋"/>
                <w:color w:val="auto"/>
                <w:szCs w:val="22"/>
                <w:highlight w:val="none"/>
              </w:rPr>
            </w:pPr>
            <w:r>
              <w:rPr>
                <w:rFonts w:hint="eastAsia" w:ascii="仿宋" w:hAnsi="仿宋" w:eastAsia="仿宋"/>
                <w:color w:val="auto"/>
                <w:szCs w:val="22"/>
                <w:highlight w:val="none"/>
                <w:lang w:val="en-US" w:eastAsia="zh-CN"/>
              </w:rPr>
              <w:t>承诺加盖出具投标人公章的技术保障服务承诺书，格式自拟。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3" w:hRule="atLeast"/>
        </w:trPr>
        <w:tc>
          <w:tcPr>
            <w:tcW w:w="534" w:type="dxa"/>
            <w:vMerge w:val="continue"/>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14:textFill>
                  <w14:solidFill>
                    <w14:schemeClr w14:val="tx1"/>
                  </w14:solidFill>
                </w14:textFill>
              </w:rPr>
            </w:pPr>
          </w:p>
        </w:tc>
        <w:tc>
          <w:tcPr>
            <w:tcW w:w="708" w:type="dxa"/>
            <w:vMerge w:val="continue"/>
            <w:vAlign w:val="center"/>
          </w:tcPr>
          <w:p>
            <w:pPr>
              <w:ind w:firstLine="424"/>
              <w:rPr>
                <w:rFonts w:hint="eastAsia" w:ascii="仿宋" w:hAnsi="仿宋" w:eastAsia="仿宋"/>
                <w:color w:val="auto"/>
                <w:szCs w:val="22"/>
                <w:highlight w:val="none"/>
              </w:rPr>
            </w:pPr>
          </w:p>
        </w:tc>
        <w:tc>
          <w:tcPr>
            <w:tcW w:w="627"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eastAsia="zh-CN"/>
              </w:rPr>
              <w:t>项目建设</w:t>
            </w:r>
          </w:p>
        </w:tc>
        <w:tc>
          <w:tcPr>
            <w:tcW w:w="775"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11</w:t>
            </w:r>
            <w:r>
              <w:rPr>
                <w:rFonts w:hint="eastAsia" w:ascii="仿宋" w:hAnsi="仿宋" w:eastAsia="仿宋"/>
                <w:color w:val="auto"/>
                <w:szCs w:val="22"/>
                <w:highlight w:val="none"/>
                <w:lang w:eastAsia="zh-CN"/>
              </w:rPr>
              <w:t>分</w:t>
            </w:r>
          </w:p>
        </w:tc>
        <w:tc>
          <w:tcPr>
            <w:tcW w:w="5462" w:type="dxa"/>
            <w:vAlign w:val="center"/>
          </w:tcPr>
          <w:p>
            <w:pPr>
              <w:ind w:firstLine="424"/>
              <w:rPr>
                <w:rFonts w:hint="eastAsia" w:ascii="仿宋" w:hAnsi="仿宋" w:eastAsia="仿宋"/>
                <w:color w:val="auto"/>
                <w:szCs w:val="22"/>
                <w:highlight w:val="none"/>
              </w:rPr>
            </w:pPr>
            <w:r>
              <w:rPr>
                <w:rFonts w:hint="eastAsia" w:ascii="仿宋" w:hAnsi="仿宋" w:eastAsia="仿宋"/>
                <w:color w:val="auto"/>
                <w:szCs w:val="22"/>
                <w:highlight w:val="none"/>
                <w:lang w:val="en-US" w:eastAsia="zh-CN"/>
              </w:rPr>
              <w:t>1.</w:t>
            </w:r>
            <w:r>
              <w:rPr>
                <w:rFonts w:hint="eastAsia" w:ascii="仿宋" w:hAnsi="仿宋" w:eastAsia="仿宋"/>
                <w:color w:val="auto"/>
                <w:szCs w:val="22"/>
                <w:highlight w:val="none"/>
              </w:rPr>
              <w:t>投标人提供的项目建设方案</w:t>
            </w:r>
            <w:r>
              <w:rPr>
                <w:rFonts w:hint="eastAsia" w:ascii="仿宋" w:hAnsi="仿宋" w:eastAsia="仿宋"/>
                <w:color w:val="auto"/>
                <w:szCs w:val="22"/>
                <w:highlight w:val="none"/>
                <w:lang w:eastAsia="zh-CN"/>
              </w:rPr>
              <w:t>（</w:t>
            </w:r>
            <w:r>
              <w:rPr>
                <w:rFonts w:hint="eastAsia" w:ascii="仿宋" w:hAnsi="仿宋" w:eastAsia="仿宋"/>
                <w:color w:val="auto"/>
                <w:szCs w:val="22"/>
                <w:highlight w:val="none"/>
                <w:lang w:val="en-US" w:eastAsia="zh-CN"/>
              </w:rPr>
              <w:t>8分</w:t>
            </w:r>
            <w:r>
              <w:rPr>
                <w:rFonts w:hint="eastAsia" w:ascii="仿宋" w:hAnsi="仿宋" w:eastAsia="仿宋"/>
                <w:color w:val="auto"/>
                <w:szCs w:val="22"/>
                <w:highlight w:val="none"/>
                <w:lang w:eastAsia="zh-CN"/>
              </w:rPr>
              <w:t>）</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包括项目进度安排表、项目管理组织体系、质量管理与控制、项目运维管理、项目培训计划等</w:t>
            </w:r>
            <w:r>
              <w:rPr>
                <w:rFonts w:hint="eastAsia" w:ascii="仿宋" w:hAnsi="仿宋" w:eastAsia="仿宋"/>
                <w:color w:val="auto"/>
                <w:szCs w:val="22"/>
                <w:highlight w:val="none"/>
                <w:lang w:val="en-US" w:eastAsia="zh-CN"/>
              </w:rPr>
              <w:t>内容，根据方案</w:t>
            </w:r>
            <w:r>
              <w:rPr>
                <w:rFonts w:hint="eastAsia" w:ascii="仿宋" w:hAnsi="仿宋" w:eastAsia="仿宋"/>
                <w:color w:val="auto"/>
                <w:szCs w:val="22"/>
                <w:highlight w:val="none"/>
              </w:rPr>
              <w:t>评分。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根据方案的完整性、合理性及可操作性评分：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方案内容不存在瑕疵得8分，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方案内容存在1处瑕疵得3分，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方案内容存在2处瑕疵得1分，</w:t>
            </w:r>
          </w:p>
          <w:p>
            <w:pPr>
              <w:ind w:firstLine="424"/>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rPr>
              <w:t>方案内容存在3处及以上瑕疵的或未提供得0分。</w:t>
            </w:r>
          </w:p>
          <w:p>
            <w:pPr>
              <w:ind w:firstLine="424"/>
              <w:rPr>
                <w:rFonts w:hint="default"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2.</w:t>
            </w:r>
            <w:r>
              <w:rPr>
                <w:rFonts w:hint="eastAsia" w:ascii="仿宋" w:hAnsi="仿宋" w:eastAsia="仿宋"/>
                <w:color w:val="auto"/>
                <w:szCs w:val="22"/>
                <w:highlight w:val="none"/>
              </w:rPr>
              <w:t>投标人承诺</w:t>
            </w:r>
            <w:r>
              <w:rPr>
                <w:rFonts w:hint="eastAsia" w:ascii="仿宋" w:hAnsi="仿宋" w:eastAsia="仿宋"/>
                <w:color w:val="auto"/>
                <w:szCs w:val="22"/>
                <w:highlight w:val="none"/>
                <w:lang w:val="en-US" w:eastAsia="zh-CN"/>
              </w:rPr>
              <w:t>该项目实施在</w:t>
            </w:r>
            <w:r>
              <w:rPr>
                <w:rFonts w:hint="eastAsia" w:ascii="仿宋" w:hAnsi="仿宋" w:eastAsia="仿宋"/>
                <w:color w:val="auto"/>
                <w:szCs w:val="22"/>
                <w:highlight w:val="none"/>
                <w:lang w:eastAsia="zh-CN"/>
              </w:rPr>
              <w:t>4</w:t>
            </w:r>
            <w:r>
              <w:rPr>
                <w:rFonts w:hint="eastAsia" w:ascii="仿宋" w:hAnsi="仿宋" w:eastAsia="仿宋"/>
                <w:color w:val="auto"/>
                <w:szCs w:val="22"/>
                <w:highlight w:val="none"/>
                <w:lang w:val="en-US" w:eastAsia="zh-CN"/>
              </w:rPr>
              <w:t>5</w:t>
            </w:r>
            <w:r>
              <w:rPr>
                <w:rFonts w:hint="eastAsia" w:ascii="仿宋" w:hAnsi="仿宋" w:eastAsia="仿宋"/>
                <w:color w:val="auto"/>
                <w:szCs w:val="22"/>
                <w:highlight w:val="none"/>
              </w:rPr>
              <w:t>个日历日以内完成</w:t>
            </w:r>
            <w:r>
              <w:rPr>
                <w:rFonts w:hint="eastAsia" w:ascii="仿宋" w:hAnsi="仿宋" w:eastAsia="仿宋"/>
                <w:color w:val="auto"/>
                <w:szCs w:val="22"/>
                <w:highlight w:val="none"/>
                <w:lang w:val="en-US" w:eastAsia="zh-CN"/>
              </w:rPr>
              <w:t>，得3分，超期不得分。</w:t>
            </w:r>
          </w:p>
        </w:tc>
        <w:tc>
          <w:tcPr>
            <w:tcW w:w="1358" w:type="dxa"/>
            <w:vMerge w:val="restart"/>
            <w:vAlign w:val="center"/>
          </w:tcPr>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提供方案，格式自拟。</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注：本项内容中所称的“瑕疵”指</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（1）内容未包含全部项目需求，存在漏项，完整性不足。</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（2）内容不适用本项目需求，缺乏针对性；内容条目不清晰，存在逻辑漏洞，语言表述前后矛盾，内容存在逻辑漏洞、常识错误、服务措施、保障、安排、配备不合理、不科学。</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（3）内容按照项目资金、人力及现有技术等条件下不可能实现，可操作性不足等情形中的任意一种情形。</w:t>
            </w:r>
            <w:r>
              <w:rPr>
                <w:rFonts w:hint="eastAsia" w:ascii="仿宋" w:hAnsi="仿宋" w:eastAsia="仿宋"/>
                <w:color w:val="auto"/>
                <w:szCs w:val="22"/>
                <w:highlight w:val="none"/>
                <w:lang w:val="en-US" w:eastAsia="zh-CN"/>
              </w:rPr>
              <w:t>承诺加盖出具投标人公章的技术保障服务承诺书，格式自拟。</w:t>
            </w:r>
          </w:p>
          <w:p>
            <w:pPr>
              <w:ind w:firstLine="424"/>
              <w:rPr>
                <w:rFonts w:hint="eastAsia"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trPr>
        <w:tc>
          <w:tcPr>
            <w:tcW w:w="534" w:type="dxa"/>
            <w:vMerge w:val="continue"/>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14:textFill>
                  <w14:solidFill>
                    <w14:schemeClr w14:val="tx1"/>
                  </w14:solidFill>
                </w14:textFill>
              </w:rPr>
            </w:pPr>
          </w:p>
        </w:tc>
        <w:tc>
          <w:tcPr>
            <w:tcW w:w="708" w:type="dxa"/>
            <w:vMerge w:val="continue"/>
            <w:vAlign w:val="center"/>
          </w:tcPr>
          <w:p>
            <w:pPr>
              <w:ind w:firstLine="424"/>
              <w:rPr>
                <w:rFonts w:hint="eastAsia" w:ascii="仿宋" w:hAnsi="仿宋" w:eastAsia="仿宋"/>
                <w:color w:val="auto"/>
                <w:szCs w:val="22"/>
                <w:highlight w:val="none"/>
              </w:rPr>
            </w:pPr>
          </w:p>
        </w:tc>
        <w:tc>
          <w:tcPr>
            <w:tcW w:w="627"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运维</w:t>
            </w:r>
            <w:r>
              <w:rPr>
                <w:rFonts w:hint="eastAsia" w:ascii="仿宋" w:hAnsi="仿宋" w:eastAsia="仿宋"/>
                <w:color w:val="auto"/>
                <w:szCs w:val="22"/>
                <w:highlight w:val="none"/>
                <w:lang w:eastAsia="zh-CN"/>
              </w:rPr>
              <w:t>保障</w:t>
            </w:r>
          </w:p>
        </w:tc>
        <w:tc>
          <w:tcPr>
            <w:tcW w:w="775"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13</w:t>
            </w:r>
            <w:r>
              <w:rPr>
                <w:rFonts w:hint="eastAsia" w:ascii="仿宋" w:hAnsi="仿宋" w:eastAsia="仿宋"/>
                <w:color w:val="auto"/>
                <w:szCs w:val="22"/>
                <w:highlight w:val="none"/>
                <w:lang w:eastAsia="zh-CN"/>
              </w:rPr>
              <w:t>分</w:t>
            </w:r>
          </w:p>
        </w:tc>
        <w:tc>
          <w:tcPr>
            <w:tcW w:w="5462" w:type="dxa"/>
            <w:vAlign w:val="center"/>
          </w:tcPr>
          <w:p>
            <w:pPr>
              <w:ind w:firstLine="424"/>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1.</w:t>
            </w:r>
            <w:r>
              <w:rPr>
                <w:rFonts w:hint="eastAsia" w:ascii="仿宋" w:hAnsi="仿宋" w:eastAsia="仿宋"/>
                <w:color w:val="auto"/>
                <w:szCs w:val="22"/>
                <w:highlight w:val="none"/>
              </w:rPr>
              <w:t>针对本项目提供完整、合理的运维方案。</w:t>
            </w:r>
            <w:r>
              <w:rPr>
                <w:rFonts w:hint="eastAsia" w:ascii="仿宋" w:hAnsi="仿宋" w:eastAsia="仿宋"/>
                <w:color w:val="auto"/>
                <w:szCs w:val="22"/>
                <w:highlight w:val="none"/>
                <w:lang w:eastAsia="zh-CN"/>
              </w:rPr>
              <w:t>（</w:t>
            </w:r>
            <w:r>
              <w:rPr>
                <w:rFonts w:hint="eastAsia" w:ascii="仿宋" w:hAnsi="仿宋" w:eastAsia="仿宋"/>
                <w:color w:val="auto"/>
                <w:szCs w:val="22"/>
                <w:highlight w:val="none"/>
                <w:lang w:val="en-US" w:eastAsia="zh-CN"/>
              </w:rPr>
              <w:t>8分</w:t>
            </w:r>
            <w:r>
              <w:rPr>
                <w:rFonts w:hint="eastAsia" w:ascii="仿宋" w:hAnsi="仿宋" w:eastAsia="仿宋"/>
                <w:color w:val="auto"/>
                <w:szCs w:val="22"/>
                <w:highlight w:val="none"/>
                <w:lang w:eastAsia="zh-CN"/>
              </w:rPr>
              <w:t>）</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包含人员安排、障碍接单及派单流程、7×24小时保障措施、仪器仪表及工器具准备、应急保障方案等内容。根据方案评分。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根据方案的完整性、合理性及可操作性评分：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方案内容不存在瑕疵得8分，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方案内容存在1处瑕疵得3分，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方案内容存在2处瑕疵得1分，</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方案内容存在3处及以上瑕疵的或未提供得0分。</w:t>
            </w:r>
          </w:p>
          <w:p>
            <w:pPr>
              <w:ind w:firstLine="424"/>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2.提供投标人拟用的本次教育城域网项目所在的互联网出口主中心机房（非现代教育技术中心教育城域网备份中心机房）到“国家中小学智慧教育平台”（域名https://basic.smartedu.cn）链路质量测试报告（加盖投标人印章的测试报告），报告中须含带宽、时延、抖动、丢包率、可用性等指标，综合评定出口链路质量。第一名得5分，第二名得3分，第三名得1分，以后名次得0分。</w:t>
            </w:r>
          </w:p>
        </w:tc>
        <w:tc>
          <w:tcPr>
            <w:tcW w:w="1358" w:type="dxa"/>
            <w:vMerge w:val="continue"/>
            <w:vAlign w:val="center"/>
          </w:tcPr>
          <w:p>
            <w:pPr>
              <w:ind w:firstLine="424"/>
              <w:rPr>
                <w:rFonts w:hint="eastAsia"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trPr>
        <w:tc>
          <w:tcPr>
            <w:tcW w:w="534" w:type="dxa"/>
            <w:vMerge w:val="continue"/>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14:textFill>
                  <w14:solidFill>
                    <w14:schemeClr w14:val="tx1"/>
                  </w14:solidFill>
                </w14:textFill>
              </w:rPr>
            </w:pPr>
          </w:p>
        </w:tc>
        <w:tc>
          <w:tcPr>
            <w:tcW w:w="708" w:type="dxa"/>
            <w:vMerge w:val="continue"/>
            <w:vAlign w:val="center"/>
          </w:tcPr>
          <w:p>
            <w:pPr>
              <w:ind w:firstLine="424"/>
              <w:rPr>
                <w:rFonts w:hint="eastAsia" w:ascii="仿宋" w:hAnsi="仿宋" w:eastAsia="仿宋"/>
                <w:color w:val="auto"/>
                <w:szCs w:val="22"/>
                <w:highlight w:val="none"/>
              </w:rPr>
            </w:pPr>
          </w:p>
        </w:tc>
        <w:tc>
          <w:tcPr>
            <w:tcW w:w="627"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安全</w:t>
            </w:r>
            <w:r>
              <w:rPr>
                <w:rFonts w:hint="eastAsia" w:ascii="仿宋" w:hAnsi="仿宋" w:eastAsia="仿宋"/>
                <w:color w:val="auto"/>
                <w:szCs w:val="22"/>
                <w:highlight w:val="none"/>
                <w:lang w:eastAsia="zh-CN"/>
              </w:rPr>
              <w:t>保障</w:t>
            </w:r>
          </w:p>
        </w:tc>
        <w:tc>
          <w:tcPr>
            <w:tcW w:w="775"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10</w:t>
            </w:r>
            <w:r>
              <w:rPr>
                <w:rFonts w:hint="eastAsia" w:ascii="仿宋" w:hAnsi="仿宋" w:eastAsia="仿宋"/>
                <w:color w:val="auto"/>
                <w:szCs w:val="22"/>
                <w:highlight w:val="none"/>
                <w:lang w:eastAsia="zh-CN"/>
              </w:rPr>
              <w:t>分</w:t>
            </w:r>
          </w:p>
        </w:tc>
        <w:tc>
          <w:tcPr>
            <w:tcW w:w="5462" w:type="dxa"/>
            <w:vAlign w:val="center"/>
          </w:tcPr>
          <w:p>
            <w:pPr>
              <w:ind w:left="0" w:leftChars="0" w:firstLine="212" w:firstLineChars="100"/>
              <w:rPr>
                <w:rFonts w:hint="eastAsia" w:ascii="仿宋" w:hAnsi="仿宋" w:eastAsia="仿宋"/>
                <w:color w:val="auto"/>
                <w:szCs w:val="22"/>
                <w:highlight w:val="none"/>
              </w:rPr>
            </w:pPr>
            <w:r>
              <w:rPr>
                <w:rFonts w:hint="eastAsia" w:ascii="仿宋" w:hAnsi="仿宋" w:eastAsia="仿宋"/>
                <w:color w:val="auto"/>
                <w:szCs w:val="22"/>
                <w:highlight w:val="none"/>
                <w:lang w:val="en-US" w:eastAsia="zh-CN"/>
              </w:rPr>
              <w:t xml:space="preserve"> </w:t>
            </w:r>
            <w:r>
              <w:rPr>
                <w:rFonts w:hint="eastAsia" w:ascii="仿宋" w:hAnsi="仿宋" w:eastAsia="仿宋"/>
                <w:color w:val="auto"/>
                <w:szCs w:val="22"/>
                <w:highlight w:val="none"/>
              </w:rPr>
              <w:t>1.承诺提供巴南教育城域网内所有信息终端的运行安全实时监测服务及配合整改，24小时以内发现问题并处置得</w:t>
            </w:r>
            <w:r>
              <w:rPr>
                <w:rFonts w:hint="eastAsia" w:ascii="仿宋" w:hAnsi="仿宋" w:eastAsia="仿宋"/>
                <w:color w:val="auto"/>
                <w:szCs w:val="22"/>
                <w:highlight w:val="none"/>
                <w:lang w:eastAsia="zh-CN"/>
              </w:rPr>
              <w:t>5</w:t>
            </w:r>
            <w:r>
              <w:rPr>
                <w:rFonts w:hint="eastAsia" w:ascii="仿宋" w:hAnsi="仿宋" w:eastAsia="仿宋"/>
                <w:color w:val="auto"/>
                <w:szCs w:val="22"/>
                <w:highlight w:val="none"/>
              </w:rPr>
              <w:t>分，48小时内发现问题并处置得</w:t>
            </w:r>
            <w:r>
              <w:rPr>
                <w:rFonts w:hint="eastAsia" w:ascii="仿宋" w:hAnsi="仿宋" w:eastAsia="仿宋"/>
                <w:color w:val="auto"/>
                <w:szCs w:val="22"/>
                <w:highlight w:val="none"/>
                <w:lang w:eastAsia="zh-CN"/>
              </w:rPr>
              <w:t>3</w:t>
            </w:r>
            <w:r>
              <w:rPr>
                <w:rFonts w:hint="eastAsia" w:ascii="仿宋" w:hAnsi="仿宋" w:eastAsia="仿宋"/>
                <w:color w:val="auto"/>
                <w:szCs w:val="22"/>
                <w:highlight w:val="none"/>
              </w:rPr>
              <w:t>分，72小时内发现问题并处置得1分。未承诺不得分。</w:t>
            </w:r>
          </w:p>
          <w:p>
            <w:pPr>
              <w:ind w:firstLine="424"/>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rPr>
              <w:t>2.承诺提供巴南教育城域网内所有区级信息系统全面漏洞扫描及问题整改，并提供书面报告，1次/月得</w:t>
            </w:r>
            <w:r>
              <w:rPr>
                <w:rFonts w:hint="eastAsia" w:ascii="仿宋" w:hAnsi="仿宋" w:eastAsia="仿宋"/>
                <w:color w:val="auto"/>
                <w:szCs w:val="22"/>
                <w:highlight w:val="none"/>
                <w:lang w:eastAsia="zh-CN"/>
              </w:rPr>
              <w:t>5</w:t>
            </w:r>
            <w:r>
              <w:rPr>
                <w:rFonts w:hint="eastAsia" w:ascii="仿宋" w:hAnsi="仿宋" w:eastAsia="仿宋"/>
                <w:color w:val="auto"/>
                <w:szCs w:val="22"/>
                <w:highlight w:val="none"/>
              </w:rPr>
              <w:t>分;1次/每季度得</w:t>
            </w:r>
            <w:r>
              <w:rPr>
                <w:rFonts w:hint="eastAsia" w:ascii="仿宋" w:hAnsi="仿宋" w:eastAsia="仿宋"/>
                <w:color w:val="auto"/>
                <w:szCs w:val="22"/>
                <w:highlight w:val="none"/>
                <w:lang w:eastAsia="zh-CN"/>
              </w:rPr>
              <w:t>3</w:t>
            </w:r>
            <w:r>
              <w:rPr>
                <w:rFonts w:hint="eastAsia" w:ascii="仿宋" w:hAnsi="仿宋" w:eastAsia="仿宋"/>
                <w:color w:val="auto"/>
                <w:szCs w:val="22"/>
                <w:highlight w:val="none"/>
              </w:rPr>
              <w:t>分;1次/每半年得1分。未承诺不得分。</w:t>
            </w:r>
          </w:p>
        </w:tc>
        <w:tc>
          <w:tcPr>
            <w:tcW w:w="1358" w:type="dxa"/>
            <w:vAlign w:val="center"/>
          </w:tcPr>
          <w:p>
            <w:pPr>
              <w:ind w:firstLine="424"/>
              <w:rPr>
                <w:rFonts w:hint="eastAsia"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trPr>
        <w:tc>
          <w:tcPr>
            <w:tcW w:w="534" w:type="dxa"/>
            <w:vMerge w:val="continue"/>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14:textFill>
                  <w14:solidFill>
                    <w14:schemeClr w14:val="tx1"/>
                  </w14:solidFill>
                </w14:textFill>
              </w:rPr>
            </w:pPr>
          </w:p>
        </w:tc>
        <w:tc>
          <w:tcPr>
            <w:tcW w:w="708" w:type="dxa"/>
            <w:vMerge w:val="continue"/>
            <w:vAlign w:val="center"/>
          </w:tcPr>
          <w:p>
            <w:pPr>
              <w:ind w:firstLine="424"/>
              <w:rPr>
                <w:rFonts w:hint="eastAsia" w:ascii="仿宋" w:hAnsi="仿宋" w:eastAsia="仿宋"/>
                <w:color w:val="auto"/>
                <w:szCs w:val="22"/>
                <w:highlight w:val="none"/>
              </w:rPr>
            </w:pPr>
          </w:p>
        </w:tc>
        <w:tc>
          <w:tcPr>
            <w:tcW w:w="627"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eastAsia="zh-CN"/>
              </w:rPr>
              <w:t>应急保障能力</w:t>
            </w:r>
          </w:p>
        </w:tc>
        <w:tc>
          <w:tcPr>
            <w:tcW w:w="775"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7</w:t>
            </w:r>
            <w:r>
              <w:rPr>
                <w:rFonts w:hint="eastAsia" w:ascii="仿宋" w:hAnsi="仿宋" w:eastAsia="仿宋"/>
                <w:color w:val="auto"/>
                <w:szCs w:val="22"/>
                <w:highlight w:val="none"/>
                <w:lang w:eastAsia="zh-CN"/>
              </w:rPr>
              <w:t>分</w:t>
            </w:r>
          </w:p>
        </w:tc>
        <w:tc>
          <w:tcPr>
            <w:tcW w:w="5462" w:type="dxa"/>
            <w:vAlign w:val="center"/>
          </w:tcPr>
          <w:p>
            <w:pPr>
              <w:ind w:firstLine="424"/>
              <w:rPr>
                <w:rFonts w:hint="eastAsia" w:ascii="仿宋" w:hAnsi="仿宋" w:eastAsia="仿宋"/>
                <w:color w:val="auto"/>
                <w:szCs w:val="22"/>
                <w:highlight w:val="none"/>
              </w:rPr>
            </w:pPr>
            <w:r>
              <w:rPr>
                <w:rFonts w:hint="eastAsia" w:ascii="仿宋" w:hAnsi="仿宋" w:eastAsia="仿宋"/>
                <w:color w:val="auto"/>
                <w:szCs w:val="22"/>
                <w:highlight w:val="none"/>
                <w:lang w:val="en-US" w:eastAsia="zh-CN"/>
              </w:rPr>
              <w:t>1.</w:t>
            </w:r>
            <w:r>
              <w:rPr>
                <w:rFonts w:hint="eastAsia" w:ascii="仿宋" w:hAnsi="仿宋" w:eastAsia="仿宋"/>
                <w:color w:val="auto"/>
                <w:szCs w:val="22"/>
                <w:highlight w:val="none"/>
              </w:rPr>
              <w:t>投标人拟派</w:t>
            </w:r>
            <w:r>
              <w:rPr>
                <w:rFonts w:hint="eastAsia" w:ascii="仿宋" w:hAnsi="仿宋" w:eastAsia="仿宋"/>
                <w:color w:val="auto"/>
                <w:szCs w:val="22"/>
                <w:highlight w:val="none"/>
                <w:lang w:val="en-US" w:eastAsia="zh-CN"/>
              </w:rPr>
              <w:t>专业服务团队不少于5人（包含网络安全人员、日常运维人员、网络工程师等）</w:t>
            </w:r>
            <w:r>
              <w:rPr>
                <w:rFonts w:hint="eastAsia" w:ascii="仿宋" w:hAnsi="仿宋" w:eastAsia="仿宋"/>
                <w:color w:val="auto"/>
                <w:szCs w:val="22"/>
                <w:highlight w:val="none"/>
              </w:rPr>
              <w:t>，以下证书具备一个得1分，最多得3分：高级及以上工程师职称证书、通信专业技术人员职业资格证书、注册信息安全管理人员（CISP）证书。</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2</w:t>
            </w:r>
            <w:r>
              <w:rPr>
                <w:rFonts w:hint="eastAsia" w:ascii="仿宋" w:hAnsi="仿宋" w:eastAsia="仿宋"/>
                <w:color w:val="auto"/>
                <w:szCs w:val="22"/>
                <w:highlight w:val="none"/>
                <w:lang w:eastAsia="zh-CN"/>
              </w:rPr>
              <w:t>.</w:t>
            </w:r>
            <w:r>
              <w:rPr>
                <w:rFonts w:hint="eastAsia" w:ascii="仿宋" w:hAnsi="仿宋" w:eastAsia="仿宋"/>
                <w:color w:val="auto"/>
                <w:szCs w:val="22"/>
                <w:highlight w:val="none"/>
              </w:rPr>
              <w:t>为本项目提供固定的专业技术团队，</w:t>
            </w:r>
            <w:r>
              <w:rPr>
                <w:rFonts w:hint="eastAsia" w:ascii="仿宋" w:hAnsi="仿宋" w:eastAsia="仿宋"/>
                <w:color w:val="auto"/>
                <w:szCs w:val="22"/>
                <w:highlight w:val="none"/>
                <w:lang w:val="en-US" w:eastAsia="zh-CN"/>
              </w:rPr>
              <w:t>技术</w:t>
            </w:r>
            <w:r>
              <w:rPr>
                <w:rFonts w:hint="eastAsia" w:ascii="仿宋" w:hAnsi="仿宋" w:eastAsia="仿宋"/>
                <w:color w:val="auto"/>
                <w:szCs w:val="22"/>
                <w:highlight w:val="none"/>
              </w:rPr>
              <w:t>团队中有投标人所提供设备生产厂商技术认证证书的人员的，</w:t>
            </w:r>
            <w:r>
              <w:rPr>
                <w:rFonts w:hint="eastAsia" w:ascii="仿宋" w:hAnsi="仿宋" w:eastAsia="仿宋"/>
                <w:color w:val="auto"/>
                <w:szCs w:val="22"/>
                <w:highlight w:val="none"/>
                <w:lang w:val="en-US" w:eastAsia="zh-CN"/>
              </w:rPr>
              <w:t>按人次，一人得2分，最多得4</w:t>
            </w:r>
            <w:r>
              <w:rPr>
                <w:rFonts w:hint="eastAsia" w:ascii="仿宋" w:hAnsi="仿宋" w:eastAsia="仿宋"/>
                <w:color w:val="auto"/>
                <w:szCs w:val="22"/>
                <w:highlight w:val="none"/>
              </w:rPr>
              <w:t>分。</w:t>
            </w:r>
          </w:p>
        </w:tc>
        <w:tc>
          <w:tcPr>
            <w:tcW w:w="1358" w:type="dxa"/>
            <w:vAlign w:val="center"/>
          </w:tcPr>
          <w:p>
            <w:pPr>
              <w:ind w:firstLine="424"/>
              <w:rPr>
                <w:rFonts w:hint="default"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提供服务团队和技术团队名单，所有资格证书均为有效期内，并提供加盖投标人公章的复印件。投标人为团队成员缴纳社保证明。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trPr>
        <w:tc>
          <w:tcPr>
            <w:tcW w:w="534" w:type="dxa"/>
            <w:vMerge w:val="restart"/>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3</w:t>
            </w:r>
          </w:p>
        </w:tc>
        <w:tc>
          <w:tcPr>
            <w:tcW w:w="708" w:type="dxa"/>
            <w:vMerge w:val="restart"/>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eastAsia="zh-CN"/>
              </w:rPr>
              <w:t>商务部分</w:t>
            </w:r>
          </w:p>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7</w:t>
            </w:r>
            <w:r>
              <w:rPr>
                <w:rFonts w:hint="eastAsia" w:ascii="仿宋" w:hAnsi="仿宋" w:eastAsia="仿宋"/>
                <w:color w:val="auto"/>
                <w:szCs w:val="22"/>
                <w:highlight w:val="none"/>
                <w:lang w:eastAsia="zh-CN"/>
              </w:rPr>
              <w:t>%</w:t>
            </w:r>
          </w:p>
        </w:tc>
        <w:tc>
          <w:tcPr>
            <w:tcW w:w="627"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eastAsia="zh-CN"/>
              </w:rPr>
              <w:t>质量认证</w:t>
            </w:r>
          </w:p>
        </w:tc>
        <w:tc>
          <w:tcPr>
            <w:tcW w:w="775" w:type="dxa"/>
            <w:vAlign w:val="center"/>
          </w:tcPr>
          <w:p>
            <w:pPr>
              <w:ind w:left="0" w:leftChars="0" w:firstLine="0" w:firstLineChars="0"/>
              <w:rPr>
                <w:rFonts w:hint="eastAsia" w:ascii="仿宋" w:hAnsi="仿宋" w:eastAsia="仿宋"/>
                <w:color w:val="auto"/>
                <w:szCs w:val="22"/>
                <w:highlight w:val="none"/>
                <w:lang w:eastAsia="zh-CN"/>
              </w:rPr>
            </w:pPr>
            <w:r>
              <w:rPr>
                <w:rFonts w:hint="default" w:ascii="仿宋" w:hAnsi="仿宋" w:eastAsia="仿宋"/>
                <w:color w:val="auto"/>
                <w:szCs w:val="22"/>
                <w:highlight w:val="none"/>
                <w:lang w:val="en-US" w:eastAsia="zh-CN"/>
              </w:rPr>
              <w:t>3</w:t>
            </w:r>
            <w:r>
              <w:rPr>
                <w:rFonts w:hint="eastAsia" w:ascii="仿宋" w:hAnsi="仿宋" w:eastAsia="仿宋"/>
                <w:color w:val="auto"/>
                <w:szCs w:val="22"/>
                <w:highlight w:val="none"/>
                <w:lang w:eastAsia="zh-CN"/>
              </w:rPr>
              <w:t>分</w:t>
            </w:r>
          </w:p>
        </w:tc>
        <w:tc>
          <w:tcPr>
            <w:tcW w:w="5462" w:type="dxa"/>
            <w:vAlign w:val="center"/>
          </w:tcPr>
          <w:p>
            <w:pPr>
              <w:ind w:firstLine="424"/>
              <w:rPr>
                <w:rFonts w:hint="eastAsia" w:ascii="仿宋" w:hAnsi="仿宋" w:eastAsia="仿宋"/>
                <w:color w:val="auto"/>
                <w:szCs w:val="22"/>
                <w:highlight w:val="none"/>
              </w:rPr>
            </w:pPr>
            <w:r>
              <w:rPr>
                <w:rFonts w:hint="eastAsia" w:ascii="仿宋" w:hAnsi="仿宋" w:eastAsia="仿宋"/>
                <w:color w:val="auto"/>
                <w:szCs w:val="22"/>
                <w:highlight w:val="none"/>
              </w:rPr>
              <w:t>投标人具有ISO27001,ISO20000，ISO9001证书，每提供一个得</w:t>
            </w:r>
            <w:r>
              <w:rPr>
                <w:rFonts w:hint="default" w:ascii="仿宋" w:hAnsi="仿宋" w:eastAsia="仿宋"/>
                <w:color w:val="auto"/>
                <w:szCs w:val="22"/>
                <w:highlight w:val="none"/>
                <w:lang w:val="en-US"/>
              </w:rPr>
              <w:t>1</w:t>
            </w:r>
            <w:r>
              <w:rPr>
                <w:rFonts w:hint="eastAsia" w:ascii="仿宋" w:hAnsi="仿宋" w:eastAsia="仿宋"/>
                <w:color w:val="auto"/>
                <w:szCs w:val="22"/>
                <w:highlight w:val="none"/>
              </w:rPr>
              <w:t>分，最多得</w:t>
            </w:r>
            <w:r>
              <w:rPr>
                <w:rFonts w:hint="default" w:ascii="仿宋" w:hAnsi="仿宋" w:eastAsia="仿宋"/>
                <w:color w:val="auto"/>
                <w:szCs w:val="22"/>
                <w:highlight w:val="none"/>
                <w:lang w:val="en-US"/>
              </w:rPr>
              <w:t>3</w:t>
            </w:r>
            <w:r>
              <w:rPr>
                <w:rFonts w:hint="eastAsia" w:ascii="仿宋" w:hAnsi="仿宋" w:eastAsia="仿宋"/>
                <w:color w:val="auto"/>
                <w:szCs w:val="22"/>
                <w:highlight w:val="none"/>
              </w:rPr>
              <w:t>分。</w:t>
            </w:r>
          </w:p>
        </w:tc>
        <w:tc>
          <w:tcPr>
            <w:tcW w:w="1358" w:type="dxa"/>
            <w:vAlign w:val="center"/>
          </w:tcPr>
          <w:p>
            <w:pPr>
              <w:ind w:firstLine="424"/>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提供加盖投标人公章的复印件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trPr>
        <w:tc>
          <w:tcPr>
            <w:tcW w:w="534" w:type="dxa"/>
            <w:vMerge w:val="continue"/>
            <w:vAlign w:val="center"/>
          </w:tcPr>
          <w:p>
            <w:pPr>
              <w:keepNext w:val="0"/>
              <w:keepLines w:val="0"/>
              <w:pageBreakBefore w:val="0"/>
              <w:kinsoku/>
              <w:wordWrap/>
              <w:overflowPunct/>
              <w:topLinePunct w:val="0"/>
              <w:autoSpaceDE/>
              <w:autoSpaceDN/>
              <w:bidi w:val="0"/>
              <w:spacing w:line="320" w:lineRule="exact"/>
              <w:ind w:firstLine="0" w:firstLineChars="0"/>
              <w:jc w:val="center"/>
              <w:textAlignment w:val="auto"/>
              <w:outlineLvl w:val="9"/>
              <w:rPr>
                <w:rFonts w:hint="eastAsia" w:ascii="仿宋" w:hAnsi="仿宋" w:eastAsia="仿宋" w:cs="仿宋"/>
                <w:color w:val="000000" w:themeColor="text1"/>
                <w:sz w:val="21"/>
                <w:szCs w:val="21"/>
                <w:highlight w:val="none"/>
                <w14:textFill>
                  <w14:solidFill>
                    <w14:schemeClr w14:val="tx1"/>
                  </w14:solidFill>
                </w14:textFill>
              </w:rPr>
            </w:pPr>
          </w:p>
        </w:tc>
        <w:tc>
          <w:tcPr>
            <w:tcW w:w="708" w:type="dxa"/>
            <w:vMerge w:val="continue"/>
            <w:vAlign w:val="center"/>
          </w:tcPr>
          <w:p>
            <w:pPr>
              <w:ind w:firstLine="424"/>
              <w:rPr>
                <w:rFonts w:hint="eastAsia" w:ascii="仿宋" w:hAnsi="仿宋" w:eastAsia="仿宋"/>
                <w:color w:val="auto"/>
                <w:szCs w:val="22"/>
                <w:highlight w:val="none"/>
                <w:lang w:eastAsia="zh-CN"/>
              </w:rPr>
            </w:pPr>
          </w:p>
        </w:tc>
        <w:tc>
          <w:tcPr>
            <w:tcW w:w="627"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eastAsia="zh-CN"/>
              </w:rPr>
              <w:t>履约能力</w:t>
            </w:r>
          </w:p>
        </w:tc>
        <w:tc>
          <w:tcPr>
            <w:tcW w:w="775" w:type="dxa"/>
            <w:vAlign w:val="center"/>
          </w:tcPr>
          <w:p>
            <w:pPr>
              <w:ind w:left="0" w:leftChars="0" w:firstLine="0" w:firstLineChars="0"/>
              <w:rPr>
                <w:rFonts w:hint="eastAsia" w:ascii="仿宋" w:hAnsi="仿宋" w:eastAsia="仿宋"/>
                <w:color w:val="auto"/>
                <w:szCs w:val="22"/>
                <w:highlight w:val="none"/>
                <w:lang w:eastAsia="zh-CN"/>
              </w:rPr>
            </w:pPr>
            <w:r>
              <w:rPr>
                <w:rFonts w:hint="eastAsia" w:ascii="仿宋" w:hAnsi="仿宋" w:eastAsia="仿宋"/>
                <w:color w:val="auto"/>
                <w:szCs w:val="22"/>
                <w:highlight w:val="none"/>
                <w:lang w:val="en-US" w:eastAsia="zh-CN"/>
              </w:rPr>
              <w:t>4</w:t>
            </w:r>
            <w:r>
              <w:rPr>
                <w:rFonts w:hint="eastAsia" w:ascii="仿宋" w:hAnsi="仿宋" w:eastAsia="仿宋"/>
                <w:color w:val="auto"/>
                <w:szCs w:val="22"/>
                <w:highlight w:val="none"/>
                <w:lang w:eastAsia="zh-CN"/>
              </w:rPr>
              <w:t>分</w:t>
            </w:r>
          </w:p>
        </w:tc>
        <w:tc>
          <w:tcPr>
            <w:tcW w:w="5462" w:type="dxa"/>
            <w:vAlign w:val="center"/>
          </w:tcPr>
          <w:p>
            <w:pPr>
              <w:ind w:firstLine="424"/>
              <w:rPr>
                <w:rFonts w:hint="eastAsia" w:ascii="仿宋" w:hAnsi="仿宋" w:eastAsia="仿宋"/>
                <w:color w:val="auto"/>
                <w:szCs w:val="22"/>
                <w:highlight w:val="none"/>
                <w:lang w:val="en-US" w:eastAsia="zh-CN"/>
              </w:rPr>
            </w:pPr>
            <w:r>
              <w:rPr>
                <w:rFonts w:hint="eastAsia" w:ascii="仿宋" w:hAnsi="仿宋" w:eastAsia="仿宋"/>
                <w:color w:val="auto"/>
                <w:szCs w:val="22"/>
                <w:highlight w:val="none"/>
                <w:lang w:val="en-US" w:eastAsia="zh-CN"/>
              </w:rPr>
              <w:t>投标人提供2022年（含1月）以来成功实施的教育城域网或类似组网项目的合同，每提供1个得0.5分，最多得</w:t>
            </w:r>
            <w:r>
              <w:rPr>
                <w:rFonts w:hint="default" w:ascii="仿宋" w:hAnsi="仿宋" w:eastAsia="仿宋"/>
                <w:color w:val="auto"/>
                <w:szCs w:val="22"/>
                <w:highlight w:val="none"/>
                <w:lang w:val="en-US" w:eastAsia="zh-CN"/>
              </w:rPr>
              <w:t>4</w:t>
            </w:r>
            <w:r>
              <w:rPr>
                <w:rFonts w:hint="eastAsia" w:ascii="仿宋" w:hAnsi="仿宋" w:eastAsia="仿宋"/>
                <w:color w:val="auto"/>
                <w:szCs w:val="22"/>
                <w:highlight w:val="none"/>
                <w:lang w:val="en-US" w:eastAsia="zh-CN"/>
              </w:rPr>
              <w:t>分。</w:t>
            </w:r>
          </w:p>
        </w:tc>
        <w:tc>
          <w:tcPr>
            <w:tcW w:w="1358" w:type="dxa"/>
            <w:vAlign w:val="center"/>
          </w:tcPr>
          <w:p>
            <w:pPr>
              <w:ind w:firstLine="424"/>
              <w:rPr>
                <w:rFonts w:hint="eastAsia" w:ascii="仿宋" w:hAnsi="仿宋" w:eastAsia="仿宋"/>
                <w:color w:val="auto"/>
                <w:szCs w:val="22"/>
                <w:highlight w:val="none"/>
                <w:lang w:eastAsia="zh-CN"/>
              </w:rPr>
            </w:pPr>
            <w:r>
              <w:rPr>
                <w:rFonts w:hint="eastAsia" w:ascii="仿宋" w:hAnsi="仿宋" w:eastAsia="仿宋"/>
                <w:color w:val="auto"/>
                <w:szCs w:val="22"/>
                <w:highlight w:val="none"/>
              </w:rPr>
              <w:t>合同需提供证明投标人或其下级公司为乙方的关键页，以及合同印章页等</w:t>
            </w:r>
            <w:r>
              <w:rPr>
                <w:rFonts w:hint="eastAsia" w:ascii="仿宋" w:hAnsi="仿宋" w:eastAsia="仿宋"/>
                <w:color w:val="auto"/>
                <w:szCs w:val="22"/>
                <w:highlight w:val="none"/>
                <w:lang w:val="en-US" w:eastAsia="zh-CN"/>
              </w:rPr>
              <w:t>加盖投标人公章的复印件。</w:t>
            </w:r>
          </w:p>
        </w:tc>
      </w:tr>
    </w:tbl>
    <w:p>
      <w:pPr>
        <w:ind w:firstLine="426"/>
        <w:rPr>
          <w:rFonts w:hint="eastAsia" w:ascii="仿宋" w:hAnsi="仿宋" w:eastAsia="仿宋"/>
          <w:b/>
          <w:bCs/>
          <w:color w:val="auto"/>
          <w:highlight w:val="none"/>
        </w:rPr>
      </w:pPr>
    </w:p>
    <w:p>
      <w:pPr>
        <w:ind w:firstLine="426"/>
        <w:rPr>
          <w:rFonts w:ascii="仿宋" w:hAnsi="仿宋" w:eastAsia="仿宋"/>
          <w:color w:val="auto"/>
          <w:highlight w:val="none"/>
        </w:rPr>
      </w:pPr>
      <w:r>
        <w:rPr>
          <w:rFonts w:hint="eastAsia" w:ascii="仿宋" w:hAnsi="仿宋" w:eastAsia="仿宋"/>
          <w:b/>
          <w:bCs/>
          <w:color w:val="auto"/>
          <w:highlight w:val="none"/>
        </w:rPr>
        <w:t>说明：</w:t>
      </w:r>
      <w:bookmarkStart w:id="501" w:name="_Hlk63588472"/>
      <w:r>
        <w:rPr>
          <w:rFonts w:hint="eastAsia" w:ascii="仿宋" w:hAnsi="仿宋" w:eastAsia="仿宋"/>
          <w:color w:val="auto"/>
          <w:highlight w:val="none"/>
        </w:rPr>
        <w:t>评标委员会认为投标人的报价明显低于其他通过符合性审查投标人的报价，有可能影响产品质量或者不能诚信履约的，应当要求其在评标现场合理的时间内在线提供书面说明，必要时提交相关证明材料电子档（PDF格式）；投标人不能证明其报价合理性的，评标委员会应当将其作为无效投标处理。</w:t>
      </w:r>
      <w:bookmarkEnd w:id="501"/>
    </w:p>
    <w:p>
      <w:pPr>
        <w:numPr>
          <w:ilvl w:val="0"/>
          <w:numId w:val="5"/>
        </w:numPr>
        <w:ind w:firstLine="424"/>
        <w:rPr>
          <w:rFonts w:hint="eastAsia" w:ascii="仿宋" w:hAnsi="仿宋" w:eastAsia="仿宋"/>
          <w:color w:val="auto"/>
          <w:highlight w:val="none"/>
        </w:rPr>
      </w:pPr>
      <w:r>
        <w:rPr>
          <w:rFonts w:hint="eastAsia" w:ascii="仿宋" w:hAnsi="仿宋" w:eastAsia="仿宋"/>
          <w:color w:val="auto"/>
          <w:highlight w:val="none"/>
        </w:rPr>
        <w:t>关于小微企业报价扣除比例说明</w:t>
      </w:r>
    </w:p>
    <w:p>
      <w:pPr>
        <w:ind w:firstLine="424"/>
      </w:pPr>
      <w:r>
        <w:rPr>
          <w:rFonts w:hint="eastAsia" w:ascii="仿宋" w:hAnsi="仿宋" w:eastAsia="仿宋"/>
          <w:b/>
          <w:bCs/>
          <w:color w:val="auto"/>
        </w:rPr>
        <w:t>1.</w:t>
      </w:r>
      <w:r>
        <w:rPr>
          <w:rFonts w:hint="eastAsia" w:ascii="仿宋" w:hAnsi="仿宋" w:eastAsia="仿宋"/>
          <w:b/>
          <w:bCs/>
          <w:color w:val="auto"/>
          <w:lang w:val="en-US" w:eastAsia="zh-CN"/>
        </w:rPr>
        <w:t>投标人</w:t>
      </w:r>
      <w:r>
        <w:rPr>
          <w:rFonts w:hint="eastAsia" w:ascii="仿宋" w:hAnsi="仿宋" w:eastAsia="仿宋"/>
          <w:b/>
          <w:bCs/>
          <w:color w:val="auto"/>
        </w:rPr>
        <w:t>为非联合体投标的，对</w:t>
      </w:r>
      <w:r>
        <w:rPr>
          <w:rFonts w:hint="eastAsia" w:ascii="仿宋" w:hAnsi="仿宋" w:eastAsia="仿宋"/>
          <w:b/>
          <w:bCs/>
          <w:color w:val="auto"/>
          <w:lang w:val="en-US" w:eastAsia="zh-CN"/>
        </w:rPr>
        <w:t>服务承接商</w:t>
      </w:r>
      <w:r>
        <w:rPr>
          <w:rFonts w:hint="eastAsia" w:ascii="仿宋" w:hAnsi="仿宋" w:eastAsia="仿宋"/>
          <w:b/>
          <w:bCs/>
          <w:color w:val="auto"/>
        </w:rPr>
        <w:t>为小微型企业的给予10%的扣除，以扣除后的报价参与评审。</w:t>
      </w:r>
    </w:p>
    <w:p>
      <w:pPr>
        <w:ind w:firstLine="424"/>
        <w:rPr>
          <w:rFonts w:hint="eastAsia" w:ascii="仿宋" w:hAnsi="仿宋" w:eastAsia="仿宋"/>
          <w:color w:val="auto"/>
          <w:szCs w:val="22"/>
          <w:highlight w:val="none"/>
          <w:lang w:val="en-US" w:eastAsia="zh-CN"/>
        </w:rPr>
      </w:pPr>
      <w:r>
        <w:rPr>
          <w:rFonts w:hint="eastAsia" w:ascii="仿宋" w:hAnsi="仿宋" w:eastAsia="仿宋"/>
          <w:color w:val="auto"/>
          <w:highlight w:val="none"/>
        </w:rPr>
        <w:t>1.允许大中型企业向一家或者多家小微企业分包的采购项目，对于分包意向协议约定小微企业的合同份额占到合同总金额40%以上的，采购人、采购代理机构应当对大中型企业的报价给予4%的扣除</w:t>
      </w:r>
      <w:r>
        <w:rPr>
          <w:rFonts w:hint="eastAsia" w:ascii="仿宋" w:hAnsi="仿宋" w:eastAsia="仿宋"/>
          <w:color w:val="auto"/>
          <w:szCs w:val="22"/>
          <w:highlight w:val="none"/>
        </w:rPr>
        <w:t>（4%-6%由采购人在幅度范围内确定），用扣除后的价格参加评审</w:t>
      </w:r>
      <w:r>
        <w:rPr>
          <w:rFonts w:hint="eastAsia" w:ascii="仿宋" w:hAnsi="仿宋" w:eastAsia="仿宋"/>
          <w:color w:val="auto"/>
          <w:szCs w:val="22"/>
          <w:highlight w:val="none"/>
          <w:lang w:eastAsia="zh-CN"/>
        </w:rPr>
        <w:t>；</w:t>
      </w:r>
      <w:r>
        <w:rPr>
          <w:rFonts w:hint="eastAsia" w:ascii="仿宋" w:hAnsi="仿宋" w:eastAsia="仿宋"/>
          <w:color w:val="auto"/>
          <w:szCs w:val="22"/>
          <w:highlight w:val="none"/>
          <w:lang w:val="en-US" w:eastAsia="zh-CN"/>
        </w:rPr>
        <w:t>对于小微</w:t>
      </w:r>
      <w:r>
        <w:rPr>
          <w:rFonts w:hint="eastAsia" w:ascii="仿宋" w:hAnsi="仿宋" w:eastAsia="仿宋"/>
          <w:color w:val="auto"/>
          <w:highlight w:val="none"/>
        </w:rPr>
        <w:t>企业</w:t>
      </w:r>
      <w:r>
        <w:rPr>
          <w:rFonts w:hint="eastAsia" w:ascii="仿宋" w:hAnsi="仿宋" w:eastAsia="仿宋"/>
          <w:color w:val="auto"/>
          <w:highlight w:val="none"/>
          <w:lang w:val="en-US" w:eastAsia="zh-CN"/>
        </w:rPr>
        <w:t>独立参与项目投标的，</w:t>
      </w:r>
      <w:r>
        <w:rPr>
          <w:rFonts w:hint="eastAsia" w:ascii="仿宋" w:hAnsi="仿宋" w:eastAsia="仿宋"/>
          <w:color w:val="auto"/>
          <w:highlight w:val="none"/>
        </w:rPr>
        <w:t>采购人、采购代理机构应当对</w:t>
      </w:r>
      <w:r>
        <w:rPr>
          <w:rFonts w:hint="eastAsia" w:ascii="仿宋" w:hAnsi="仿宋" w:eastAsia="仿宋"/>
          <w:color w:val="auto"/>
          <w:highlight w:val="none"/>
          <w:lang w:val="en-US" w:eastAsia="zh-CN"/>
        </w:rPr>
        <w:t>小微</w:t>
      </w:r>
      <w:r>
        <w:rPr>
          <w:rFonts w:hint="eastAsia" w:ascii="仿宋" w:hAnsi="仿宋" w:eastAsia="仿宋"/>
          <w:color w:val="auto"/>
          <w:highlight w:val="none"/>
        </w:rPr>
        <w:t>企业的报价给予</w:t>
      </w:r>
      <w:r>
        <w:rPr>
          <w:rFonts w:hint="eastAsia" w:ascii="仿宋" w:hAnsi="仿宋" w:eastAsia="仿宋"/>
          <w:color w:val="auto"/>
          <w:highlight w:val="none"/>
          <w:lang w:val="en-US" w:eastAsia="zh-CN"/>
        </w:rPr>
        <w:t>10</w:t>
      </w:r>
      <w:r>
        <w:rPr>
          <w:rFonts w:hint="eastAsia" w:ascii="仿宋" w:hAnsi="仿宋" w:eastAsia="仿宋"/>
          <w:color w:val="auto"/>
          <w:highlight w:val="none"/>
        </w:rPr>
        <w:t>%的扣除</w:t>
      </w:r>
      <w:r>
        <w:rPr>
          <w:rFonts w:hint="eastAsia" w:ascii="仿宋" w:hAnsi="仿宋" w:eastAsia="仿宋"/>
          <w:color w:val="auto"/>
          <w:szCs w:val="22"/>
          <w:highlight w:val="none"/>
        </w:rPr>
        <w:t>（</w:t>
      </w:r>
      <w:r>
        <w:rPr>
          <w:rFonts w:hint="eastAsia" w:ascii="仿宋" w:hAnsi="仿宋" w:eastAsia="仿宋"/>
          <w:color w:val="auto"/>
          <w:szCs w:val="22"/>
          <w:highlight w:val="none"/>
          <w:lang w:val="en-US" w:eastAsia="zh-CN"/>
        </w:rPr>
        <w:t>10</w:t>
      </w:r>
      <w:r>
        <w:rPr>
          <w:rFonts w:hint="eastAsia" w:ascii="仿宋" w:hAnsi="仿宋" w:eastAsia="仿宋"/>
          <w:color w:val="auto"/>
          <w:szCs w:val="22"/>
          <w:highlight w:val="none"/>
        </w:rPr>
        <w:t>%-</w:t>
      </w:r>
      <w:r>
        <w:rPr>
          <w:rFonts w:hint="eastAsia" w:ascii="仿宋" w:hAnsi="仿宋" w:eastAsia="仿宋"/>
          <w:color w:val="auto"/>
          <w:szCs w:val="22"/>
          <w:highlight w:val="none"/>
          <w:lang w:val="en-US" w:eastAsia="zh-CN"/>
        </w:rPr>
        <w:t>20</w:t>
      </w:r>
      <w:r>
        <w:rPr>
          <w:rFonts w:hint="eastAsia" w:ascii="仿宋" w:hAnsi="仿宋" w:eastAsia="仿宋"/>
          <w:color w:val="auto"/>
          <w:szCs w:val="22"/>
          <w:highlight w:val="none"/>
        </w:rPr>
        <w:t>%由采购人在幅度范围内确定），用扣除后的价格参加评审</w:t>
      </w:r>
      <w:r>
        <w:rPr>
          <w:rFonts w:hint="eastAsia" w:ascii="仿宋" w:hAnsi="仿宋" w:eastAsia="仿宋"/>
          <w:color w:val="auto"/>
          <w:szCs w:val="22"/>
          <w:highlight w:val="none"/>
          <w:lang w:eastAsia="zh-CN"/>
        </w:rPr>
        <w:t>。</w:t>
      </w:r>
    </w:p>
    <w:p>
      <w:pPr>
        <w:ind w:firstLine="426"/>
        <w:rPr>
          <w:rFonts w:hint="eastAsia" w:ascii="仿宋" w:hAnsi="仿宋" w:eastAsia="仿宋"/>
          <w:color w:val="auto"/>
          <w:highlight w:val="none"/>
        </w:rPr>
      </w:pPr>
      <w:r>
        <w:rPr>
          <w:rFonts w:hint="eastAsia" w:ascii="仿宋" w:hAnsi="仿宋" w:eastAsia="仿宋"/>
          <w:color w:val="auto"/>
          <w:highlight w:val="none"/>
        </w:rPr>
        <w:t>2.监狱企业、残疾人福利性单位视同小型、微型企业。</w:t>
      </w:r>
    </w:p>
    <w:p>
      <w:pPr>
        <w:ind w:firstLine="426"/>
        <w:rPr>
          <w:rFonts w:ascii="仿宋" w:hAnsi="仿宋" w:eastAsia="仿宋"/>
          <w:color w:val="auto"/>
          <w:highlight w:val="none"/>
        </w:rPr>
      </w:pPr>
      <w:r>
        <w:rPr>
          <w:rFonts w:hint="eastAsia" w:ascii="仿宋" w:hAnsi="仿宋" w:eastAsia="仿宋"/>
          <w:color w:val="auto"/>
          <w:highlight w:val="none"/>
        </w:rPr>
        <w:t>3.投标报价政策性扣减是指对小型和微型企业产品的价格给予的扣除。中小企业应当按照《中小企业划型标准规定》（工信部联企业〔2011〕300号），如实填写并提交《中小企业声明函》（详见第七篇附表格式），否则不予认定。</w:t>
      </w:r>
    </w:p>
    <w:p>
      <w:pPr>
        <w:pStyle w:val="4"/>
        <w:spacing w:before="190" w:after="190"/>
        <w:ind w:firstLine="506"/>
        <w:rPr>
          <w:rFonts w:ascii="仿宋" w:hAnsi="仿宋" w:eastAsia="仿宋"/>
          <w:color w:val="auto"/>
          <w:szCs w:val="22"/>
          <w:highlight w:val="none"/>
        </w:rPr>
      </w:pPr>
      <w:bookmarkStart w:id="502" w:name="_Toc5616"/>
      <w:bookmarkStart w:id="503" w:name="_Toc21833"/>
      <w:bookmarkStart w:id="504" w:name="_Toc27710"/>
      <w:bookmarkStart w:id="505" w:name="_Toc30567"/>
      <w:bookmarkStart w:id="506" w:name="_Toc25801"/>
      <w:bookmarkStart w:id="507" w:name="_Toc32581"/>
      <w:bookmarkStart w:id="508" w:name="_Toc25080"/>
      <w:bookmarkStart w:id="509" w:name="_Toc28079"/>
      <w:bookmarkStart w:id="510" w:name="_Toc63600425"/>
      <w:bookmarkStart w:id="511" w:name="_Toc18051"/>
      <w:bookmarkStart w:id="512" w:name="_Toc6342"/>
      <w:bookmarkStart w:id="513" w:name="_Toc7780"/>
      <w:bookmarkStart w:id="514" w:name="_Toc16611"/>
      <w:bookmarkStart w:id="515" w:name="_Toc8000"/>
      <w:bookmarkStart w:id="516" w:name="_Toc25924"/>
      <w:r>
        <w:rPr>
          <w:rFonts w:hint="eastAsia" w:ascii="仿宋" w:hAnsi="仿宋" w:eastAsia="仿宋"/>
          <w:color w:val="auto"/>
          <w:szCs w:val="22"/>
          <w:highlight w:val="none"/>
        </w:rPr>
        <w:t>四、无效投标条款</w:t>
      </w:r>
      <w:bookmarkEnd w:id="499"/>
      <w:bookmarkEnd w:id="500"/>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ind w:firstLine="424"/>
        <w:rPr>
          <w:rFonts w:ascii="仿宋" w:hAnsi="仿宋" w:eastAsia="仿宋"/>
          <w:color w:val="auto"/>
          <w:highlight w:val="none"/>
        </w:rPr>
      </w:pPr>
      <w:r>
        <w:rPr>
          <w:rFonts w:hint="eastAsia" w:ascii="仿宋" w:hAnsi="仿宋" w:eastAsia="仿宋"/>
          <w:color w:val="auto"/>
          <w:highlight w:val="none"/>
        </w:rPr>
        <w:t>投标人或其电子投标文件出现下列情况之一者，应为无效投标：</w:t>
      </w:r>
    </w:p>
    <w:p>
      <w:pPr>
        <w:snapToGrid w:val="0"/>
        <w:spacing w:line="400" w:lineRule="exact"/>
        <w:ind w:firstLine="424"/>
        <w:rPr>
          <w:color w:val="auto"/>
          <w:highlight w:val="none"/>
        </w:rPr>
      </w:pPr>
      <w:r>
        <w:rPr>
          <w:rFonts w:hint="eastAsia" w:ascii="仿宋" w:hAnsi="仿宋" w:eastAsia="仿宋"/>
          <w:color w:val="auto"/>
          <w:szCs w:val="24"/>
          <w:highlight w:val="none"/>
        </w:rPr>
        <w:t>（一）未按照招标文件的规定提交投标保证金的；</w:t>
      </w:r>
    </w:p>
    <w:p>
      <w:pPr>
        <w:ind w:firstLine="424"/>
        <w:rPr>
          <w:rFonts w:ascii="仿宋" w:hAnsi="仿宋" w:eastAsia="仿宋"/>
          <w:color w:val="auto"/>
          <w:highlight w:val="none"/>
        </w:rPr>
      </w:pPr>
      <w:r>
        <w:rPr>
          <w:rFonts w:hint="eastAsia" w:ascii="仿宋" w:hAnsi="仿宋" w:eastAsia="仿宋"/>
          <w:color w:val="auto"/>
          <w:highlight w:val="none"/>
        </w:rPr>
        <w:t>（二）电子投标文件未按招标文件要求签署、盖章的；</w:t>
      </w:r>
    </w:p>
    <w:p>
      <w:pPr>
        <w:ind w:firstLine="424"/>
        <w:rPr>
          <w:rFonts w:ascii="仿宋" w:hAnsi="仿宋" w:eastAsia="仿宋"/>
          <w:color w:val="auto"/>
          <w:highlight w:val="none"/>
        </w:rPr>
      </w:pPr>
      <w:r>
        <w:rPr>
          <w:rFonts w:hint="eastAsia" w:ascii="仿宋" w:hAnsi="仿宋" w:eastAsia="仿宋"/>
          <w:color w:val="auto"/>
          <w:highlight w:val="none"/>
        </w:rPr>
        <w:t>（三）不具备招标文件中规定的资格要求的；</w:t>
      </w:r>
    </w:p>
    <w:p>
      <w:pPr>
        <w:ind w:firstLine="424"/>
        <w:rPr>
          <w:rFonts w:ascii="仿宋" w:hAnsi="仿宋" w:eastAsia="仿宋"/>
          <w:color w:val="auto"/>
          <w:highlight w:val="none"/>
        </w:rPr>
      </w:pPr>
      <w:r>
        <w:rPr>
          <w:rFonts w:hint="eastAsia" w:ascii="仿宋" w:hAnsi="仿宋" w:eastAsia="仿宋"/>
          <w:color w:val="auto"/>
          <w:highlight w:val="none"/>
        </w:rPr>
        <w:t>（四）报价超过招标文件中规定的预算金额或者最高限价的</w:t>
      </w:r>
      <w:r>
        <w:rPr>
          <w:rFonts w:hint="eastAsia" w:ascii="仿宋" w:hAnsi="仿宋" w:eastAsia="仿宋"/>
          <w:color w:val="auto"/>
          <w:szCs w:val="24"/>
          <w:highlight w:val="none"/>
        </w:rPr>
        <w:t>；</w:t>
      </w:r>
    </w:p>
    <w:p>
      <w:pPr>
        <w:ind w:firstLine="424"/>
        <w:rPr>
          <w:rFonts w:ascii="仿宋" w:hAnsi="仿宋" w:eastAsia="仿宋"/>
          <w:color w:val="auto"/>
          <w:highlight w:val="none"/>
        </w:rPr>
      </w:pPr>
      <w:r>
        <w:rPr>
          <w:rFonts w:hint="eastAsia" w:ascii="仿宋" w:hAnsi="仿宋" w:eastAsia="仿宋"/>
          <w:color w:val="auto"/>
          <w:highlight w:val="none"/>
        </w:rPr>
        <w:t>（五）电子投标文件含有采购人不能接受的附加条件的；</w:t>
      </w:r>
    </w:p>
    <w:p>
      <w:pPr>
        <w:ind w:firstLine="424"/>
        <w:rPr>
          <w:rFonts w:ascii="仿宋" w:hAnsi="仿宋" w:eastAsia="仿宋"/>
          <w:color w:val="auto"/>
          <w:highlight w:val="none"/>
        </w:rPr>
      </w:pPr>
      <w:r>
        <w:rPr>
          <w:rFonts w:hint="eastAsia" w:ascii="仿宋" w:hAnsi="仿宋" w:eastAsia="仿宋"/>
          <w:color w:val="auto"/>
          <w:highlight w:val="none"/>
        </w:rPr>
        <w:t>（六）投标人串通投标的；</w:t>
      </w:r>
    </w:p>
    <w:p>
      <w:pPr>
        <w:ind w:firstLine="424"/>
        <w:rPr>
          <w:rFonts w:ascii="仿宋" w:hAnsi="仿宋" w:eastAsia="仿宋"/>
          <w:color w:val="auto"/>
          <w:highlight w:val="none"/>
        </w:rPr>
      </w:pPr>
      <w:r>
        <w:rPr>
          <w:rFonts w:hint="eastAsia" w:ascii="仿宋" w:hAnsi="仿宋" w:eastAsia="仿宋"/>
          <w:color w:val="auto"/>
          <w:highlight w:val="none"/>
        </w:rPr>
        <w:t>（七）法律、法规和招标文件规定的其他无效情形。</w:t>
      </w:r>
    </w:p>
    <w:p>
      <w:pPr>
        <w:pStyle w:val="4"/>
        <w:spacing w:before="190" w:after="190"/>
        <w:ind w:firstLine="506"/>
        <w:rPr>
          <w:rFonts w:ascii="仿宋" w:hAnsi="仿宋" w:eastAsia="仿宋"/>
          <w:color w:val="auto"/>
          <w:szCs w:val="22"/>
          <w:highlight w:val="none"/>
        </w:rPr>
      </w:pPr>
      <w:bookmarkStart w:id="517" w:name="_Toc8975"/>
      <w:bookmarkStart w:id="518" w:name="_Toc54"/>
      <w:bookmarkStart w:id="519" w:name="_Toc17252"/>
      <w:bookmarkStart w:id="520" w:name="_Toc11644"/>
      <w:bookmarkStart w:id="521" w:name="_Toc20114"/>
      <w:bookmarkStart w:id="522" w:name="_Toc2190"/>
      <w:bookmarkStart w:id="523" w:name="_Toc409189628"/>
      <w:bookmarkStart w:id="524" w:name="_Toc29332"/>
      <w:bookmarkStart w:id="525" w:name="_Toc30007"/>
      <w:bookmarkStart w:id="526" w:name="_Toc63600426"/>
      <w:bookmarkStart w:id="527" w:name="_Toc24427"/>
      <w:bookmarkStart w:id="528" w:name="_Toc8390"/>
      <w:bookmarkStart w:id="529" w:name="_Toc6063"/>
      <w:bookmarkStart w:id="530" w:name="_Toc20489888"/>
      <w:bookmarkStart w:id="531" w:name="_Toc7084"/>
      <w:bookmarkStart w:id="532" w:name="_Toc20488332"/>
      <w:bookmarkStart w:id="533" w:name="_Toc18206"/>
      <w:bookmarkStart w:id="534" w:name="_Toc1142"/>
      <w:bookmarkStart w:id="535" w:name="_Toc384905069"/>
      <w:bookmarkStart w:id="536" w:name="_Toc384905307"/>
      <w:r>
        <w:rPr>
          <w:rFonts w:hint="eastAsia" w:ascii="仿宋" w:hAnsi="仿宋" w:eastAsia="仿宋"/>
          <w:color w:val="auto"/>
          <w:szCs w:val="22"/>
          <w:highlight w:val="none"/>
        </w:rPr>
        <w:t>五、废标条款</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bookmarkEnd w:id="535"/>
    <w:bookmarkEnd w:id="536"/>
    <w:p>
      <w:pPr>
        <w:ind w:firstLine="424"/>
        <w:rPr>
          <w:rFonts w:ascii="仿宋" w:hAnsi="仿宋" w:eastAsia="仿宋"/>
          <w:color w:val="auto"/>
          <w:highlight w:val="none"/>
        </w:rPr>
      </w:pPr>
      <w:r>
        <w:rPr>
          <w:rFonts w:hint="eastAsia" w:ascii="仿宋" w:hAnsi="仿宋" w:eastAsia="仿宋"/>
          <w:color w:val="auto"/>
          <w:highlight w:val="none"/>
        </w:rPr>
        <w:t>评标委员会评审时出现以下情况之一的，应予废标：</w:t>
      </w:r>
    </w:p>
    <w:p>
      <w:pPr>
        <w:ind w:firstLine="424"/>
        <w:rPr>
          <w:rFonts w:ascii="仿宋" w:hAnsi="仿宋" w:eastAsia="仿宋"/>
          <w:color w:val="auto"/>
          <w:szCs w:val="22"/>
          <w:highlight w:val="none"/>
        </w:rPr>
      </w:pPr>
      <w:r>
        <w:rPr>
          <w:rFonts w:hint="eastAsia" w:ascii="仿宋" w:hAnsi="仿宋" w:eastAsia="仿宋"/>
          <w:color w:val="auto"/>
          <w:szCs w:val="22"/>
          <w:highlight w:val="none"/>
        </w:rPr>
        <w:t>（一）符合专业条件的投标人或者对招标文件作实质响应的投标人不足三家的；</w:t>
      </w:r>
    </w:p>
    <w:p>
      <w:pPr>
        <w:ind w:firstLine="424"/>
        <w:rPr>
          <w:rFonts w:ascii="仿宋" w:hAnsi="仿宋" w:eastAsia="仿宋"/>
          <w:color w:val="auto"/>
          <w:szCs w:val="22"/>
          <w:highlight w:val="none"/>
        </w:rPr>
      </w:pPr>
      <w:r>
        <w:rPr>
          <w:rFonts w:hint="eastAsia" w:ascii="仿宋" w:hAnsi="仿宋" w:eastAsia="仿宋"/>
          <w:color w:val="auto"/>
          <w:szCs w:val="22"/>
          <w:highlight w:val="none"/>
        </w:rPr>
        <w:t>（二）投标人的报价均超过了采购预算，采购人不能支付的；</w:t>
      </w:r>
    </w:p>
    <w:p>
      <w:pPr>
        <w:ind w:firstLine="424"/>
        <w:rPr>
          <w:rFonts w:ascii="仿宋" w:hAnsi="仿宋" w:eastAsia="仿宋"/>
          <w:color w:val="auto"/>
          <w:szCs w:val="22"/>
          <w:highlight w:val="none"/>
        </w:rPr>
      </w:pPr>
      <w:r>
        <w:rPr>
          <w:rFonts w:hint="eastAsia" w:ascii="仿宋" w:hAnsi="仿宋" w:eastAsia="仿宋"/>
          <w:color w:val="auto"/>
          <w:szCs w:val="22"/>
          <w:highlight w:val="none"/>
        </w:rPr>
        <w:t>（三）出现影响采购公正的违法、违规行为的；</w:t>
      </w:r>
    </w:p>
    <w:p>
      <w:pPr>
        <w:ind w:firstLine="424"/>
        <w:rPr>
          <w:rFonts w:ascii="仿宋" w:hAnsi="仿宋" w:eastAsia="仿宋"/>
          <w:color w:val="auto"/>
          <w:szCs w:val="22"/>
          <w:highlight w:val="none"/>
        </w:rPr>
      </w:pPr>
      <w:r>
        <w:rPr>
          <w:rFonts w:hint="eastAsia" w:ascii="仿宋" w:hAnsi="仿宋" w:eastAsia="仿宋"/>
          <w:color w:val="auto"/>
          <w:szCs w:val="22"/>
          <w:highlight w:val="none"/>
        </w:rPr>
        <w:t>（四）因重大变故，采购任务取消的。</w:t>
      </w:r>
    </w:p>
    <w:p>
      <w:pPr>
        <w:ind w:firstLine="424"/>
        <w:rPr>
          <w:rFonts w:ascii="仿宋" w:hAnsi="仿宋" w:eastAsia="仿宋"/>
          <w:color w:val="auto"/>
          <w:highlight w:val="none"/>
        </w:rPr>
      </w:pPr>
      <w:r>
        <w:rPr>
          <w:rFonts w:hint="eastAsia" w:ascii="仿宋" w:hAnsi="仿宋" w:eastAsia="仿宋"/>
          <w:color w:val="auto"/>
          <w:szCs w:val="22"/>
          <w:highlight w:val="none"/>
        </w:rPr>
        <w:t>废标后，除采购任务取消情形外，应当重新组织采购。</w:t>
      </w:r>
    </w:p>
    <w:p>
      <w:pPr>
        <w:ind w:firstLine="424"/>
        <w:rPr>
          <w:color w:val="auto"/>
          <w:highlight w:val="none"/>
        </w:rPr>
        <w:sectPr>
          <w:pgSz w:w="11907" w:h="16840"/>
          <w:pgMar w:top="1134" w:right="1191" w:bottom="1134" w:left="1304" w:header="794" w:footer="992" w:gutter="0"/>
          <w:cols w:space="720" w:num="1"/>
          <w:docGrid w:type="linesAndChars" w:linePitch="380" w:charSpace="-5735"/>
        </w:sectPr>
      </w:pPr>
      <w:bookmarkStart w:id="537" w:name="_Toc394390666"/>
    </w:p>
    <w:p>
      <w:pPr>
        <w:pStyle w:val="3"/>
        <w:numPr>
          <w:ilvl w:val="0"/>
          <w:numId w:val="1"/>
        </w:numPr>
        <w:tabs>
          <w:tab w:val="clear" w:pos="3360"/>
        </w:tabs>
        <w:spacing w:before="190" w:after="190" w:line="520" w:lineRule="exact"/>
        <w:ind w:left="1112" w:hanging="1113" w:hangingChars="270"/>
        <w:rPr>
          <w:rFonts w:hint="eastAsia" w:ascii="方正小标宋简体" w:eastAsia="方正小标宋简体"/>
          <w:color w:val="auto"/>
          <w:szCs w:val="22"/>
          <w:highlight w:val="none"/>
        </w:rPr>
      </w:pPr>
      <w:bookmarkStart w:id="538" w:name="_Toc13045"/>
      <w:bookmarkStart w:id="539" w:name="_Toc63600427"/>
      <w:bookmarkStart w:id="540" w:name="_Toc11779"/>
      <w:bookmarkStart w:id="541" w:name="_Toc6398"/>
      <w:bookmarkStart w:id="542" w:name="_Toc1769"/>
      <w:bookmarkStart w:id="543" w:name="_Toc30481"/>
      <w:bookmarkStart w:id="544" w:name="_Toc1202"/>
      <w:bookmarkStart w:id="545" w:name="_Toc3367"/>
      <w:bookmarkStart w:id="546" w:name="_Toc31671"/>
      <w:bookmarkStart w:id="547" w:name="_Toc20489889"/>
      <w:bookmarkStart w:id="548" w:name="_Toc31628"/>
      <w:bookmarkStart w:id="549" w:name="_Toc28332"/>
      <w:bookmarkStart w:id="550" w:name="_Toc31893"/>
      <w:bookmarkStart w:id="551" w:name="_Toc31811"/>
      <w:bookmarkStart w:id="552" w:name="_Toc20488333"/>
      <w:bookmarkStart w:id="553" w:name="_Toc4767"/>
      <w:bookmarkStart w:id="554" w:name="_Toc26424"/>
      <w:r>
        <w:rPr>
          <w:rFonts w:hint="eastAsia" w:ascii="方正小标宋简体" w:eastAsia="方正小标宋简体"/>
          <w:color w:val="auto"/>
          <w:szCs w:val="22"/>
          <w:highlight w:val="none"/>
        </w:rPr>
        <w:t>投标</w:t>
      </w:r>
      <w:bookmarkEnd w:id="537"/>
      <w:r>
        <w:rPr>
          <w:rFonts w:hint="eastAsia" w:ascii="方正小标宋简体" w:eastAsia="方正小标宋简体"/>
          <w:color w:val="auto"/>
          <w:szCs w:val="22"/>
          <w:highlight w:val="none"/>
        </w:rPr>
        <w:t>人须知</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pStyle w:val="4"/>
        <w:spacing w:before="190" w:after="190" w:line="520" w:lineRule="exact"/>
        <w:ind w:firstLine="506"/>
        <w:rPr>
          <w:rFonts w:ascii="仿宋" w:hAnsi="仿宋" w:eastAsia="仿宋"/>
          <w:color w:val="auto"/>
          <w:szCs w:val="22"/>
          <w:highlight w:val="none"/>
        </w:rPr>
      </w:pPr>
      <w:bookmarkStart w:id="555" w:name="_Toc29526"/>
      <w:bookmarkStart w:id="556" w:name="_Toc18284"/>
      <w:r>
        <w:rPr>
          <w:rFonts w:hint="eastAsia" w:ascii="仿宋" w:hAnsi="仿宋" w:eastAsia="仿宋"/>
          <w:color w:val="auto"/>
          <w:szCs w:val="22"/>
          <w:highlight w:val="none"/>
        </w:rPr>
        <w:t>一、投标人</w:t>
      </w:r>
      <w:bookmarkEnd w:id="555"/>
      <w:bookmarkEnd w:id="556"/>
    </w:p>
    <w:p>
      <w:pPr>
        <w:ind w:firstLine="424"/>
        <w:rPr>
          <w:rFonts w:ascii="仿宋" w:hAnsi="仿宋" w:eastAsia="仿宋"/>
          <w:color w:val="auto"/>
          <w:highlight w:val="none"/>
        </w:rPr>
      </w:pPr>
      <w:r>
        <w:rPr>
          <w:rFonts w:hint="eastAsia" w:ascii="仿宋" w:hAnsi="仿宋" w:eastAsia="仿宋"/>
          <w:color w:val="auto"/>
          <w:highlight w:val="none"/>
        </w:rPr>
        <w:t>（一）投标人</w:t>
      </w:r>
    </w:p>
    <w:p>
      <w:pPr>
        <w:ind w:firstLine="424"/>
        <w:rPr>
          <w:rFonts w:ascii="仿宋" w:hAnsi="仿宋" w:eastAsia="仿宋"/>
          <w:color w:val="auto"/>
          <w:highlight w:val="none"/>
        </w:rPr>
      </w:pPr>
      <w:r>
        <w:rPr>
          <w:rFonts w:hint="eastAsia" w:ascii="仿宋" w:hAnsi="仿宋" w:eastAsia="仿宋"/>
          <w:color w:val="auto"/>
          <w:highlight w:val="none"/>
        </w:rPr>
        <w:t>投标人是指响应招标、参加投标竞争的法人、其他组织或者自然人。</w:t>
      </w:r>
    </w:p>
    <w:p>
      <w:pPr>
        <w:ind w:firstLine="424"/>
        <w:rPr>
          <w:rFonts w:ascii="仿宋" w:hAnsi="仿宋" w:eastAsia="仿宋"/>
          <w:color w:val="auto"/>
          <w:highlight w:val="none"/>
        </w:rPr>
      </w:pPr>
      <w:r>
        <w:rPr>
          <w:rFonts w:hint="eastAsia" w:ascii="仿宋" w:hAnsi="仿宋" w:eastAsia="仿宋"/>
          <w:color w:val="auto"/>
          <w:highlight w:val="none"/>
        </w:rPr>
        <w:t>（二）合格投标人条件</w:t>
      </w:r>
    </w:p>
    <w:p>
      <w:pPr>
        <w:ind w:firstLine="424"/>
        <w:rPr>
          <w:rFonts w:ascii="仿宋" w:hAnsi="仿宋" w:eastAsia="仿宋"/>
          <w:color w:val="auto"/>
          <w:highlight w:val="none"/>
        </w:rPr>
      </w:pPr>
      <w:r>
        <w:rPr>
          <w:rFonts w:hint="eastAsia" w:ascii="仿宋" w:hAnsi="仿宋" w:eastAsia="仿宋"/>
          <w:color w:val="auto"/>
          <w:highlight w:val="none"/>
        </w:rPr>
        <w:t>合格投标人应完全符合招标文件第一篇中规定的投标人资格条件，并对招标文件作出实质性响应。</w:t>
      </w:r>
    </w:p>
    <w:p>
      <w:pPr>
        <w:ind w:firstLine="424"/>
        <w:rPr>
          <w:rFonts w:ascii="仿宋" w:hAnsi="仿宋" w:eastAsia="仿宋"/>
          <w:color w:val="auto"/>
          <w:highlight w:val="none"/>
        </w:rPr>
      </w:pPr>
      <w:r>
        <w:rPr>
          <w:rFonts w:hint="eastAsia" w:ascii="仿宋" w:hAnsi="仿宋" w:eastAsia="仿宋"/>
          <w:color w:val="auto"/>
          <w:highlight w:val="none"/>
        </w:rPr>
        <w:t>（三）投标人的风险</w:t>
      </w:r>
    </w:p>
    <w:p>
      <w:pPr>
        <w:ind w:firstLine="424"/>
        <w:rPr>
          <w:rFonts w:ascii="仿宋" w:hAnsi="仿宋" w:eastAsia="仿宋"/>
          <w:color w:val="auto"/>
          <w:highlight w:val="none"/>
        </w:rPr>
      </w:pPr>
      <w:r>
        <w:rPr>
          <w:rFonts w:hint="eastAsia" w:ascii="仿宋" w:hAnsi="仿宋" w:eastAsia="仿宋"/>
          <w:color w:val="auto"/>
          <w:highlight w:val="none"/>
        </w:rPr>
        <w:t>投标人没有按照招标文件要求提供全部资料，或者投标人没有对招标文件在各方面作出实质性响应，可能导致投标被拒绝或评定为无效投标。</w:t>
      </w:r>
    </w:p>
    <w:p>
      <w:pPr>
        <w:ind w:firstLine="424"/>
        <w:rPr>
          <w:rFonts w:ascii="仿宋" w:hAnsi="仿宋" w:eastAsia="仿宋"/>
          <w:color w:val="auto"/>
          <w:highlight w:val="none"/>
        </w:rPr>
      </w:pPr>
      <w:r>
        <w:rPr>
          <w:rFonts w:hint="eastAsia" w:ascii="仿宋" w:hAnsi="仿宋" w:eastAsia="仿宋"/>
          <w:color w:val="auto"/>
          <w:highlight w:val="none"/>
        </w:rPr>
        <w:t>（四）法律责任</w:t>
      </w:r>
    </w:p>
    <w:p>
      <w:pPr>
        <w:ind w:firstLine="424"/>
        <w:rPr>
          <w:rFonts w:ascii="仿宋" w:hAnsi="仿宋" w:eastAsia="仿宋"/>
          <w:color w:val="auto"/>
          <w:highlight w:val="none"/>
        </w:rPr>
      </w:pPr>
      <w:r>
        <w:rPr>
          <w:rFonts w:hint="eastAsia" w:ascii="仿宋" w:hAnsi="仿宋" w:eastAsia="仿宋"/>
          <w:color w:val="auto"/>
          <w:highlight w:val="none"/>
        </w:rPr>
        <w:t>投标人违反《中华人民共和国政府采购法》、《中华人民共和国政府采购实施条例》等相关规定，将按规定追究投标人法律责任。</w:t>
      </w:r>
    </w:p>
    <w:p>
      <w:pPr>
        <w:pStyle w:val="4"/>
        <w:spacing w:before="190" w:after="190" w:line="520" w:lineRule="exact"/>
        <w:ind w:firstLine="506"/>
        <w:rPr>
          <w:rFonts w:ascii="仿宋" w:hAnsi="仿宋" w:eastAsia="仿宋"/>
          <w:color w:val="auto"/>
          <w:szCs w:val="22"/>
          <w:highlight w:val="none"/>
        </w:rPr>
      </w:pPr>
      <w:bookmarkStart w:id="557" w:name="_Toc20489891"/>
      <w:bookmarkStart w:id="558" w:name="_Toc95"/>
      <w:bookmarkStart w:id="559" w:name="_Toc409189631"/>
      <w:bookmarkStart w:id="560" w:name="_Toc8274"/>
      <w:bookmarkStart w:id="561" w:name="_Toc23695"/>
      <w:bookmarkStart w:id="562" w:name="_Toc32608"/>
      <w:bookmarkStart w:id="563" w:name="_Toc22"/>
      <w:bookmarkStart w:id="564" w:name="_Toc31001"/>
      <w:bookmarkStart w:id="565" w:name="_Toc22043"/>
      <w:bookmarkStart w:id="566" w:name="_Toc30537"/>
      <w:bookmarkStart w:id="567" w:name="_Toc31561"/>
      <w:bookmarkStart w:id="568" w:name="_Toc20488335"/>
      <w:bookmarkStart w:id="569" w:name="_Toc63600429"/>
      <w:bookmarkStart w:id="570" w:name="_Toc6772"/>
      <w:bookmarkStart w:id="571" w:name="_Toc18261"/>
      <w:bookmarkStart w:id="572" w:name="_Toc15775"/>
      <w:bookmarkStart w:id="573" w:name="_Toc457"/>
      <w:bookmarkStart w:id="574" w:name="_Toc15299"/>
      <w:r>
        <w:rPr>
          <w:rFonts w:hint="eastAsia" w:ascii="仿宋" w:hAnsi="仿宋" w:eastAsia="仿宋"/>
          <w:color w:val="auto"/>
          <w:szCs w:val="22"/>
          <w:highlight w:val="none"/>
        </w:rPr>
        <w:t>二、招标文件</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ind w:firstLine="424"/>
        <w:rPr>
          <w:rFonts w:ascii="仿宋" w:hAnsi="仿宋" w:eastAsia="仿宋"/>
          <w:color w:val="auto"/>
          <w:highlight w:val="none"/>
        </w:rPr>
      </w:pPr>
      <w:r>
        <w:rPr>
          <w:rFonts w:hint="eastAsia" w:ascii="仿宋" w:hAnsi="仿宋" w:eastAsia="仿宋"/>
          <w:color w:val="auto"/>
          <w:highlight w:val="none"/>
        </w:rPr>
        <w:t>招标文件是投标人编制电子投标文件的依据，是评标委员会评判依据和标准。招标文件也是采购人与中标人签订合同的基础。</w:t>
      </w:r>
    </w:p>
    <w:p>
      <w:pPr>
        <w:ind w:firstLine="424"/>
        <w:rPr>
          <w:rFonts w:ascii="仿宋" w:hAnsi="仿宋" w:eastAsia="仿宋"/>
          <w:color w:val="auto"/>
          <w:highlight w:val="none"/>
        </w:rPr>
      </w:pPr>
      <w:r>
        <w:rPr>
          <w:rFonts w:hint="eastAsia" w:ascii="仿宋" w:hAnsi="仿宋" w:eastAsia="仿宋"/>
          <w:color w:val="auto"/>
          <w:highlight w:val="none"/>
        </w:rPr>
        <w:t>（一）招标文件由投标邀请书；项目服务需求；项目商务要求；评标方法、评标标准、无效投标条款和废标条款；投标人须知；合同主要条款、合同范本；电子投标文件格式等七部分组成。</w:t>
      </w:r>
    </w:p>
    <w:p>
      <w:pPr>
        <w:ind w:firstLine="424"/>
        <w:rPr>
          <w:rFonts w:ascii="仿宋" w:hAnsi="仿宋" w:eastAsia="仿宋"/>
          <w:color w:val="auto"/>
          <w:highlight w:val="none"/>
        </w:rPr>
      </w:pPr>
      <w:r>
        <w:rPr>
          <w:rFonts w:hint="eastAsia" w:ascii="仿宋" w:hAnsi="仿宋" w:eastAsia="仿宋"/>
          <w:color w:val="auto"/>
          <w:highlight w:val="none"/>
        </w:rPr>
        <w:t>（二）采购代理机构对招标文件所作的一切有效的书面通知、修改及补充，都是招标文件不可分割的部分。</w:t>
      </w:r>
    </w:p>
    <w:p>
      <w:pPr>
        <w:ind w:firstLine="424"/>
        <w:jc w:val="left"/>
        <w:rPr>
          <w:rFonts w:ascii="仿宋" w:hAnsi="仿宋" w:eastAsia="仿宋"/>
          <w:color w:val="auto"/>
          <w:szCs w:val="22"/>
          <w:highlight w:val="none"/>
        </w:rPr>
      </w:pPr>
      <w:r>
        <w:rPr>
          <w:rFonts w:hint="eastAsia" w:ascii="仿宋" w:hAnsi="仿宋" w:eastAsia="仿宋"/>
          <w:color w:val="auto"/>
          <w:szCs w:val="22"/>
          <w:highlight w:val="none"/>
        </w:rPr>
        <w:t>（三）本项目的招标文件、补遗文件（如果有）一律在重庆市政府采购网（https://www.ccgp-chongqing.gov.cn/）上发布，</w:t>
      </w:r>
      <w:r>
        <w:rPr>
          <w:rFonts w:hint="eastAsia" w:ascii="仿宋" w:hAnsi="仿宋" w:eastAsia="仿宋"/>
          <w:color w:val="auto"/>
          <w:highlight w:val="none"/>
        </w:rPr>
        <w:t>请各投标人注意在线获取招标文件的时间、方式（请参考第一篇第四条“投标、开标有关说明”）和下载流程；无论投标人在线获取和下载与否，均视同投标人已知晓本项目招标文件、澄清文件的内容。</w:t>
      </w:r>
    </w:p>
    <w:p>
      <w:pPr>
        <w:ind w:firstLine="424"/>
        <w:rPr>
          <w:rFonts w:ascii="仿宋" w:hAnsi="仿宋" w:eastAsia="仿宋"/>
          <w:color w:val="auto"/>
          <w:highlight w:val="none"/>
        </w:rPr>
      </w:pPr>
      <w:r>
        <w:rPr>
          <w:rFonts w:hint="eastAsia" w:ascii="仿宋" w:hAnsi="仿宋" w:eastAsia="仿宋"/>
          <w:color w:val="auto"/>
          <w:highlight w:val="none"/>
        </w:rPr>
        <w:t>（四）采购代理机构对已发出的招标文件需要进行澄清或修改的，应以书面形式或公告形式通知所有招标文件收受人。该澄清或者修改的内容为招标文件的组成部分。</w:t>
      </w:r>
    </w:p>
    <w:p>
      <w:pPr>
        <w:pStyle w:val="4"/>
        <w:spacing w:before="190" w:after="190" w:line="520" w:lineRule="exact"/>
        <w:ind w:firstLine="506"/>
        <w:rPr>
          <w:rFonts w:ascii="仿宋" w:hAnsi="仿宋" w:eastAsia="仿宋"/>
          <w:color w:val="auto"/>
          <w:szCs w:val="22"/>
          <w:highlight w:val="none"/>
        </w:rPr>
      </w:pPr>
      <w:bookmarkStart w:id="575" w:name="_Toc19071"/>
      <w:bookmarkStart w:id="576" w:name="_Toc2523"/>
      <w:bookmarkStart w:id="577" w:name="_Toc5751"/>
      <w:bookmarkStart w:id="578" w:name="_Toc63600430"/>
      <w:bookmarkStart w:id="579" w:name="_Toc18325"/>
      <w:bookmarkStart w:id="580" w:name="_Toc28490"/>
      <w:bookmarkStart w:id="581" w:name="_Toc7784"/>
      <w:bookmarkStart w:id="582" w:name="_Toc4467"/>
      <w:bookmarkStart w:id="583" w:name="_Toc409189632"/>
      <w:bookmarkStart w:id="584" w:name="_Toc5827"/>
      <w:bookmarkStart w:id="585" w:name="_Toc20488336"/>
      <w:bookmarkStart w:id="586" w:name="_Toc16747"/>
      <w:bookmarkStart w:id="587" w:name="_Toc9962"/>
      <w:bookmarkStart w:id="588" w:name="_Toc13551"/>
      <w:bookmarkStart w:id="589" w:name="_Toc7510"/>
      <w:bookmarkStart w:id="590" w:name="_Toc4287"/>
      <w:bookmarkStart w:id="591" w:name="_Toc18803"/>
      <w:bookmarkStart w:id="592" w:name="_Toc20489892"/>
      <w:r>
        <w:rPr>
          <w:rFonts w:hint="eastAsia" w:ascii="仿宋" w:hAnsi="仿宋" w:eastAsia="仿宋"/>
          <w:color w:val="auto"/>
          <w:szCs w:val="22"/>
          <w:highlight w:val="none"/>
        </w:rPr>
        <w:t>三、电子投标文件</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pPr>
        <w:ind w:firstLine="424"/>
        <w:rPr>
          <w:rFonts w:ascii="仿宋" w:hAnsi="仿宋" w:eastAsia="仿宋"/>
          <w:color w:val="auto"/>
          <w:highlight w:val="none"/>
        </w:rPr>
      </w:pPr>
      <w:r>
        <w:rPr>
          <w:rFonts w:hint="eastAsia" w:ascii="仿宋" w:hAnsi="仿宋" w:eastAsia="仿宋"/>
          <w:color w:val="auto"/>
          <w:highlight w:val="none"/>
        </w:rPr>
        <w:t>投标人应当按照招标文件的要求编制电子投标文件，并对招标文件提出的要求和条件作出实质性响应，电子投标文件应编制完整的页码、目录。</w:t>
      </w:r>
    </w:p>
    <w:p>
      <w:pPr>
        <w:ind w:firstLine="424"/>
        <w:rPr>
          <w:rFonts w:ascii="仿宋" w:hAnsi="仿宋" w:eastAsia="仿宋"/>
          <w:color w:val="auto"/>
          <w:highlight w:val="none"/>
        </w:rPr>
      </w:pPr>
      <w:r>
        <w:rPr>
          <w:rFonts w:hint="eastAsia" w:ascii="仿宋" w:hAnsi="仿宋" w:eastAsia="仿宋"/>
          <w:color w:val="auto"/>
          <w:highlight w:val="none"/>
        </w:rPr>
        <w:t>（一）电子投标文件组成</w:t>
      </w:r>
    </w:p>
    <w:p>
      <w:pPr>
        <w:ind w:firstLine="424"/>
        <w:rPr>
          <w:rFonts w:ascii="仿宋" w:hAnsi="仿宋" w:eastAsia="仿宋"/>
          <w:color w:val="auto"/>
          <w:highlight w:val="none"/>
        </w:rPr>
      </w:pPr>
      <w:r>
        <w:rPr>
          <w:rFonts w:hint="eastAsia" w:ascii="仿宋" w:hAnsi="仿宋" w:eastAsia="仿宋"/>
          <w:color w:val="auto"/>
          <w:highlight w:val="none"/>
        </w:rPr>
        <w:t>电子投标文件由第七篇“电子投标文件格式”规定的部分和投标人所作的一切有效补充、修改和承诺等文件组成，投标人应按照第七篇“电子投标文件格式”规定的目录顺序组织编写，否则有可能影响评委对</w:t>
      </w:r>
      <w:r>
        <w:rPr>
          <w:rFonts w:hint="eastAsia" w:ascii="仿宋" w:hAnsi="仿宋" w:eastAsia="仿宋"/>
          <w:color w:val="auto"/>
          <w:szCs w:val="22"/>
          <w:highlight w:val="none"/>
        </w:rPr>
        <w:t>电子</w:t>
      </w:r>
      <w:r>
        <w:rPr>
          <w:rFonts w:hint="eastAsia" w:ascii="仿宋" w:hAnsi="仿宋" w:eastAsia="仿宋"/>
          <w:color w:val="auto"/>
          <w:highlight w:val="none"/>
        </w:rPr>
        <w:t>投标文件的评审。</w:t>
      </w:r>
    </w:p>
    <w:p>
      <w:pPr>
        <w:ind w:firstLine="424"/>
        <w:rPr>
          <w:rFonts w:ascii="仿宋" w:hAnsi="仿宋" w:eastAsia="仿宋"/>
          <w:color w:val="auto"/>
          <w:highlight w:val="none"/>
        </w:rPr>
      </w:pPr>
      <w:r>
        <w:rPr>
          <w:rFonts w:hint="eastAsia" w:ascii="仿宋" w:hAnsi="仿宋" w:eastAsia="仿宋"/>
          <w:color w:val="auto"/>
          <w:highlight w:val="none"/>
        </w:rPr>
        <w:t>电子投标文件必须根据《政府采购全程电子化采购系统供应商操作手册（CA证书签章版）》手册第五章内容，完成电子投标文件的报价一览表信息填写、投标文件（PDF格式）的导入、条款页码关联、电子投标文件电子章签署、下载加密电子投标文件等工作。否则有可能影响评委对电子投标文件的评审。</w:t>
      </w:r>
    </w:p>
    <w:p>
      <w:pPr>
        <w:ind w:firstLine="424"/>
        <w:rPr>
          <w:rFonts w:ascii="仿宋" w:hAnsi="仿宋" w:eastAsia="仿宋"/>
          <w:color w:val="auto"/>
          <w:highlight w:val="none"/>
        </w:rPr>
      </w:pPr>
      <w:r>
        <w:rPr>
          <w:rFonts w:hint="eastAsia" w:ascii="仿宋" w:hAnsi="仿宋" w:eastAsia="仿宋"/>
          <w:color w:val="auto"/>
          <w:highlight w:val="none"/>
        </w:rPr>
        <w:t>（二）联合投标</w:t>
      </w:r>
    </w:p>
    <w:p>
      <w:pPr>
        <w:ind w:firstLine="424"/>
        <w:rPr>
          <w:rFonts w:ascii="仿宋" w:hAnsi="仿宋" w:eastAsia="仿宋"/>
          <w:color w:val="auto"/>
          <w:highlight w:val="none"/>
        </w:rPr>
      </w:pPr>
      <w:r>
        <w:rPr>
          <w:rFonts w:hint="eastAsia" w:ascii="仿宋" w:hAnsi="仿宋" w:eastAsia="仿宋"/>
          <w:color w:val="auto"/>
          <w:highlight w:val="none"/>
        </w:rPr>
        <w:t>1.两个以上投标人可以组成一个投标联合体，以一个投标人的身份投标。</w:t>
      </w:r>
    </w:p>
    <w:p>
      <w:pPr>
        <w:ind w:firstLine="424"/>
        <w:rPr>
          <w:rFonts w:ascii="仿宋" w:hAnsi="仿宋" w:eastAsia="仿宋"/>
          <w:color w:val="auto"/>
          <w:highlight w:val="none"/>
        </w:rPr>
      </w:pPr>
      <w:r>
        <w:rPr>
          <w:rFonts w:hint="eastAsia" w:ascii="仿宋" w:hAnsi="仿宋" w:eastAsia="仿宋"/>
          <w:color w:val="auto"/>
          <w:highlight w:val="none"/>
        </w:rPr>
        <w:t>2.以联合体形式参加投标的，联合体各方均应满足投标人资格要求（详见“第一篇”）。</w:t>
      </w:r>
      <w:r>
        <w:rPr>
          <w:rFonts w:ascii="仿宋" w:hAnsi="仿宋" w:eastAsia="仿宋"/>
          <w:color w:val="auto"/>
          <w:highlight w:val="none"/>
        </w:rPr>
        <w:t>联合体中有同类资质的投标人按照联合体分工承担相同工作的，应当按照资质等级较低的投标人确定资质等级。</w:t>
      </w:r>
    </w:p>
    <w:p>
      <w:pPr>
        <w:ind w:firstLine="424"/>
        <w:rPr>
          <w:rFonts w:ascii="仿宋" w:hAnsi="仿宋" w:eastAsia="仿宋"/>
          <w:color w:val="auto"/>
          <w:highlight w:val="none"/>
        </w:rPr>
      </w:pPr>
      <w:r>
        <w:rPr>
          <w:rFonts w:hint="eastAsia" w:ascii="仿宋" w:hAnsi="仿宋" w:eastAsia="仿宋"/>
          <w:color w:val="auto"/>
          <w:highlight w:val="none"/>
        </w:rPr>
        <w:t>3.联合体各方之间应当签订共同投标协议，共同投标协议中应确定主办方（主体），代表联合体进行投标和澄清。共同投标协议应明确约定联合体各方承担的工作和相应的责任，</w:t>
      </w:r>
      <w:bookmarkStart w:id="593" w:name="_Hlk148269647"/>
      <w:r>
        <w:rPr>
          <w:rFonts w:hint="eastAsia" w:ascii="仿宋" w:hAnsi="仿宋" w:eastAsia="仿宋"/>
          <w:color w:val="auto"/>
          <w:highlight w:val="none"/>
        </w:rPr>
        <w:t>并将联合投标协议装在“第七篇  电子投标文件格式”规定的“五、其他（三）分包意向协议（格式自定）”的电子投标文件中。在电子投标文件递交截止时间前登录“重庆市政府采购网”，将电子投标文件上传到“在线开评标”→“我的投标项目”→“在线投标”处。</w:t>
      </w:r>
      <w:bookmarkEnd w:id="593"/>
    </w:p>
    <w:p>
      <w:pPr>
        <w:ind w:firstLine="424"/>
        <w:rPr>
          <w:rFonts w:ascii="仿宋" w:hAnsi="仿宋" w:eastAsia="仿宋"/>
          <w:color w:val="auto"/>
          <w:highlight w:val="none"/>
        </w:rPr>
      </w:pPr>
      <w:r>
        <w:rPr>
          <w:rFonts w:hint="eastAsia" w:ascii="仿宋" w:hAnsi="仿宋" w:eastAsia="仿宋"/>
          <w:color w:val="auto"/>
          <w:highlight w:val="none"/>
        </w:rPr>
        <w:t>4.</w:t>
      </w:r>
      <w:r>
        <w:rPr>
          <w:rFonts w:ascii="仿宋" w:hAnsi="仿宋" w:eastAsia="仿宋"/>
          <w:color w:val="auto"/>
          <w:highlight w:val="none"/>
        </w:rPr>
        <w:t>以联合体形式参加政府采购活动的，联合体各方不得再单独参加或者与其他投标人另外组成联合体参加同一合同项下的政府采购活动。</w:t>
      </w:r>
    </w:p>
    <w:p>
      <w:pPr>
        <w:ind w:firstLine="424"/>
        <w:rPr>
          <w:rFonts w:ascii="仿宋" w:hAnsi="仿宋" w:eastAsia="仿宋"/>
          <w:color w:val="auto"/>
          <w:highlight w:val="none"/>
        </w:rPr>
      </w:pPr>
      <w:r>
        <w:rPr>
          <w:rFonts w:hint="eastAsia" w:ascii="仿宋" w:hAnsi="仿宋" w:eastAsia="仿宋"/>
          <w:color w:val="auto"/>
          <w:highlight w:val="none"/>
        </w:rPr>
        <w:t>5.联合体投标业绩计算，按照共同投标协议分工认定。</w:t>
      </w:r>
    </w:p>
    <w:p>
      <w:pPr>
        <w:ind w:firstLine="424"/>
        <w:rPr>
          <w:rFonts w:ascii="仿宋" w:hAnsi="仿宋" w:eastAsia="仿宋"/>
          <w:color w:val="auto"/>
          <w:highlight w:val="none"/>
        </w:rPr>
      </w:pPr>
      <w:r>
        <w:rPr>
          <w:rFonts w:hint="eastAsia" w:ascii="仿宋" w:hAnsi="仿宋" w:eastAsia="仿宋"/>
          <w:color w:val="auto"/>
          <w:highlight w:val="none"/>
        </w:rPr>
        <w:t>6.两个以上的自然人、法人或者其他组织组成一个联合体，以一个投标人的身份共同参加政府采购活动的，应当对所有联合体成员进行信用记录查询，联合体成员存在不良信用记录的，视同联合体存在不良信用记录。</w:t>
      </w:r>
    </w:p>
    <w:p>
      <w:pPr>
        <w:ind w:firstLine="424"/>
        <w:rPr>
          <w:rFonts w:ascii="仿宋" w:hAnsi="仿宋" w:eastAsia="仿宋"/>
          <w:color w:val="auto"/>
          <w:highlight w:val="none"/>
        </w:rPr>
      </w:pPr>
      <w:r>
        <w:rPr>
          <w:rFonts w:hint="eastAsia" w:ascii="仿宋" w:hAnsi="仿宋" w:eastAsia="仿宋"/>
          <w:color w:val="auto"/>
          <w:highlight w:val="none"/>
        </w:rPr>
        <w:t>7.以联合体投标的，共同投标协议中应确定主办方（主体），代表联合体进行投标和澄清。法定代表人授权委托书由联合体主办方（主体）出具。联合体各方均应满足投标人资格要求（详见“第一篇”）。</w:t>
      </w:r>
    </w:p>
    <w:p>
      <w:pPr>
        <w:ind w:firstLine="424"/>
        <w:rPr>
          <w:rFonts w:ascii="仿宋" w:hAnsi="仿宋" w:eastAsia="仿宋"/>
          <w:color w:val="auto"/>
          <w:highlight w:val="none"/>
        </w:rPr>
      </w:pPr>
      <w:r>
        <w:rPr>
          <w:rFonts w:hint="eastAsia" w:ascii="仿宋" w:hAnsi="仿宋" w:eastAsia="仿宋"/>
          <w:color w:val="auto"/>
          <w:highlight w:val="none"/>
        </w:rPr>
        <w:t>（三）投标有效期</w:t>
      </w:r>
    </w:p>
    <w:p>
      <w:pPr>
        <w:ind w:firstLine="424"/>
        <w:rPr>
          <w:rFonts w:ascii="仿宋" w:hAnsi="仿宋" w:eastAsia="仿宋"/>
          <w:color w:val="auto"/>
          <w:highlight w:val="none"/>
        </w:rPr>
      </w:pPr>
      <w:r>
        <w:rPr>
          <w:rFonts w:hint="eastAsia" w:ascii="仿宋" w:hAnsi="仿宋" w:eastAsia="仿宋"/>
          <w:color w:val="auto"/>
          <w:highlight w:val="none"/>
        </w:rPr>
        <w:t>投标有效期为电子投标文件递交截止时间起90天。</w:t>
      </w:r>
    </w:p>
    <w:p>
      <w:pPr>
        <w:ind w:firstLine="424"/>
        <w:rPr>
          <w:rFonts w:ascii="仿宋" w:hAnsi="仿宋" w:eastAsia="仿宋"/>
          <w:color w:val="auto"/>
          <w:szCs w:val="22"/>
          <w:highlight w:val="none"/>
        </w:rPr>
      </w:pPr>
      <w:bookmarkStart w:id="594" w:name="_Toc3031"/>
      <w:r>
        <w:rPr>
          <w:rFonts w:hint="eastAsia" w:ascii="仿宋" w:hAnsi="仿宋" w:eastAsia="仿宋"/>
          <w:color w:val="auto"/>
          <w:szCs w:val="22"/>
          <w:highlight w:val="none"/>
        </w:rPr>
        <w:t>（四）投标保证金</w:t>
      </w:r>
      <w:bookmarkEnd w:id="594"/>
    </w:p>
    <w:p>
      <w:pPr>
        <w:tabs>
          <w:tab w:val="left" w:pos="0"/>
        </w:tabs>
        <w:snapToGrid w:val="0"/>
        <w:ind w:firstLine="424"/>
        <w:rPr>
          <w:rFonts w:ascii="仿宋" w:hAnsi="仿宋" w:eastAsia="仿宋" w:cs="仿宋"/>
          <w:color w:val="auto"/>
          <w:highlight w:val="none"/>
        </w:rPr>
      </w:pPr>
      <w:r>
        <w:rPr>
          <w:rFonts w:hint="eastAsia" w:ascii="仿宋" w:hAnsi="仿宋" w:eastAsia="仿宋" w:cs="仿宋"/>
          <w:color w:val="auto"/>
          <w:highlight w:val="none"/>
        </w:rPr>
        <w:t>1.投标人应按招标文件第一篇规定交纳投标保证金。</w:t>
      </w:r>
    </w:p>
    <w:p>
      <w:pPr>
        <w:tabs>
          <w:tab w:val="left" w:pos="0"/>
        </w:tabs>
        <w:ind w:firstLine="424"/>
        <w:rPr>
          <w:rFonts w:ascii="仿宋" w:hAnsi="仿宋" w:eastAsia="仿宋" w:cs="仿宋"/>
          <w:color w:val="auto"/>
          <w:highlight w:val="none"/>
        </w:rPr>
      </w:pPr>
      <w:r>
        <w:rPr>
          <w:rFonts w:hint="eastAsia" w:ascii="仿宋" w:hAnsi="仿宋" w:eastAsia="仿宋" w:cs="仿宋"/>
          <w:color w:val="auto"/>
          <w:highlight w:val="none"/>
        </w:rPr>
        <w:t>2.投标保证金为投标的有效约束条件。</w:t>
      </w:r>
    </w:p>
    <w:p>
      <w:pPr>
        <w:tabs>
          <w:tab w:val="left" w:pos="0"/>
        </w:tabs>
        <w:ind w:firstLine="424"/>
        <w:rPr>
          <w:rFonts w:ascii="仿宋" w:hAnsi="仿宋" w:eastAsia="仿宋" w:cs="仿宋"/>
          <w:color w:val="auto"/>
          <w:highlight w:val="none"/>
        </w:rPr>
      </w:pPr>
      <w:r>
        <w:rPr>
          <w:rFonts w:hint="eastAsia" w:ascii="仿宋" w:hAnsi="仿宋" w:eastAsia="仿宋" w:cs="仿宋"/>
          <w:color w:val="auto"/>
          <w:highlight w:val="none"/>
        </w:rPr>
        <w:t>3.投标保证金的有效期限在投标有效期过后三十天继续有效。</w:t>
      </w:r>
    </w:p>
    <w:p>
      <w:pPr>
        <w:tabs>
          <w:tab w:val="left" w:pos="0"/>
        </w:tabs>
        <w:ind w:firstLine="424"/>
        <w:rPr>
          <w:rFonts w:ascii="仿宋" w:hAnsi="仿宋" w:eastAsia="仿宋" w:cs="仿宋"/>
          <w:color w:val="auto"/>
          <w:highlight w:val="none"/>
        </w:rPr>
      </w:pPr>
      <w:r>
        <w:rPr>
          <w:rFonts w:hint="eastAsia" w:ascii="仿宋" w:hAnsi="仿宋" w:eastAsia="仿宋" w:cs="仿宋"/>
          <w:color w:val="auto"/>
          <w:highlight w:val="none"/>
        </w:rPr>
        <w:t>4.投标保证金币种应与投标报价币种相同。</w:t>
      </w:r>
    </w:p>
    <w:p>
      <w:pPr>
        <w:tabs>
          <w:tab w:val="left" w:pos="0"/>
        </w:tabs>
        <w:ind w:firstLine="424"/>
        <w:rPr>
          <w:rFonts w:ascii="仿宋" w:hAnsi="仿宋" w:eastAsia="仿宋" w:cs="仿宋"/>
          <w:color w:val="auto"/>
          <w:highlight w:val="none"/>
        </w:rPr>
      </w:pPr>
      <w:r>
        <w:rPr>
          <w:rFonts w:hint="eastAsia" w:ascii="仿宋" w:hAnsi="仿宋" w:eastAsia="仿宋" w:cs="仿宋"/>
          <w:color w:val="auto"/>
          <w:highlight w:val="none"/>
        </w:rPr>
        <w:t>5.《中标通知书》发出后，由重庆市公共资源交易中心退还未中标人的投标保证金；在采购合同签订后，由重庆市公共资源交易中心退还中标人的投标保证金。</w:t>
      </w:r>
    </w:p>
    <w:p>
      <w:pPr>
        <w:tabs>
          <w:tab w:val="left" w:pos="0"/>
        </w:tabs>
        <w:ind w:firstLine="424"/>
        <w:rPr>
          <w:rFonts w:ascii="仿宋" w:hAnsi="仿宋" w:eastAsia="仿宋" w:cs="仿宋"/>
          <w:color w:val="auto"/>
          <w:highlight w:val="none"/>
        </w:rPr>
      </w:pPr>
      <w:r>
        <w:rPr>
          <w:rFonts w:hint="eastAsia" w:ascii="仿宋" w:hAnsi="仿宋" w:eastAsia="仿宋" w:cs="仿宋"/>
          <w:color w:val="auto"/>
          <w:highlight w:val="none"/>
        </w:rPr>
        <w:t>6.投标人有下列情形之一的，采购人或者采购代理机构可以不退还投标保证金：</w:t>
      </w:r>
    </w:p>
    <w:p>
      <w:pPr>
        <w:snapToGrid w:val="0"/>
        <w:ind w:firstLine="424"/>
        <w:rPr>
          <w:rFonts w:ascii="仿宋" w:hAnsi="仿宋" w:eastAsia="仿宋" w:cs="仿宋"/>
          <w:color w:val="auto"/>
          <w:highlight w:val="none"/>
        </w:rPr>
      </w:pPr>
      <w:r>
        <w:rPr>
          <w:rFonts w:hint="eastAsia" w:ascii="仿宋" w:hAnsi="仿宋" w:eastAsia="仿宋" w:cs="仿宋"/>
          <w:color w:val="auto"/>
          <w:highlight w:val="none"/>
        </w:rPr>
        <w:t>6.1投标人在投标有效期撤销电子投标文件的；</w:t>
      </w:r>
    </w:p>
    <w:p>
      <w:pPr>
        <w:snapToGrid w:val="0"/>
        <w:ind w:firstLine="424"/>
        <w:rPr>
          <w:rFonts w:ascii="仿宋" w:hAnsi="仿宋" w:eastAsia="仿宋" w:cs="仿宋"/>
          <w:color w:val="auto"/>
          <w:highlight w:val="none"/>
        </w:rPr>
      </w:pPr>
      <w:r>
        <w:rPr>
          <w:rFonts w:hint="eastAsia" w:ascii="仿宋" w:hAnsi="仿宋" w:eastAsia="仿宋" w:cs="仿宋"/>
          <w:color w:val="auto"/>
          <w:highlight w:val="none"/>
        </w:rPr>
        <w:t>6.2投标人未按规定提交履约保证金的（如果有）；</w:t>
      </w:r>
    </w:p>
    <w:p>
      <w:pPr>
        <w:snapToGrid w:val="0"/>
        <w:ind w:firstLine="424"/>
        <w:rPr>
          <w:rFonts w:ascii="仿宋" w:hAnsi="仿宋" w:eastAsia="仿宋" w:cs="仿宋"/>
          <w:color w:val="auto"/>
          <w:highlight w:val="none"/>
        </w:rPr>
      </w:pPr>
      <w:r>
        <w:rPr>
          <w:rFonts w:hint="eastAsia" w:ascii="仿宋" w:hAnsi="仿宋" w:eastAsia="仿宋" w:cs="仿宋"/>
          <w:color w:val="auto"/>
          <w:highlight w:val="none"/>
        </w:rPr>
        <w:t>6.3投标人在投标过程中弄虚作假，提供虚假材料的；</w:t>
      </w:r>
    </w:p>
    <w:p>
      <w:pPr>
        <w:snapToGrid w:val="0"/>
        <w:ind w:firstLine="424"/>
        <w:rPr>
          <w:rFonts w:ascii="仿宋" w:hAnsi="仿宋" w:eastAsia="仿宋" w:cs="仿宋"/>
          <w:color w:val="auto"/>
          <w:highlight w:val="none"/>
        </w:rPr>
      </w:pPr>
      <w:r>
        <w:rPr>
          <w:rFonts w:hint="eastAsia" w:ascii="仿宋" w:hAnsi="仿宋" w:eastAsia="仿宋" w:cs="仿宋"/>
          <w:color w:val="auto"/>
          <w:highlight w:val="none"/>
        </w:rPr>
        <w:t>6.4中标人无正当理由不与采购人签订合同的；</w:t>
      </w:r>
    </w:p>
    <w:p>
      <w:pPr>
        <w:snapToGrid w:val="0"/>
        <w:ind w:firstLine="424"/>
        <w:rPr>
          <w:rFonts w:ascii="仿宋" w:hAnsi="仿宋" w:eastAsia="仿宋" w:cs="仿宋"/>
          <w:color w:val="auto"/>
          <w:highlight w:val="none"/>
        </w:rPr>
      </w:pPr>
      <w:r>
        <w:rPr>
          <w:rFonts w:hint="eastAsia" w:ascii="仿宋" w:hAnsi="仿宋" w:eastAsia="仿宋" w:cs="仿宋"/>
          <w:color w:val="auto"/>
          <w:highlight w:val="none"/>
        </w:rPr>
        <w:t>6.5中标人将中标项目转让给他人或者在电子投标文件中未说明且未经采购人同意，将中标项目分包给他人的；</w:t>
      </w:r>
    </w:p>
    <w:p>
      <w:pPr>
        <w:snapToGrid w:val="0"/>
        <w:ind w:firstLine="424"/>
        <w:rPr>
          <w:rFonts w:ascii="仿宋" w:hAnsi="仿宋" w:eastAsia="仿宋" w:cs="仿宋"/>
          <w:color w:val="auto"/>
          <w:highlight w:val="none"/>
        </w:rPr>
      </w:pPr>
      <w:r>
        <w:rPr>
          <w:rFonts w:hint="eastAsia" w:ascii="仿宋" w:hAnsi="仿宋" w:eastAsia="仿宋" w:cs="仿宋"/>
          <w:color w:val="auto"/>
          <w:highlight w:val="none"/>
        </w:rPr>
        <w:t>6.6中标人拒绝履行合同义务的；</w:t>
      </w:r>
    </w:p>
    <w:p>
      <w:pPr>
        <w:snapToGrid w:val="0"/>
        <w:ind w:firstLine="424"/>
        <w:rPr>
          <w:rFonts w:ascii="方正仿宋_GBK" w:hAnsi="方正仿宋_GBK" w:eastAsia="方正仿宋_GBK"/>
          <w:color w:val="auto"/>
          <w:highlight w:val="none"/>
        </w:rPr>
      </w:pPr>
      <w:r>
        <w:rPr>
          <w:rFonts w:hint="eastAsia" w:ascii="仿宋" w:hAnsi="仿宋" w:eastAsia="仿宋" w:cs="仿宋"/>
          <w:color w:val="auto"/>
          <w:highlight w:val="none"/>
        </w:rPr>
        <w:t>6.7其他严重扰乱招投标程序的。</w:t>
      </w:r>
    </w:p>
    <w:p>
      <w:pPr>
        <w:ind w:firstLine="424"/>
        <w:rPr>
          <w:rFonts w:ascii="仿宋" w:hAnsi="仿宋" w:eastAsia="仿宋"/>
          <w:color w:val="auto"/>
          <w:highlight w:val="none"/>
        </w:rPr>
      </w:pPr>
      <w:r>
        <w:rPr>
          <w:rFonts w:hint="eastAsia" w:ascii="仿宋" w:hAnsi="仿宋" w:eastAsia="仿宋"/>
          <w:color w:val="auto"/>
          <w:highlight w:val="none"/>
        </w:rPr>
        <w:t>（五）电子投标文件的份数和签署</w:t>
      </w:r>
    </w:p>
    <w:p>
      <w:pPr>
        <w:ind w:firstLine="424"/>
        <w:rPr>
          <w:rFonts w:ascii="仿宋" w:hAnsi="仿宋" w:eastAsia="仿宋"/>
          <w:color w:val="auto"/>
          <w:highlight w:val="none"/>
        </w:rPr>
      </w:pPr>
      <w:r>
        <w:rPr>
          <w:rFonts w:hint="eastAsia" w:ascii="仿宋" w:hAnsi="仿宋" w:eastAsia="仿宋"/>
          <w:color w:val="auto"/>
          <w:highlight w:val="none"/>
        </w:rPr>
        <w:t>1.</w:t>
      </w:r>
      <w:bookmarkStart w:id="595" w:name="_Hlk148269965"/>
      <w:r>
        <w:rPr>
          <w:rFonts w:hint="eastAsia" w:ascii="仿宋" w:hAnsi="仿宋" w:eastAsia="仿宋"/>
          <w:color w:val="auto"/>
          <w:highlight w:val="none"/>
        </w:rPr>
        <w:t>电子投标文件一式一份，投标时请提交通过投标文件制作系统下载的电子加密投标文件。若因系统或CA证书异常原因无法正常解密，投标人须在电子开标室向采购代理机构申请提交电子备份投标文件，电子招投标系统会对电子备份投标文件与电子加密投标文件的一致性进行核验，若投标人操作失误，后果自行负责。</w:t>
      </w:r>
      <w:bookmarkEnd w:id="595"/>
    </w:p>
    <w:p>
      <w:pPr>
        <w:ind w:firstLine="424"/>
        <w:rPr>
          <w:rFonts w:ascii="仿宋" w:hAnsi="仿宋" w:eastAsia="仿宋"/>
          <w:color w:val="auto"/>
          <w:highlight w:val="none"/>
        </w:rPr>
      </w:pPr>
      <w:r>
        <w:rPr>
          <w:rFonts w:hint="eastAsia" w:ascii="仿宋" w:hAnsi="仿宋" w:eastAsia="仿宋"/>
          <w:color w:val="auto"/>
          <w:highlight w:val="none"/>
        </w:rPr>
        <w:t>2.在电子投标文件中，招标文件第七篇电子投标文件格式中规定签署、盖章的地方必须按其规定签署、盖章。</w:t>
      </w:r>
    </w:p>
    <w:p>
      <w:pPr>
        <w:ind w:firstLine="424"/>
        <w:rPr>
          <w:rFonts w:ascii="仿宋" w:hAnsi="仿宋" w:eastAsia="仿宋"/>
          <w:color w:val="auto"/>
          <w:highlight w:val="none"/>
        </w:rPr>
      </w:pPr>
      <w:r>
        <w:rPr>
          <w:rFonts w:hint="eastAsia" w:ascii="仿宋" w:hAnsi="仿宋" w:eastAsia="仿宋"/>
          <w:color w:val="auto"/>
          <w:highlight w:val="none"/>
        </w:rPr>
        <w:t>3.电报、电话、传真形式的投标文件概不接受。</w:t>
      </w:r>
    </w:p>
    <w:p>
      <w:pPr>
        <w:ind w:firstLine="424"/>
        <w:rPr>
          <w:rFonts w:ascii="仿宋" w:hAnsi="仿宋" w:eastAsia="仿宋"/>
          <w:color w:val="auto"/>
          <w:highlight w:val="none"/>
        </w:rPr>
      </w:pPr>
      <w:r>
        <w:rPr>
          <w:rFonts w:hint="eastAsia" w:ascii="仿宋" w:hAnsi="仿宋" w:eastAsia="仿宋"/>
          <w:color w:val="auto"/>
          <w:highlight w:val="none"/>
        </w:rPr>
        <w:t>（六）投标报价</w:t>
      </w:r>
    </w:p>
    <w:p>
      <w:pPr>
        <w:ind w:firstLine="424"/>
        <w:rPr>
          <w:rFonts w:ascii="仿宋" w:hAnsi="仿宋" w:eastAsia="仿宋"/>
          <w:color w:val="auto"/>
          <w:highlight w:val="none"/>
        </w:rPr>
      </w:pPr>
      <w:r>
        <w:rPr>
          <w:rFonts w:hint="eastAsia" w:ascii="仿宋" w:hAnsi="仿宋" w:eastAsia="仿宋"/>
          <w:color w:val="auto"/>
          <w:highlight w:val="none"/>
        </w:rPr>
        <w:t>1.投标人应严格按照“第七篇 电子投标文件格式”中“开标一览表”、“分项报价明细表”和“电子投标文件制作系统中的报价一览表”的格式填写投标报价。</w:t>
      </w:r>
    </w:p>
    <w:p>
      <w:pPr>
        <w:pStyle w:val="15"/>
        <w:spacing w:line="520" w:lineRule="exact"/>
        <w:ind w:firstLine="424"/>
        <w:rPr>
          <w:rFonts w:ascii="仿宋" w:hAnsi="仿宋" w:eastAsia="仿宋"/>
          <w:color w:val="auto"/>
          <w:sz w:val="24"/>
          <w:highlight w:val="none"/>
        </w:rPr>
      </w:pPr>
      <w:r>
        <w:rPr>
          <w:rFonts w:hint="eastAsia" w:ascii="仿宋" w:hAnsi="仿宋" w:eastAsia="仿宋"/>
          <w:color w:val="auto"/>
          <w:sz w:val="24"/>
          <w:highlight w:val="none"/>
        </w:rPr>
        <w:t>2.投标人的报价为一次性报价，即在投标有效期内投标价格固定不变。</w:t>
      </w:r>
    </w:p>
    <w:p>
      <w:pPr>
        <w:pStyle w:val="15"/>
        <w:spacing w:line="520" w:lineRule="exact"/>
        <w:ind w:firstLine="424"/>
        <w:rPr>
          <w:rFonts w:ascii="仿宋" w:hAnsi="仿宋" w:eastAsia="仿宋"/>
          <w:color w:val="auto"/>
          <w:sz w:val="24"/>
          <w:highlight w:val="none"/>
        </w:rPr>
      </w:pPr>
      <w:r>
        <w:rPr>
          <w:rFonts w:hint="eastAsia" w:ascii="仿宋" w:hAnsi="仿宋" w:eastAsia="仿宋"/>
          <w:color w:val="auto"/>
          <w:sz w:val="24"/>
          <w:highlight w:val="none"/>
        </w:rPr>
        <w:t>3.本项目只接受一个投标报价（“第七篇 电子投标文件格式”中“开标一览表”的报价必须和电子招投标系统中《开标一览汇总表》所展示的投标报价一致。如果不一致时，以电子招投标系统中《开标一览汇总表》所展示的投标报价为准），有选择的或有条件的报价将不予接受。</w:t>
      </w:r>
    </w:p>
    <w:p>
      <w:pPr>
        <w:ind w:firstLine="424"/>
        <w:rPr>
          <w:rFonts w:ascii="仿宋" w:hAnsi="仿宋" w:eastAsia="仿宋"/>
          <w:color w:val="auto"/>
          <w:highlight w:val="none"/>
        </w:rPr>
      </w:pPr>
      <w:r>
        <w:rPr>
          <w:rFonts w:hint="eastAsia" w:ascii="仿宋" w:hAnsi="仿宋" w:eastAsia="仿宋"/>
          <w:color w:val="auto"/>
          <w:highlight w:val="none"/>
        </w:rPr>
        <w:t>注：“电子投标文件制作系统中的报价一览表所填投标报价”与“电子招投标系统中《开标一览汇总表》所展示的投标报价”为同一投标报价信息。</w:t>
      </w:r>
    </w:p>
    <w:p>
      <w:pPr>
        <w:ind w:firstLine="424"/>
        <w:rPr>
          <w:rFonts w:ascii="仿宋" w:hAnsi="仿宋" w:eastAsia="仿宋"/>
          <w:color w:val="auto"/>
          <w:highlight w:val="none"/>
        </w:rPr>
      </w:pPr>
      <w:r>
        <w:rPr>
          <w:rFonts w:hint="eastAsia" w:ascii="仿宋" w:hAnsi="仿宋" w:eastAsia="仿宋"/>
          <w:color w:val="auto"/>
          <w:highlight w:val="none"/>
        </w:rPr>
        <w:t>（七）修正错误</w:t>
      </w:r>
    </w:p>
    <w:p>
      <w:pPr>
        <w:ind w:firstLine="424"/>
        <w:rPr>
          <w:rFonts w:ascii="仿宋" w:hAnsi="仿宋" w:eastAsia="仿宋"/>
          <w:color w:val="auto"/>
          <w:highlight w:val="none"/>
        </w:rPr>
      </w:pPr>
      <w:r>
        <w:rPr>
          <w:rFonts w:hint="eastAsia" w:ascii="仿宋" w:hAnsi="仿宋" w:eastAsia="仿宋"/>
          <w:color w:val="auto"/>
          <w:highlight w:val="none"/>
        </w:rPr>
        <w:t>若电子投标文件出现计算或表达上的错误，修正错误的原则如下：</w:t>
      </w:r>
    </w:p>
    <w:p>
      <w:pPr>
        <w:ind w:firstLine="424"/>
        <w:rPr>
          <w:rFonts w:ascii="仿宋" w:hAnsi="仿宋" w:eastAsia="仿宋"/>
          <w:color w:val="auto"/>
          <w:highlight w:val="none"/>
        </w:rPr>
      </w:pPr>
      <w:r>
        <w:rPr>
          <w:rFonts w:hint="eastAsia" w:ascii="仿宋" w:hAnsi="仿宋" w:eastAsia="仿宋"/>
          <w:color w:val="auto"/>
          <w:highlight w:val="none"/>
        </w:rPr>
        <w:t>1.电子投标文件中开标一览表（报价表）内容与电子投标文件中相应内容不一致的，以开标一览表（报价表）为准；</w:t>
      </w:r>
    </w:p>
    <w:p>
      <w:pPr>
        <w:ind w:firstLine="424"/>
        <w:rPr>
          <w:rFonts w:ascii="仿宋" w:hAnsi="仿宋" w:eastAsia="仿宋"/>
          <w:color w:val="auto"/>
          <w:highlight w:val="none"/>
        </w:rPr>
      </w:pPr>
      <w:r>
        <w:rPr>
          <w:rFonts w:hint="eastAsia" w:ascii="仿宋" w:hAnsi="仿宋" w:eastAsia="仿宋"/>
          <w:color w:val="auto"/>
          <w:highlight w:val="none"/>
        </w:rPr>
        <w:t>2.大写金额和小写金额不一致的，以大写金额为准；</w:t>
      </w:r>
    </w:p>
    <w:p>
      <w:pPr>
        <w:ind w:firstLine="424"/>
        <w:rPr>
          <w:rFonts w:ascii="仿宋" w:hAnsi="仿宋" w:eastAsia="仿宋"/>
          <w:color w:val="auto"/>
          <w:highlight w:val="none"/>
        </w:rPr>
      </w:pPr>
      <w:r>
        <w:rPr>
          <w:rFonts w:hint="eastAsia" w:ascii="仿宋" w:hAnsi="仿宋" w:eastAsia="仿宋"/>
          <w:color w:val="auto"/>
          <w:highlight w:val="none"/>
        </w:rPr>
        <w:t>3.单价金额小数点或者百分比有明显错位的，以开标一览表的总价为准，并修改单价；</w:t>
      </w:r>
    </w:p>
    <w:p>
      <w:pPr>
        <w:ind w:firstLine="424"/>
        <w:rPr>
          <w:rFonts w:ascii="仿宋" w:hAnsi="仿宋" w:eastAsia="仿宋"/>
          <w:color w:val="auto"/>
          <w:highlight w:val="none"/>
        </w:rPr>
      </w:pPr>
      <w:r>
        <w:rPr>
          <w:rFonts w:hint="eastAsia" w:ascii="仿宋" w:hAnsi="仿宋" w:eastAsia="仿宋"/>
          <w:color w:val="auto"/>
          <w:highlight w:val="none"/>
        </w:rPr>
        <w:t>4.总价金额与按单价汇总金额不一致的，以单价金额计算结果为准。</w:t>
      </w:r>
    </w:p>
    <w:p>
      <w:pPr>
        <w:ind w:firstLine="424"/>
        <w:rPr>
          <w:rFonts w:ascii="仿宋" w:hAnsi="仿宋" w:eastAsia="仿宋"/>
          <w:color w:val="auto"/>
          <w:szCs w:val="22"/>
          <w:highlight w:val="none"/>
        </w:rPr>
      </w:pPr>
      <w:r>
        <w:rPr>
          <w:rFonts w:hint="eastAsia" w:ascii="仿宋" w:hAnsi="仿宋" w:eastAsia="仿宋"/>
          <w:color w:val="auto"/>
          <w:szCs w:val="22"/>
          <w:highlight w:val="none"/>
        </w:rPr>
        <w:t>5.电子投标文件中经济文件“开标一览表（报价表）”的投标报价信息与电子招投标系统中《开标一览汇总表》所展示的投标报价信息不一致时，以电子招投标系统中《开标一览汇总表》所展示的投标报价信息为准。</w:t>
      </w:r>
    </w:p>
    <w:p>
      <w:pPr>
        <w:pStyle w:val="15"/>
        <w:spacing w:line="520" w:lineRule="exact"/>
        <w:ind w:firstLine="424"/>
        <w:rPr>
          <w:rFonts w:ascii="仿宋" w:hAnsi="仿宋" w:eastAsia="仿宋"/>
          <w:color w:val="auto"/>
          <w:sz w:val="24"/>
          <w:szCs w:val="22"/>
          <w:highlight w:val="none"/>
        </w:rPr>
      </w:pPr>
      <w:r>
        <w:rPr>
          <w:rFonts w:hint="eastAsia" w:ascii="仿宋" w:hAnsi="仿宋" w:eastAsia="仿宋"/>
          <w:color w:val="auto"/>
          <w:sz w:val="24"/>
          <w:szCs w:val="22"/>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ind w:firstLine="424"/>
        <w:rPr>
          <w:rFonts w:ascii="仿宋" w:hAnsi="仿宋" w:eastAsia="仿宋"/>
          <w:color w:val="auto"/>
          <w:szCs w:val="22"/>
          <w:highlight w:val="none"/>
        </w:rPr>
      </w:pPr>
      <w:r>
        <w:rPr>
          <w:rFonts w:hint="eastAsia" w:ascii="仿宋" w:hAnsi="仿宋" w:eastAsia="仿宋"/>
          <w:color w:val="auto"/>
          <w:szCs w:val="22"/>
          <w:highlight w:val="none"/>
        </w:rPr>
        <w:t>注：“电子投标文件制作系统中的报价一览表所填投标报价信息”与“电子招投标系统中《开标一览汇总表》所展示的投标报价信息”为同一投标报价信息。</w:t>
      </w:r>
    </w:p>
    <w:p>
      <w:pPr>
        <w:ind w:firstLine="424"/>
        <w:rPr>
          <w:rFonts w:ascii="仿宋" w:hAnsi="仿宋" w:eastAsia="仿宋"/>
          <w:color w:val="auto"/>
          <w:highlight w:val="none"/>
        </w:rPr>
      </w:pPr>
      <w:r>
        <w:rPr>
          <w:rFonts w:hint="eastAsia" w:ascii="仿宋" w:hAnsi="仿宋" w:eastAsia="仿宋"/>
          <w:color w:val="auto"/>
          <w:highlight w:val="none"/>
        </w:rPr>
        <w:t>（八）电子投标文件的递交</w:t>
      </w:r>
    </w:p>
    <w:p>
      <w:pPr>
        <w:pStyle w:val="15"/>
        <w:spacing w:line="520" w:lineRule="exact"/>
        <w:ind w:firstLine="424"/>
        <w:rPr>
          <w:rFonts w:ascii="仿宋" w:hAnsi="仿宋" w:eastAsia="仿宋"/>
          <w:color w:val="auto"/>
          <w:sz w:val="24"/>
          <w:szCs w:val="22"/>
          <w:highlight w:val="none"/>
        </w:rPr>
      </w:pPr>
      <w:r>
        <w:rPr>
          <w:rFonts w:hint="eastAsia" w:ascii="仿宋" w:hAnsi="仿宋" w:eastAsia="仿宋"/>
          <w:color w:val="auto"/>
          <w:sz w:val="24"/>
          <w:szCs w:val="22"/>
          <w:highlight w:val="none"/>
        </w:rPr>
        <w:t>1.电子投标文件的递交按照《政府采购全程电子化采购系统供应商操作手册（CA证书签章版）》手册第七章流程操作。</w:t>
      </w:r>
    </w:p>
    <w:p>
      <w:pPr>
        <w:pStyle w:val="15"/>
        <w:spacing w:line="520" w:lineRule="exact"/>
        <w:ind w:firstLine="424"/>
        <w:rPr>
          <w:rFonts w:ascii="仿宋" w:hAnsi="仿宋" w:eastAsia="仿宋"/>
          <w:color w:val="auto"/>
          <w:sz w:val="24"/>
          <w:szCs w:val="22"/>
          <w:highlight w:val="none"/>
        </w:rPr>
      </w:pPr>
      <w:r>
        <w:rPr>
          <w:rFonts w:hint="eastAsia" w:ascii="仿宋" w:hAnsi="仿宋" w:eastAsia="仿宋"/>
          <w:color w:val="auto"/>
          <w:sz w:val="24"/>
          <w:szCs w:val="22"/>
          <w:highlight w:val="none"/>
        </w:rPr>
        <w:t>2.须提交的相关原件（如果有）：应完整封装，且在封套上注明采购项目号、项目名称、投标人名称。封套的封口处应加盖投标人公章或由法定代表人授权代表签字，于开标时间前30分钟内完成现场递交（例如：开标时间为上午9:30分，那现场原件递交开始时间为上午9：00分）。相关原件递交地点同线下指定开标地点一致。</w:t>
      </w:r>
    </w:p>
    <w:p>
      <w:pPr>
        <w:pStyle w:val="4"/>
        <w:spacing w:before="190" w:after="190" w:line="520" w:lineRule="exact"/>
        <w:ind w:firstLine="506"/>
        <w:rPr>
          <w:rFonts w:ascii="仿宋" w:hAnsi="仿宋" w:eastAsia="仿宋"/>
          <w:color w:val="auto"/>
          <w:szCs w:val="22"/>
          <w:highlight w:val="none"/>
        </w:rPr>
      </w:pPr>
      <w:bookmarkStart w:id="596" w:name="_Toc28518"/>
      <w:bookmarkStart w:id="597" w:name="_Toc21044"/>
      <w:bookmarkStart w:id="598" w:name="_Toc8694"/>
      <w:bookmarkStart w:id="599" w:name="_Toc20488337"/>
      <w:bookmarkStart w:id="600" w:name="_Toc4234"/>
      <w:bookmarkStart w:id="601" w:name="_Toc409189633"/>
      <w:bookmarkStart w:id="602" w:name="_Toc19323"/>
      <w:bookmarkStart w:id="603" w:name="_Toc14401"/>
      <w:bookmarkStart w:id="604" w:name="_Toc63600431"/>
      <w:bookmarkStart w:id="605" w:name="_Toc1613"/>
      <w:bookmarkStart w:id="606" w:name="_Toc8168"/>
      <w:bookmarkStart w:id="607" w:name="_Toc5623"/>
      <w:bookmarkStart w:id="608" w:name="_Toc29736"/>
      <w:bookmarkStart w:id="609" w:name="_Toc20489893"/>
      <w:bookmarkStart w:id="610" w:name="_Toc4674"/>
      <w:bookmarkStart w:id="611" w:name="_Toc16997"/>
      <w:bookmarkStart w:id="612" w:name="_Toc406"/>
      <w:bookmarkStart w:id="613" w:name="_Toc3433"/>
      <w:r>
        <w:rPr>
          <w:rFonts w:hint="eastAsia" w:ascii="仿宋" w:hAnsi="仿宋" w:eastAsia="仿宋"/>
          <w:color w:val="auto"/>
          <w:szCs w:val="22"/>
          <w:highlight w:val="none"/>
        </w:rPr>
        <w:t>四、开标</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pPr>
        <w:ind w:firstLine="424"/>
        <w:rPr>
          <w:rFonts w:ascii="仿宋" w:hAnsi="仿宋" w:eastAsia="仿宋"/>
          <w:color w:val="auto"/>
          <w:highlight w:val="none"/>
        </w:rPr>
      </w:pPr>
      <w:r>
        <w:rPr>
          <w:rFonts w:hint="eastAsia" w:ascii="仿宋" w:hAnsi="仿宋" w:eastAsia="仿宋"/>
          <w:color w:val="auto"/>
          <w:highlight w:val="none"/>
        </w:rPr>
        <w:t>（一）开标应当在招标文件中“投标邀请书”确定的时间和地点、开标方式公开进行。</w:t>
      </w:r>
    </w:p>
    <w:p>
      <w:pPr>
        <w:ind w:firstLine="424"/>
        <w:rPr>
          <w:rFonts w:ascii="仿宋" w:hAnsi="仿宋" w:eastAsia="仿宋"/>
          <w:color w:val="auto"/>
          <w:highlight w:val="none"/>
        </w:rPr>
      </w:pPr>
      <w:r>
        <w:rPr>
          <w:rFonts w:hint="eastAsia" w:ascii="仿宋" w:hAnsi="仿宋" w:eastAsia="仿宋"/>
          <w:color w:val="auto"/>
          <w:highlight w:val="none"/>
        </w:rPr>
        <w:t>（二）采购代理机构可视采购具体情况，延长电子投标文件截止时间和开标时间，并将变更时间书面通知所有招标文件收受人。</w:t>
      </w:r>
    </w:p>
    <w:p>
      <w:pPr>
        <w:ind w:firstLine="424"/>
        <w:rPr>
          <w:rFonts w:ascii="仿宋" w:hAnsi="仿宋" w:eastAsia="仿宋"/>
          <w:color w:val="auto"/>
          <w:highlight w:val="none"/>
        </w:rPr>
      </w:pPr>
      <w:r>
        <w:rPr>
          <w:rFonts w:hint="eastAsia" w:ascii="仿宋" w:hAnsi="仿宋" w:eastAsia="仿宋"/>
          <w:color w:val="auto"/>
          <w:highlight w:val="none"/>
        </w:rPr>
        <w:t>（三）开标由采购人或采购代理机构主持，邀请投标人和有关监督部门代表参加,有关监督部门可视情况派员现场监督。</w:t>
      </w:r>
    </w:p>
    <w:p>
      <w:pPr>
        <w:ind w:firstLine="424"/>
        <w:rPr>
          <w:rFonts w:ascii="仿宋" w:hAnsi="仿宋" w:eastAsia="仿宋"/>
          <w:color w:val="auto"/>
          <w:highlight w:val="none"/>
        </w:rPr>
      </w:pPr>
      <w:r>
        <w:rPr>
          <w:rFonts w:hint="eastAsia" w:ascii="仿宋" w:hAnsi="仿宋" w:eastAsia="仿宋"/>
          <w:color w:val="auto"/>
          <w:highlight w:val="none"/>
        </w:rPr>
        <w:t>（四）</w:t>
      </w:r>
      <w:bookmarkStart w:id="614" w:name="_Hlk148216925"/>
      <w:r>
        <w:rPr>
          <w:rFonts w:hint="eastAsia" w:ascii="仿宋" w:hAnsi="仿宋" w:eastAsia="仿宋"/>
          <w:color w:val="auto"/>
          <w:highlight w:val="none"/>
        </w:rPr>
        <w:t>开标时，采取电子开标，投标人在规定的时间内解密电子投标文件，电子开标室将展示投标人名称、投标价格和《开标一览汇总表》。投标人不足三家的，不得开标</w:t>
      </w:r>
      <w:bookmarkEnd w:id="614"/>
      <w:r>
        <w:rPr>
          <w:rFonts w:hint="eastAsia" w:ascii="仿宋" w:hAnsi="仿宋" w:eastAsia="仿宋"/>
          <w:color w:val="auto"/>
          <w:highlight w:val="none"/>
        </w:rPr>
        <w:t>。</w:t>
      </w:r>
    </w:p>
    <w:p>
      <w:pPr>
        <w:ind w:firstLine="424"/>
        <w:rPr>
          <w:rFonts w:ascii="仿宋" w:hAnsi="仿宋" w:eastAsia="仿宋"/>
          <w:color w:val="auto"/>
          <w:highlight w:val="none"/>
        </w:rPr>
      </w:pPr>
      <w:r>
        <w:rPr>
          <w:rFonts w:hint="eastAsia" w:ascii="仿宋" w:hAnsi="仿宋" w:eastAsia="仿宋"/>
          <w:color w:val="auto"/>
          <w:highlight w:val="none"/>
        </w:rPr>
        <w:t>（五）未宣读的投标价格、价格折扣和招标文件允许提供的备选投标方案等实质性内容等，评标时不予承认。</w:t>
      </w:r>
    </w:p>
    <w:p>
      <w:pPr>
        <w:ind w:firstLine="424"/>
        <w:rPr>
          <w:rFonts w:ascii="仿宋" w:hAnsi="仿宋" w:eastAsia="仿宋"/>
          <w:color w:val="auto"/>
          <w:highlight w:val="none"/>
        </w:rPr>
      </w:pPr>
      <w:r>
        <w:rPr>
          <w:rFonts w:hint="eastAsia" w:ascii="仿宋" w:hAnsi="仿宋" w:eastAsia="仿宋"/>
          <w:color w:val="auto"/>
          <w:highlight w:val="none"/>
        </w:rPr>
        <w:t>（六）开标过程应由政府采购交易管理系统同步记录，并存档备查。</w:t>
      </w:r>
    </w:p>
    <w:p>
      <w:pPr>
        <w:ind w:firstLine="424"/>
        <w:rPr>
          <w:rFonts w:ascii="仿宋" w:hAnsi="仿宋" w:eastAsia="仿宋"/>
          <w:color w:val="auto"/>
          <w:highlight w:val="none"/>
        </w:rPr>
      </w:pPr>
      <w:r>
        <w:rPr>
          <w:rFonts w:hint="eastAsia" w:ascii="仿宋" w:hAnsi="仿宋" w:eastAsia="仿宋"/>
          <w:color w:val="auto"/>
          <w:highlight w:val="none"/>
        </w:rPr>
        <w:t>（七）投标人未参加开标的，视同认可开标结果。</w:t>
      </w:r>
    </w:p>
    <w:p>
      <w:pPr>
        <w:pStyle w:val="4"/>
        <w:spacing w:before="190" w:after="190" w:line="520" w:lineRule="exact"/>
        <w:ind w:firstLine="506"/>
        <w:rPr>
          <w:rFonts w:ascii="仿宋" w:hAnsi="仿宋" w:eastAsia="仿宋"/>
          <w:color w:val="auto"/>
          <w:szCs w:val="22"/>
          <w:highlight w:val="none"/>
        </w:rPr>
      </w:pPr>
      <w:bookmarkStart w:id="615" w:name="_Toc8642"/>
      <w:bookmarkStart w:id="616" w:name="_Toc409189634"/>
      <w:bookmarkStart w:id="617" w:name="_Toc1718"/>
      <w:bookmarkStart w:id="618" w:name="_Toc29890"/>
      <w:bookmarkStart w:id="619" w:name="_Toc32559"/>
      <w:bookmarkStart w:id="620" w:name="_Toc20489894"/>
      <w:bookmarkStart w:id="621" w:name="_Toc7983"/>
      <w:bookmarkStart w:id="622" w:name="_Toc32030"/>
      <w:bookmarkStart w:id="623" w:name="_Toc27859"/>
      <w:bookmarkStart w:id="624" w:name="_Toc29126"/>
      <w:bookmarkStart w:id="625" w:name="_Toc10972"/>
      <w:bookmarkStart w:id="626" w:name="_Toc17314"/>
      <w:bookmarkStart w:id="627" w:name="_Toc25629"/>
      <w:bookmarkStart w:id="628" w:name="_Toc20488338"/>
      <w:bookmarkStart w:id="629" w:name="_Toc5499"/>
      <w:bookmarkStart w:id="630" w:name="_Toc26484"/>
      <w:bookmarkStart w:id="631" w:name="_Toc7668"/>
      <w:bookmarkStart w:id="632" w:name="_Toc63600432"/>
      <w:r>
        <w:rPr>
          <w:rFonts w:hint="eastAsia" w:ascii="仿宋" w:hAnsi="仿宋" w:eastAsia="仿宋"/>
          <w:color w:val="auto"/>
          <w:szCs w:val="22"/>
          <w:highlight w:val="none"/>
        </w:rPr>
        <w:t>五、评标</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ind w:firstLine="424"/>
        <w:rPr>
          <w:rFonts w:ascii="仿宋" w:hAnsi="仿宋" w:eastAsia="仿宋"/>
          <w:color w:val="auto"/>
          <w:highlight w:val="none"/>
        </w:rPr>
      </w:pPr>
      <w:r>
        <w:rPr>
          <w:rFonts w:hint="eastAsia" w:ascii="仿宋" w:hAnsi="仿宋" w:eastAsia="仿宋"/>
          <w:color w:val="auto"/>
          <w:highlight w:val="none"/>
        </w:rPr>
        <w:t>见第四篇“评标”内容。</w:t>
      </w:r>
    </w:p>
    <w:p>
      <w:pPr>
        <w:pStyle w:val="4"/>
        <w:spacing w:before="190" w:after="190" w:line="520" w:lineRule="exact"/>
        <w:ind w:firstLine="506"/>
        <w:rPr>
          <w:rFonts w:ascii="仿宋" w:hAnsi="仿宋" w:eastAsia="仿宋"/>
          <w:color w:val="auto"/>
          <w:szCs w:val="22"/>
          <w:highlight w:val="none"/>
        </w:rPr>
      </w:pPr>
      <w:bookmarkStart w:id="633" w:name="_Toc15081"/>
      <w:bookmarkStart w:id="634" w:name="_Toc6623"/>
      <w:bookmarkStart w:id="635" w:name="_Toc20427"/>
      <w:bookmarkStart w:id="636" w:name="_Toc20489895"/>
      <w:bookmarkStart w:id="637" w:name="_Toc32161"/>
      <w:bookmarkStart w:id="638" w:name="_Toc22323"/>
      <w:bookmarkStart w:id="639" w:name="_Toc12180"/>
      <w:bookmarkStart w:id="640" w:name="_Toc18724"/>
      <w:bookmarkStart w:id="641" w:name="_Toc6826"/>
      <w:bookmarkStart w:id="642" w:name="_Toc20488339"/>
      <w:bookmarkStart w:id="643" w:name="_Toc63600433"/>
      <w:bookmarkStart w:id="644" w:name="_Toc16620"/>
      <w:bookmarkStart w:id="645" w:name="_Toc20656"/>
      <w:bookmarkStart w:id="646" w:name="_Toc19307"/>
      <w:bookmarkStart w:id="647" w:name="_Toc409189635"/>
      <w:bookmarkStart w:id="648" w:name="_Toc31083"/>
      <w:bookmarkStart w:id="649" w:name="_Toc13776"/>
      <w:bookmarkStart w:id="650" w:name="_Toc25896"/>
      <w:r>
        <w:rPr>
          <w:rFonts w:hint="eastAsia" w:ascii="仿宋" w:hAnsi="仿宋" w:eastAsia="仿宋"/>
          <w:color w:val="auto"/>
          <w:szCs w:val="22"/>
          <w:highlight w:val="none"/>
        </w:rPr>
        <w:t>六、定标</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pPr>
        <w:ind w:firstLine="424"/>
        <w:rPr>
          <w:rFonts w:ascii="仿宋" w:hAnsi="仿宋" w:eastAsia="仿宋"/>
          <w:color w:val="auto"/>
          <w:highlight w:val="none"/>
        </w:rPr>
      </w:pPr>
      <w:bookmarkStart w:id="651" w:name="_Toc409189636"/>
      <w:r>
        <w:rPr>
          <w:rFonts w:hint="eastAsia" w:ascii="仿宋" w:hAnsi="仿宋" w:eastAsia="仿宋"/>
          <w:color w:val="auto"/>
          <w:highlight w:val="none"/>
        </w:rPr>
        <w:t>（一）定标原则</w:t>
      </w:r>
    </w:p>
    <w:p>
      <w:pPr>
        <w:ind w:firstLine="424"/>
        <w:rPr>
          <w:rFonts w:ascii="仿宋" w:hAnsi="仿宋" w:eastAsia="仿宋"/>
          <w:color w:val="auto"/>
          <w:szCs w:val="22"/>
          <w:highlight w:val="none"/>
        </w:rPr>
      </w:pPr>
      <w:r>
        <w:rPr>
          <w:rFonts w:hint="eastAsia" w:ascii="仿宋" w:hAnsi="仿宋" w:eastAsia="仿宋"/>
          <w:color w:val="auto"/>
          <w:szCs w:val="22"/>
          <w:highlight w:val="none"/>
        </w:rPr>
        <w:t>采购人或其授权的评标委员会应按照评标报告中推荐的中标候选人排名顺序确定中标人。</w:t>
      </w:r>
    </w:p>
    <w:p>
      <w:pPr>
        <w:ind w:firstLine="424"/>
        <w:rPr>
          <w:rFonts w:ascii="仿宋" w:hAnsi="仿宋" w:eastAsia="仿宋"/>
          <w:color w:val="auto"/>
          <w:highlight w:val="none"/>
        </w:rPr>
      </w:pPr>
      <w:r>
        <w:rPr>
          <w:rFonts w:hint="eastAsia" w:ascii="仿宋" w:hAnsi="仿宋" w:eastAsia="仿宋"/>
          <w:color w:val="auto"/>
          <w:highlight w:val="none"/>
        </w:rPr>
        <w:t>（二）定标程序</w:t>
      </w:r>
    </w:p>
    <w:p>
      <w:pPr>
        <w:ind w:firstLine="424"/>
        <w:rPr>
          <w:rFonts w:ascii="仿宋" w:hAnsi="仿宋" w:eastAsia="仿宋"/>
          <w:color w:val="auto"/>
          <w:szCs w:val="22"/>
          <w:highlight w:val="none"/>
        </w:rPr>
      </w:pPr>
      <w:bookmarkStart w:id="652" w:name="_Toc20140"/>
      <w:bookmarkStart w:id="653" w:name="_Toc11197"/>
      <w:bookmarkStart w:id="654" w:name="_Toc14481"/>
      <w:bookmarkStart w:id="655" w:name="_Toc13349"/>
      <w:bookmarkStart w:id="656" w:name="_Toc13051"/>
      <w:bookmarkStart w:id="657" w:name="_Toc20519"/>
      <w:bookmarkStart w:id="658" w:name="_Toc7213"/>
      <w:bookmarkStart w:id="659" w:name="_Toc25109"/>
      <w:bookmarkStart w:id="660" w:name="_Toc63600434"/>
      <w:bookmarkStart w:id="661" w:name="_Toc23283"/>
      <w:bookmarkStart w:id="662" w:name="_Toc20488340"/>
      <w:bookmarkStart w:id="663" w:name="_Toc9559"/>
      <w:bookmarkStart w:id="664" w:name="_Toc1679"/>
      <w:bookmarkStart w:id="665" w:name="_Toc20489896"/>
      <w:bookmarkStart w:id="666" w:name="_Toc19033"/>
      <w:r>
        <w:rPr>
          <w:rFonts w:hint="eastAsia" w:ascii="仿宋" w:hAnsi="仿宋" w:eastAsia="仿宋"/>
          <w:color w:val="auto"/>
          <w:szCs w:val="22"/>
          <w:highlight w:val="none"/>
        </w:rPr>
        <w:t>1.采购代理机构应当在评标结束后2个工作日内将评标报告送采购人。</w:t>
      </w:r>
    </w:p>
    <w:p>
      <w:pPr>
        <w:ind w:firstLine="424"/>
        <w:rPr>
          <w:rFonts w:ascii="仿宋" w:hAnsi="仿宋" w:eastAsia="仿宋"/>
          <w:color w:val="auto"/>
          <w:szCs w:val="22"/>
          <w:highlight w:val="none"/>
        </w:rPr>
      </w:pPr>
      <w:r>
        <w:rPr>
          <w:rFonts w:hint="eastAsia" w:ascii="仿宋" w:hAnsi="仿宋" w:eastAsia="仿宋"/>
          <w:color w:val="auto"/>
          <w:szCs w:val="22"/>
          <w:highlight w:val="none"/>
        </w:rPr>
        <w:t>2.采购人应当自收到评标报告之日起2个工作日内，在评标报告确定的中标候选人名单中按顺序确定中标人。</w:t>
      </w:r>
    </w:p>
    <w:p>
      <w:pPr>
        <w:ind w:firstLine="424"/>
        <w:rPr>
          <w:rFonts w:ascii="仿宋" w:hAnsi="仿宋" w:eastAsia="仿宋"/>
          <w:color w:val="auto"/>
          <w:szCs w:val="22"/>
          <w:highlight w:val="none"/>
        </w:rPr>
      </w:pPr>
      <w:r>
        <w:rPr>
          <w:rFonts w:hint="eastAsia" w:ascii="仿宋" w:hAnsi="仿宋" w:eastAsia="仿宋"/>
          <w:color w:val="auto"/>
          <w:szCs w:val="22"/>
          <w:highlight w:val="none"/>
        </w:rPr>
        <w:t>中标候选人并列的，由采购人或者采购人委托评标委员会按照招标文件规定的方式确定中标人；招标文件未规定的，采取随机抽取的方式确定。</w:t>
      </w:r>
    </w:p>
    <w:p>
      <w:pPr>
        <w:ind w:firstLine="424"/>
        <w:rPr>
          <w:rFonts w:ascii="仿宋" w:hAnsi="仿宋" w:eastAsia="仿宋"/>
          <w:color w:val="auto"/>
          <w:szCs w:val="22"/>
          <w:highlight w:val="none"/>
        </w:rPr>
      </w:pPr>
      <w:r>
        <w:rPr>
          <w:rFonts w:hint="eastAsia" w:ascii="仿宋" w:hAnsi="仿宋" w:eastAsia="仿宋"/>
          <w:color w:val="auto"/>
          <w:szCs w:val="22"/>
          <w:highlight w:val="none"/>
        </w:rPr>
        <w:t>采购人在收到评标报告2个工作日内未按评标报告推荐的中标候选人顺序确定中标人，又不能说明合法理由的，视同按评标报告推荐的顺序确定排名第一的中标候选人为中标人。</w:t>
      </w:r>
    </w:p>
    <w:p>
      <w:pPr>
        <w:ind w:firstLine="424"/>
        <w:rPr>
          <w:rFonts w:ascii="仿宋" w:hAnsi="仿宋" w:eastAsia="仿宋"/>
          <w:color w:val="auto"/>
          <w:szCs w:val="22"/>
          <w:highlight w:val="none"/>
        </w:rPr>
      </w:pPr>
      <w:r>
        <w:rPr>
          <w:rFonts w:hint="eastAsia" w:ascii="仿宋" w:hAnsi="仿宋" w:eastAsia="仿宋"/>
          <w:color w:val="auto"/>
          <w:szCs w:val="22"/>
          <w:highlight w:val="none"/>
        </w:rPr>
        <w:t>3.采购人或者采购代理机构应当自中标人确定之日起1个工作日内，在重庆市政府采购网上公告中标结果。中标公告期限为1个工作日。</w:t>
      </w:r>
    </w:p>
    <w:p>
      <w:pPr>
        <w:ind w:firstLine="424"/>
        <w:rPr>
          <w:rFonts w:ascii="仿宋" w:hAnsi="仿宋" w:eastAsia="仿宋"/>
          <w:color w:val="auto"/>
          <w:szCs w:val="22"/>
          <w:highlight w:val="none"/>
        </w:rPr>
      </w:pPr>
      <w:r>
        <w:rPr>
          <w:rFonts w:hint="eastAsia" w:ascii="仿宋" w:hAnsi="仿宋" w:eastAsia="仿宋"/>
          <w:color w:val="auto"/>
          <w:szCs w:val="22"/>
          <w:highlight w:val="none"/>
        </w:rPr>
        <w:t>4.中标人变更</w:t>
      </w:r>
    </w:p>
    <w:p>
      <w:pPr>
        <w:ind w:firstLine="424"/>
        <w:rPr>
          <w:rFonts w:ascii="仿宋" w:hAnsi="仿宋" w:eastAsia="仿宋"/>
          <w:color w:val="auto"/>
          <w:szCs w:val="22"/>
          <w:highlight w:val="none"/>
        </w:rPr>
      </w:pPr>
      <w:r>
        <w:rPr>
          <w:rFonts w:hint="eastAsia" w:ascii="仿宋" w:hAnsi="仿宋" w:eastAsia="仿宋"/>
          <w:color w:val="auto"/>
          <w:szCs w:val="22"/>
          <w:highlight w:val="none"/>
        </w:rPr>
        <w:t>中标人拒绝与采购人签订合同的，采购人可以按照评标报告推荐的中标候选人顺序，确定下一位的候选人为中标人，也可以重新开展政府采购活动。</w:t>
      </w:r>
    </w:p>
    <w:p>
      <w:pPr>
        <w:pStyle w:val="4"/>
        <w:spacing w:before="190" w:after="190" w:line="520" w:lineRule="exact"/>
        <w:ind w:firstLine="506"/>
        <w:rPr>
          <w:rFonts w:ascii="仿宋" w:hAnsi="仿宋" w:eastAsia="仿宋"/>
          <w:color w:val="auto"/>
          <w:szCs w:val="22"/>
          <w:highlight w:val="none"/>
        </w:rPr>
      </w:pPr>
      <w:bookmarkStart w:id="667" w:name="_Toc11172"/>
      <w:bookmarkStart w:id="668" w:name="_Toc18592"/>
      <w:r>
        <w:rPr>
          <w:rFonts w:hint="eastAsia" w:ascii="仿宋" w:hAnsi="仿宋" w:eastAsia="仿宋"/>
          <w:color w:val="auto"/>
          <w:szCs w:val="22"/>
          <w:highlight w:val="none"/>
        </w:rPr>
        <w:t>七、中标</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pPr>
        <w:ind w:firstLine="424"/>
        <w:rPr>
          <w:rFonts w:ascii="仿宋" w:hAnsi="仿宋" w:eastAsia="仿宋"/>
          <w:color w:val="auto"/>
          <w:szCs w:val="22"/>
          <w:highlight w:val="none"/>
        </w:rPr>
      </w:pPr>
      <w:r>
        <w:rPr>
          <w:rFonts w:hint="eastAsia" w:ascii="仿宋" w:hAnsi="仿宋" w:eastAsia="仿宋"/>
          <w:color w:val="auto"/>
          <w:szCs w:val="22"/>
          <w:highlight w:val="none"/>
        </w:rPr>
        <w:t>（一）在公告中标结果的同时，采购人或者采购代理机构应当向中标人发出中标通知书。</w:t>
      </w:r>
    </w:p>
    <w:p>
      <w:pPr>
        <w:ind w:firstLine="424"/>
        <w:rPr>
          <w:rFonts w:ascii="仿宋" w:hAnsi="仿宋" w:eastAsia="仿宋"/>
          <w:color w:val="auto"/>
          <w:szCs w:val="22"/>
          <w:highlight w:val="none"/>
        </w:rPr>
      </w:pPr>
      <w:bookmarkStart w:id="669" w:name="_Toc409189637"/>
      <w:bookmarkStart w:id="670" w:name="_Toc20488341"/>
      <w:bookmarkStart w:id="671" w:name="_Toc7721"/>
      <w:bookmarkStart w:id="672" w:name="_Toc4913"/>
      <w:bookmarkStart w:id="673" w:name="_Toc5008"/>
      <w:bookmarkStart w:id="674" w:name="_Toc3020"/>
      <w:bookmarkStart w:id="675" w:name="_Toc20588"/>
      <w:bookmarkStart w:id="676" w:name="_Toc63600435"/>
      <w:bookmarkStart w:id="677" w:name="_Toc29275"/>
      <w:bookmarkStart w:id="678" w:name="_Toc26606"/>
      <w:bookmarkStart w:id="679" w:name="_Toc12721"/>
      <w:bookmarkStart w:id="680" w:name="_Toc21190"/>
      <w:bookmarkStart w:id="681" w:name="_Toc24538"/>
      <w:bookmarkStart w:id="682" w:name="_Toc20489897"/>
      <w:bookmarkStart w:id="683" w:name="_Toc27782"/>
      <w:bookmarkStart w:id="684" w:name="_Toc28774"/>
      <w:r>
        <w:rPr>
          <w:rFonts w:hint="eastAsia" w:ascii="仿宋" w:hAnsi="仿宋" w:eastAsia="仿宋"/>
          <w:color w:val="auto"/>
          <w:szCs w:val="22"/>
          <w:highlight w:val="none"/>
        </w:rPr>
        <w:t>（二）中标通知书发出后，采购人改变中标结果，或者中标人放弃中标，应当承担相应的法律责任。</w:t>
      </w:r>
    </w:p>
    <w:p>
      <w:pPr>
        <w:pStyle w:val="4"/>
        <w:spacing w:before="190" w:after="190" w:line="520" w:lineRule="exact"/>
        <w:ind w:firstLine="506"/>
        <w:rPr>
          <w:rFonts w:ascii="仿宋" w:hAnsi="仿宋" w:eastAsia="仿宋"/>
          <w:color w:val="auto"/>
          <w:szCs w:val="22"/>
          <w:highlight w:val="none"/>
        </w:rPr>
      </w:pPr>
      <w:bookmarkStart w:id="685" w:name="_Toc4738"/>
      <w:bookmarkStart w:id="686" w:name="_Toc6930"/>
      <w:r>
        <w:rPr>
          <w:rFonts w:hint="eastAsia" w:ascii="仿宋" w:hAnsi="仿宋" w:eastAsia="仿宋"/>
          <w:color w:val="auto"/>
          <w:szCs w:val="22"/>
          <w:highlight w:val="none"/>
        </w:rPr>
        <w:t>八、询问、质疑和投诉</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pPr>
        <w:ind w:firstLine="424"/>
        <w:rPr>
          <w:rFonts w:ascii="仿宋" w:hAnsi="仿宋" w:eastAsia="仿宋"/>
          <w:color w:val="auto"/>
          <w:highlight w:val="none"/>
        </w:rPr>
      </w:pPr>
      <w:r>
        <w:rPr>
          <w:rFonts w:hint="eastAsia" w:ascii="仿宋" w:hAnsi="仿宋" w:eastAsia="仿宋"/>
          <w:color w:val="auto"/>
          <w:highlight w:val="none"/>
        </w:rPr>
        <w:t>（一）询问</w:t>
      </w:r>
    </w:p>
    <w:p>
      <w:pPr>
        <w:ind w:firstLine="424"/>
        <w:rPr>
          <w:rFonts w:ascii="仿宋" w:hAnsi="仿宋" w:eastAsia="仿宋"/>
          <w:color w:val="auto"/>
          <w:highlight w:val="none"/>
        </w:rPr>
      </w:pPr>
      <w:r>
        <w:rPr>
          <w:rFonts w:hint="eastAsia" w:ascii="仿宋" w:hAnsi="仿宋" w:eastAsia="仿宋"/>
          <w:color w:val="auto"/>
          <w:highlight w:val="none"/>
        </w:rPr>
        <w:t>采购人或者采购代理机构应当在3个工作日内对投标人依法提出的询问作出答复。投标人询问可以是口头或书面形式。</w:t>
      </w:r>
    </w:p>
    <w:p>
      <w:pPr>
        <w:ind w:firstLine="424"/>
        <w:rPr>
          <w:rFonts w:ascii="仿宋" w:hAnsi="仿宋" w:eastAsia="仿宋"/>
          <w:color w:val="auto"/>
          <w:highlight w:val="none"/>
        </w:rPr>
      </w:pPr>
      <w:r>
        <w:rPr>
          <w:rFonts w:hint="eastAsia" w:ascii="仿宋" w:hAnsi="仿宋" w:eastAsia="仿宋"/>
          <w:color w:val="auto"/>
          <w:highlight w:val="none"/>
        </w:rPr>
        <w:t>（二）质疑</w:t>
      </w:r>
    </w:p>
    <w:p>
      <w:pPr>
        <w:ind w:firstLine="424"/>
        <w:rPr>
          <w:rFonts w:ascii="仿宋" w:hAnsi="仿宋" w:eastAsia="仿宋"/>
          <w:color w:val="auto"/>
          <w:highlight w:val="none"/>
        </w:rPr>
      </w:pPr>
      <w:r>
        <w:rPr>
          <w:rFonts w:hint="eastAsia" w:ascii="仿宋" w:hAnsi="仿宋" w:eastAsia="仿宋"/>
          <w:color w:val="auto"/>
          <w:highlight w:val="none"/>
        </w:rPr>
        <w:t>投标人认为采购文件、采购过程和中标结果使自己的权益受到伤害的，可向采购人或采购代理机构以书面形式提出质疑。</w:t>
      </w:r>
    </w:p>
    <w:p>
      <w:pPr>
        <w:ind w:firstLine="424"/>
        <w:rPr>
          <w:rFonts w:ascii="仿宋" w:hAnsi="仿宋" w:eastAsia="仿宋"/>
          <w:color w:val="auto"/>
          <w:highlight w:val="none"/>
        </w:rPr>
      </w:pPr>
      <w:r>
        <w:rPr>
          <w:rFonts w:hint="eastAsia" w:ascii="仿宋" w:hAnsi="仿宋" w:eastAsia="仿宋"/>
          <w:color w:val="auto"/>
          <w:highlight w:val="none"/>
        </w:rPr>
        <w:t xml:space="preserve">提出质疑的应当是参与所质疑项目采购活动的投标人。 </w:t>
      </w:r>
    </w:p>
    <w:p>
      <w:pPr>
        <w:ind w:firstLine="424"/>
        <w:rPr>
          <w:rFonts w:ascii="仿宋" w:hAnsi="仿宋" w:eastAsia="仿宋"/>
          <w:color w:val="auto"/>
          <w:highlight w:val="none"/>
        </w:rPr>
      </w:pPr>
      <w:r>
        <w:rPr>
          <w:rFonts w:hint="eastAsia" w:ascii="仿宋" w:hAnsi="仿宋" w:eastAsia="仿宋"/>
          <w:color w:val="auto"/>
          <w:highlight w:val="none"/>
        </w:rPr>
        <w:t>1.质疑时限、内容</w:t>
      </w:r>
    </w:p>
    <w:p>
      <w:pPr>
        <w:ind w:firstLine="424"/>
        <w:rPr>
          <w:rFonts w:ascii="仿宋" w:hAnsi="仿宋" w:eastAsia="仿宋"/>
          <w:color w:val="auto"/>
          <w:highlight w:val="none"/>
        </w:rPr>
      </w:pPr>
      <w:r>
        <w:rPr>
          <w:rFonts w:hint="eastAsia" w:ascii="仿宋" w:hAnsi="仿宋" w:eastAsia="仿宋"/>
          <w:color w:val="auto"/>
          <w:highlight w:val="none"/>
        </w:rPr>
        <w:t>1.1投标人对招标文件提出质疑的，应在依法获取招标文件之日或者招标文件公告期限届满之日起七个工作日内提出。</w:t>
      </w:r>
    </w:p>
    <w:p>
      <w:pPr>
        <w:ind w:firstLine="424"/>
        <w:rPr>
          <w:rFonts w:ascii="仿宋" w:hAnsi="仿宋" w:eastAsia="仿宋"/>
          <w:color w:val="auto"/>
          <w:highlight w:val="none"/>
        </w:rPr>
      </w:pPr>
      <w:r>
        <w:rPr>
          <w:rFonts w:hint="eastAsia" w:ascii="仿宋" w:hAnsi="仿宋" w:eastAsia="仿宋"/>
          <w:color w:val="auto"/>
          <w:highlight w:val="none"/>
        </w:rPr>
        <w:t>1.2投标人对采购过程提出质疑的，应在各采购程序环节结束之日起七个工作日内提出。</w:t>
      </w:r>
    </w:p>
    <w:p>
      <w:pPr>
        <w:ind w:firstLine="424"/>
        <w:rPr>
          <w:rFonts w:ascii="仿宋" w:hAnsi="仿宋" w:eastAsia="仿宋"/>
          <w:color w:val="auto"/>
          <w:highlight w:val="none"/>
        </w:rPr>
      </w:pPr>
      <w:r>
        <w:rPr>
          <w:rFonts w:hint="eastAsia" w:ascii="仿宋" w:hAnsi="仿宋" w:eastAsia="仿宋"/>
          <w:color w:val="auto"/>
          <w:highlight w:val="none"/>
        </w:rPr>
        <w:t>1.3投标人对中标结果提出质疑的，应当在中标结果公告期限届满之日起七个工作日内提出。</w:t>
      </w:r>
    </w:p>
    <w:p>
      <w:pPr>
        <w:ind w:firstLine="424"/>
        <w:rPr>
          <w:rFonts w:ascii="仿宋" w:hAnsi="仿宋" w:eastAsia="仿宋"/>
          <w:color w:val="auto"/>
          <w:highlight w:val="none"/>
        </w:rPr>
      </w:pPr>
      <w:r>
        <w:rPr>
          <w:rFonts w:hint="eastAsia" w:ascii="仿宋" w:hAnsi="仿宋" w:eastAsia="仿宋"/>
          <w:color w:val="auto"/>
          <w:highlight w:val="none"/>
        </w:rPr>
        <w:t>1.4投标人提出质疑应当提交质疑函和必要的证明材料，质疑函应当包括下列内容：</w:t>
      </w:r>
    </w:p>
    <w:p>
      <w:pPr>
        <w:ind w:firstLine="424"/>
        <w:rPr>
          <w:rFonts w:ascii="仿宋" w:hAnsi="仿宋" w:eastAsia="仿宋"/>
          <w:color w:val="auto"/>
          <w:highlight w:val="none"/>
        </w:rPr>
      </w:pPr>
      <w:r>
        <w:rPr>
          <w:rFonts w:hint="eastAsia" w:ascii="仿宋" w:hAnsi="仿宋" w:eastAsia="仿宋"/>
          <w:color w:val="auto"/>
          <w:highlight w:val="none"/>
        </w:rPr>
        <w:t>1.4.1供应商的姓名或者名称、地址、邮编、联系人及联系电话；</w:t>
      </w:r>
    </w:p>
    <w:p>
      <w:pPr>
        <w:ind w:firstLine="424"/>
        <w:rPr>
          <w:rFonts w:ascii="仿宋" w:hAnsi="仿宋" w:eastAsia="仿宋"/>
          <w:color w:val="auto"/>
          <w:highlight w:val="none"/>
        </w:rPr>
      </w:pPr>
      <w:r>
        <w:rPr>
          <w:rFonts w:hint="eastAsia" w:ascii="仿宋" w:hAnsi="仿宋" w:eastAsia="仿宋"/>
          <w:color w:val="auto"/>
          <w:highlight w:val="none"/>
        </w:rPr>
        <w:t>1.4.2质疑项目的名称、项目编号以及采购执行编号；</w:t>
      </w:r>
    </w:p>
    <w:p>
      <w:pPr>
        <w:ind w:firstLine="424"/>
        <w:rPr>
          <w:rFonts w:ascii="仿宋" w:hAnsi="仿宋" w:eastAsia="仿宋"/>
          <w:color w:val="auto"/>
          <w:highlight w:val="none"/>
        </w:rPr>
      </w:pPr>
      <w:r>
        <w:rPr>
          <w:rFonts w:hint="eastAsia" w:ascii="仿宋" w:hAnsi="仿宋" w:eastAsia="仿宋"/>
          <w:color w:val="auto"/>
          <w:highlight w:val="none"/>
        </w:rPr>
        <w:t>1.4.3具体、明确的质疑事项和与质疑事项相关的请求；</w:t>
      </w:r>
    </w:p>
    <w:p>
      <w:pPr>
        <w:ind w:firstLine="424"/>
        <w:rPr>
          <w:rFonts w:ascii="仿宋" w:hAnsi="仿宋" w:eastAsia="仿宋"/>
          <w:color w:val="auto"/>
          <w:highlight w:val="none"/>
        </w:rPr>
      </w:pPr>
      <w:r>
        <w:rPr>
          <w:rFonts w:hint="eastAsia" w:ascii="仿宋" w:hAnsi="仿宋" w:eastAsia="仿宋"/>
          <w:color w:val="auto"/>
          <w:highlight w:val="none"/>
        </w:rPr>
        <w:t>1.4.4事实依据；</w:t>
      </w:r>
    </w:p>
    <w:p>
      <w:pPr>
        <w:ind w:firstLine="424"/>
        <w:rPr>
          <w:rFonts w:ascii="仿宋" w:hAnsi="仿宋" w:eastAsia="仿宋"/>
          <w:color w:val="auto"/>
          <w:highlight w:val="none"/>
        </w:rPr>
      </w:pPr>
      <w:r>
        <w:rPr>
          <w:rFonts w:hint="eastAsia" w:ascii="仿宋" w:hAnsi="仿宋" w:eastAsia="仿宋"/>
          <w:color w:val="auto"/>
          <w:highlight w:val="none"/>
        </w:rPr>
        <w:t>1.4.5必要的法律依据；</w:t>
      </w:r>
    </w:p>
    <w:p>
      <w:pPr>
        <w:ind w:firstLine="424"/>
        <w:rPr>
          <w:rFonts w:ascii="仿宋" w:hAnsi="仿宋" w:eastAsia="仿宋"/>
          <w:color w:val="auto"/>
          <w:highlight w:val="none"/>
        </w:rPr>
      </w:pPr>
      <w:r>
        <w:rPr>
          <w:rFonts w:hint="eastAsia" w:ascii="仿宋" w:hAnsi="仿宋" w:eastAsia="仿宋"/>
          <w:color w:val="auto"/>
          <w:highlight w:val="none"/>
        </w:rPr>
        <w:t>1.4.6提出质疑的日期；</w:t>
      </w:r>
    </w:p>
    <w:p>
      <w:pPr>
        <w:ind w:firstLine="424"/>
        <w:rPr>
          <w:rFonts w:ascii="仿宋" w:hAnsi="仿宋" w:eastAsia="仿宋"/>
          <w:color w:val="auto"/>
          <w:highlight w:val="none"/>
        </w:rPr>
      </w:pPr>
      <w:r>
        <w:rPr>
          <w:rFonts w:hint="eastAsia" w:ascii="仿宋" w:hAnsi="仿宋" w:eastAsia="仿宋"/>
          <w:color w:val="auto"/>
          <w:highlight w:val="none"/>
        </w:rPr>
        <w:t>1.4.7营业执照（或事业单位法人证书，或个体工商户营业执照或有效的自然人身份证明）复印件；</w:t>
      </w:r>
    </w:p>
    <w:p>
      <w:pPr>
        <w:ind w:firstLine="424"/>
        <w:rPr>
          <w:rFonts w:ascii="仿宋" w:hAnsi="仿宋" w:eastAsia="仿宋"/>
          <w:color w:val="auto"/>
          <w:highlight w:val="none"/>
        </w:rPr>
      </w:pPr>
      <w:r>
        <w:rPr>
          <w:rFonts w:hint="eastAsia" w:ascii="仿宋" w:hAnsi="仿宋" w:eastAsia="仿宋"/>
          <w:color w:val="auto"/>
          <w:highlight w:val="none"/>
        </w:rPr>
        <w:t>1.4.8法定代表人授权委托书原件、法定代表人身份证复印件和其授权代表的身份证复印件（供应商为自然人的提供自然人身份证复印件）；</w:t>
      </w:r>
    </w:p>
    <w:p>
      <w:pPr>
        <w:ind w:firstLine="424"/>
        <w:rPr>
          <w:rFonts w:ascii="仿宋" w:hAnsi="仿宋" w:eastAsia="仿宋"/>
          <w:color w:val="auto"/>
          <w:highlight w:val="none"/>
        </w:rPr>
      </w:pPr>
      <w:r>
        <w:rPr>
          <w:rFonts w:hint="eastAsia" w:ascii="仿宋" w:hAnsi="仿宋" w:eastAsia="仿宋"/>
          <w:color w:val="auto"/>
          <w:highlight w:val="none"/>
        </w:rPr>
        <w:t>1.4.9在重庆市政府采购网电子招投标系统依法获取招标文件截图证明（获取招标文件状态截图证明流程：“重庆市政府采购网”→“在线开评标”→“我的投标项目”→找到该项目点击“查看详情”进行项目获取招标文件信息截图）；</w:t>
      </w:r>
    </w:p>
    <w:p>
      <w:pPr>
        <w:ind w:firstLine="424"/>
        <w:rPr>
          <w:rFonts w:ascii="仿宋" w:hAnsi="仿宋" w:eastAsia="仿宋"/>
          <w:color w:val="auto"/>
          <w:highlight w:val="none"/>
        </w:rPr>
      </w:pPr>
      <w:r>
        <w:rPr>
          <w:rFonts w:hint="eastAsia" w:ascii="仿宋" w:hAnsi="仿宋" w:eastAsia="仿宋"/>
          <w:color w:val="auto"/>
          <w:highlight w:val="none"/>
        </w:rPr>
        <w:t>1.5供应商为自然人的，质疑函应当由本人签字；供应商为法人或者其他组织的，质疑函应当由法定代表人、主要负责人，或者其授权代表签字或者盖章，并加盖公章。</w:t>
      </w:r>
    </w:p>
    <w:p>
      <w:pPr>
        <w:ind w:firstLine="424"/>
        <w:rPr>
          <w:rFonts w:ascii="仿宋" w:hAnsi="仿宋" w:eastAsia="仿宋"/>
          <w:color w:val="auto"/>
          <w:highlight w:val="none"/>
        </w:rPr>
      </w:pPr>
      <w:r>
        <w:rPr>
          <w:rFonts w:hint="eastAsia" w:ascii="仿宋" w:hAnsi="仿宋" w:eastAsia="仿宋"/>
          <w:color w:val="auto"/>
          <w:highlight w:val="none"/>
        </w:rPr>
        <w:t>2.质疑答复</w:t>
      </w:r>
    </w:p>
    <w:p>
      <w:pPr>
        <w:ind w:firstLine="424"/>
        <w:rPr>
          <w:rFonts w:ascii="仿宋" w:hAnsi="仿宋" w:eastAsia="仿宋"/>
          <w:color w:val="auto"/>
          <w:highlight w:val="none"/>
        </w:rPr>
      </w:pPr>
      <w:r>
        <w:rPr>
          <w:rFonts w:ascii="仿宋" w:hAnsi="仿宋" w:eastAsia="仿宋"/>
          <w:color w:val="auto"/>
          <w:highlight w:val="none"/>
        </w:rPr>
        <w:t>采购人、采购代理机构不得拒收质疑供应商在法定质疑期内发出的质疑函，应当在收到质疑函后7个工作日内作出答复，并以书面形式通知质疑供应商和其他有关供应商。</w:t>
      </w:r>
    </w:p>
    <w:p>
      <w:pPr>
        <w:ind w:firstLine="424"/>
        <w:rPr>
          <w:rFonts w:ascii="仿宋" w:hAnsi="仿宋" w:eastAsia="仿宋"/>
          <w:color w:val="auto"/>
          <w:highlight w:val="none"/>
        </w:rPr>
      </w:pPr>
      <w:r>
        <w:rPr>
          <w:rFonts w:hint="eastAsia" w:ascii="仿宋" w:hAnsi="仿宋" w:eastAsia="仿宋"/>
          <w:color w:val="auto"/>
          <w:highlight w:val="none"/>
        </w:rPr>
        <w:t>3.其他</w:t>
      </w:r>
    </w:p>
    <w:p>
      <w:pPr>
        <w:ind w:firstLine="424"/>
        <w:rPr>
          <w:rFonts w:ascii="仿宋" w:hAnsi="仿宋" w:eastAsia="仿宋"/>
          <w:color w:val="auto"/>
          <w:highlight w:val="none"/>
        </w:rPr>
      </w:pPr>
      <w:r>
        <w:rPr>
          <w:rFonts w:hint="eastAsia" w:ascii="仿宋" w:hAnsi="仿宋" w:eastAsia="仿宋"/>
          <w:color w:val="auto"/>
          <w:highlight w:val="none"/>
        </w:rPr>
        <w:t>3.1投标人应按照《政府采购质疑和投诉办法》（财政部令第94号）及相关法律法规要求，在法定质疑期内一次性提出针对同一采购程序环节的质疑。</w:t>
      </w:r>
    </w:p>
    <w:p>
      <w:pPr>
        <w:ind w:firstLine="424"/>
        <w:rPr>
          <w:rFonts w:ascii="仿宋" w:hAnsi="仿宋" w:eastAsia="仿宋"/>
          <w:color w:val="auto"/>
          <w:highlight w:val="none"/>
        </w:rPr>
      </w:pPr>
      <w:r>
        <w:rPr>
          <w:rFonts w:hint="eastAsia" w:ascii="仿宋" w:hAnsi="仿宋" w:eastAsia="仿宋"/>
          <w:color w:val="auto"/>
          <w:highlight w:val="none"/>
        </w:rPr>
        <w:t>3.2质疑函范本可在财政部门户网站、中国政府采购网</w:t>
      </w:r>
      <w:bookmarkStart w:id="687" w:name="_Hlk84610053"/>
      <w:r>
        <w:rPr>
          <w:rFonts w:hint="eastAsia" w:ascii="仿宋" w:hAnsi="仿宋" w:eastAsia="仿宋"/>
          <w:color w:val="auto"/>
          <w:highlight w:val="none"/>
        </w:rPr>
        <w:t>和重庆市政府采购网</w:t>
      </w:r>
      <w:bookmarkEnd w:id="687"/>
      <w:r>
        <w:rPr>
          <w:rFonts w:hint="eastAsia" w:ascii="仿宋" w:hAnsi="仿宋" w:eastAsia="仿宋"/>
          <w:color w:val="auto"/>
          <w:highlight w:val="none"/>
        </w:rPr>
        <w:t>下载。</w:t>
      </w:r>
    </w:p>
    <w:p>
      <w:pPr>
        <w:ind w:firstLine="424"/>
        <w:rPr>
          <w:rFonts w:ascii="仿宋" w:hAnsi="仿宋" w:eastAsia="仿宋"/>
          <w:color w:val="auto"/>
          <w:highlight w:val="none"/>
        </w:rPr>
      </w:pPr>
      <w:r>
        <w:rPr>
          <w:rFonts w:hint="eastAsia" w:ascii="仿宋" w:hAnsi="仿宋" w:eastAsia="仿宋"/>
          <w:color w:val="auto"/>
          <w:highlight w:val="none"/>
        </w:rPr>
        <w:t>4.质疑联系方式详见第一篇“联系方式”。</w:t>
      </w:r>
    </w:p>
    <w:p>
      <w:pPr>
        <w:ind w:firstLine="424"/>
        <w:rPr>
          <w:rFonts w:ascii="仿宋" w:hAnsi="仿宋" w:eastAsia="仿宋"/>
          <w:color w:val="auto"/>
          <w:highlight w:val="none"/>
        </w:rPr>
      </w:pPr>
      <w:r>
        <w:rPr>
          <w:rFonts w:hint="eastAsia" w:ascii="仿宋" w:hAnsi="仿宋" w:eastAsia="仿宋"/>
          <w:color w:val="auto"/>
          <w:highlight w:val="none"/>
        </w:rPr>
        <w:t>（三）投诉</w:t>
      </w:r>
    </w:p>
    <w:p>
      <w:pPr>
        <w:ind w:firstLine="424"/>
        <w:rPr>
          <w:rFonts w:ascii="仿宋" w:hAnsi="仿宋" w:eastAsia="仿宋"/>
          <w:color w:val="auto"/>
          <w:highlight w:val="none"/>
        </w:rPr>
      </w:pPr>
      <w:r>
        <w:rPr>
          <w:rFonts w:hint="eastAsia" w:ascii="仿宋" w:hAnsi="仿宋" w:eastAsia="仿宋"/>
          <w:color w:val="auto"/>
          <w:highlight w:val="none"/>
        </w:rPr>
        <w:t>1.投标人对采购人、采购代理机构的答复不满意，或者采购人、采购代理机构未在规定时间内作出答复的，可以在答复期满后15个工作日内按照相关法律法规向财政部门提起投诉。</w:t>
      </w:r>
    </w:p>
    <w:p>
      <w:pPr>
        <w:ind w:firstLine="424"/>
        <w:rPr>
          <w:rFonts w:ascii="仿宋" w:hAnsi="仿宋" w:eastAsia="仿宋"/>
          <w:color w:val="auto"/>
          <w:highlight w:val="none"/>
        </w:rPr>
      </w:pPr>
      <w:r>
        <w:rPr>
          <w:rFonts w:hint="eastAsia" w:ascii="仿宋" w:hAnsi="仿宋" w:eastAsia="仿宋"/>
          <w:color w:val="auto"/>
          <w:highlight w:val="none"/>
        </w:rPr>
        <w:t>2.投标人应按照《政府采购质疑和投诉办法》（财政部令第94号）及相关法律法规要求递交投诉书和必要的证明材料。投诉书范本可在财政部门户网站、中国政府采购网和重庆市政府采购网下载。</w:t>
      </w:r>
    </w:p>
    <w:p>
      <w:pPr>
        <w:ind w:firstLine="424"/>
        <w:rPr>
          <w:rFonts w:ascii="仿宋" w:hAnsi="仿宋" w:eastAsia="仿宋"/>
          <w:color w:val="auto"/>
          <w:highlight w:val="none"/>
        </w:rPr>
      </w:pPr>
      <w:r>
        <w:rPr>
          <w:rFonts w:hint="eastAsia" w:ascii="仿宋" w:hAnsi="仿宋" w:eastAsia="仿宋"/>
          <w:color w:val="auto"/>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pPr>
        <w:ind w:firstLine="424"/>
        <w:rPr>
          <w:rFonts w:ascii="仿宋" w:hAnsi="仿宋" w:eastAsia="仿宋"/>
          <w:color w:val="auto"/>
          <w:highlight w:val="none"/>
        </w:rPr>
      </w:pPr>
      <w:r>
        <w:rPr>
          <w:rFonts w:hint="eastAsia" w:ascii="仿宋" w:hAnsi="仿宋" w:eastAsia="仿宋"/>
          <w:color w:val="auto"/>
          <w:highlight w:val="none"/>
        </w:rPr>
        <w:t>4.在确定受理投诉后，财政部门自受理投诉之日起30个工作日内（需要检验、检测、鉴定、专家评审以及需要投诉人补正材料的，所需时间不计算在投诉处理期限内）对投诉事项做出处理决定。</w:t>
      </w:r>
    </w:p>
    <w:p>
      <w:pPr>
        <w:pStyle w:val="4"/>
        <w:spacing w:before="190" w:after="190" w:line="520" w:lineRule="exact"/>
        <w:ind w:firstLine="506"/>
        <w:rPr>
          <w:rFonts w:ascii="仿宋" w:hAnsi="仿宋" w:eastAsia="仿宋"/>
          <w:color w:val="auto"/>
          <w:szCs w:val="22"/>
          <w:highlight w:val="none"/>
        </w:rPr>
      </w:pPr>
      <w:bookmarkStart w:id="688" w:name="_Toc31612"/>
      <w:bookmarkStart w:id="689" w:name="_Toc9138"/>
      <w:bookmarkStart w:id="690" w:name="_Toc19593"/>
      <w:bookmarkStart w:id="691" w:name="_Toc3520"/>
      <w:bookmarkStart w:id="692" w:name="_Toc18815"/>
      <w:r>
        <w:rPr>
          <w:rFonts w:hint="eastAsia" w:ascii="仿宋" w:hAnsi="仿宋" w:eastAsia="仿宋"/>
          <w:color w:val="auto"/>
          <w:szCs w:val="22"/>
          <w:highlight w:val="none"/>
        </w:rPr>
        <w:t>九、交易服务费</w:t>
      </w:r>
      <w:bookmarkEnd w:id="688"/>
      <w:bookmarkEnd w:id="689"/>
      <w:bookmarkEnd w:id="690"/>
      <w:bookmarkEnd w:id="691"/>
      <w:bookmarkEnd w:id="692"/>
    </w:p>
    <w:p>
      <w:pPr>
        <w:ind w:firstLine="424"/>
        <w:rPr>
          <w:rFonts w:ascii="仿宋" w:hAnsi="仿宋" w:eastAsia="仿宋"/>
          <w:color w:val="auto"/>
          <w:szCs w:val="22"/>
          <w:highlight w:val="none"/>
        </w:rPr>
      </w:pPr>
      <w:r>
        <w:rPr>
          <w:rFonts w:hint="eastAsia" w:ascii="仿宋" w:hAnsi="仿宋" w:eastAsia="仿宋"/>
          <w:color w:val="auto"/>
          <w:szCs w:val="22"/>
          <w:highlight w:val="none"/>
        </w:rPr>
        <w:t>投标人中标后向“重庆联合产权交易所集团股份有限公司”缴纳交易服务费，交易服务费的收取标准按照渝发改收费〔2023〕115号文件执行。</w:t>
      </w:r>
      <w:bookmarkStart w:id="693" w:name="_Toc22300"/>
      <w:bookmarkStart w:id="694" w:name="_Toc10492"/>
      <w:bookmarkStart w:id="695" w:name="_Toc11667"/>
      <w:bookmarkStart w:id="696" w:name="_Toc495592668"/>
      <w:bookmarkStart w:id="697" w:name="_Toc10283"/>
      <w:bookmarkStart w:id="698" w:name="_Toc9319"/>
      <w:bookmarkStart w:id="699" w:name="_Toc32664"/>
      <w:bookmarkStart w:id="700" w:name="_Toc20489898"/>
      <w:bookmarkStart w:id="701" w:name="_Toc20488342"/>
      <w:bookmarkStart w:id="702" w:name="_Toc6609"/>
      <w:bookmarkStart w:id="703" w:name="_Toc30244"/>
      <w:bookmarkStart w:id="704" w:name="_Toc5199"/>
      <w:bookmarkStart w:id="705" w:name="_Toc31800"/>
      <w:bookmarkStart w:id="706" w:name="_Toc17309"/>
      <w:bookmarkStart w:id="707" w:name="_Toc12603"/>
      <w:bookmarkStart w:id="708" w:name="_Toc8583"/>
      <w:bookmarkStart w:id="709" w:name="_Toc63600436"/>
      <w:bookmarkStart w:id="710" w:name="_Toc2430"/>
    </w:p>
    <w:p>
      <w:pPr>
        <w:ind w:firstLine="424"/>
        <w:rPr>
          <w:color w:val="auto"/>
          <w:highlight w:val="none"/>
        </w:rPr>
      </w:pPr>
      <w:r>
        <w:rPr>
          <w:rFonts w:hint="eastAsia" w:ascii="仿宋" w:hAnsi="仿宋" w:eastAsia="仿宋"/>
          <w:color w:val="auto"/>
          <w:szCs w:val="22"/>
          <w:highlight w:val="none"/>
        </w:rPr>
        <w:t>重庆市公共资源交易中心咨询电话：023-63625633</w:t>
      </w:r>
    </w:p>
    <w:p>
      <w:pPr>
        <w:pStyle w:val="4"/>
        <w:spacing w:before="190" w:after="190" w:line="520" w:lineRule="exact"/>
        <w:ind w:firstLine="506"/>
        <w:rPr>
          <w:rFonts w:ascii="仿宋" w:hAnsi="仿宋" w:eastAsia="仿宋"/>
          <w:color w:val="auto"/>
          <w:szCs w:val="22"/>
          <w:highlight w:val="none"/>
        </w:rPr>
      </w:pPr>
      <w:bookmarkStart w:id="711" w:name="_Toc26498"/>
      <w:r>
        <w:rPr>
          <w:rFonts w:hint="eastAsia" w:ascii="仿宋" w:hAnsi="仿宋" w:eastAsia="仿宋"/>
          <w:color w:val="auto"/>
          <w:szCs w:val="22"/>
          <w:highlight w:val="none"/>
        </w:rPr>
        <w:t>十、签订合同</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ind w:firstLine="424"/>
        <w:rPr>
          <w:rFonts w:hint="eastAsia" w:ascii="仿宋" w:hAnsi="仿宋" w:eastAsia="仿宋"/>
          <w:color w:val="auto"/>
          <w:szCs w:val="22"/>
          <w:highlight w:val="none"/>
        </w:rPr>
      </w:pPr>
      <w:bookmarkStart w:id="712" w:name="_Toc20488343"/>
      <w:bookmarkStart w:id="713" w:name="_Toc17207"/>
      <w:bookmarkStart w:id="714" w:name="_Toc4"/>
      <w:bookmarkStart w:id="715" w:name="_Toc9279"/>
      <w:bookmarkStart w:id="716" w:name="_Toc15407"/>
      <w:bookmarkStart w:id="717" w:name="_Toc20083"/>
      <w:bookmarkStart w:id="718" w:name="_Toc24741"/>
      <w:bookmarkStart w:id="719" w:name="_Toc11697"/>
      <w:bookmarkStart w:id="720" w:name="_Toc20489899"/>
      <w:bookmarkStart w:id="721" w:name="_Toc12063"/>
      <w:bookmarkStart w:id="722" w:name="_Toc17389"/>
      <w:bookmarkStart w:id="723" w:name="_Toc14445"/>
      <w:bookmarkStart w:id="724" w:name="_Toc63600437"/>
      <w:bookmarkStart w:id="725" w:name="_Toc530"/>
      <w:bookmarkStart w:id="726" w:name="_Toc913"/>
      <w:r>
        <w:rPr>
          <w:rFonts w:hint="eastAsia" w:ascii="仿宋" w:hAnsi="仿宋" w:eastAsia="仿宋"/>
          <w:color w:val="auto"/>
          <w:szCs w:val="22"/>
          <w:highlight w:val="none"/>
        </w:rPr>
        <w:t>（一）采购人原则上应在中标通知书发出之日起10日内和中标人签订政府采购合同，无正当理由不得拒绝或拖延合同签订。所签订的合同不得对招标文件和中标人电子投标文件作实质性修改。其他未尽事宜由采购人和中标人在采购合同中详细约定。</w:t>
      </w:r>
    </w:p>
    <w:p>
      <w:pPr>
        <w:ind w:firstLine="424"/>
        <w:rPr>
          <w:rFonts w:ascii="仿宋" w:hAnsi="仿宋" w:eastAsia="仿宋"/>
          <w:color w:val="auto"/>
          <w:szCs w:val="22"/>
          <w:highlight w:val="none"/>
        </w:rPr>
      </w:pPr>
      <w:r>
        <w:rPr>
          <w:rFonts w:hint="eastAsia" w:ascii="仿宋" w:hAnsi="仿宋" w:eastAsia="仿宋"/>
          <w:color w:val="auto"/>
          <w:szCs w:val="22"/>
          <w:highlight w:val="none"/>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pPr>
        <w:ind w:firstLine="424"/>
        <w:rPr>
          <w:rFonts w:ascii="仿宋" w:hAnsi="仿宋" w:eastAsia="仿宋"/>
          <w:color w:val="auto"/>
          <w:szCs w:val="22"/>
          <w:highlight w:val="none"/>
        </w:rPr>
      </w:pPr>
      <w:r>
        <w:rPr>
          <w:rFonts w:hint="eastAsia" w:ascii="仿宋" w:hAnsi="仿宋" w:eastAsia="仿宋"/>
          <w:color w:val="auto"/>
          <w:szCs w:val="22"/>
          <w:highlight w:val="none"/>
        </w:rPr>
        <w:t>（三）招标文件、中标人的电子投标文件及澄清文件等，均为签订政府采购合同的依据。</w:t>
      </w:r>
    </w:p>
    <w:p>
      <w:pPr>
        <w:ind w:firstLine="424"/>
        <w:rPr>
          <w:rFonts w:ascii="仿宋" w:hAnsi="仿宋" w:eastAsia="仿宋"/>
          <w:color w:val="auto"/>
          <w:szCs w:val="22"/>
          <w:highlight w:val="none"/>
        </w:rPr>
      </w:pPr>
      <w:r>
        <w:rPr>
          <w:rFonts w:hint="eastAsia" w:ascii="仿宋" w:hAnsi="仿宋" w:eastAsia="仿宋"/>
          <w:color w:val="auto"/>
          <w:szCs w:val="22"/>
          <w:highlight w:val="none"/>
        </w:rPr>
        <w:t>（四）合同生效条款由供需双方约定，法律、行政法规规定应当办理批准、登记等手续后生效的合同，依照其规定。</w:t>
      </w:r>
    </w:p>
    <w:p>
      <w:pPr>
        <w:ind w:firstLine="424"/>
        <w:rPr>
          <w:rFonts w:ascii="仿宋" w:hAnsi="仿宋" w:eastAsia="仿宋"/>
          <w:color w:val="auto"/>
          <w:szCs w:val="22"/>
          <w:highlight w:val="none"/>
        </w:rPr>
      </w:pPr>
      <w:r>
        <w:rPr>
          <w:rFonts w:hint="eastAsia" w:ascii="仿宋" w:hAnsi="仿宋" w:eastAsia="仿宋"/>
          <w:color w:val="auto"/>
          <w:szCs w:val="22"/>
          <w:highlight w:val="none"/>
        </w:rPr>
        <w:t>（五）合同原则上应按照《重庆市政府采购合同》签订，相关单位要求适用合同通用格式版本的，应按其要求另行签订其他合同。</w:t>
      </w:r>
    </w:p>
    <w:p>
      <w:pPr>
        <w:pStyle w:val="4"/>
        <w:spacing w:before="190" w:after="190" w:line="520" w:lineRule="exact"/>
        <w:ind w:firstLine="506"/>
        <w:rPr>
          <w:rFonts w:ascii="仿宋" w:hAnsi="仿宋" w:eastAsia="仿宋"/>
          <w:color w:val="auto"/>
          <w:szCs w:val="22"/>
          <w:highlight w:val="none"/>
        </w:rPr>
      </w:pPr>
      <w:bookmarkStart w:id="727" w:name="_Toc15514"/>
      <w:bookmarkStart w:id="728" w:name="_Toc1236"/>
      <w:r>
        <w:rPr>
          <w:rFonts w:hint="eastAsia" w:ascii="仿宋" w:hAnsi="仿宋" w:eastAsia="仿宋"/>
          <w:color w:val="auto"/>
          <w:szCs w:val="22"/>
          <w:highlight w:val="none"/>
        </w:rPr>
        <w:t>十一、项目验收</w:t>
      </w:r>
      <w:bookmarkEnd w:id="727"/>
      <w:bookmarkEnd w:id="728"/>
    </w:p>
    <w:p>
      <w:pPr>
        <w:ind w:firstLine="424"/>
        <w:rPr>
          <w:rFonts w:ascii="仿宋" w:hAnsi="仿宋" w:eastAsia="仿宋" w:cs="仿宋"/>
          <w:color w:val="auto"/>
          <w:highlight w:val="none"/>
        </w:rPr>
      </w:pPr>
      <w:r>
        <w:rPr>
          <w:rFonts w:hint="eastAsia" w:ascii="仿宋" w:hAnsi="仿宋" w:eastAsia="仿宋"/>
          <w:color w:val="auto"/>
          <w:szCs w:val="22"/>
          <w:highlight w:val="none"/>
          <w:lang w:val="en-US" w:eastAsia="zh-CN"/>
        </w:rPr>
        <w:t>每个月</w:t>
      </w:r>
      <w:r>
        <w:rPr>
          <w:rFonts w:hint="eastAsia" w:ascii="仿宋" w:hAnsi="仿宋" w:eastAsia="仿宋" w:cs="仿宋"/>
          <w:color w:val="auto"/>
          <w:highlight w:val="none"/>
        </w:rPr>
        <w:t>执行完毕</w:t>
      </w:r>
      <w:r>
        <w:rPr>
          <w:rFonts w:hint="eastAsia" w:ascii="仿宋" w:hAnsi="仿宋" w:eastAsia="仿宋" w:cs="仿宋"/>
          <w:color w:val="auto"/>
          <w:highlight w:val="none"/>
          <w:lang w:val="en-US" w:eastAsia="zh-CN"/>
        </w:rPr>
        <w:t>后</w:t>
      </w:r>
      <w:r>
        <w:rPr>
          <w:rFonts w:hint="eastAsia" w:ascii="仿宋" w:hAnsi="仿宋" w:eastAsia="仿宋" w:cs="仿宋"/>
          <w:color w:val="auto"/>
          <w:highlight w:val="none"/>
        </w:rPr>
        <w:t>，采购人或采购代理机构原则上应在7个工作日内组织履约情况验收，不得无故拖延或附加额外条件。</w:t>
      </w:r>
    </w:p>
    <w:p>
      <w:pPr>
        <w:pStyle w:val="4"/>
        <w:spacing w:before="190" w:after="190" w:line="520" w:lineRule="exact"/>
        <w:ind w:firstLine="506"/>
        <w:rPr>
          <w:rFonts w:ascii="仿宋" w:hAnsi="仿宋" w:eastAsia="仿宋"/>
          <w:color w:val="auto"/>
          <w:szCs w:val="22"/>
          <w:highlight w:val="none"/>
        </w:rPr>
      </w:pPr>
      <w:bookmarkStart w:id="729" w:name="_Toc27366"/>
      <w:bookmarkStart w:id="730" w:name="_Toc1974"/>
      <w:r>
        <w:rPr>
          <w:rFonts w:hint="eastAsia" w:ascii="仿宋" w:hAnsi="仿宋" w:eastAsia="仿宋"/>
          <w:color w:val="auto"/>
          <w:szCs w:val="22"/>
          <w:highlight w:val="none"/>
        </w:rPr>
        <w:t>十二、政府采购信用融资</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9"/>
      <w:bookmarkEnd w:id="730"/>
    </w:p>
    <w:p>
      <w:pPr>
        <w:ind w:firstLine="424"/>
        <w:rPr>
          <w:rFonts w:hint="eastAsia" w:eastAsia="仿宋"/>
          <w:color w:val="auto"/>
          <w:highlight w:val="none"/>
        </w:rPr>
        <w:sectPr>
          <w:pgSz w:w="11907" w:h="16840"/>
          <w:pgMar w:top="1134" w:right="1191" w:bottom="1134" w:left="1304" w:header="794" w:footer="992" w:gutter="0"/>
          <w:cols w:space="720" w:num="1"/>
          <w:docGrid w:type="linesAndChars" w:linePitch="380" w:charSpace="-5735"/>
        </w:sectPr>
      </w:pPr>
      <w:r>
        <w:rPr>
          <w:rFonts w:hint="eastAsia" w:ascii="仿宋" w:hAnsi="仿宋" w:eastAsia="仿宋"/>
          <w:color w:val="auto"/>
          <w:highlight w:val="none"/>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pPr>
        <w:pStyle w:val="3"/>
        <w:numPr>
          <w:ilvl w:val="0"/>
          <w:numId w:val="1"/>
        </w:numPr>
        <w:tabs>
          <w:tab w:val="clear" w:pos="3360"/>
        </w:tabs>
        <w:spacing w:before="196" w:after="196" w:line="520" w:lineRule="exact"/>
        <w:ind w:left="1131" w:hanging="1132" w:hangingChars="270"/>
        <w:rPr>
          <w:rFonts w:hint="eastAsia" w:ascii="方正小标宋简体" w:eastAsia="方正小标宋简体"/>
          <w:color w:val="auto"/>
          <w:szCs w:val="22"/>
          <w:highlight w:val="none"/>
        </w:rPr>
      </w:pPr>
      <w:bookmarkStart w:id="731" w:name="_Toc28618"/>
      <w:bookmarkStart w:id="732" w:name="_Toc63600438"/>
      <w:bookmarkStart w:id="733" w:name="_Toc20968"/>
      <w:bookmarkStart w:id="734" w:name="_Toc384905082"/>
      <w:bookmarkStart w:id="735" w:name="_Toc409189639"/>
      <w:r>
        <w:rPr>
          <w:rFonts w:hint="eastAsia" w:ascii="方正小标宋简体" w:eastAsia="方正小标宋简体"/>
          <w:color w:val="auto"/>
          <w:szCs w:val="22"/>
          <w:highlight w:val="none"/>
        </w:rPr>
        <w:t>合同主要条款和格式合同</w:t>
      </w:r>
      <w:bookmarkEnd w:id="731"/>
      <w:bookmarkEnd w:id="732"/>
      <w:bookmarkStart w:id="736" w:name="_Hlk70156864"/>
      <w:r>
        <w:rPr>
          <w:rFonts w:hint="eastAsia" w:ascii="方正小标宋简体" w:eastAsia="方正小标宋简体"/>
          <w:color w:val="auto"/>
          <w:szCs w:val="22"/>
          <w:highlight w:val="none"/>
        </w:rPr>
        <w:t>（样本）</w:t>
      </w:r>
      <w:bookmarkEnd w:id="733"/>
    </w:p>
    <w:bookmarkEnd w:id="736"/>
    <w:p>
      <w:pPr>
        <w:ind w:firstLine="520"/>
        <w:outlineLvl w:val="1"/>
        <w:rPr>
          <w:rFonts w:ascii="仿宋" w:hAnsi="仿宋" w:eastAsia="仿宋"/>
          <w:b/>
          <w:color w:val="auto"/>
          <w:kern w:val="0"/>
          <w:sz w:val="28"/>
          <w:szCs w:val="22"/>
          <w:highlight w:val="none"/>
        </w:rPr>
      </w:pPr>
      <w:bookmarkStart w:id="737" w:name="_Toc63600441"/>
      <w:bookmarkStart w:id="738" w:name="_Toc4268"/>
      <w:bookmarkStart w:id="739" w:name="_Toc20488346"/>
      <w:bookmarkStart w:id="740" w:name="_Toc20489903"/>
      <w:bookmarkStart w:id="741" w:name="_Toc10488"/>
      <w:r>
        <w:rPr>
          <w:rFonts w:hint="eastAsia" w:ascii="仿宋" w:hAnsi="仿宋" w:eastAsia="仿宋"/>
          <w:b/>
          <w:color w:val="auto"/>
          <w:kern w:val="0"/>
          <w:sz w:val="28"/>
          <w:szCs w:val="22"/>
          <w:highlight w:val="none"/>
        </w:rPr>
        <w:t>一、合同主要条款</w:t>
      </w:r>
      <w:bookmarkEnd w:id="737"/>
      <w:bookmarkEnd w:id="738"/>
    </w:p>
    <w:p>
      <w:pPr>
        <w:ind w:firstLine="438"/>
        <w:rPr>
          <w:rFonts w:ascii="仿宋" w:hAnsi="仿宋" w:eastAsia="仿宋"/>
          <w:bCs/>
          <w:color w:val="auto"/>
          <w:highlight w:val="none"/>
        </w:rPr>
      </w:pPr>
      <w:r>
        <w:rPr>
          <w:rFonts w:hint="eastAsia" w:ascii="仿宋" w:hAnsi="仿宋" w:eastAsia="仿宋"/>
          <w:bCs/>
          <w:color w:val="auto"/>
          <w:highlight w:val="none"/>
        </w:rPr>
        <w:t>1.定义</w:t>
      </w:r>
    </w:p>
    <w:p>
      <w:pPr>
        <w:ind w:firstLine="438"/>
        <w:rPr>
          <w:rFonts w:ascii="仿宋" w:hAnsi="仿宋" w:eastAsia="仿宋"/>
          <w:bCs/>
          <w:color w:val="auto"/>
          <w:highlight w:val="none"/>
        </w:rPr>
      </w:pPr>
      <w:r>
        <w:rPr>
          <w:rFonts w:hint="eastAsia" w:ascii="仿宋" w:hAnsi="仿宋" w:eastAsia="仿宋"/>
          <w:bCs/>
          <w:color w:val="auto"/>
          <w:highlight w:val="none"/>
        </w:rPr>
        <w:t>（1）甲方（需方）即采购人，是指通过招标采购，接受合同服务的各级国家机关、事业单位和团体组织。</w:t>
      </w:r>
    </w:p>
    <w:p>
      <w:pPr>
        <w:ind w:firstLine="438"/>
        <w:rPr>
          <w:rFonts w:ascii="仿宋" w:hAnsi="仿宋" w:eastAsia="仿宋"/>
          <w:bCs/>
          <w:color w:val="auto"/>
          <w:highlight w:val="none"/>
        </w:rPr>
      </w:pPr>
      <w:r>
        <w:rPr>
          <w:rFonts w:hint="eastAsia" w:ascii="仿宋" w:hAnsi="仿宋" w:eastAsia="仿宋"/>
          <w:bCs/>
          <w:color w:val="auto"/>
          <w:highlight w:val="none"/>
        </w:rPr>
        <w:t>（2）乙方（供方）即中标人，是指中标后提供合同货服务的自然人、法人及其他组织。</w:t>
      </w:r>
    </w:p>
    <w:p>
      <w:pPr>
        <w:ind w:firstLine="438"/>
        <w:rPr>
          <w:rFonts w:ascii="仿宋" w:hAnsi="仿宋" w:eastAsia="仿宋"/>
          <w:bCs/>
          <w:color w:val="auto"/>
          <w:highlight w:val="none"/>
        </w:rPr>
      </w:pPr>
      <w:r>
        <w:rPr>
          <w:rFonts w:hint="eastAsia" w:ascii="仿宋" w:hAnsi="仿宋" w:eastAsia="仿宋"/>
          <w:bCs/>
          <w:color w:val="auto"/>
          <w:highlight w:val="none"/>
        </w:rPr>
        <w:t>（3）合同是指由甲乙双方按照招标文件和电子投标文件的实质性内容，通过协商一致达成的书面协议。</w:t>
      </w:r>
    </w:p>
    <w:p>
      <w:pPr>
        <w:ind w:firstLine="438"/>
        <w:rPr>
          <w:rFonts w:ascii="仿宋" w:hAnsi="仿宋" w:eastAsia="仿宋"/>
          <w:bCs/>
          <w:color w:val="auto"/>
          <w:highlight w:val="none"/>
        </w:rPr>
      </w:pPr>
      <w:r>
        <w:rPr>
          <w:rFonts w:hint="eastAsia" w:ascii="仿宋" w:hAnsi="仿宋" w:eastAsia="仿宋"/>
          <w:bCs/>
          <w:color w:val="auto"/>
          <w:highlight w:val="none"/>
        </w:rPr>
        <w:t>（4）合同价格指以中标价格为依据，在供方全面履行合同义务后，需方（或财政部门）应支付给供方的金额。</w:t>
      </w:r>
    </w:p>
    <w:p>
      <w:pPr>
        <w:ind w:firstLine="438"/>
        <w:rPr>
          <w:rFonts w:ascii="仿宋" w:hAnsi="仿宋" w:eastAsia="仿宋"/>
          <w:bCs/>
          <w:color w:val="auto"/>
          <w:highlight w:val="none"/>
        </w:rPr>
      </w:pPr>
      <w:r>
        <w:rPr>
          <w:rFonts w:hint="eastAsia" w:ascii="仿宋" w:hAnsi="仿宋" w:eastAsia="仿宋"/>
          <w:bCs/>
          <w:color w:val="auto"/>
          <w:highlight w:val="none"/>
        </w:rPr>
        <w:t>2.服务内容</w:t>
      </w:r>
    </w:p>
    <w:p>
      <w:pPr>
        <w:ind w:firstLine="438"/>
        <w:rPr>
          <w:rFonts w:ascii="仿宋" w:hAnsi="仿宋" w:eastAsia="仿宋"/>
          <w:bCs/>
          <w:color w:val="auto"/>
          <w:highlight w:val="none"/>
        </w:rPr>
      </w:pPr>
      <w:r>
        <w:rPr>
          <w:rFonts w:hint="eastAsia" w:ascii="仿宋" w:hAnsi="仿宋" w:eastAsia="仿宋"/>
          <w:bCs/>
          <w:color w:val="auto"/>
          <w:highlight w:val="none"/>
        </w:rPr>
        <w:t>合同包括以下内容：服务名称、实施方式、服务期限、服务成果等内容。</w:t>
      </w:r>
    </w:p>
    <w:p>
      <w:pPr>
        <w:ind w:firstLine="438"/>
        <w:rPr>
          <w:rFonts w:ascii="仿宋" w:hAnsi="仿宋" w:eastAsia="仿宋"/>
          <w:bCs/>
          <w:color w:val="auto"/>
          <w:highlight w:val="none"/>
        </w:rPr>
      </w:pPr>
      <w:r>
        <w:rPr>
          <w:rFonts w:hint="eastAsia" w:ascii="仿宋" w:hAnsi="仿宋" w:eastAsia="仿宋"/>
          <w:bCs/>
          <w:color w:val="auto"/>
          <w:highlight w:val="none"/>
        </w:rPr>
        <w:t>3.合同价格</w:t>
      </w:r>
    </w:p>
    <w:p>
      <w:pPr>
        <w:ind w:firstLine="438"/>
        <w:rPr>
          <w:rFonts w:ascii="仿宋" w:hAnsi="仿宋" w:eastAsia="仿宋"/>
          <w:bCs/>
          <w:color w:val="auto"/>
          <w:highlight w:val="none"/>
        </w:rPr>
      </w:pPr>
      <w:r>
        <w:rPr>
          <w:rFonts w:hint="eastAsia" w:ascii="仿宋" w:hAnsi="仿宋" w:eastAsia="仿宋"/>
          <w:bCs/>
          <w:color w:val="auto"/>
          <w:highlight w:val="none"/>
        </w:rPr>
        <w:t>（1）合同价格即合同总价。</w:t>
      </w:r>
    </w:p>
    <w:p>
      <w:pPr>
        <w:ind w:firstLine="438"/>
        <w:rPr>
          <w:rFonts w:ascii="仿宋" w:hAnsi="仿宋" w:eastAsia="仿宋"/>
          <w:bCs/>
          <w:color w:val="auto"/>
          <w:highlight w:val="none"/>
        </w:rPr>
      </w:pPr>
      <w:r>
        <w:rPr>
          <w:rFonts w:hint="eastAsia" w:ascii="仿宋" w:hAnsi="仿宋" w:eastAsia="仿宋"/>
          <w:bCs/>
          <w:color w:val="auto"/>
          <w:highlight w:val="none"/>
        </w:rPr>
        <w:t>（2）合同价格包括提供服务所需提供的所有人、财、物、税费等一切费用，所有税费由乙方负担。</w:t>
      </w:r>
    </w:p>
    <w:p>
      <w:pPr>
        <w:ind w:firstLine="438"/>
        <w:rPr>
          <w:rFonts w:ascii="仿宋" w:hAnsi="仿宋" w:eastAsia="仿宋"/>
          <w:bCs/>
          <w:color w:val="auto"/>
          <w:highlight w:val="none"/>
        </w:rPr>
      </w:pPr>
      <w:r>
        <w:rPr>
          <w:rFonts w:hint="eastAsia" w:ascii="仿宋" w:hAnsi="仿宋" w:eastAsia="仿宋"/>
          <w:bCs/>
          <w:color w:val="auto"/>
          <w:highlight w:val="none"/>
        </w:rPr>
        <w:t>（3）合同价格为不变价。</w:t>
      </w:r>
    </w:p>
    <w:p>
      <w:pPr>
        <w:ind w:firstLine="438"/>
        <w:rPr>
          <w:rFonts w:ascii="仿宋" w:hAnsi="仿宋" w:eastAsia="仿宋"/>
          <w:bCs/>
          <w:color w:val="auto"/>
          <w:highlight w:val="none"/>
        </w:rPr>
      </w:pPr>
      <w:r>
        <w:rPr>
          <w:rFonts w:hint="eastAsia" w:ascii="仿宋" w:hAnsi="仿宋" w:eastAsia="仿宋"/>
          <w:bCs/>
          <w:color w:val="auto"/>
          <w:highlight w:val="none"/>
        </w:rPr>
        <w:t>4.转包或分包</w:t>
      </w:r>
    </w:p>
    <w:p>
      <w:pPr>
        <w:ind w:firstLine="438"/>
        <w:rPr>
          <w:rFonts w:ascii="仿宋" w:hAnsi="仿宋" w:eastAsia="仿宋"/>
          <w:bCs/>
          <w:color w:val="auto"/>
          <w:highlight w:val="none"/>
        </w:rPr>
      </w:pPr>
      <w:r>
        <w:rPr>
          <w:rFonts w:hint="eastAsia" w:ascii="仿宋" w:hAnsi="仿宋" w:eastAsia="仿宋"/>
          <w:bCs/>
          <w:color w:val="auto"/>
          <w:highlight w:val="none"/>
        </w:rPr>
        <w:t>（1）本合同范围的服务，应由乙方直接供应，不得转让他人供应；</w:t>
      </w:r>
    </w:p>
    <w:p>
      <w:pPr>
        <w:ind w:firstLine="438"/>
        <w:rPr>
          <w:rFonts w:ascii="仿宋" w:hAnsi="仿宋" w:eastAsia="仿宋"/>
          <w:bCs/>
          <w:color w:val="auto"/>
          <w:highlight w:val="none"/>
        </w:rPr>
      </w:pPr>
      <w:r>
        <w:rPr>
          <w:rFonts w:hint="eastAsia" w:ascii="仿宋" w:hAnsi="仿宋" w:eastAsia="仿宋"/>
          <w:bCs/>
          <w:color w:val="auto"/>
          <w:highlight w:val="none"/>
        </w:rPr>
        <w:t>（2）如有转让和未经甲方同意的分包行为，甲方有权解除合同，没收履约保证金并追究乙方的违约责任。</w:t>
      </w:r>
    </w:p>
    <w:p>
      <w:pPr>
        <w:ind w:firstLine="438"/>
        <w:rPr>
          <w:rFonts w:ascii="仿宋" w:hAnsi="仿宋" w:eastAsia="仿宋"/>
          <w:color w:val="auto"/>
          <w:highlight w:val="none"/>
        </w:rPr>
      </w:pPr>
      <w:r>
        <w:rPr>
          <w:rFonts w:hint="eastAsia" w:ascii="仿宋" w:hAnsi="仿宋" w:eastAsia="仿宋"/>
          <w:bCs/>
          <w:color w:val="auto"/>
          <w:highlight w:val="none"/>
        </w:rPr>
        <w:t>5.质量保证及售后服务</w:t>
      </w:r>
    </w:p>
    <w:p>
      <w:pPr>
        <w:ind w:firstLine="438"/>
        <w:rPr>
          <w:rFonts w:ascii="仿宋" w:hAnsi="仿宋" w:eastAsia="仿宋"/>
          <w:color w:val="auto"/>
          <w:highlight w:val="none"/>
        </w:rPr>
      </w:pPr>
      <w:r>
        <w:rPr>
          <w:rFonts w:hint="eastAsia" w:ascii="仿宋" w:hAnsi="仿宋" w:eastAsia="仿宋"/>
          <w:color w:val="auto"/>
          <w:highlight w:val="none"/>
        </w:rPr>
        <w:t>5.1乙方应按招标文件规定的服务要求、质量标准向甲方保质保量的提供服务。</w:t>
      </w:r>
    </w:p>
    <w:p>
      <w:pPr>
        <w:ind w:firstLine="438"/>
        <w:rPr>
          <w:rFonts w:ascii="仿宋" w:hAnsi="仿宋" w:eastAsia="仿宋"/>
          <w:color w:val="auto"/>
          <w:highlight w:val="none"/>
        </w:rPr>
      </w:pPr>
      <w:r>
        <w:rPr>
          <w:rFonts w:hint="eastAsia" w:ascii="仿宋" w:hAnsi="仿宋" w:eastAsia="仿宋"/>
          <w:color w:val="auto"/>
          <w:highlight w:val="none"/>
        </w:rPr>
        <w:t>5.2乙方提供的服务如果存在质量问题，乙方应负责更正。对达不到服务要求者，根据实际情况，经双方协商，可按以下办法处理：</w:t>
      </w:r>
    </w:p>
    <w:p>
      <w:pPr>
        <w:ind w:firstLine="438"/>
        <w:rPr>
          <w:rFonts w:ascii="仿宋" w:hAnsi="仿宋" w:eastAsia="仿宋"/>
          <w:color w:val="auto"/>
          <w:highlight w:val="none"/>
        </w:rPr>
      </w:pPr>
      <w:r>
        <w:rPr>
          <w:rFonts w:hint="eastAsia" w:ascii="仿宋" w:hAnsi="仿宋" w:eastAsia="仿宋"/>
          <w:color w:val="auto"/>
          <w:highlight w:val="none"/>
        </w:rPr>
        <w:t>5.2.1重做：由乙方承担所发生的全部费用。</w:t>
      </w:r>
    </w:p>
    <w:p>
      <w:pPr>
        <w:ind w:firstLine="438"/>
        <w:rPr>
          <w:rFonts w:ascii="仿宋" w:hAnsi="仿宋" w:eastAsia="仿宋"/>
          <w:color w:val="auto"/>
          <w:highlight w:val="none"/>
        </w:rPr>
      </w:pPr>
      <w:r>
        <w:rPr>
          <w:rFonts w:hint="eastAsia" w:ascii="仿宋" w:hAnsi="仿宋" w:eastAsia="仿宋"/>
          <w:color w:val="auto"/>
          <w:highlight w:val="none"/>
        </w:rPr>
        <w:t>5.2.2贬值处理：由甲乙双方合议定价。</w:t>
      </w:r>
    </w:p>
    <w:p>
      <w:pPr>
        <w:ind w:firstLine="438"/>
        <w:rPr>
          <w:rFonts w:ascii="仿宋" w:hAnsi="仿宋" w:eastAsia="仿宋"/>
          <w:color w:val="auto"/>
          <w:highlight w:val="none"/>
        </w:rPr>
      </w:pPr>
      <w:r>
        <w:rPr>
          <w:rFonts w:hint="eastAsia" w:ascii="仿宋" w:hAnsi="仿宋" w:eastAsia="仿宋"/>
          <w:color w:val="auto"/>
          <w:highlight w:val="none"/>
        </w:rPr>
        <w:t>5.2.3退款处理：乙方应退还甲方支付的合同款。</w:t>
      </w:r>
    </w:p>
    <w:p>
      <w:pPr>
        <w:ind w:firstLine="438"/>
        <w:rPr>
          <w:rFonts w:ascii="仿宋" w:hAnsi="仿宋" w:eastAsia="仿宋"/>
          <w:color w:val="auto"/>
          <w:highlight w:val="none"/>
        </w:rPr>
      </w:pPr>
      <w:r>
        <w:rPr>
          <w:rFonts w:hint="eastAsia" w:ascii="仿宋" w:hAnsi="仿宋" w:eastAsia="仿宋"/>
          <w:color w:val="auto"/>
          <w:highlight w:val="none"/>
        </w:rPr>
        <w:t>5.3乙方应对服务过程中出现的安全问题负责处理解决并承担一切费用。</w:t>
      </w:r>
    </w:p>
    <w:p>
      <w:pPr>
        <w:ind w:firstLine="438"/>
        <w:rPr>
          <w:rFonts w:ascii="仿宋" w:hAnsi="仿宋" w:eastAsia="仿宋"/>
          <w:color w:val="auto"/>
          <w:highlight w:val="none"/>
        </w:rPr>
      </w:pPr>
      <w:r>
        <w:rPr>
          <w:rFonts w:hint="eastAsia" w:ascii="仿宋" w:hAnsi="仿宋" w:eastAsia="仿宋"/>
          <w:color w:val="auto"/>
          <w:highlight w:val="none"/>
        </w:rPr>
        <w:t>6.付款</w:t>
      </w:r>
    </w:p>
    <w:p>
      <w:pPr>
        <w:ind w:firstLine="438"/>
        <w:rPr>
          <w:rFonts w:ascii="仿宋" w:hAnsi="仿宋" w:eastAsia="仿宋"/>
          <w:color w:val="auto"/>
          <w:highlight w:val="none"/>
        </w:rPr>
      </w:pPr>
      <w:r>
        <w:rPr>
          <w:rFonts w:hint="eastAsia" w:ascii="仿宋" w:hAnsi="仿宋" w:eastAsia="仿宋"/>
          <w:color w:val="auto"/>
          <w:highlight w:val="none"/>
        </w:rPr>
        <w:t>6.1本合同使用货币币制如未作特别说明均为人民币。</w:t>
      </w:r>
    </w:p>
    <w:p>
      <w:pPr>
        <w:ind w:firstLine="438"/>
        <w:rPr>
          <w:rFonts w:ascii="仿宋" w:hAnsi="仿宋" w:eastAsia="仿宋"/>
          <w:color w:val="auto"/>
          <w:highlight w:val="none"/>
        </w:rPr>
      </w:pPr>
      <w:r>
        <w:rPr>
          <w:rFonts w:hint="eastAsia" w:ascii="仿宋" w:hAnsi="仿宋" w:eastAsia="仿宋"/>
          <w:color w:val="auto"/>
          <w:highlight w:val="none"/>
        </w:rPr>
        <w:t>6.2付款方式：银行转账、现金支票。</w:t>
      </w:r>
    </w:p>
    <w:p>
      <w:pPr>
        <w:ind w:firstLine="438"/>
        <w:rPr>
          <w:rFonts w:ascii="仿宋" w:hAnsi="仿宋" w:eastAsia="仿宋"/>
          <w:color w:val="auto"/>
          <w:highlight w:val="none"/>
        </w:rPr>
      </w:pPr>
      <w:r>
        <w:rPr>
          <w:rFonts w:hint="eastAsia" w:ascii="仿宋" w:hAnsi="仿宋" w:eastAsia="仿宋"/>
          <w:color w:val="auto"/>
          <w:highlight w:val="none"/>
        </w:rPr>
        <w:t>6.3付款方法：同本项目“第三篇 商务条款”中关于付款方式的约定。</w:t>
      </w:r>
    </w:p>
    <w:p>
      <w:pPr>
        <w:ind w:firstLine="438"/>
        <w:rPr>
          <w:rFonts w:ascii="仿宋" w:hAnsi="仿宋" w:eastAsia="仿宋"/>
          <w:color w:val="auto"/>
          <w:highlight w:val="none"/>
        </w:rPr>
      </w:pPr>
      <w:r>
        <w:rPr>
          <w:rFonts w:hint="eastAsia" w:ascii="仿宋" w:hAnsi="仿宋" w:eastAsia="仿宋"/>
          <w:color w:val="auto"/>
          <w:highlight w:val="none"/>
        </w:rPr>
        <w:t>7.检查验收</w:t>
      </w:r>
    </w:p>
    <w:p>
      <w:pPr>
        <w:ind w:firstLine="438"/>
        <w:rPr>
          <w:rFonts w:ascii="仿宋" w:hAnsi="仿宋" w:eastAsia="仿宋"/>
          <w:color w:val="auto"/>
          <w:highlight w:val="none"/>
        </w:rPr>
      </w:pPr>
      <w:r>
        <w:rPr>
          <w:rFonts w:hint="eastAsia" w:ascii="仿宋" w:hAnsi="仿宋" w:eastAsia="仿宋"/>
          <w:color w:val="auto"/>
          <w:highlight w:val="none"/>
        </w:rPr>
        <w:t>（1）服务验收</w:t>
      </w:r>
    </w:p>
    <w:p>
      <w:pPr>
        <w:ind w:firstLine="438"/>
        <w:rPr>
          <w:rFonts w:ascii="仿宋" w:hAnsi="仿宋" w:eastAsia="仿宋"/>
          <w:color w:val="auto"/>
          <w:highlight w:val="none"/>
        </w:rPr>
      </w:pPr>
      <w:r>
        <w:rPr>
          <w:rFonts w:hint="eastAsia" w:ascii="仿宋" w:hAnsi="仿宋" w:eastAsia="仿宋"/>
          <w:color w:val="auto"/>
          <w:highlight w:val="none"/>
        </w:rPr>
        <w:t>供方所供服务的各种指标不得低于招标文件和电子投标文件的约定，服务质量要求按照招标文件和电子投标文件的内容执行。</w:t>
      </w:r>
    </w:p>
    <w:p>
      <w:pPr>
        <w:ind w:firstLine="438"/>
        <w:rPr>
          <w:rFonts w:ascii="仿宋" w:hAnsi="仿宋" w:eastAsia="仿宋"/>
          <w:color w:val="auto"/>
          <w:highlight w:val="none"/>
        </w:rPr>
      </w:pPr>
      <w:r>
        <w:rPr>
          <w:rFonts w:hint="eastAsia" w:ascii="仿宋" w:hAnsi="仿宋" w:eastAsia="仿宋"/>
          <w:color w:val="auto"/>
          <w:highlight w:val="none"/>
        </w:rPr>
        <w:t>（2）货物验收报告应由需方、供方经办人签字，并加盖双方公章，以此作为支付凭据。</w:t>
      </w:r>
    </w:p>
    <w:p>
      <w:pPr>
        <w:ind w:firstLine="438"/>
        <w:rPr>
          <w:rFonts w:ascii="仿宋" w:hAnsi="仿宋" w:eastAsia="仿宋"/>
          <w:color w:val="auto"/>
          <w:highlight w:val="none"/>
        </w:rPr>
      </w:pPr>
      <w:r>
        <w:rPr>
          <w:rFonts w:hint="eastAsia" w:ascii="仿宋" w:hAnsi="仿宋" w:eastAsia="仿宋"/>
          <w:color w:val="auto"/>
          <w:highlight w:val="none"/>
        </w:rPr>
        <w:t>8.索赔</w:t>
      </w:r>
    </w:p>
    <w:p>
      <w:pPr>
        <w:ind w:firstLine="438"/>
        <w:rPr>
          <w:rFonts w:ascii="仿宋" w:hAnsi="仿宋" w:eastAsia="仿宋"/>
          <w:color w:val="auto"/>
          <w:highlight w:val="none"/>
        </w:rPr>
      </w:pPr>
      <w:r>
        <w:rPr>
          <w:rFonts w:hint="eastAsia" w:ascii="仿宋" w:hAnsi="仿宋" w:eastAsia="仿宋"/>
          <w:color w:val="auto"/>
          <w:highlight w:val="none"/>
        </w:rPr>
        <w:t>供方对所提供服务与合同要求不符负有责任，并且需方提出索赔，供方应按需方同意的下述一种或多种方法解决索赔事宜。</w:t>
      </w:r>
    </w:p>
    <w:p>
      <w:pPr>
        <w:ind w:firstLine="438"/>
        <w:rPr>
          <w:rFonts w:ascii="仿宋" w:hAnsi="仿宋" w:eastAsia="仿宋"/>
          <w:color w:val="auto"/>
          <w:highlight w:val="none"/>
        </w:rPr>
      </w:pPr>
      <w:r>
        <w:rPr>
          <w:rFonts w:hint="eastAsia" w:ascii="仿宋" w:hAnsi="仿宋" w:eastAsia="仿宋"/>
          <w:color w:val="auto"/>
          <w:highlight w:val="none"/>
        </w:rPr>
        <w:t>（1）供方同意需方拒绝服务并把拒绝部分的金额以合同规定的同类货币付给需方，供方负担发生的一切损失和费用。</w:t>
      </w:r>
    </w:p>
    <w:p>
      <w:pPr>
        <w:ind w:firstLine="438"/>
        <w:rPr>
          <w:rFonts w:ascii="仿宋" w:hAnsi="仿宋" w:eastAsia="仿宋"/>
          <w:color w:val="auto"/>
          <w:highlight w:val="none"/>
        </w:rPr>
      </w:pPr>
      <w:r>
        <w:rPr>
          <w:rFonts w:hint="eastAsia" w:ascii="仿宋" w:hAnsi="仿宋" w:eastAsia="仿宋"/>
          <w:color w:val="auto"/>
          <w:highlight w:val="none"/>
        </w:rPr>
        <w:t>（2）根据服务的疵劣和受损程度以及需方遭受损失的金额，经双方同意降低服务价格。</w:t>
      </w:r>
    </w:p>
    <w:p>
      <w:pPr>
        <w:ind w:firstLine="438"/>
        <w:rPr>
          <w:rFonts w:ascii="仿宋" w:hAnsi="仿宋" w:eastAsia="仿宋"/>
          <w:color w:val="auto"/>
          <w:highlight w:val="none"/>
        </w:rPr>
      </w:pPr>
      <w:r>
        <w:rPr>
          <w:rFonts w:hint="eastAsia" w:ascii="仿宋" w:hAnsi="仿宋" w:eastAsia="仿宋"/>
          <w:color w:val="auto"/>
          <w:highlight w:val="none"/>
        </w:rPr>
        <w:t>9.知识产权</w:t>
      </w:r>
    </w:p>
    <w:p>
      <w:pPr>
        <w:ind w:firstLine="438"/>
        <w:rPr>
          <w:rFonts w:ascii="仿宋" w:hAnsi="仿宋" w:eastAsia="仿宋"/>
          <w:color w:val="auto"/>
          <w:highlight w:val="none"/>
        </w:rPr>
      </w:pPr>
      <w:r>
        <w:rPr>
          <w:rFonts w:hint="eastAsia" w:ascii="仿宋" w:hAnsi="仿宋" w:eastAsia="仿宋"/>
          <w:color w:val="auto"/>
          <w:highlight w:val="none"/>
        </w:rPr>
        <w:t>甲方在中华人民共和国境内使用乙方提供的服务时免受第三方提出的侵犯其专利权或其它知识产权的起诉。如果第三方提出侵权指控，乙方应承担由此而引起的一切法律责任和费用。</w:t>
      </w:r>
    </w:p>
    <w:p>
      <w:pPr>
        <w:ind w:firstLine="438"/>
        <w:rPr>
          <w:rFonts w:ascii="仿宋" w:hAnsi="仿宋" w:eastAsia="仿宋"/>
          <w:bCs/>
          <w:color w:val="auto"/>
          <w:highlight w:val="none"/>
        </w:rPr>
      </w:pPr>
      <w:r>
        <w:rPr>
          <w:rFonts w:hint="eastAsia" w:ascii="仿宋" w:hAnsi="仿宋" w:eastAsia="仿宋"/>
          <w:bCs/>
          <w:color w:val="auto"/>
          <w:highlight w:val="none"/>
        </w:rPr>
        <w:t>10.合同争议的解决</w:t>
      </w:r>
    </w:p>
    <w:p>
      <w:pPr>
        <w:ind w:firstLine="438"/>
        <w:rPr>
          <w:rFonts w:ascii="仿宋" w:hAnsi="仿宋" w:eastAsia="仿宋"/>
          <w:bCs/>
          <w:color w:val="auto"/>
          <w:highlight w:val="none"/>
        </w:rPr>
      </w:pPr>
      <w:r>
        <w:rPr>
          <w:rFonts w:hint="eastAsia" w:ascii="仿宋" w:hAnsi="仿宋" w:eastAsia="仿宋"/>
          <w:bCs/>
          <w:color w:val="auto"/>
          <w:highlight w:val="none"/>
        </w:rPr>
        <w:t>（1）当事人友好协商达成一致</w:t>
      </w:r>
    </w:p>
    <w:p>
      <w:pPr>
        <w:ind w:firstLine="438"/>
        <w:rPr>
          <w:rFonts w:ascii="仿宋" w:hAnsi="仿宋" w:eastAsia="仿宋"/>
          <w:bCs/>
          <w:color w:val="auto"/>
          <w:highlight w:val="none"/>
        </w:rPr>
      </w:pPr>
      <w:r>
        <w:rPr>
          <w:rFonts w:hint="eastAsia" w:ascii="仿宋" w:hAnsi="仿宋" w:eastAsia="仿宋"/>
          <w:bCs/>
          <w:color w:val="auto"/>
          <w:highlight w:val="none"/>
        </w:rPr>
        <w:t>（2）在60天内当事人协商不能达成协议的，可提请采购人当地仲裁机构仲裁。</w:t>
      </w:r>
    </w:p>
    <w:p>
      <w:pPr>
        <w:ind w:firstLine="438"/>
        <w:rPr>
          <w:rFonts w:ascii="仿宋" w:hAnsi="仿宋" w:eastAsia="仿宋"/>
          <w:bCs/>
          <w:color w:val="auto"/>
          <w:highlight w:val="none"/>
        </w:rPr>
      </w:pPr>
      <w:r>
        <w:rPr>
          <w:rFonts w:hint="eastAsia" w:ascii="仿宋" w:hAnsi="仿宋" w:eastAsia="仿宋"/>
          <w:bCs/>
          <w:color w:val="auto"/>
          <w:highlight w:val="none"/>
        </w:rPr>
        <w:t>11.违约责任</w:t>
      </w:r>
    </w:p>
    <w:p>
      <w:pPr>
        <w:ind w:firstLine="438"/>
        <w:rPr>
          <w:rFonts w:ascii="仿宋" w:hAnsi="仿宋" w:eastAsia="仿宋"/>
          <w:bCs/>
          <w:color w:val="auto"/>
          <w:highlight w:val="none"/>
        </w:rPr>
      </w:pPr>
      <w:r>
        <w:rPr>
          <w:rFonts w:hint="eastAsia" w:ascii="仿宋" w:hAnsi="仿宋" w:eastAsia="仿宋"/>
          <w:bCs/>
          <w:color w:val="auto"/>
          <w:highlight w:val="none"/>
        </w:rPr>
        <w:t>按</w:t>
      </w:r>
      <w:r>
        <w:rPr>
          <w:rFonts w:hint="eastAsia" w:ascii="仿宋" w:hAnsi="仿宋" w:eastAsia="仿宋"/>
          <w:color w:val="auto"/>
          <w:highlight w:val="none"/>
        </w:rPr>
        <w:t>《中华人民共和国民法典》</w:t>
      </w:r>
      <w:r>
        <w:rPr>
          <w:rFonts w:hint="eastAsia" w:ascii="仿宋" w:hAnsi="仿宋" w:eastAsia="仿宋"/>
          <w:bCs/>
          <w:color w:val="auto"/>
          <w:highlight w:val="none"/>
        </w:rPr>
        <w:t>、《中华人民共和国政府采购法》有关条款，或由供需双方约定。</w:t>
      </w:r>
    </w:p>
    <w:p>
      <w:pPr>
        <w:ind w:firstLine="438"/>
        <w:rPr>
          <w:rFonts w:ascii="仿宋" w:hAnsi="仿宋" w:eastAsia="仿宋"/>
          <w:bCs/>
          <w:color w:val="auto"/>
          <w:highlight w:val="none"/>
        </w:rPr>
      </w:pPr>
      <w:r>
        <w:rPr>
          <w:rFonts w:hint="eastAsia" w:ascii="仿宋" w:hAnsi="仿宋" w:eastAsia="仿宋"/>
          <w:bCs/>
          <w:color w:val="auto"/>
          <w:highlight w:val="none"/>
        </w:rPr>
        <w:t>12.合同生效及其它</w:t>
      </w:r>
    </w:p>
    <w:p>
      <w:pPr>
        <w:ind w:firstLine="438"/>
        <w:rPr>
          <w:rFonts w:ascii="仿宋" w:hAnsi="仿宋" w:eastAsia="仿宋"/>
          <w:bCs/>
          <w:color w:val="auto"/>
          <w:highlight w:val="none"/>
        </w:rPr>
      </w:pPr>
      <w:r>
        <w:rPr>
          <w:rFonts w:hint="eastAsia" w:ascii="仿宋" w:hAnsi="仿宋" w:eastAsia="仿宋"/>
          <w:bCs/>
          <w:color w:val="auto"/>
          <w:highlight w:val="none"/>
        </w:rPr>
        <w:t>（1）合同生效及其效力应符合</w:t>
      </w:r>
      <w:r>
        <w:rPr>
          <w:rFonts w:hint="eastAsia" w:ascii="仿宋" w:hAnsi="仿宋" w:eastAsia="仿宋"/>
          <w:color w:val="auto"/>
          <w:highlight w:val="none"/>
        </w:rPr>
        <w:t>《中华人民共和国民法典》</w:t>
      </w:r>
      <w:r>
        <w:rPr>
          <w:rFonts w:hint="eastAsia" w:ascii="仿宋" w:hAnsi="仿宋" w:eastAsia="仿宋"/>
          <w:bCs/>
          <w:color w:val="auto"/>
          <w:highlight w:val="none"/>
        </w:rPr>
        <w:t>有关规定。</w:t>
      </w:r>
    </w:p>
    <w:p>
      <w:pPr>
        <w:ind w:firstLine="438"/>
        <w:rPr>
          <w:rFonts w:ascii="仿宋" w:hAnsi="仿宋" w:eastAsia="仿宋"/>
          <w:bCs/>
          <w:color w:val="auto"/>
          <w:highlight w:val="none"/>
        </w:rPr>
      </w:pPr>
      <w:r>
        <w:rPr>
          <w:rFonts w:hint="eastAsia" w:ascii="仿宋" w:hAnsi="仿宋" w:eastAsia="仿宋"/>
          <w:bCs/>
          <w:color w:val="auto"/>
          <w:highlight w:val="none"/>
        </w:rPr>
        <w:t>（2）合同应经当事人法定代表人或委托代理人签字，加盖双方合同专用章或公章。</w:t>
      </w:r>
    </w:p>
    <w:p>
      <w:pPr>
        <w:ind w:firstLine="438"/>
        <w:rPr>
          <w:rFonts w:ascii="仿宋" w:hAnsi="仿宋" w:eastAsia="仿宋"/>
          <w:bCs/>
          <w:color w:val="auto"/>
          <w:highlight w:val="none"/>
        </w:rPr>
      </w:pPr>
      <w:r>
        <w:rPr>
          <w:rFonts w:hint="eastAsia" w:ascii="仿宋" w:hAnsi="仿宋" w:eastAsia="仿宋"/>
          <w:bCs/>
          <w:color w:val="auto"/>
          <w:highlight w:val="none"/>
        </w:rPr>
        <w:t>（3）合同所包括附件，是合同不可分割的一部分，具有同等法法律效力。</w:t>
      </w:r>
    </w:p>
    <w:p>
      <w:pPr>
        <w:ind w:firstLine="438"/>
        <w:rPr>
          <w:rFonts w:ascii="仿宋" w:hAnsi="仿宋" w:eastAsia="仿宋"/>
          <w:color w:val="auto"/>
          <w:highlight w:val="none"/>
        </w:rPr>
      </w:pPr>
      <w:r>
        <w:rPr>
          <w:rFonts w:hint="eastAsia" w:ascii="仿宋" w:hAnsi="仿宋" w:eastAsia="仿宋"/>
          <w:bCs/>
          <w:color w:val="auto"/>
          <w:highlight w:val="none"/>
        </w:rPr>
        <w:t>（4）本合同条件未尽事宜依照</w:t>
      </w:r>
      <w:r>
        <w:rPr>
          <w:rFonts w:hint="eastAsia" w:ascii="仿宋" w:hAnsi="仿宋" w:eastAsia="仿宋"/>
          <w:color w:val="auto"/>
          <w:highlight w:val="none"/>
        </w:rPr>
        <w:t>《中华人民共和国民法典》</w:t>
      </w:r>
      <w:r>
        <w:rPr>
          <w:rFonts w:hint="eastAsia" w:ascii="仿宋" w:hAnsi="仿宋" w:eastAsia="仿宋"/>
          <w:bCs/>
          <w:color w:val="auto"/>
          <w:highlight w:val="none"/>
        </w:rPr>
        <w:t>，由供需双方共同协商确定。</w:t>
      </w:r>
    </w:p>
    <w:p>
      <w:pPr>
        <w:ind w:firstLine="438"/>
        <w:rPr>
          <w:color w:val="auto"/>
          <w:highlight w:val="none"/>
        </w:rPr>
        <w:sectPr>
          <w:pgSz w:w="11907" w:h="16840"/>
          <w:pgMar w:top="1134" w:right="1191" w:bottom="1134" w:left="1304" w:header="794" w:footer="992" w:gutter="0"/>
          <w:cols w:space="720" w:num="1"/>
          <w:docGrid w:type="linesAndChars" w:linePitch="393" w:charSpace="-4325"/>
        </w:sectPr>
      </w:pPr>
    </w:p>
    <w:p>
      <w:pPr>
        <w:pStyle w:val="4"/>
        <w:spacing w:before="196" w:after="196"/>
        <w:ind w:firstLine="520"/>
        <w:rPr>
          <w:rFonts w:ascii="仿宋" w:hAnsi="仿宋" w:eastAsia="仿宋"/>
          <w:color w:val="auto"/>
          <w:szCs w:val="22"/>
          <w:highlight w:val="none"/>
        </w:rPr>
      </w:pPr>
      <w:bookmarkStart w:id="742" w:name="_Toc23682"/>
      <w:bookmarkStart w:id="743" w:name="_Toc63600442"/>
      <w:r>
        <w:rPr>
          <w:rFonts w:hint="eastAsia" w:ascii="仿宋" w:hAnsi="仿宋" w:eastAsia="仿宋"/>
          <w:color w:val="auto"/>
          <w:szCs w:val="22"/>
          <w:highlight w:val="none"/>
        </w:rPr>
        <w:t>二、政府采购合同（格式）</w:t>
      </w:r>
      <w:bookmarkEnd w:id="742"/>
      <w:bookmarkEnd w:id="743"/>
    </w:p>
    <w:p>
      <w:pPr>
        <w:spacing w:line="500" w:lineRule="exact"/>
        <w:ind w:firstLine="841"/>
        <w:jc w:val="center"/>
        <w:rPr>
          <w:rFonts w:ascii="仿宋" w:hAnsi="仿宋" w:eastAsia="仿宋"/>
          <w:b/>
          <w:color w:val="auto"/>
          <w:sz w:val="44"/>
          <w:highlight w:val="none"/>
        </w:rPr>
      </w:pPr>
    </w:p>
    <w:p>
      <w:pPr>
        <w:ind w:firstLine="0" w:firstLineChars="0"/>
        <w:jc w:val="center"/>
        <w:rPr>
          <w:rFonts w:ascii="仿宋" w:hAnsi="仿宋" w:eastAsia="仿宋"/>
          <w:b/>
          <w:bCs/>
          <w:color w:val="auto"/>
          <w:sz w:val="40"/>
          <w:szCs w:val="28"/>
          <w:highlight w:val="none"/>
        </w:rPr>
      </w:pPr>
      <w:r>
        <w:rPr>
          <w:rFonts w:hint="eastAsia" w:ascii="仿宋" w:hAnsi="仿宋" w:eastAsia="仿宋"/>
          <w:b/>
          <w:bCs/>
          <w:color w:val="auto"/>
          <w:sz w:val="40"/>
          <w:szCs w:val="28"/>
          <w:highlight w:val="none"/>
        </w:rPr>
        <w:t>重庆市政府采购合同</w:t>
      </w:r>
    </w:p>
    <w:p>
      <w:pPr>
        <w:ind w:firstLine="0" w:firstLineChars="0"/>
        <w:jc w:val="center"/>
        <w:rPr>
          <w:rFonts w:ascii="仿宋" w:hAnsi="仿宋" w:eastAsia="仿宋"/>
          <w:color w:val="auto"/>
          <w:highlight w:val="none"/>
        </w:rPr>
      </w:pPr>
      <w:r>
        <w:rPr>
          <w:rFonts w:hint="eastAsia" w:ascii="仿宋" w:hAnsi="仿宋" w:eastAsia="仿宋"/>
          <w:color w:val="auto"/>
          <w:highlight w:val="none"/>
        </w:rPr>
        <w:t>（项目号：    ）</w:t>
      </w:r>
    </w:p>
    <w:p>
      <w:pPr>
        <w:ind w:firstLine="438"/>
        <w:rPr>
          <w:rFonts w:ascii="仿宋" w:hAnsi="仿宋" w:eastAsia="仿宋"/>
          <w:color w:val="auto"/>
          <w:highlight w:val="none"/>
        </w:rPr>
      </w:pPr>
      <w:r>
        <w:rPr>
          <w:rFonts w:hint="eastAsia" w:ascii="仿宋" w:hAnsi="仿宋" w:eastAsia="仿宋"/>
          <w:color w:val="auto"/>
          <w:highlight w:val="none"/>
        </w:rPr>
        <w:t>甲方（需方）：___________________________          计价单位：____________</w:t>
      </w:r>
    </w:p>
    <w:p>
      <w:pPr>
        <w:ind w:firstLine="438"/>
        <w:rPr>
          <w:rFonts w:ascii="仿宋" w:hAnsi="仿宋" w:eastAsia="仿宋"/>
          <w:color w:val="auto"/>
          <w:highlight w:val="none"/>
        </w:rPr>
      </w:pPr>
      <w:r>
        <w:rPr>
          <w:rFonts w:hint="eastAsia" w:ascii="仿宋" w:hAnsi="仿宋" w:eastAsia="仿宋"/>
          <w:color w:val="auto"/>
          <w:highlight w:val="none"/>
        </w:rPr>
        <w:t>乙方（供方）：___________________________          计量单位：____________</w:t>
      </w:r>
    </w:p>
    <w:p>
      <w:pPr>
        <w:ind w:firstLine="438"/>
        <w:rPr>
          <w:rFonts w:ascii="仿宋" w:hAnsi="仿宋" w:eastAsia="仿宋"/>
          <w:color w:val="auto"/>
          <w:highlight w:val="none"/>
        </w:rPr>
      </w:pPr>
    </w:p>
    <w:p>
      <w:pPr>
        <w:ind w:firstLine="81" w:firstLineChars="37"/>
        <w:rPr>
          <w:rFonts w:ascii="仿宋" w:hAnsi="仿宋" w:eastAsia="仿宋"/>
          <w:color w:val="auto"/>
          <w:highlight w:val="none"/>
        </w:rPr>
      </w:pPr>
      <w:r>
        <w:rPr>
          <w:rFonts w:hint="eastAsia" w:ascii="仿宋" w:hAnsi="仿宋" w:eastAsia="仿宋"/>
          <w:color w:val="auto"/>
          <w:highlight w:val="none"/>
        </w:rPr>
        <w:t>经双方协商一致，达成以下购销合同：</w:t>
      </w:r>
    </w:p>
    <w:tbl>
      <w:tblPr>
        <w:tblStyle w:val="3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1741"/>
        <w:gridCol w:w="1148"/>
        <w:gridCol w:w="326"/>
        <w:gridCol w:w="808"/>
        <w:gridCol w:w="1134"/>
        <w:gridCol w:w="1559"/>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trPr>
        <w:tc>
          <w:tcPr>
            <w:tcW w:w="1222" w:type="dxa"/>
            <w:vAlign w:val="center"/>
          </w:tcPr>
          <w:p>
            <w:pPr>
              <w:spacing w:line="240" w:lineRule="atLeast"/>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服务名称</w:t>
            </w: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服务具体内容</w:t>
            </w: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服务期限</w:t>
            </w: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单价</w:t>
            </w: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总价</w:t>
            </w: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服务时间</w:t>
            </w: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22" w:type="dxa"/>
            <w:vAlign w:val="center"/>
          </w:tcPr>
          <w:p>
            <w:pPr>
              <w:spacing w:line="240" w:lineRule="atLeast"/>
              <w:ind w:firstLine="0" w:firstLineChars="0"/>
              <w:jc w:val="center"/>
              <w:rPr>
                <w:rFonts w:ascii="仿宋" w:hAnsi="仿宋" w:eastAsia="仿宋"/>
                <w:color w:val="auto"/>
                <w:sz w:val="21"/>
                <w:szCs w:val="21"/>
                <w:highlight w:val="none"/>
              </w:rPr>
            </w:pPr>
          </w:p>
        </w:tc>
        <w:tc>
          <w:tcPr>
            <w:tcW w:w="1741" w:type="dxa"/>
            <w:vAlign w:val="center"/>
          </w:tcPr>
          <w:p>
            <w:pPr>
              <w:spacing w:line="240" w:lineRule="atLeast"/>
              <w:ind w:firstLine="0" w:firstLineChars="0"/>
              <w:jc w:val="center"/>
              <w:rPr>
                <w:rFonts w:ascii="仿宋" w:hAnsi="仿宋" w:eastAsia="仿宋"/>
                <w:color w:val="auto"/>
                <w:sz w:val="21"/>
                <w:szCs w:val="21"/>
                <w:highlight w:val="none"/>
              </w:rPr>
            </w:pPr>
          </w:p>
        </w:tc>
        <w:tc>
          <w:tcPr>
            <w:tcW w:w="1148" w:type="dxa"/>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gridSpan w:val="2"/>
            <w:vAlign w:val="center"/>
          </w:tcPr>
          <w:p>
            <w:pPr>
              <w:spacing w:line="240" w:lineRule="atLeast"/>
              <w:ind w:firstLine="0" w:firstLineChars="0"/>
              <w:jc w:val="center"/>
              <w:rPr>
                <w:rFonts w:ascii="仿宋" w:hAnsi="仿宋" w:eastAsia="仿宋"/>
                <w:color w:val="auto"/>
                <w:sz w:val="21"/>
                <w:szCs w:val="21"/>
                <w:highlight w:val="none"/>
              </w:rPr>
            </w:pPr>
          </w:p>
        </w:tc>
        <w:tc>
          <w:tcPr>
            <w:tcW w:w="1134" w:type="dxa"/>
            <w:vAlign w:val="center"/>
          </w:tcPr>
          <w:p>
            <w:pPr>
              <w:spacing w:line="240" w:lineRule="atLeast"/>
              <w:ind w:firstLine="0" w:firstLineChars="0"/>
              <w:jc w:val="center"/>
              <w:rPr>
                <w:rFonts w:ascii="仿宋" w:hAnsi="仿宋" w:eastAsia="仿宋"/>
                <w:color w:val="auto"/>
                <w:sz w:val="21"/>
                <w:szCs w:val="21"/>
                <w:highlight w:val="none"/>
              </w:rPr>
            </w:pPr>
          </w:p>
        </w:tc>
        <w:tc>
          <w:tcPr>
            <w:tcW w:w="1559" w:type="dxa"/>
            <w:vAlign w:val="center"/>
          </w:tcPr>
          <w:p>
            <w:pPr>
              <w:spacing w:line="240" w:lineRule="atLeast"/>
              <w:ind w:firstLine="0" w:firstLineChars="0"/>
              <w:jc w:val="center"/>
              <w:rPr>
                <w:rFonts w:ascii="仿宋" w:hAnsi="仿宋" w:eastAsia="仿宋"/>
                <w:color w:val="auto"/>
                <w:sz w:val="21"/>
                <w:szCs w:val="21"/>
                <w:highlight w:val="none"/>
              </w:rPr>
            </w:pPr>
          </w:p>
        </w:tc>
        <w:tc>
          <w:tcPr>
            <w:tcW w:w="1418" w:type="dxa"/>
            <w:vAlign w:val="center"/>
          </w:tcPr>
          <w:p>
            <w:pPr>
              <w:spacing w:line="240" w:lineRule="atLeast"/>
              <w:ind w:firstLine="0" w:firstLineChars="0"/>
              <w:jc w:val="center"/>
              <w:rPr>
                <w:rFonts w:ascii="仿宋" w:hAnsi="仿宋" w:eastAsia="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9356" w:type="dxa"/>
            <w:gridSpan w:val="8"/>
            <w:vAlign w:val="center"/>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合计人民币（小写）：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9356" w:type="dxa"/>
            <w:gridSpan w:val="8"/>
            <w:vAlign w:val="center"/>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合计人民币（大写）：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1" w:hRule="atLeast"/>
        </w:trPr>
        <w:tc>
          <w:tcPr>
            <w:tcW w:w="9356" w:type="dxa"/>
            <w:gridSpan w:val="8"/>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一、服务要求和质量保证：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1" w:hRule="atLeast"/>
        </w:trPr>
        <w:tc>
          <w:tcPr>
            <w:tcW w:w="9356" w:type="dxa"/>
            <w:gridSpan w:val="8"/>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二、服务方式：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2" w:hRule="atLeast"/>
        </w:trPr>
        <w:tc>
          <w:tcPr>
            <w:tcW w:w="9356" w:type="dxa"/>
            <w:gridSpan w:val="8"/>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三、验收标准、方法：</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如有异议，请于    日内提出。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trPr>
        <w:tc>
          <w:tcPr>
            <w:tcW w:w="9356" w:type="dxa"/>
            <w:gridSpan w:val="8"/>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四、付款方式：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3" w:hRule="atLeast"/>
        </w:trPr>
        <w:tc>
          <w:tcPr>
            <w:tcW w:w="9356" w:type="dxa"/>
            <w:gridSpan w:val="8"/>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五、违约责任：</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按《民法典》、《政府采购法》执行，或按双方约定。（采购人应按项目实际情况完整填写）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1" w:hRule="atLeast"/>
        </w:trPr>
        <w:tc>
          <w:tcPr>
            <w:tcW w:w="9356" w:type="dxa"/>
            <w:gridSpan w:val="8"/>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六、其他约定事项：</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1.招标文件及其补遗文件、电子投标文件和承诺是本合同不可分割的部分。</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2.本合同如发生争议由双方协商解决，协商不成向需方所在人民法院提请诉讼。</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3.本合同一式份，需方__份，供方__份，具备同等法律效力。</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4.其他：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8" w:hRule="atLeast"/>
        </w:trPr>
        <w:tc>
          <w:tcPr>
            <w:tcW w:w="4437" w:type="dxa"/>
            <w:gridSpan w:val="4"/>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需方：</w:t>
            </w:r>
          </w:p>
          <w:p>
            <w:pPr>
              <w:spacing w:line="240" w:lineRule="atLeast"/>
              <w:ind w:firstLine="0" w:firstLineChars="0"/>
              <w:rPr>
                <w:rFonts w:ascii="仿宋" w:hAnsi="仿宋" w:eastAsia="仿宋"/>
                <w:color w:val="auto"/>
                <w:sz w:val="21"/>
                <w:szCs w:val="21"/>
                <w:highlight w:val="none"/>
              </w:rPr>
            </w:pP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地址：</w:t>
            </w:r>
          </w:p>
          <w:p>
            <w:pPr>
              <w:spacing w:line="240" w:lineRule="atLeast"/>
              <w:ind w:firstLine="0" w:firstLineChars="0"/>
              <w:rPr>
                <w:rFonts w:ascii="仿宋" w:hAnsi="仿宋" w:eastAsia="仿宋"/>
                <w:color w:val="auto"/>
                <w:sz w:val="21"/>
                <w:szCs w:val="21"/>
                <w:highlight w:val="none"/>
              </w:rPr>
            </w:pP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联系电话：</w:t>
            </w:r>
          </w:p>
          <w:p>
            <w:pPr>
              <w:spacing w:line="240" w:lineRule="atLeast"/>
              <w:ind w:firstLine="0" w:firstLineChars="0"/>
              <w:rPr>
                <w:rFonts w:ascii="仿宋" w:hAnsi="仿宋" w:eastAsia="仿宋"/>
                <w:color w:val="auto"/>
                <w:sz w:val="21"/>
                <w:szCs w:val="21"/>
                <w:highlight w:val="none"/>
              </w:rPr>
            </w:pP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授权代表：</w:t>
            </w:r>
          </w:p>
        </w:tc>
        <w:tc>
          <w:tcPr>
            <w:tcW w:w="4919" w:type="dxa"/>
            <w:gridSpan w:val="4"/>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供方：</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地址：</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电话：</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传真：</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开户银行：</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账号：</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授权代表：</w:t>
            </w:r>
          </w:p>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18"/>
                <w:szCs w:val="18"/>
                <w:highlight w:val="none"/>
              </w:rPr>
              <w:t>（本栏请用计算机打印以便于准确付款）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9356" w:type="dxa"/>
            <w:gridSpan w:val="8"/>
          </w:tcPr>
          <w:p>
            <w:pPr>
              <w:spacing w:line="240" w:lineRule="atLeas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备注：</w:t>
            </w:r>
          </w:p>
          <w:p>
            <w:pPr>
              <w:spacing w:line="240" w:lineRule="atLeast"/>
              <w:ind w:firstLine="0" w:firstLineChars="0"/>
              <w:rPr>
                <w:rFonts w:ascii="仿宋" w:hAnsi="仿宋" w:eastAsia="仿宋"/>
                <w:color w:val="auto"/>
                <w:sz w:val="21"/>
                <w:szCs w:val="21"/>
                <w:highlight w:val="none"/>
              </w:rPr>
            </w:pPr>
          </w:p>
          <w:p>
            <w:pPr>
              <w:spacing w:line="240" w:lineRule="atLeast"/>
              <w:ind w:firstLine="0" w:firstLineChars="0"/>
              <w:rPr>
                <w:rFonts w:ascii="仿宋" w:hAnsi="仿宋" w:eastAsia="仿宋"/>
                <w:color w:val="auto"/>
                <w:sz w:val="21"/>
                <w:szCs w:val="21"/>
                <w:highlight w:val="none"/>
              </w:rPr>
            </w:pPr>
          </w:p>
        </w:tc>
      </w:tr>
    </w:tbl>
    <w:p>
      <w:pPr>
        <w:ind w:firstLine="425" w:firstLineChars="194"/>
        <w:jc w:val="left"/>
        <w:rPr>
          <w:color w:val="auto"/>
          <w:highlight w:val="none"/>
        </w:rPr>
      </w:pPr>
      <w:r>
        <w:rPr>
          <w:rFonts w:hint="eastAsia" w:ascii="仿宋" w:hAnsi="仿宋" w:eastAsia="仿宋"/>
          <w:color w:val="auto"/>
          <w:highlight w:val="none"/>
        </w:rPr>
        <w:t>签约时间：      年   月   日</w:t>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签约地点：</w:t>
      </w:r>
      <w:r>
        <w:rPr>
          <w:color w:val="auto"/>
          <w:highlight w:val="none"/>
        </w:rPr>
        <w:br w:type="page"/>
      </w:r>
    </w:p>
    <w:p>
      <w:pPr>
        <w:pStyle w:val="3"/>
        <w:numPr>
          <w:ilvl w:val="0"/>
          <w:numId w:val="1"/>
        </w:numPr>
        <w:tabs>
          <w:tab w:val="clear" w:pos="3360"/>
        </w:tabs>
        <w:spacing w:before="196" w:after="196" w:line="520" w:lineRule="exact"/>
        <w:ind w:left="1131" w:hanging="1132" w:hangingChars="270"/>
        <w:rPr>
          <w:rFonts w:hint="eastAsia" w:ascii="方正小标宋简体" w:eastAsia="方正小标宋简体"/>
          <w:color w:val="auto"/>
          <w:szCs w:val="22"/>
          <w:highlight w:val="none"/>
        </w:rPr>
      </w:pPr>
      <w:bookmarkStart w:id="744" w:name="_Toc13701"/>
      <w:bookmarkStart w:id="745" w:name="_Toc14474"/>
      <w:bookmarkStart w:id="746" w:name="_Toc5108"/>
      <w:bookmarkStart w:id="747" w:name="_Toc22880"/>
      <w:bookmarkStart w:id="748" w:name="_Toc11269"/>
      <w:bookmarkStart w:id="749" w:name="_Toc5491"/>
      <w:bookmarkStart w:id="750" w:name="_Toc19827"/>
      <w:bookmarkStart w:id="751" w:name="_Toc15"/>
      <w:bookmarkStart w:id="752" w:name="_Toc3550"/>
      <w:bookmarkStart w:id="753" w:name="_Toc63600443"/>
      <w:bookmarkStart w:id="754" w:name="_Toc31227"/>
      <w:bookmarkStart w:id="755" w:name="_Toc744"/>
      <w:bookmarkStart w:id="756" w:name="_Toc20926"/>
      <w:bookmarkStart w:id="757" w:name="_Toc23759"/>
      <w:r>
        <w:rPr>
          <w:rFonts w:hint="eastAsia" w:ascii="方正小标宋简体" w:eastAsia="方正小标宋简体"/>
          <w:color w:val="auto"/>
          <w:szCs w:val="22"/>
          <w:highlight w:val="none"/>
        </w:rPr>
        <w:t>电子投标文件格式</w:t>
      </w:r>
      <w:bookmarkEnd w:id="734"/>
      <w:bookmarkEnd w:id="735"/>
      <w:bookmarkEnd w:id="739"/>
      <w:bookmarkEnd w:id="740"/>
      <w:bookmarkEnd w:id="741"/>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pPr>
        <w:ind w:firstLine="0" w:firstLineChars="0"/>
        <w:jc w:val="center"/>
        <w:rPr>
          <w:rFonts w:ascii="仿宋" w:hAnsi="仿宋" w:eastAsia="仿宋"/>
          <w:color w:val="auto"/>
          <w:highlight w:val="none"/>
        </w:rPr>
      </w:pPr>
      <w:bookmarkStart w:id="758" w:name="_Toc26317"/>
      <w:bookmarkStart w:id="759" w:name="_Toc9504"/>
      <w:bookmarkStart w:id="760" w:name="_Toc7802"/>
      <w:bookmarkStart w:id="761" w:name="_Toc24536"/>
      <w:bookmarkStart w:id="762" w:name="_Toc954"/>
      <w:bookmarkStart w:id="763" w:name="_Toc26683"/>
      <w:bookmarkStart w:id="764" w:name="_Toc25864"/>
      <w:bookmarkStart w:id="765" w:name="_Toc3935"/>
      <w:bookmarkStart w:id="766" w:name="_Toc12933"/>
      <w:bookmarkStart w:id="767" w:name="_Toc6139"/>
      <w:bookmarkStart w:id="768" w:name="_Toc11783"/>
      <w:r>
        <w:rPr>
          <w:rFonts w:hint="eastAsia" w:ascii="仿宋" w:hAnsi="仿宋" w:eastAsia="仿宋"/>
          <w:color w:val="auto"/>
          <w:highlight w:val="none"/>
        </w:rPr>
        <w:t>（请按本篇要求提供，但不限于以下格式内容）</w:t>
      </w:r>
      <w:bookmarkEnd w:id="758"/>
      <w:bookmarkEnd w:id="759"/>
      <w:bookmarkEnd w:id="760"/>
      <w:bookmarkEnd w:id="761"/>
      <w:bookmarkEnd w:id="762"/>
      <w:bookmarkEnd w:id="763"/>
      <w:bookmarkEnd w:id="764"/>
      <w:bookmarkEnd w:id="765"/>
      <w:bookmarkEnd w:id="766"/>
      <w:bookmarkEnd w:id="767"/>
      <w:bookmarkEnd w:id="768"/>
    </w:p>
    <w:p>
      <w:pPr>
        <w:keepNext/>
        <w:keepLines/>
        <w:adjustRightInd w:val="0"/>
        <w:snapToGrid w:val="0"/>
        <w:ind w:firstLine="440"/>
        <w:rPr>
          <w:rFonts w:ascii="仿宋" w:hAnsi="仿宋" w:eastAsia="仿宋"/>
          <w:b/>
          <w:bCs/>
          <w:color w:val="auto"/>
          <w:highlight w:val="none"/>
        </w:rPr>
      </w:pPr>
      <w:bookmarkStart w:id="769" w:name="_Toc30790"/>
      <w:bookmarkStart w:id="770" w:name="_Toc32455"/>
      <w:bookmarkStart w:id="771" w:name="_Toc14950"/>
      <w:bookmarkStart w:id="772" w:name="_Toc32509"/>
      <w:bookmarkStart w:id="773" w:name="_Toc22181"/>
      <w:bookmarkStart w:id="774" w:name="_Toc7661"/>
      <w:bookmarkStart w:id="775" w:name="_Toc20489904"/>
      <w:bookmarkStart w:id="776" w:name="_Toc17080"/>
      <w:bookmarkStart w:id="777" w:name="_Toc2730"/>
      <w:bookmarkStart w:id="778" w:name="_Toc14438"/>
      <w:bookmarkStart w:id="779" w:name="_Toc7121"/>
      <w:bookmarkStart w:id="780" w:name="_Toc3600"/>
      <w:bookmarkStart w:id="781" w:name="_Toc26018"/>
      <w:r>
        <w:rPr>
          <w:rFonts w:hint="eastAsia" w:ascii="仿宋" w:hAnsi="仿宋" w:eastAsia="仿宋"/>
          <w:b/>
          <w:bCs/>
          <w:color w:val="auto"/>
          <w:highlight w:val="none"/>
        </w:rPr>
        <w:t>一、经济文件</w:t>
      </w:r>
      <w:bookmarkEnd w:id="769"/>
      <w:bookmarkEnd w:id="770"/>
      <w:bookmarkEnd w:id="771"/>
      <w:bookmarkEnd w:id="772"/>
      <w:bookmarkEnd w:id="773"/>
      <w:bookmarkEnd w:id="774"/>
      <w:bookmarkEnd w:id="775"/>
      <w:bookmarkEnd w:id="776"/>
      <w:bookmarkEnd w:id="777"/>
      <w:bookmarkEnd w:id="778"/>
      <w:bookmarkEnd w:id="779"/>
      <w:bookmarkEnd w:id="780"/>
      <w:bookmarkEnd w:id="781"/>
    </w:p>
    <w:p>
      <w:pPr>
        <w:ind w:firstLine="438"/>
        <w:rPr>
          <w:rFonts w:ascii="仿宋" w:hAnsi="仿宋" w:eastAsia="仿宋"/>
          <w:color w:val="auto"/>
          <w:szCs w:val="22"/>
          <w:highlight w:val="none"/>
        </w:rPr>
      </w:pPr>
      <w:r>
        <w:rPr>
          <w:rFonts w:hint="eastAsia" w:ascii="仿宋" w:hAnsi="仿宋" w:eastAsia="仿宋"/>
          <w:color w:val="auto"/>
          <w:szCs w:val="22"/>
          <w:highlight w:val="none"/>
        </w:rPr>
        <w:t>（一）开标一览表</w:t>
      </w:r>
    </w:p>
    <w:p>
      <w:pPr>
        <w:ind w:firstLine="438"/>
        <w:rPr>
          <w:rFonts w:ascii="仿宋" w:hAnsi="仿宋" w:eastAsia="仿宋"/>
          <w:color w:val="auto"/>
          <w:szCs w:val="22"/>
          <w:highlight w:val="none"/>
        </w:rPr>
      </w:pPr>
      <w:r>
        <w:rPr>
          <w:rFonts w:hint="eastAsia" w:ascii="仿宋" w:hAnsi="仿宋" w:eastAsia="仿宋"/>
          <w:color w:val="auto"/>
          <w:szCs w:val="22"/>
          <w:highlight w:val="none"/>
        </w:rPr>
        <w:t>（二）分项报价明细表</w:t>
      </w:r>
    </w:p>
    <w:p>
      <w:pPr>
        <w:keepNext/>
        <w:keepLines/>
        <w:adjustRightInd w:val="0"/>
        <w:snapToGrid w:val="0"/>
        <w:ind w:firstLine="440"/>
        <w:rPr>
          <w:rFonts w:ascii="仿宋" w:hAnsi="仿宋" w:eastAsia="仿宋"/>
          <w:b/>
          <w:bCs/>
          <w:color w:val="auto"/>
          <w:szCs w:val="22"/>
          <w:highlight w:val="none"/>
        </w:rPr>
      </w:pPr>
      <w:r>
        <w:rPr>
          <w:rFonts w:hint="eastAsia" w:ascii="仿宋" w:hAnsi="仿宋" w:eastAsia="仿宋"/>
          <w:b/>
          <w:bCs/>
          <w:color w:val="auto"/>
          <w:szCs w:val="22"/>
          <w:highlight w:val="none"/>
        </w:rPr>
        <w:t>二、服务文件</w:t>
      </w:r>
    </w:p>
    <w:p>
      <w:pPr>
        <w:ind w:firstLine="438"/>
        <w:rPr>
          <w:rFonts w:ascii="仿宋" w:hAnsi="仿宋" w:eastAsia="仿宋"/>
          <w:color w:val="auto"/>
          <w:highlight w:val="none"/>
        </w:rPr>
      </w:pPr>
      <w:bookmarkStart w:id="782" w:name="_Hlk70156938"/>
      <w:r>
        <w:rPr>
          <w:rFonts w:hint="eastAsia" w:ascii="仿宋" w:hAnsi="仿宋" w:eastAsia="仿宋"/>
          <w:color w:val="auto"/>
          <w:highlight w:val="none"/>
        </w:rPr>
        <w:t>（一）服务条款差异表</w:t>
      </w:r>
    </w:p>
    <w:p>
      <w:pPr>
        <w:ind w:firstLine="438"/>
        <w:rPr>
          <w:rFonts w:ascii="仿宋" w:hAnsi="仿宋" w:eastAsia="仿宋"/>
          <w:color w:val="auto"/>
          <w:highlight w:val="none"/>
        </w:rPr>
      </w:pPr>
      <w:r>
        <w:rPr>
          <w:rFonts w:hint="eastAsia" w:ascii="仿宋" w:hAnsi="仿宋" w:eastAsia="仿宋"/>
          <w:color w:val="auto"/>
          <w:highlight w:val="none"/>
        </w:rPr>
        <w:t>（二）第二篇所需方案或证明材料</w:t>
      </w:r>
    </w:p>
    <w:p>
      <w:pPr>
        <w:ind w:firstLine="438"/>
        <w:rPr>
          <w:rFonts w:ascii="仿宋" w:hAnsi="仿宋" w:eastAsia="仿宋"/>
          <w:color w:val="auto"/>
          <w:szCs w:val="22"/>
          <w:highlight w:val="none"/>
        </w:rPr>
      </w:pPr>
      <w:r>
        <w:rPr>
          <w:rFonts w:hint="eastAsia" w:ascii="仿宋" w:hAnsi="仿宋" w:eastAsia="仿宋"/>
          <w:color w:val="auto"/>
          <w:szCs w:val="22"/>
          <w:highlight w:val="none"/>
        </w:rPr>
        <w:t>（三）第四篇评审因素服务部分所需方案及证明材料</w:t>
      </w:r>
    </w:p>
    <w:p>
      <w:pPr>
        <w:ind w:firstLine="438"/>
        <w:rPr>
          <w:rFonts w:ascii="仿宋" w:hAnsi="仿宋" w:eastAsia="仿宋"/>
          <w:color w:val="auto"/>
          <w:szCs w:val="22"/>
          <w:highlight w:val="none"/>
        </w:rPr>
      </w:pPr>
      <w:r>
        <w:rPr>
          <w:rFonts w:hint="eastAsia" w:ascii="仿宋" w:hAnsi="仿宋" w:eastAsia="仿宋"/>
          <w:color w:val="auto"/>
          <w:szCs w:val="22"/>
          <w:highlight w:val="none"/>
        </w:rPr>
        <w:t>（四）其他服务资料</w:t>
      </w:r>
    </w:p>
    <w:p>
      <w:pPr>
        <w:ind w:firstLine="438"/>
        <w:rPr>
          <w:rFonts w:ascii="仿宋" w:hAnsi="仿宋" w:eastAsia="仿宋"/>
          <w:color w:val="auto"/>
          <w:highlight w:val="none"/>
        </w:rPr>
      </w:pPr>
      <w:r>
        <w:rPr>
          <w:rFonts w:hint="eastAsia" w:ascii="仿宋" w:hAnsi="仿宋" w:eastAsia="仿宋"/>
          <w:color w:val="auto"/>
          <w:highlight w:val="none"/>
        </w:rPr>
        <w:t>……</w:t>
      </w:r>
      <w:bookmarkEnd w:id="782"/>
    </w:p>
    <w:p>
      <w:pPr>
        <w:keepNext/>
        <w:keepLines/>
        <w:adjustRightInd w:val="0"/>
        <w:snapToGrid w:val="0"/>
        <w:ind w:firstLine="440"/>
        <w:rPr>
          <w:rFonts w:ascii="仿宋" w:hAnsi="仿宋" w:eastAsia="仿宋"/>
          <w:b/>
          <w:bCs/>
          <w:color w:val="auto"/>
          <w:highlight w:val="none"/>
        </w:rPr>
      </w:pPr>
      <w:bookmarkStart w:id="783" w:name="_Toc29895"/>
      <w:bookmarkStart w:id="784" w:name="_Toc28937"/>
      <w:bookmarkStart w:id="785" w:name="_Toc8605"/>
      <w:bookmarkStart w:id="786" w:name="_Toc26272"/>
      <w:bookmarkStart w:id="787" w:name="_Toc27869"/>
      <w:bookmarkStart w:id="788" w:name="_Toc7460"/>
      <w:bookmarkStart w:id="789" w:name="_Toc4985"/>
      <w:bookmarkStart w:id="790" w:name="_Toc9919"/>
      <w:bookmarkStart w:id="791" w:name="_Toc30928"/>
      <w:bookmarkStart w:id="792" w:name="_Toc304"/>
      <w:bookmarkStart w:id="793" w:name="_Toc20489907"/>
      <w:bookmarkStart w:id="794" w:name="_Toc483"/>
      <w:bookmarkStart w:id="795" w:name="_Toc31865"/>
      <w:r>
        <w:rPr>
          <w:rFonts w:hint="eastAsia" w:ascii="仿宋" w:hAnsi="仿宋" w:eastAsia="仿宋"/>
          <w:b/>
          <w:bCs/>
          <w:color w:val="auto"/>
          <w:highlight w:val="none"/>
        </w:rPr>
        <w:t>三、商务文件</w:t>
      </w:r>
      <w:bookmarkEnd w:id="783"/>
      <w:bookmarkEnd w:id="784"/>
      <w:bookmarkEnd w:id="785"/>
      <w:bookmarkEnd w:id="786"/>
      <w:bookmarkEnd w:id="787"/>
      <w:bookmarkEnd w:id="788"/>
      <w:bookmarkEnd w:id="789"/>
      <w:bookmarkEnd w:id="790"/>
      <w:bookmarkEnd w:id="791"/>
      <w:bookmarkEnd w:id="792"/>
      <w:bookmarkEnd w:id="793"/>
      <w:bookmarkEnd w:id="794"/>
      <w:bookmarkEnd w:id="795"/>
    </w:p>
    <w:p>
      <w:pPr>
        <w:ind w:firstLine="438"/>
        <w:rPr>
          <w:rFonts w:ascii="仿宋" w:hAnsi="仿宋" w:eastAsia="仿宋"/>
          <w:color w:val="auto"/>
          <w:highlight w:val="none"/>
        </w:rPr>
      </w:pPr>
      <w:r>
        <w:rPr>
          <w:rFonts w:hint="eastAsia" w:ascii="仿宋" w:hAnsi="仿宋" w:eastAsia="仿宋"/>
          <w:color w:val="auto"/>
          <w:highlight w:val="none"/>
        </w:rPr>
        <w:t>（一）投标函（格式）</w:t>
      </w:r>
    </w:p>
    <w:p>
      <w:pPr>
        <w:ind w:firstLine="438"/>
        <w:rPr>
          <w:rFonts w:ascii="仿宋" w:hAnsi="仿宋" w:eastAsia="仿宋"/>
          <w:color w:val="auto"/>
          <w:szCs w:val="22"/>
          <w:highlight w:val="none"/>
        </w:rPr>
      </w:pPr>
      <w:r>
        <w:rPr>
          <w:rFonts w:hint="eastAsia" w:ascii="仿宋" w:hAnsi="仿宋" w:eastAsia="仿宋"/>
          <w:color w:val="auto"/>
          <w:szCs w:val="22"/>
          <w:highlight w:val="none"/>
        </w:rPr>
        <w:t>（二）商务条款差异表</w:t>
      </w:r>
    </w:p>
    <w:p>
      <w:pPr>
        <w:ind w:firstLine="438"/>
        <w:rPr>
          <w:rFonts w:ascii="仿宋" w:hAnsi="仿宋" w:eastAsia="仿宋"/>
          <w:color w:val="auto"/>
          <w:szCs w:val="22"/>
          <w:highlight w:val="none"/>
        </w:rPr>
      </w:pPr>
      <w:r>
        <w:rPr>
          <w:rFonts w:hint="eastAsia" w:ascii="仿宋" w:hAnsi="仿宋" w:eastAsia="仿宋"/>
          <w:color w:val="auto"/>
          <w:szCs w:val="22"/>
          <w:highlight w:val="none"/>
        </w:rPr>
        <w:t>（三）</w:t>
      </w:r>
      <w:r>
        <w:rPr>
          <w:rFonts w:hint="eastAsia" w:ascii="仿宋" w:hAnsi="仿宋" w:eastAsia="仿宋"/>
          <w:color w:val="auto"/>
          <w:highlight w:val="none"/>
        </w:rPr>
        <w:t>第三篇所需证明材料（如果有）</w:t>
      </w:r>
    </w:p>
    <w:p>
      <w:pPr>
        <w:ind w:firstLine="438"/>
        <w:rPr>
          <w:rFonts w:ascii="仿宋" w:hAnsi="仿宋" w:eastAsia="仿宋"/>
          <w:color w:val="auto"/>
          <w:highlight w:val="none"/>
        </w:rPr>
      </w:pPr>
      <w:r>
        <w:rPr>
          <w:rFonts w:hint="eastAsia" w:ascii="仿宋" w:hAnsi="仿宋" w:eastAsia="仿宋"/>
          <w:color w:val="auto"/>
          <w:highlight w:val="none"/>
        </w:rPr>
        <w:t>（四）第四篇评审因素商务部分所需证明材料</w:t>
      </w:r>
    </w:p>
    <w:p>
      <w:pPr>
        <w:ind w:firstLine="438"/>
        <w:rPr>
          <w:rFonts w:ascii="仿宋" w:hAnsi="仿宋" w:eastAsia="仿宋"/>
          <w:color w:val="auto"/>
          <w:highlight w:val="none"/>
        </w:rPr>
      </w:pPr>
      <w:r>
        <w:rPr>
          <w:rFonts w:hint="eastAsia" w:ascii="仿宋" w:hAnsi="仿宋" w:eastAsia="仿宋"/>
          <w:color w:val="auto"/>
          <w:highlight w:val="none"/>
        </w:rPr>
        <w:t>（五）其他商务资料</w:t>
      </w:r>
    </w:p>
    <w:p>
      <w:pPr>
        <w:ind w:firstLine="438"/>
        <w:rPr>
          <w:rFonts w:ascii="仿宋" w:hAnsi="仿宋" w:eastAsia="仿宋"/>
          <w:color w:val="auto"/>
          <w:szCs w:val="22"/>
          <w:highlight w:val="none"/>
        </w:rPr>
      </w:pPr>
      <w:r>
        <w:rPr>
          <w:rFonts w:hint="eastAsia" w:ascii="仿宋" w:hAnsi="仿宋" w:eastAsia="仿宋"/>
          <w:color w:val="auto"/>
          <w:highlight w:val="none"/>
        </w:rPr>
        <w:t>……</w:t>
      </w:r>
    </w:p>
    <w:p>
      <w:pPr>
        <w:keepNext/>
        <w:keepLines/>
        <w:adjustRightInd w:val="0"/>
        <w:snapToGrid w:val="0"/>
        <w:ind w:firstLine="440"/>
        <w:rPr>
          <w:rFonts w:ascii="仿宋" w:hAnsi="仿宋" w:eastAsia="仿宋"/>
          <w:b/>
          <w:bCs/>
          <w:color w:val="auto"/>
          <w:highlight w:val="none"/>
        </w:rPr>
      </w:pPr>
      <w:bookmarkStart w:id="796" w:name="_Toc8323"/>
      <w:bookmarkStart w:id="797" w:name="_Toc12262"/>
      <w:bookmarkStart w:id="798" w:name="_Toc12785"/>
      <w:bookmarkStart w:id="799" w:name="_Toc24520"/>
      <w:bookmarkStart w:id="800" w:name="_Toc10509"/>
      <w:bookmarkStart w:id="801" w:name="_Toc1981"/>
      <w:bookmarkStart w:id="802" w:name="_Toc16846"/>
      <w:bookmarkStart w:id="803" w:name="_Toc13937"/>
      <w:bookmarkStart w:id="804" w:name="_Toc13714"/>
      <w:bookmarkStart w:id="805" w:name="_Toc13294"/>
      <w:bookmarkStart w:id="806" w:name="_Toc29910"/>
      <w:bookmarkStart w:id="807" w:name="_Toc20489908"/>
      <w:bookmarkStart w:id="808" w:name="_Toc21704"/>
      <w:r>
        <w:rPr>
          <w:rFonts w:hint="eastAsia" w:ascii="仿宋" w:hAnsi="仿宋" w:eastAsia="仿宋"/>
          <w:b/>
          <w:bCs/>
          <w:color w:val="auto"/>
          <w:highlight w:val="none"/>
        </w:rPr>
        <w:t>四、资格文件</w:t>
      </w:r>
    </w:p>
    <w:p>
      <w:pPr>
        <w:ind w:firstLine="438"/>
        <w:rPr>
          <w:rFonts w:ascii="仿宋" w:hAnsi="仿宋" w:eastAsia="仿宋"/>
          <w:color w:val="auto"/>
          <w:highlight w:val="none"/>
        </w:rPr>
      </w:pPr>
      <w:r>
        <w:rPr>
          <w:rFonts w:hint="eastAsia" w:ascii="仿宋" w:hAnsi="仿宋" w:eastAsia="仿宋"/>
          <w:color w:val="auto"/>
          <w:highlight w:val="none"/>
        </w:rPr>
        <w:t>（一）投标人法人营业执照（副本）或事业单位法人证书（副本）或个体工商户营业执照或有效的自然人身份证明或社会团体法人登记证书（提供复印件）</w:t>
      </w:r>
    </w:p>
    <w:p>
      <w:pPr>
        <w:ind w:firstLine="438"/>
        <w:rPr>
          <w:rFonts w:ascii="仿宋" w:hAnsi="仿宋" w:eastAsia="仿宋"/>
          <w:color w:val="auto"/>
          <w:highlight w:val="none"/>
        </w:rPr>
      </w:pPr>
      <w:r>
        <w:rPr>
          <w:rFonts w:hint="eastAsia" w:ascii="仿宋" w:hAnsi="仿宋" w:eastAsia="仿宋"/>
          <w:color w:val="auto"/>
          <w:highlight w:val="none"/>
        </w:rPr>
        <w:t>（二）法定代表人身份证明书（格式）</w:t>
      </w:r>
    </w:p>
    <w:p>
      <w:pPr>
        <w:ind w:firstLine="438"/>
        <w:rPr>
          <w:rFonts w:ascii="仿宋" w:hAnsi="仿宋" w:eastAsia="仿宋"/>
          <w:color w:val="auto"/>
          <w:highlight w:val="none"/>
        </w:rPr>
      </w:pPr>
      <w:r>
        <w:rPr>
          <w:rFonts w:hint="eastAsia" w:ascii="仿宋" w:hAnsi="仿宋" w:eastAsia="仿宋"/>
          <w:color w:val="auto"/>
          <w:highlight w:val="none"/>
        </w:rPr>
        <w:t>（三）法定代表人授权委托书（格式）</w:t>
      </w:r>
    </w:p>
    <w:p>
      <w:pPr>
        <w:ind w:firstLine="438"/>
        <w:rPr>
          <w:rFonts w:ascii="仿宋" w:hAnsi="仿宋" w:eastAsia="仿宋"/>
          <w:color w:val="auto"/>
          <w:szCs w:val="22"/>
          <w:highlight w:val="none"/>
        </w:rPr>
      </w:pPr>
      <w:r>
        <w:rPr>
          <w:rFonts w:hint="eastAsia" w:ascii="仿宋" w:hAnsi="仿宋" w:eastAsia="仿宋"/>
          <w:color w:val="auto"/>
          <w:szCs w:val="22"/>
          <w:highlight w:val="none"/>
        </w:rPr>
        <w:t>（四）基本资格条件承诺函（格式）</w:t>
      </w:r>
    </w:p>
    <w:p>
      <w:pPr>
        <w:keepNext/>
        <w:keepLines/>
        <w:adjustRightInd w:val="0"/>
        <w:snapToGrid w:val="0"/>
        <w:ind w:firstLine="438"/>
        <w:rPr>
          <w:rFonts w:ascii="仿宋" w:hAnsi="仿宋" w:eastAsia="仿宋"/>
          <w:color w:val="auto"/>
          <w:szCs w:val="22"/>
          <w:highlight w:val="none"/>
        </w:rPr>
      </w:pPr>
      <w:r>
        <w:rPr>
          <w:rFonts w:hint="eastAsia" w:ascii="仿宋" w:hAnsi="仿宋" w:eastAsia="仿宋"/>
          <w:color w:val="auto"/>
          <w:szCs w:val="22"/>
          <w:highlight w:val="none"/>
        </w:rPr>
        <w:t>（五）特定资格条件证书或证明文件：</w:t>
      </w:r>
    </w:p>
    <w:p>
      <w:pPr>
        <w:ind w:firstLine="424"/>
        <w:rPr>
          <w:rFonts w:hint="eastAsia" w:ascii="仿宋" w:hAnsi="仿宋" w:eastAsia="仿宋"/>
          <w:color w:val="auto"/>
          <w:szCs w:val="22"/>
          <w:highlight w:val="none"/>
        </w:rPr>
      </w:pPr>
      <w:r>
        <w:rPr>
          <w:rFonts w:hint="eastAsia" w:ascii="仿宋" w:hAnsi="仿宋" w:eastAsia="仿宋"/>
          <w:color w:val="auto"/>
          <w:szCs w:val="22"/>
          <w:highlight w:val="none"/>
          <w:lang w:val="en-US" w:eastAsia="zh-CN"/>
        </w:rPr>
        <w:t>投标人</w:t>
      </w:r>
      <w:r>
        <w:rPr>
          <w:rFonts w:hint="eastAsia" w:ascii="仿宋" w:hAnsi="仿宋" w:eastAsia="仿宋"/>
          <w:color w:val="auto"/>
          <w:szCs w:val="22"/>
          <w:highlight w:val="none"/>
        </w:rPr>
        <w:t>须具备行业行政主管部门颁发的《城市生活垃圾经营性清扫、收集服务许可证》和《城市生活垃圾经营性运输服务许可证》，或两证合一的《城市生活垃圾经营性清扫、收集、运输服务许可证》。</w:t>
      </w:r>
    </w:p>
    <w:p>
      <w:pPr>
        <w:keepNext/>
        <w:keepLines/>
        <w:adjustRightInd w:val="0"/>
        <w:snapToGrid w:val="0"/>
        <w:ind w:firstLine="440"/>
        <w:rPr>
          <w:rFonts w:ascii="仿宋" w:hAnsi="仿宋" w:eastAsia="仿宋"/>
          <w:b/>
          <w:bCs/>
          <w:color w:val="auto"/>
          <w:highlight w:val="none"/>
        </w:rPr>
      </w:pPr>
      <w:r>
        <w:rPr>
          <w:rFonts w:hint="eastAsia" w:ascii="仿宋" w:hAnsi="仿宋" w:eastAsia="仿宋"/>
          <w:b/>
          <w:bCs/>
          <w:color w:val="auto"/>
          <w:highlight w:val="none"/>
        </w:rPr>
        <w:t>五、其他</w:t>
      </w:r>
      <w:bookmarkEnd w:id="796"/>
      <w:bookmarkEnd w:id="797"/>
      <w:bookmarkEnd w:id="798"/>
      <w:bookmarkEnd w:id="799"/>
      <w:bookmarkEnd w:id="800"/>
      <w:bookmarkEnd w:id="801"/>
      <w:bookmarkEnd w:id="802"/>
      <w:bookmarkEnd w:id="803"/>
      <w:bookmarkEnd w:id="804"/>
      <w:bookmarkEnd w:id="805"/>
      <w:bookmarkEnd w:id="806"/>
      <w:bookmarkEnd w:id="807"/>
      <w:bookmarkEnd w:id="808"/>
    </w:p>
    <w:p>
      <w:pPr>
        <w:ind w:firstLine="438"/>
        <w:rPr>
          <w:rFonts w:ascii="仿宋" w:hAnsi="仿宋" w:eastAsia="仿宋"/>
          <w:color w:val="auto"/>
          <w:highlight w:val="none"/>
        </w:rPr>
      </w:pPr>
      <w:r>
        <w:rPr>
          <w:rFonts w:hint="eastAsia" w:ascii="仿宋" w:hAnsi="仿宋" w:eastAsia="仿宋"/>
          <w:color w:val="auto"/>
          <w:highlight w:val="none"/>
        </w:rPr>
        <w:t>（一）中小企业声明函、监狱企业证明文件、残疾人福利性单位声明函</w:t>
      </w:r>
    </w:p>
    <w:p>
      <w:pPr>
        <w:ind w:firstLine="438"/>
        <w:rPr>
          <w:rFonts w:ascii="仿宋" w:hAnsi="仿宋" w:eastAsia="仿宋"/>
          <w:color w:val="auto"/>
          <w:highlight w:val="none"/>
        </w:rPr>
      </w:pPr>
      <w:r>
        <w:rPr>
          <w:rFonts w:hint="eastAsia" w:ascii="仿宋" w:hAnsi="仿宋" w:eastAsia="仿宋"/>
          <w:color w:val="auto"/>
          <w:highlight w:val="none"/>
        </w:rPr>
        <w:t>（二）其他与项目有关的资料（自附）</w:t>
      </w:r>
    </w:p>
    <w:p>
      <w:pPr>
        <w:ind w:firstLine="438"/>
        <w:rPr>
          <w:rFonts w:ascii="仿宋" w:hAnsi="仿宋" w:eastAsia="仿宋"/>
          <w:color w:val="auto"/>
          <w:szCs w:val="22"/>
          <w:highlight w:val="none"/>
        </w:rPr>
      </w:pPr>
      <w:r>
        <w:rPr>
          <w:rFonts w:hint="eastAsia" w:ascii="仿宋" w:hAnsi="仿宋" w:eastAsia="仿宋"/>
          <w:color w:val="auto"/>
          <w:szCs w:val="22"/>
          <w:highlight w:val="none"/>
        </w:rPr>
        <w:t>（三）分包意向协议（格式自定）</w:t>
      </w:r>
    </w:p>
    <w:p>
      <w:pPr>
        <w:ind w:firstLine="438"/>
        <w:rPr>
          <w:rFonts w:ascii="仿宋" w:hAnsi="仿宋" w:eastAsia="仿宋"/>
          <w:color w:val="auto"/>
          <w:szCs w:val="22"/>
          <w:highlight w:val="none"/>
        </w:rPr>
      </w:pPr>
    </w:p>
    <w:p>
      <w:pPr>
        <w:spacing w:line="400" w:lineRule="exact"/>
        <w:ind w:firstLine="438"/>
        <w:outlineLvl w:val="1"/>
        <w:rPr>
          <w:rStyle w:val="53"/>
          <w:rFonts w:hint="default" w:ascii="仿宋" w:hAnsi="仿宋" w:eastAsia="仿宋"/>
          <w:color w:val="auto"/>
          <w:highlight w:val="none"/>
        </w:rPr>
      </w:pPr>
      <w:r>
        <w:rPr>
          <w:rFonts w:ascii="黑体" w:hAnsi="黑体"/>
          <w:bCs/>
          <w:color w:val="auto"/>
          <w:highlight w:val="none"/>
        </w:rPr>
        <w:br w:type="page"/>
      </w:r>
      <w:bookmarkStart w:id="809" w:name="_Toc10910"/>
      <w:bookmarkStart w:id="810" w:name="_Toc1248"/>
      <w:bookmarkStart w:id="811" w:name="_Toc21372"/>
      <w:bookmarkStart w:id="812" w:name="_Toc20070"/>
      <w:bookmarkStart w:id="813" w:name="_Toc11027"/>
      <w:bookmarkStart w:id="814" w:name="_Toc339"/>
      <w:bookmarkStart w:id="815" w:name="_Toc823"/>
      <w:bookmarkStart w:id="816" w:name="_Toc508"/>
      <w:bookmarkStart w:id="817" w:name="_Toc17100"/>
      <w:bookmarkStart w:id="818" w:name="_Toc15147"/>
      <w:bookmarkStart w:id="819" w:name="_Toc63600444"/>
      <w:bookmarkStart w:id="820" w:name="_Toc20488347"/>
      <w:bookmarkStart w:id="821" w:name="_Toc20730"/>
      <w:bookmarkStart w:id="822" w:name="_Toc25073"/>
      <w:bookmarkStart w:id="823" w:name="_Toc12115"/>
      <w:r>
        <w:rPr>
          <w:rStyle w:val="37"/>
          <w:rFonts w:hint="default" w:ascii="仿宋" w:hAnsi="仿宋" w:eastAsia="仿宋"/>
          <w:color w:val="auto"/>
          <w:highlight w:val="none"/>
        </w:rPr>
        <w:t>一、经济文件</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pPr>
        <w:spacing w:beforeLines="100" w:afterLines="100"/>
        <w:ind w:firstLine="0" w:firstLineChars="0"/>
        <w:jc w:val="center"/>
        <w:rPr>
          <w:rFonts w:ascii="仿宋" w:hAnsi="仿宋" w:eastAsia="仿宋"/>
          <w:color w:val="auto"/>
          <w:sz w:val="28"/>
          <w:szCs w:val="21"/>
          <w:highlight w:val="none"/>
        </w:rPr>
      </w:pPr>
      <w:r>
        <w:rPr>
          <w:rFonts w:hint="eastAsia" w:ascii="仿宋" w:hAnsi="仿宋" w:eastAsia="仿宋"/>
          <w:color w:val="auto"/>
          <w:sz w:val="28"/>
          <w:szCs w:val="21"/>
          <w:highlight w:val="none"/>
        </w:rPr>
        <w:t>（一）开标一览表</w:t>
      </w:r>
    </w:p>
    <w:p>
      <w:pPr>
        <w:snapToGrid w:val="0"/>
        <w:spacing w:line="400" w:lineRule="exact"/>
        <w:ind w:firstLine="438"/>
        <w:rPr>
          <w:rFonts w:ascii="仿宋" w:hAnsi="仿宋" w:eastAsia="仿宋"/>
          <w:color w:val="auto"/>
          <w:szCs w:val="28"/>
          <w:highlight w:val="none"/>
        </w:rPr>
      </w:pPr>
      <w:r>
        <w:rPr>
          <w:rFonts w:hint="eastAsia" w:ascii="仿宋" w:hAnsi="仿宋" w:eastAsia="仿宋"/>
          <w:color w:val="auto"/>
          <w:szCs w:val="28"/>
          <w:highlight w:val="none"/>
        </w:rPr>
        <w:t>项目号：</w:t>
      </w:r>
    </w:p>
    <w:p>
      <w:pPr>
        <w:snapToGrid w:val="0"/>
        <w:spacing w:line="400" w:lineRule="exact"/>
        <w:ind w:firstLine="438"/>
        <w:rPr>
          <w:rFonts w:ascii="仿宋" w:hAnsi="仿宋" w:eastAsia="仿宋"/>
          <w:color w:val="auto"/>
          <w:szCs w:val="28"/>
          <w:highlight w:val="none"/>
        </w:rPr>
      </w:pPr>
      <w:r>
        <w:rPr>
          <w:rFonts w:hint="eastAsia" w:ascii="仿宋" w:hAnsi="仿宋" w:eastAsia="仿宋"/>
          <w:color w:val="auto"/>
          <w:szCs w:val="28"/>
          <w:highlight w:val="none"/>
        </w:rPr>
        <w:t>招标项目名称：</w:t>
      </w:r>
    </w:p>
    <w:tbl>
      <w:tblPr>
        <w:tblStyle w:val="32"/>
        <w:tblW w:w="9491"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68"/>
        <w:gridCol w:w="2694"/>
        <w:gridCol w:w="2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00" w:hRule="atLeast"/>
        </w:trPr>
        <w:tc>
          <w:tcPr>
            <w:tcW w:w="2126" w:type="dxa"/>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bookmarkStart w:id="824" w:name="_Hlk70157005"/>
            <w:r>
              <w:rPr>
                <w:rFonts w:hint="eastAsia" w:ascii="仿宋" w:hAnsi="仿宋" w:eastAsia="仿宋"/>
                <w:color w:val="auto"/>
                <w:sz w:val="21"/>
                <w:szCs w:val="28"/>
                <w:highlight w:val="none"/>
              </w:rPr>
              <w:t>投标人名称</w:t>
            </w:r>
          </w:p>
        </w:tc>
        <w:tc>
          <w:tcPr>
            <w:tcW w:w="7365" w:type="dxa"/>
            <w:gridSpan w:val="3"/>
            <w:vAlign w:val="center"/>
          </w:tcPr>
          <w:p>
            <w:pPr>
              <w:adjustRightInd w:val="0"/>
              <w:snapToGrid w:val="0"/>
              <w:spacing w:line="240" w:lineRule="auto"/>
              <w:ind w:firstLine="378" w:firstLineChars="0"/>
              <w:jc w:val="center"/>
              <w:rPr>
                <w:rFonts w:ascii="仿宋" w:hAnsi="仿宋" w:eastAsia="仿宋"/>
                <w:color w:val="auto"/>
                <w:sz w:val="21"/>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9" w:hRule="atLeast"/>
        </w:trPr>
        <w:tc>
          <w:tcPr>
            <w:tcW w:w="2126" w:type="dxa"/>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r>
              <w:rPr>
                <w:rFonts w:hint="eastAsia" w:ascii="仿宋" w:hAnsi="仿宋" w:eastAsia="仿宋"/>
                <w:color w:val="auto"/>
                <w:sz w:val="21"/>
                <w:szCs w:val="28"/>
                <w:highlight w:val="none"/>
              </w:rPr>
              <w:t>名称</w:t>
            </w:r>
          </w:p>
        </w:tc>
        <w:tc>
          <w:tcPr>
            <w:tcW w:w="2268" w:type="dxa"/>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r>
              <w:rPr>
                <w:rFonts w:hint="eastAsia" w:ascii="仿宋" w:hAnsi="仿宋" w:eastAsia="仿宋"/>
                <w:color w:val="auto"/>
                <w:sz w:val="21"/>
                <w:szCs w:val="28"/>
                <w:highlight w:val="none"/>
              </w:rPr>
              <w:t>投标报价（小写）</w:t>
            </w:r>
          </w:p>
        </w:tc>
        <w:tc>
          <w:tcPr>
            <w:tcW w:w="2694" w:type="dxa"/>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r>
              <w:rPr>
                <w:rFonts w:hint="eastAsia" w:ascii="仿宋" w:hAnsi="仿宋" w:eastAsia="仿宋"/>
                <w:color w:val="auto"/>
                <w:sz w:val="21"/>
                <w:szCs w:val="21"/>
                <w:highlight w:val="none"/>
              </w:rPr>
              <w:t>服务期</w:t>
            </w:r>
          </w:p>
        </w:tc>
        <w:tc>
          <w:tcPr>
            <w:tcW w:w="2403" w:type="dxa"/>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r>
              <w:rPr>
                <w:rFonts w:hint="eastAsia" w:ascii="仿宋" w:hAnsi="仿宋" w:eastAsia="仿宋"/>
                <w:color w:val="auto"/>
                <w:sz w:val="21"/>
                <w:szCs w:val="28"/>
                <w:highlight w:val="none"/>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10" w:hRule="atLeast"/>
        </w:trPr>
        <w:tc>
          <w:tcPr>
            <w:tcW w:w="2126" w:type="dxa"/>
            <w:tcBorders>
              <w:bottom w:val="single" w:color="auto" w:sz="4" w:space="0"/>
            </w:tcBorders>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p>
        </w:tc>
        <w:tc>
          <w:tcPr>
            <w:tcW w:w="2268" w:type="dxa"/>
            <w:tcBorders>
              <w:bottom w:val="single" w:color="auto" w:sz="4" w:space="0"/>
            </w:tcBorders>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p>
        </w:tc>
        <w:tc>
          <w:tcPr>
            <w:tcW w:w="2694" w:type="dxa"/>
            <w:tcBorders>
              <w:bottom w:val="single" w:color="auto" w:sz="4" w:space="0"/>
            </w:tcBorders>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p>
        </w:tc>
        <w:tc>
          <w:tcPr>
            <w:tcW w:w="2403" w:type="dxa"/>
            <w:tcBorders>
              <w:bottom w:val="single" w:color="auto" w:sz="4" w:space="0"/>
            </w:tcBorders>
            <w:vAlign w:val="center"/>
          </w:tcPr>
          <w:p>
            <w:pPr>
              <w:adjustRightInd w:val="0"/>
              <w:snapToGrid w:val="0"/>
              <w:spacing w:line="240" w:lineRule="auto"/>
              <w:ind w:firstLine="0" w:firstLineChars="0"/>
              <w:jc w:val="center"/>
              <w:rPr>
                <w:rFonts w:ascii="仿宋" w:hAnsi="仿宋" w:eastAsia="仿宋"/>
                <w:color w:val="auto"/>
                <w:sz w:val="21"/>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8" w:hRule="atLeast"/>
        </w:trPr>
        <w:tc>
          <w:tcPr>
            <w:tcW w:w="9491" w:type="dxa"/>
            <w:gridSpan w:val="4"/>
            <w:tcBorders>
              <w:bottom w:val="single" w:color="auto" w:sz="4" w:space="0"/>
            </w:tcBorders>
            <w:vAlign w:val="center"/>
          </w:tcPr>
          <w:p>
            <w:pPr>
              <w:adjustRightInd w:val="0"/>
              <w:snapToGrid w:val="0"/>
              <w:spacing w:line="240" w:lineRule="auto"/>
              <w:ind w:firstLine="0" w:firstLineChars="0"/>
              <w:jc w:val="left"/>
              <w:rPr>
                <w:rFonts w:ascii="仿宋" w:hAnsi="仿宋" w:eastAsia="仿宋"/>
                <w:color w:val="auto"/>
                <w:sz w:val="21"/>
                <w:szCs w:val="28"/>
                <w:highlight w:val="none"/>
              </w:rPr>
            </w:pPr>
            <w:r>
              <w:rPr>
                <w:rFonts w:hint="eastAsia" w:ascii="仿宋" w:hAnsi="仿宋" w:eastAsia="仿宋"/>
                <w:color w:val="auto"/>
                <w:sz w:val="21"/>
                <w:szCs w:val="28"/>
                <w:highlight w:val="none"/>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5" w:hRule="atLeast"/>
        </w:trPr>
        <w:tc>
          <w:tcPr>
            <w:tcW w:w="9491" w:type="dxa"/>
            <w:gridSpan w:val="4"/>
            <w:vAlign w:val="center"/>
          </w:tcPr>
          <w:p>
            <w:pPr>
              <w:pStyle w:val="16"/>
              <w:adjustRightInd w:val="0"/>
              <w:snapToGrid w:val="0"/>
              <w:spacing w:line="240" w:lineRule="auto"/>
              <w:ind w:firstLine="0" w:firstLineChars="0"/>
              <w:jc w:val="left"/>
              <w:rPr>
                <w:rFonts w:ascii="仿宋" w:hAnsi="仿宋" w:eastAsia="仿宋"/>
                <w:color w:val="auto"/>
                <w:sz w:val="21"/>
                <w:szCs w:val="28"/>
                <w:highlight w:val="none"/>
              </w:rPr>
            </w:pPr>
            <w:r>
              <w:rPr>
                <w:rFonts w:hint="eastAsia" w:ascii="仿宋" w:hAnsi="仿宋" w:eastAsia="仿宋"/>
                <w:color w:val="auto"/>
                <w:sz w:val="21"/>
                <w:szCs w:val="28"/>
                <w:highlight w:val="none"/>
              </w:rPr>
              <w:t>备注：</w:t>
            </w:r>
          </w:p>
        </w:tc>
      </w:tr>
      <w:bookmarkEnd w:id="824"/>
    </w:tbl>
    <w:p>
      <w:pPr>
        <w:ind w:firstLine="0" w:firstLineChars="0"/>
        <w:rPr>
          <w:rFonts w:ascii="仿宋" w:hAnsi="仿宋" w:eastAsia="仿宋"/>
          <w:color w:val="auto"/>
          <w:szCs w:val="22"/>
          <w:highlight w:val="none"/>
        </w:rPr>
      </w:pPr>
    </w:p>
    <w:p>
      <w:pPr>
        <w:ind w:firstLine="1095" w:firstLineChars="500"/>
        <w:rPr>
          <w:rFonts w:ascii="仿宋" w:hAnsi="仿宋" w:eastAsia="仿宋"/>
          <w:color w:val="auto"/>
          <w:highlight w:val="none"/>
        </w:rPr>
      </w:pPr>
      <w:r>
        <w:rPr>
          <w:rFonts w:hint="eastAsia" w:ascii="仿宋" w:hAnsi="仿宋" w:eastAsia="仿宋"/>
          <w:color w:val="auto"/>
          <w:highlight w:val="none"/>
        </w:rPr>
        <w:t>投标人：                      法定代表人（或法定代表人授权代表）或自然人：</w:t>
      </w:r>
    </w:p>
    <w:p>
      <w:pPr>
        <w:ind w:firstLine="876" w:firstLineChars="400"/>
        <w:rPr>
          <w:rFonts w:ascii="仿宋" w:hAnsi="仿宋" w:eastAsia="仿宋"/>
          <w:color w:val="auto"/>
          <w:highlight w:val="none"/>
        </w:rPr>
      </w:pPr>
      <w:r>
        <w:rPr>
          <w:rFonts w:hint="eastAsia" w:ascii="仿宋" w:hAnsi="仿宋" w:eastAsia="仿宋"/>
          <w:color w:val="auto"/>
          <w:highlight w:val="none"/>
        </w:rPr>
        <w:t>（投标人公章）</w:t>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（签署或盖章）</w:t>
      </w:r>
    </w:p>
    <w:p>
      <w:pPr>
        <w:ind w:firstLine="438"/>
        <w:rPr>
          <w:rFonts w:ascii="仿宋" w:hAnsi="仿宋" w:eastAsia="仿宋"/>
          <w:color w:val="auto"/>
          <w:highlight w:val="none"/>
        </w:rPr>
      </w:pPr>
    </w:p>
    <w:p>
      <w:pPr>
        <w:wordWrap w:val="0"/>
        <w:ind w:firstLine="6132" w:firstLineChars="2800"/>
        <w:jc w:val="right"/>
        <w:rPr>
          <w:rFonts w:ascii="仿宋" w:hAnsi="仿宋" w:eastAsia="仿宋"/>
          <w:color w:val="auto"/>
          <w:highlight w:val="none"/>
        </w:rPr>
      </w:pPr>
      <w:r>
        <w:rPr>
          <w:rFonts w:hint="eastAsia" w:ascii="仿宋" w:hAnsi="仿宋" w:eastAsia="仿宋"/>
          <w:color w:val="auto"/>
          <w:highlight w:val="none"/>
        </w:rPr>
        <w:t xml:space="preserve">年   月   日               </w:t>
      </w:r>
    </w:p>
    <w:p>
      <w:pPr>
        <w:ind w:firstLine="438"/>
        <w:rPr>
          <w:rFonts w:ascii="仿宋" w:hAnsi="仿宋" w:eastAsia="仿宋"/>
          <w:color w:val="auto"/>
          <w:highlight w:val="none"/>
        </w:rPr>
      </w:pPr>
    </w:p>
    <w:p>
      <w:pPr>
        <w:ind w:firstLine="438"/>
        <w:rPr>
          <w:rFonts w:ascii="仿宋" w:hAnsi="仿宋" w:eastAsia="仿宋"/>
          <w:color w:val="auto"/>
          <w:highlight w:val="none"/>
        </w:rPr>
      </w:pPr>
      <w:r>
        <w:rPr>
          <w:rFonts w:hint="eastAsia" w:ascii="仿宋" w:hAnsi="仿宋" w:eastAsia="仿宋"/>
          <w:color w:val="auto"/>
          <w:highlight w:val="none"/>
        </w:rPr>
        <w:t>说明：</w:t>
      </w:r>
    </w:p>
    <w:p>
      <w:pPr>
        <w:ind w:firstLine="438"/>
        <w:rPr>
          <w:rFonts w:ascii="仿宋" w:hAnsi="仿宋" w:eastAsia="仿宋"/>
          <w:color w:val="auto"/>
          <w:highlight w:val="none"/>
        </w:rPr>
      </w:pPr>
      <w:r>
        <w:rPr>
          <w:rFonts w:hint="eastAsia" w:ascii="仿宋" w:hAnsi="仿宋" w:eastAsia="仿宋"/>
          <w:color w:val="auto"/>
          <w:highlight w:val="none"/>
        </w:rPr>
        <w:t>1.开标一览表按格式填列；</w:t>
      </w:r>
    </w:p>
    <w:p>
      <w:pPr>
        <w:ind w:firstLine="438"/>
        <w:rPr>
          <w:rFonts w:ascii="仿宋" w:hAnsi="仿宋" w:eastAsia="仿宋"/>
          <w:color w:val="auto"/>
          <w:highlight w:val="none"/>
        </w:rPr>
      </w:pPr>
      <w:r>
        <w:rPr>
          <w:rFonts w:hint="eastAsia" w:ascii="仿宋" w:hAnsi="仿宋" w:eastAsia="仿宋"/>
          <w:color w:val="auto"/>
          <w:highlight w:val="none"/>
        </w:rPr>
        <w:t>2.开标一览表在开标大会上当众宣读，务必填写清楚，准确无误。</w:t>
      </w:r>
    </w:p>
    <w:p>
      <w:pPr>
        <w:ind w:firstLine="438"/>
        <w:rPr>
          <w:rFonts w:ascii="仿宋" w:hAnsi="仿宋" w:eastAsia="仿宋"/>
          <w:color w:val="auto"/>
          <w:szCs w:val="22"/>
          <w:highlight w:val="none"/>
        </w:rPr>
      </w:pPr>
      <w:r>
        <w:rPr>
          <w:rFonts w:hint="eastAsia" w:ascii="仿宋" w:hAnsi="仿宋" w:eastAsia="仿宋"/>
          <w:color w:val="auto"/>
          <w:szCs w:val="22"/>
          <w:highlight w:val="none"/>
        </w:rPr>
        <w:t>3.若以联合体参与投标的，应在“投标人名称”处注明所有联合体名称。“投标人”处至少应加盖联合体主办方（主体）公章。</w:t>
      </w:r>
    </w:p>
    <w:p>
      <w:pPr>
        <w:spacing w:line="500" w:lineRule="exact"/>
        <w:ind w:firstLine="648" w:firstLineChars="250"/>
        <w:rPr>
          <w:rFonts w:ascii="方正仿宋_GBK" w:hAnsi="宋体" w:eastAsia="方正仿宋_GBK"/>
          <w:color w:val="auto"/>
          <w:szCs w:val="28"/>
          <w:highlight w:val="none"/>
        </w:rPr>
      </w:pPr>
      <w:r>
        <w:rPr>
          <w:rFonts w:hint="eastAsia" w:ascii="仿宋" w:hAnsi="仿宋" w:eastAsia="仿宋"/>
          <w:color w:val="auto"/>
          <w:sz w:val="28"/>
          <w:szCs w:val="21"/>
          <w:highlight w:val="none"/>
        </w:rPr>
        <w:br w:type="page"/>
      </w:r>
      <w:bookmarkStart w:id="825" w:name="_Toc19000"/>
      <w:bookmarkStart w:id="826" w:name="_Toc21640"/>
      <w:bookmarkStart w:id="827" w:name="_Toc384905086"/>
    </w:p>
    <w:p>
      <w:pPr>
        <w:spacing w:beforeLines="100" w:afterLines="100"/>
        <w:ind w:firstLine="0" w:firstLineChars="0"/>
        <w:jc w:val="center"/>
        <w:rPr>
          <w:rFonts w:ascii="仿宋" w:hAnsi="仿宋" w:eastAsia="仿宋"/>
          <w:color w:val="auto"/>
          <w:sz w:val="28"/>
          <w:szCs w:val="21"/>
          <w:highlight w:val="none"/>
        </w:rPr>
      </w:pPr>
      <w:r>
        <w:rPr>
          <w:rFonts w:hint="eastAsia" w:ascii="仿宋" w:hAnsi="仿宋" w:eastAsia="仿宋"/>
          <w:color w:val="auto"/>
          <w:sz w:val="28"/>
          <w:szCs w:val="21"/>
          <w:highlight w:val="none"/>
        </w:rPr>
        <w:t>（二）分项报价明细表</w:t>
      </w:r>
    </w:p>
    <w:p>
      <w:pPr>
        <w:pStyle w:val="17"/>
        <w:spacing w:line="520" w:lineRule="exact"/>
        <w:ind w:firstLine="438"/>
        <w:rPr>
          <w:rFonts w:ascii="仿宋" w:hAnsi="仿宋" w:eastAsia="仿宋"/>
          <w:color w:val="auto"/>
          <w:sz w:val="24"/>
          <w:szCs w:val="28"/>
          <w:highlight w:val="none"/>
        </w:rPr>
      </w:pPr>
      <w:r>
        <w:rPr>
          <w:rFonts w:hint="eastAsia" w:ascii="仿宋" w:hAnsi="仿宋" w:eastAsia="仿宋"/>
          <w:color w:val="auto"/>
          <w:sz w:val="24"/>
          <w:szCs w:val="28"/>
          <w:highlight w:val="none"/>
        </w:rPr>
        <w:t xml:space="preserve">项目号：                              </w:t>
      </w:r>
    </w:p>
    <w:p>
      <w:pPr>
        <w:ind w:firstLine="438"/>
        <w:rPr>
          <w:rFonts w:ascii="仿宋" w:hAnsi="仿宋" w:eastAsia="仿宋"/>
          <w:color w:val="auto"/>
          <w:szCs w:val="28"/>
          <w:highlight w:val="none"/>
        </w:rPr>
      </w:pPr>
      <w:r>
        <w:rPr>
          <w:rFonts w:hint="eastAsia" w:ascii="仿宋" w:hAnsi="仿宋" w:eastAsia="仿宋"/>
          <w:color w:val="auto"/>
          <w:szCs w:val="28"/>
          <w:highlight w:val="none"/>
        </w:rPr>
        <w:t>招标项目名称：</w:t>
      </w:r>
    </w:p>
    <w:tbl>
      <w:tblPr>
        <w:tblStyle w:val="32"/>
        <w:tblW w:w="9328" w:type="dxa"/>
        <w:jc w:val="righ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exact"/>
          <w:jc w:val="right"/>
        </w:trPr>
        <w:tc>
          <w:tcPr>
            <w:tcW w:w="939"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序号</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名称</w:t>
            </w:r>
          </w:p>
        </w:tc>
        <w:tc>
          <w:tcPr>
            <w:tcW w:w="3127"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相关信息</w:t>
            </w:r>
          </w:p>
        </w:tc>
        <w:tc>
          <w:tcPr>
            <w:tcW w:w="1235"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数量</w:t>
            </w:r>
          </w:p>
        </w:tc>
        <w:tc>
          <w:tcPr>
            <w:tcW w:w="1235"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单价</w:t>
            </w:r>
          </w:p>
        </w:tc>
        <w:tc>
          <w:tcPr>
            <w:tcW w:w="1235"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1557" w:type="dxa"/>
            <w:vAlign w:val="center"/>
          </w:tcPr>
          <w:p>
            <w:pPr>
              <w:widowControl/>
              <w:spacing w:line="300" w:lineRule="exact"/>
              <w:ind w:firstLine="0" w:firstLineChars="0"/>
              <w:jc w:val="center"/>
              <w:textAlignment w:val="center"/>
              <w:rPr>
                <w:rFonts w:ascii="仿宋" w:hAnsi="仿宋" w:eastAsia="仿宋"/>
                <w:color w:val="auto"/>
                <w:szCs w:val="28"/>
                <w:highlight w:val="none"/>
              </w:rPr>
            </w:pP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1557" w:type="dxa"/>
            <w:vAlign w:val="center"/>
          </w:tcPr>
          <w:p>
            <w:pPr>
              <w:widowControl/>
              <w:spacing w:line="300" w:lineRule="exact"/>
              <w:ind w:firstLine="0" w:firstLineChars="0"/>
              <w:jc w:val="center"/>
              <w:textAlignment w:val="center"/>
              <w:rPr>
                <w:rFonts w:ascii="仿宋" w:hAnsi="仿宋" w:eastAsia="仿宋"/>
                <w:color w:val="auto"/>
                <w:szCs w:val="28"/>
                <w:highlight w:val="none"/>
              </w:rPr>
            </w:pP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1557" w:type="dxa"/>
            <w:vAlign w:val="center"/>
          </w:tcPr>
          <w:p>
            <w:pPr>
              <w:widowControl/>
              <w:spacing w:line="300" w:lineRule="exact"/>
              <w:ind w:firstLine="0" w:firstLineChars="0"/>
              <w:jc w:val="center"/>
              <w:textAlignment w:val="center"/>
              <w:rPr>
                <w:rFonts w:ascii="仿宋" w:hAnsi="仿宋" w:eastAsia="仿宋"/>
                <w:color w:val="auto"/>
                <w:szCs w:val="28"/>
                <w:highlight w:val="none"/>
              </w:rPr>
            </w:pP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8</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人工费</w:t>
            </w: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r>
              <w:rPr>
                <w:rFonts w:hint="eastAsia" w:ascii="仿宋" w:hAnsi="仿宋" w:eastAsia="仿宋"/>
                <w:color w:val="auto"/>
                <w:sz w:val="24"/>
                <w:szCs w:val="28"/>
                <w:highlight w:val="none"/>
              </w:rPr>
              <w:t>/</w:t>
            </w: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9</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运输费</w:t>
            </w: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r>
              <w:rPr>
                <w:rFonts w:hint="eastAsia" w:ascii="仿宋" w:hAnsi="仿宋" w:eastAsia="仿宋"/>
                <w:color w:val="auto"/>
                <w:sz w:val="24"/>
                <w:szCs w:val="28"/>
                <w:highlight w:val="none"/>
              </w:rPr>
              <w:t>/</w:t>
            </w: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10</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其他费用</w:t>
            </w: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r>
              <w:rPr>
                <w:rFonts w:hint="eastAsia" w:ascii="仿宋" w:hAnsi="仿宋" w:eastAsia="仿宋"/>
                <w:color w:val="auto"/>
                <w:sz w:val="24"/>
                <w:szCs w:val="28"/>
                <w:highlight w:val="none"/>
              </w:rPr>
              <w:t>/</w:t>
            </w: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11</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w:t>
            </w:r>
          </w:p>
        </w:tc>
        <w:tc>
          <w:tcPr>
            <w:tcW w:w="3127" w:type="dxa"/>
          </w:tcPr>
          <w:p>
            <w:pPr>
              <w:pStyle w:val="17"/>
              <w:spacing w:line="520" w:lineRule="exact"/>
              <w:ind w:firstLine="0" w:firstLineChars="0"/>
              <w:rPr>
                <w:rFonts w:ascii="仿宋" w:hAnsi="仿宋" w:eastAsia="仿宋"/>
                <w:color w:val="auto"/>
                <w:sz w:val="24"/>
                <w:szCs w:val="28"/>
                <w:highlight w:val="none"/>
              </w:rPr>
            </w:pPr>
          </w:p>
        </w:tc>
        <w:tc>
          <w:tcPr>
            <w:tcW w:w="1235" w:type="dxa"/>
            <w:vAlign w:val="center"/>
          </w:tcPr>
          <w:p>
            <w:pPr>
              <w:pStyle w:val="17"/>
              <w:spacing w:line="520" w:lineRule="exact"/>
              <w:ind w:firstLine="0" w:firstLineChars="0"/>
              <w:rPr>
                <w:rFonts w:ascii="仿宋" w:hAnsi="仿宋" w:eastAsia="仿宋"/>
                <w:color w:val="auto"/>
                <w:sz w:val="24"/>
                <w:szCs w:val="28"/>
                <w:highlight w:val="none"/>
              </w:rPr>
            </w:pPr>
            <w:r>
              <w:rPr>
                <w:rFonts w:hint="eastAsia" w:ascii="仿宋" w:hAnsi="仿宋" w:eastAsia="仿宋"/>
                <w:color w:val="auto"/>
                <w:sz w:val="24"/>
                <w:szCs w:val="28"/>
                <w:highlight w:val="none"/>
              </w:rPr>
              <w:t>/</w:t>
            </w:r>
          </w:p>
        </w:tc>
        <w:tc>
          <w:tcPr>
            <w:tcW w:w="1235" w:type="dxa"/>
          </w:tcPr>
          <w:p>
            <w:pPr>
              <w:pStyle w:val="17"/>
              <w:spacing w:line="520" w:lineRule="exact"/>
              <w:ind w:firstLine="0" w:firstLineChars="0"/>
              <w:rPr>
                <w:rFonts w:ascii="仿宋" w:hAnsi="仿宋" w:eastAsia="仿宋"/>
                <w:color w:val="auto"/>
                <w:sz w:val="24"/>
                <w:szCs w:val="28"/>
                <w:highlight w:val="none"/>
              </w:rPr>
            </w:pPr>
          </w:p>
        </w:tc>
        <w:tc>
          <w:tcPr>
            <w:tcW w:w="1235" w:type="dxa"/>
          </w:tcPr>
          <w:p>
            <w:pPr>
              <w:pStyle w:val="17"/>
              <w:spacing w:line="520" w:lineRule="exact"/>
              <w:ind w:firstLine="0" w:firstLineChars="0"/>
              <w:rPr>
                <w:rFonts w:ascii="仿宋" w:hAnsi="仿宋" w:eastAsia="仿宋"/>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exact"/>
          <w:jc w:val="right"/>
        </w:trPr>
        <w:tc>
          <w:tcPr>
            <w:tcW w:w="939" w:type="dxa"/>
            <w:vAlign w:val="center"/>
          </w:tcPr>
          <w:p>
            <w:pPr>
              <w:widowControl/>
              <w:spacing w:line="300" w:lineRule="exact"/>
              <w:ind w:firstLine="0" w:firstLineChars="0"/>
              <w:jc w:val="center"/>
              <w:textAlignment w:val="center"/>
              <w:rPr>
                <w:rFonts w:ascii="仿宋" w:hAnsi="仿宋" w:eastAsia="仿宋" w:cs="仿宋"/>
                <w:color w:val="auto"/>
                <w:kern w:val="0"/>
                <w:szCs w:val="24"/>
                <w:highlight w:val="none"/>
              </w:rPr>
            </w:pPr>
            <w:r>
              <w:rPr>
                <w:rFonts w:hint="eastAsia" w:ascii="仿宋" w:hAnsi="仿宋" w:eastAsia="仿宋" w:cs="仿宋"/>
                <w:color w:val="auto"/>
                <w:kern w:val="0"/>
                <w:szCs w:val="24"/>
                <w:highlight w:val="none"/>
              </w:rPr>
              <w:t>12</w:t>
            </w:r>
          </w:p>
        </w:tc>
        <w:tc>
          <w:tcPr>
            <w:tcW w:w="1557" w:type="dxa"/>
            <w:vAlign w:val="center"/>
          </w:tcPr>
          <w:p>
            <w:pPr>
              <w:pStyle w:val="17"/>
              <w:spacing w:line="520" w:lineRule="exact"/>
              <w:ind w:firstLine="0" w:firstLineChars="0"/>
              <w:jc w:val="center"/>
              <w:rPr>
                <w:rFonts w:ascii="仿宋" w:hAnsi="仿宋" w:eastAsia="仿宋"/>
                <w:color w:val="auto"/>
                <w:sz w:val="24"/>
                <w:szCs w:val="28"/>
                <w:highlight w:val="none"/>
              </w:rPr>
            </w:pPr>
            <w:r>
              <w:rPr>
                <w:rFonts w:hint="eastAsia" w:ascii="仿宋" w:hAnsi="仿宋" w:eastAsia="仿宋"/>
                <w:color w:val="auto"/>
                <w:sz w:val="24"/>
                <w:szCs w:val="28"/>
                <w:highlight w:val="none"/>
              </w:rPr>
              <w:t>总计</w:t>
            </w:r>
          </w:p>
        </w:tc>
        <w:tc>
          <w:tcPr>
            <w:tcW w:w="6832" w:type="dxa"/>
            <w:gridSpan w:val="4"/>
          </w:tcPr>
          <w:p>
            <w:pPr>
              <w:pStyle w:val="17"/>
              <w:spacing w:line="520" w:lineRule="exact"/>
              <w:ind w:firstLine="0" w:firstLineChars="0"/>
              <w:rPr>
                <w:rFonts w:ascii="仿宋" w:hAnsi="仿宋" w:eastAsia="仿宋"/>
                <w:color w:val="auto"/>
                <w:sz w:val="24"/>
                <w:szCs w:val="28"/>
                <w:highlight w:val="none"/>
              </w:rPr>
            </w:pPr>
          </w:p>
        </w:tc>
      </w:tr>
    </w:tbl>
    <w:p>
      <w:pPr>
        <w:pStyle w:val="17"/>
        <w:spacing w:line="520" w:lineRule="exact"/>
        <w:ind w:firstLine="438"/>
        <w:rPr>
          <w:rFonts w:ascii="仿宋" w:hAnsi="仿宋" w:eastAsia="仿宋"/>
          <w:color w:val="auto"/>
          <w:sz w:val="24"/>
          <w:szCs w:val="28"/>
          <w:highlight w:val="none"/>
        </w:rPr>
      </w:pPr>
    </w:p>
    <w:p>
      <w:pPr>
        <w:spacing w:line="500" w:lineRule="exact"/>
        <w:ind w:firstLine="548" w:firstLineChars="250"/>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 xml:space="preserve">投标人：                       </w:t>
      </w:r>
      <w:r>
        <w:rPr>
          <w:rFonts w:hint="eastAsia" w:ascii="方正仿宋_GBK" w:hAnsi="宋体" w:eastAsia="方正仿宋_GBK"/>
          <w:color w:val="auto"/>
          <w:szCs w:val="28"/>
          <w:highlight w:val="none"/>
        </w:rPr>
        <w:t>法定代表人（或法定代表人授权代表）或自然人：</w:t>
      </w:r>
    </w:p>
    <w:p>
      <w:pPr>
        <w:spacing w:line="500" w:lineRule="exact"/>
        <w:ind w:firstLine="438"/>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 xml:space="preserve">  （投标人公章）                               （签署或盖章）</w:t>
      </w:r>
    </w:p>
    <w:p>
      <w:pPr>
        <w:spacing w:line="500" w:lineRule="exact"/>
        <w:ind w:firstLine="438"/>
        <w:rPr>
          <w:rFonts w:ascii="方正仿宋_GBK" w:hAnsi="仿宋" w:eastAsia="方正仿宋_GBK"/>
          <w:color w:val="auto"/>
          <w:szCs w:val="28"/>
          <w:highlight w:val="none"/>
        </w:rPr>
      </w:pPr>
    </w:p>
    <w:p>
      <w:pPr>
        <w:spacing w:line="500" w:lineRule="exact"/>
        <w:ind w:firstLine="438"/>
        <w:rPr>
          <w:rFonts w:ascii="方正仿宋_GBK" w:hAnsi="仿宋" w:eastAsia="方正仿宋_GBK"/>
          <w:color w:val="auto"/>
          <w:szCs w:val="28"/>
          <w:highlight w:val="none"/>
        </w:rPr>
      </w:pPr>
    </w:p>
    <w:p>
      <w:pPr>
        <w:snapToGrid w:val="0"/>
        <w:spacing w:line="500" w:lineRule="exact"/>
        <w:ind w:firstLine="438"/>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 xml:space="preserve">                                            年     月     日</w:t>
      </w:r>
    </w:p>
    <w:p>
      <w:pPr>
        <w:snapToGrid w:val="0"/>
        <w:spacing w:line="500" w:lineRule="exact"/>
        <w:ind w:firstLine="438"/>
        <w:rPr>
          <w:rFonts w:ascii="方正仿宋_GBK" w:hAnsi="仿宋" w:eastAsia="方正仿宋_GBK"/>
          <w:color w:val="auto"/>
          <w:szCs w:val="28"/>
          <w:highlight w:val="none"/>
        </w:rPr>
      </w:pPr>
    </w:p>
    <w:p>
      <w:pPr>
        <w:spacing w:line="500" w:lineRule="exact"/>
        <w:ind w:firstLine="548" w:firstLineChars="250"/>
        <w:rPr>
          <w:rFonts w:ascii="方正仿宋_GBK" w:hAnsi="宋体" w:eastAsia="方正仿宋_GBK"/>
          <w:color w:val="auto"/>
          <w:szCs w:val="28"/>
          <w:highlight w:val="none"/>
        </w:rPr>
      </w:pPr>
      <w:r>
        <w:rPr>
          <w:rFonts w:hint="eastAsia" w:ascii="方正仿宋_GBK" w:hAnsi="宋体" w:eastAsia="方正仿宋_GBK"/>
          <w:color w:val="auto"/>
          <w:szCs w:val="28"/>
          <w:highlight w:val="none"/>
        </w:rPr>
        <w:t>注：</w:t>
      </w:r>
    </w:p>
    <w:p>
      <w:pPr>
        <w:spacing w:line="500" w:lineRule="exact"/>
        <w:ind w:firstLine="548" w:firstLineChars="250"/>
        <w:rPr>
          <w:rFonts w:ascii="方正仿宋_GBK" w:hAnsi="宋体" w:eastAsia="方正仿宋_GBK"/>
          <w:color w:val="auto"/>
          <w:szCs w:val="28"/>
          <w:highlight w:val="none"/>
        </w:rPr>
      </w:pPr>
      <w:r>
        <w:rPr>
          <w:rFonts w:hint="eastAsia" w:ascii="方正仿宋_GBK" w:hAnsi="宋体" w:eastAsia="方正仿宋_GBK"/>
          <w:color w:val="auto"/>
          <w:szCs w:val="28"/>
          <w:highlight w:val="none"/>
        </w:rPr>
        <w:t>1.请投标人完整填写本表；</w:t>
      </w:r>
    </w:p>
    <w:p>
      <w:pPr>
        <w:spacing w:line="500" w:lineRule="exact"/>
        <w:ind w:firstLine="548" w:firstLineChars="250"/>
        <w:rPr>
          <w:rFonts w:ascii="方正仿宋_GBK" w:hAnsi="宋体" w:eastAsia="方正仿宋_GBK"/>
          <w:color w:val="auto"/>
          <w:szCs w:val="28"/>
          <w:highlight w:val="none"/>
        </w:rPr>
      </w:pPr>
      <w:r>
        <w:rPr>
          <w:rFonts w:hint="eastAsia" w:ascii="方正仿宋_GBK" w:hAnsi="宋体" w:eastAsia="方正仿宋_GBK"/>
          <w:color w:val="auto"/>
          <w:szCs w:val="28"/>
          <w:highlight w:val="none"/>
        </w:rPr>
        <w:t>2.该表可扩展。</w:t>
      </w:r>
    </w:p>
    <w:p>
      <w:pPr>
        <w:ind w:firstLine="520"/>
        <w:rPr>
          <w:rFonts w:ascii="仿宋" w:hAnsi="仿宋" w:eastAsia="仿宋" w:cs="Arial"/>
          <w:b/>
          <w:color w:val="auto"/>
          <w:kern w:val="0"/>
          <w:sz w:val="28"/>
          <w:highlight w:val="none"/>
        </w:rPr>
      </w:pPr>
      <w:r>
        <w:rPr>
          <w:rFonts w:hint="eastAsia" w:ascii="仿宋" w:hAnsi="仿宋" w:eastAsia="仿宋" w:cs="Arial"/>
          <w:b/>
          <w:color w:val="auto"/>
          <w:kern w:val="0"/>
          <w:sz w:val="28"/>
          <w:highlight w:val="none"/>
        </w:rPr>
        <w:br w:type="page"/>
      </w:r>
    </w:p>
    <w:p>
      <w:pPr>
        <w:keepNext/>
        <w:keepLines/>
        <w:widowControl/>
        <w:adjustRightInd w:val="0"/>
        <w:snapToGrid w:val="0"/>
        <w:spacing w:beforeLines="50" w:afterLines="50" w:line="240" w:lineRule="auto"/>
        <w:ind w:firstLine="520"/>
        <w:outlineLvl w:val="1"/>
        <w:rPr>
          <w:rFonts w:ascii="仿宋" w:hAnsi="仿宋" w:eastAsia="仿宋" w:cs="Arial"/>
          <w:b/>
          <w:color w:val="auto"/>
          <w:kern w:val="0"/>
          <w:sz w:val="28"/>
          <w:highlight w:val="none"/>
        </w:rPr>
      </w:pPr>
      <w:bookmarkStart w:id="828" w:name="_Toc29084"/>
      <w:r>
        <w:rPr>
          <w:rFonts w:hint="eastAsia" w:ascii="仿宋" w:hAnsi="仿宋" w:eastAsia="仿宋" w:cs="Arial"/>
          <w:b/>
          <w:color w:val="auto"/>
          <w:kern w:val="0"/>
          <w:sz w:val="28"/>
          <w:highlight w:val="none"/>
        </w:rPr>
        <w:t>二、服务</w:t>
      </w:r>
      <w:bookmarkEnd w:id="825"/>
      <w:bookmarkEnd w:id="826"/>
      <w:r>
        <w:rPr>
          <w:rFonts w:hint="eastAsia" w:ascii="仿宋" w:hAnsi="仿宋" w:eastAsia="仿宋" w:cs="Arial"/>
          <w:b/>
          <w:color w:val="auto"/>
          <w:kern w:val="0"/>
          <w:sz w:val="28"/>
          <w:highlight w:val="none"/>
        </w:rPr>
        <w:t>文件</w:t>
      </w:r>
      <w:bookmarkEnd w:id="828"/>
    </w:p>
    <w:p>
      <w:pPr>
        <w:ind w:left="438" w:firstLine="0" w:firstLineChars="0"/>
        <w:rPr>
          <w:rFonts w:ascii="仿宋" w:hAnsi="仿宋" w:eastAsia="仿宋"/>
          <w:color w:val="auto"/>
          <w:highlight w:val="none"/>
        </w:rPr>
      </w:pPr>
      <w:r>
        <w:rPr>
          <w:rFonts w:hint="eastAsia" w:ascii="仿宋" w:hAnsi="仿宋" w:eastAsia="仿宋"/>
          <w:color w:val="auto"/>
          <w:highlight w:val="none"/>
        </w:rPr>
        <w:t>（一）服务条款差异表</w:t>
      </w:r>
    </w:p>
    <w:p>
      <w:pPr>
        <w:ind w:left="438" w:firstLine="0" w:firstLineChars="0"/>
        <w:rPr>
          <w:rFonts w:ascii="仿宋" w:hAnsi="仿宋" w:eastAsia="仿宋"/>
          <w:color w:val="auto"/>
          <w:highlight w:val="none"/>
        </w:rPr>
      </w:pPr>
      <w:r>
        <w:rPr>
          <w:rFonts w:hint="eastAsia" w:ascii="仿宋" w:hAnsi="仿宋" w:eastAsia="仿宋"/>
          <w:color w:val="auto"/>
          <w:highlight w:val="none"/>
        </w:rPr>
        <w:t>项目号：</w:t>
      </w:r>
    </w:p>
    <w:p>
      <w:pPr>
        <w:ind w:left="438" w:firstLine="0" w:firstLineChars="0"/>
        <w:rPr>
          <w:rFonts w:ascii="仿宋" w:hAnsi="仿宋" w:eastAsia="仿宋"/>
          <w:color w:val="auto"/>
          <w:szCs w:val="28"/>
          <w:highlight w:val="none"/>
        </w:rPr>
      </w:pPr>
      <w:r>
        <w:rPr>
          <w:rFonts w:hint="eastAsia" w:ascii="仿宋" w:hAnsi="仿宋" w:eastAsia="仿宋"/>
          <w:color w:val="auto"/>
          <w:highlight w:val="none"/>
        </w:rPr>
        <w:t>招标项目名称：</w:t>
      </w:r>
    </w:p>
    <w:tbl>
      <w:tblPr>
        <w:tblStyle w:val="32"/>
        <w:tblW w:w="91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3406"/>
        <w:gridCol w:w="3407"/>
        <w:gridCol w:w="1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8"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tLeast"/>
              <w:ind w:firstLine="0" w:firstLineChars="0"/>
              <w:jc w:val="center"/>
              <w:rPr>
                <w:rFonts w:ascii="仿宋" w:hAnsi="仿宋" w:eastAsia="仿宋" w:cs="Arial"/>
                <w:b/>
                <w:color w:val="auto"/>
                <w:sz w:val="21"/>
                <w:szCs w:val="21"/>
                <w:highlight w:val="none"/>
              </w:rPr>
            </w:pPr>
            <w:r>
              <w:rPr>
                <w:rFonts w:hint="eastAsia" w:ascii="仿宋" w:hAnsi="仿宋" w:eastAsia="仿宋" w:cs="Arial"/>
                <w:b/>
                <w:color w:val="auto"/>
                <w:sz w:val="21"/>
                <w:szCs w:val="21"/>
                <w:highlight w:val="none"/>
              </w:rPr>
              <w:t>序号</w:t>
            </w: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tLeast"/>
              <w:ind w:firstLine="0" w:firstLineChars="0"/>
              <w:jc w:val="center"/>
              <w:rPr>
                <w:rFonts w:ascii="仿宋" w:hAnsi="仿宋" w:eastAsia="仿宋" w:cs="Arial"/>
                <w:b/>
                <w:color w:val="auto"/>
                <w:sz w:val="21"/>
                <w:szCs w:val="21"/>
                <w:highlight w:val="none"/>
              </w:rPr>
            </w:pPr>
            <w:r>
              <w:rPr>
                <w:rFonts w:hint="eastAsia" w:ascii="仿宋" w:hAnsi="仿宋" w:eastAsia="仿宋" w:cs="Arial"/>
                <w:b/>
                <w:color w:val="auto"/>
                <w:sz w:val="21"/>
                <w:szCs w:val="21"/>
                <w:highlight w:val="none"/>
              </w:rPr>
              <w:t>招标要求</w:t>
            </w: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tLeast"/>
              <w:ind w:firstLine="0" w:firstLineChars="0"/>
              <w:jc w:val="center"/>
              <w:rPr>
                <w:rFonts w:ascii="仿宋" w:hAnsi="仿宋" w:eastAsia="仿宋" w:cs="Arial"/>
                <w:b/>
                <w:color w:val="auto"/>
                <w:sz w:val="21"/>
                <w:szCs w:val="21"/>
                <w:highlight w:val="none"/>
              </w:rPr>
            </w:pPr>
            <w:r>
              <w:rPr>
                <w:rFonts w:hint="eastAsia" w:ascii="仿宋" w:hAnsi="仿宋" w:eastAsia="仿宋" w:cs="Arial"/>
                <w:b/>
                <w:color w:val="auto"/>
                <w:sz w:val="21"/>
                <w:szCs w:val="21"/>
                <w:highlight w:val="none"/>
              </w:rPr>
              <w:t>投标应答</w:t>
            </w: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tLeast"/>
              <w:ind w:firstLine="0" w:firstLineChars="0"/>
              <w:jc w:val="center"/>
              <w:rPr>
                <w:rFonts w:ascii="仿宋" w:hAnsi="仿宋" w:eastAsia="仿宋" w:cs="Arial"/>
                <w:b/>
                <w:color w:val="auto"/>
                <w:sz w:val="21"/>
                <w:szCs w:val="21"/>
                <w:highlight w:val="none"/>
              </w:rPr>
            </w:pPr>
            <w:r>
              <w:rPr>
                <w:rFonts w:hint="eastAsia" w:ascii="仿宋" w:hAnsi="仿宋" w:eastAsia="仿宋" w:cs="Arial"/>
                <w:b/>
                <w:color w:val="auto"/>
                <w:sz w:val="21"/>
                <w:szCs w:val="21"/>
                <w:highlight w:val="none"/>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r>
              <w:rPr>
                <w:rFonts w:hint="eastAsia" w:ascii="仿宋" w:hAnsi="仿宋" w:eastAsia="仿宋" w:cs="Arial"/>
                <w:color w:val="auto"/>
                <w:sz w:val="21"/>
                <w:szCs w:val="21"/>
                <w:highlight w:val="none"/>
              </w:rPr>
              <w:t>提醒：请注明具体服务内容以及电子投标文件中具体服务内容的位置（页码）</w:t>
            </w: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6"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34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c>
          <w:tcPr>
            <w:tcW w:w="139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仿宋" w:hAnsi="仿宋" w:eastAsia="仿宋" w:cs="Arial"/>
                <w:color w:val="auto"/>
                <w:sz w:val="21"/>
                <w:szCs w:val="21"/>
                <w:highlight w:val="none"/>
              </w:rPr>
            </w:pPr>
          </w:p>
        </w:tc>
      </w:tr>
    </w:tbl>
    <w:p>
      <w:pPr>
        <w:ind w:firstLine="876" w:firstLineChars="400"/>
        <w:jc w:val="left"/>
        <w:rPr>
          <w:rFonts w:ascii="仿宋" w:hAnsi="仿宋" w:eastAsia="仿宋" w:cs="Arial"/>
          <w:color w:val="auto"/>
          <w:szCs w:val="22"/>
          <w:highlight w:val="none"/>
        </w:rPr>
      </w:pPr>
      <w:r>
        <w:rPr>
          <w:rFonts w:hint="eastAsia" w:ascii="仿宋" w:hAnsi="仿宋" w:eastAsia="仿宋" w:cs="Arial"/>
          <w:color w:val="auto"/>
          <w:szCs w:val="22"/>
          <w:highlight w:val="none"/>
        </w:rPr>
        <w:t>投标人：                      法定代表人（或法定代表人授权代表）或自然人：</w:t>
      </w:r>
    </w:p>
    <w:p>
      <w:pPr>
        <w:ind w:firstLine="876" w:firstLineChars="400"/>
        <w:jc w:val="left"/>
        <w:rPr>
          <w:rFonts w:ascii="仿宋" w:hAnsi="仿宋" w:eastAsia="仿宋" w:cs="Arial"/>
          <w:color w:val="auto"/>
          <w:szCs w:val="28"/>
          <w:highlight w:val="none"/>
        </w:rPr>
      </w:pPr>
      <w:r>
        <w:rPr>
          <w:rFonts w:hint="eastAsia" w:ascii="仿宋" w:hAnsi="仿宋" w:eastAsia="仿宋" w:cs="Arial"/>
          <w:color w:val="auto"/>
          <w:szCs w:val="22"/>
          <w:highlight w:val="none"/>
        </w:rPr>
        <w:t>（投标人公章）</w:t>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（签署或盖章）</w:t>
      </w:r>
    </w:p>
    <w:p>
      <w:pPr>
        <w:ind w:firstLine="876" w:firstLineChars="400"/>
        <w:jc w:val="left"/>
        <w:rPr>
          <w:rFonts w:ascii="仿宋" w:hAnsi="仿宋" w:eastAsia="仿宋" w:cs="Arial"/>
          <w:color w:val="auto"/>
          <w:szCs w:val="22"/>
          <w:highlight w:val="none"/>
        </w:rPr>
      </w:pP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ab/>
      </w:r>
      <w:r>
        <w:rPr>
          <w:rFonts w:hint="eastAsia" w:ascii="仿宋" w:hAnsi="仿宋" w:eastAsia="仿宋" w:cs="Arial"/>
          <w:color w:val="auto"/>
          <w:szCs w:val="22"/>
          <w:highlight w:val="none"/>
        </w:rPr>
        <w:t xml:space="preserve"> 年   月   日 </w:t>
      </w:r>
    </w:p>
    <w:p>
      <w:pPr>
        <w:ind w:firstLine="438"/>
        <w:rPr>
          <w:rFonts w:ascii="仿宋" w:hAnsi="仿宋" w:eastAsia="仿宋" w:cs="Arial"/>
          <w:color w:val="auto"/>
          <w:szCs w:val="22"/>
          <w:highlight w:val="none"/>
        </w:rPr>
      </w:pPr>
      <w:r>
        <w:rPr>
          <w:rFonts w:hint="eastAsia" w:ascii="仿宋" w:hAnsi="仿宋" w:eastAsia="仿宋" w:cs="Arial"/>
          <w:color w:val="auto"/>
          <w:szCs w:val="22"/>
          <w:highlight w:val="none"/>
        </w:rPr>
        <w:t>注：</w:t>
      </w:r>
    </w:p>
    <w:p>
      <w:pPr>
        <w:ind w:firstLine="438"/>
        <w:rPr>
          <w:rFonts w:ascii="仿宋" w:hAnsi="仿宋" w:eastAsia="仿宋" w:cs="Arial"/>
          <w:color w:val="auto"/>
          <w:szCs w:val="22"/>
          <w:highlight w:val="none"/>
        </w:rPr>
      </w:pPr>
      <w:r>
        <w:rPr>
          <w:rFonts w:hint="eastAsia" w:ascii="仿宋" w:hAnsi="仿宋" w:eastAsia="仿宋" w:cs="Arial"/>
          <w:color w:val="auto"/>
          <w:szCs w:val="22"/>
          <w:highlight w:val="none"/>
        </w:rPr>
        <w:t>1.表即为对本项目“第二篇 项目服务需求”中所列条款进行比较和响应，应逐条如实填写，“投标应答”中必须列出具体数值或内容。如投标人未应答或只注明“符合”、“满足”等类似无具体数值或内容的表述，视为不满足对应条款；</w:t>
      </w:r>
    </w:p>
    <w:p>
      <w:pPr>
        <w:ind w:firstLine="438"/>
        <w:rPr>
          <w:rFonts w:ascii="仿宋" w:hAnsi="仿宋" w:eastAsia="仿宋" w:cs="Arial"/>
          <w:color w:val="auto"/>
          <w:szCs w:val="22"/>
          <w:highlight w:val="none"/>
        </w:rPr>
      </w:pPr>
      <w:r>
        <w:rPr>
          <w:rFonts w:hint="eastAsia" w:ascii="仿宋" w:hAnsi="仿宋" w:eastAsia="仿宋" w:cs="Arial"/>
          <w:color w:val="auto"/>
          <w:szCs w:val="22"/>
          <w:highlight w:val="none"/>
        </w:rPr>
        <w:t>2.该表必须按照招标文件要求逐条如实填写，根据投标情况在“差异说明”项填写正偏离或负偏离及原因，完全符合的填写“无差异”；</w:t>
      </w:r>
    </w:p>
    <w:p>
      <w:pPr>
        <w:ind w:firstLine="438"/>
        <w:rPr>
          <w:rFonts w:ascii="仿宋" w:hAnsi="仿宋" w:eastAsia="仿宋" w:cs="Arial"/>
          <w:color w:val="auto"/>
          <w:szCs w:val="22"/>
          <w:highlight w:val="none"/>
        </w:rPr>
      </w:pPr>
      <w:r>
        <w:rPr>
          <w:rFonts w:hint="eastAsia" w:ascii="仿宋" w:hAnsi="仿宋" w:eastAsia="仿宋" w:cs="Arial"/>
          <w:color w:val="auto"/>
          <w:szCs w:val="22"/>
          <w:highlight w:val="none"/>
        </w:rPr>
        <w:t>3.该表可扩展；</w:t>
      </w:r>
    </w:p>
    <w:p>
      <w:pPr>
        <w:ind w:firstLine="438"/>
        <w:rPr>
          <w:rFonts w:ascii="仿宋" w:hAnsi="仿宋" w:eastAsia="仿宋" w:cs="Arial"/>
          <w:color w:val="auto"/>
          <w:szCs w:val="22"/>
          <w:highlight w:val="none"/>
        </w:rPr>
      </w:pPr>
      <w:r>
        <w:rPr>
          <w:rFonts w:hint="eastAsia" w:ascii="仿宋" w:hAnsi="仿宋" w:eastAsia="仿宋" w:cs="Arial"/>
          <w:color w:val="auto"/>
          <w:szCs w:val="22"/>
          <w:highlight w:val="none"/>
        </w:rPr>
        <w:t>4.可附相关技术支撑材料（格式自定）。</w:t>
      </w:r>
    </w:p>
    <w:p>
      <w:pPr>
        <w:ind w:firstLine="438"/>
        <w:rPr>
          <w:rFonts w:ascii="仿宋" w:hAnsi="仿宋" w:eastAsia="仿宋" w:cs="Arial"/>
          <w:color w:val="auto"/>
          <w:szCs w:val="22"/>
          <w:highlight w:val="none"/>
        </w:rPr>
      </w:pPr>
      <w:r>
        <w:rPr>
          <w:rFonts w:hint="eastAsia" w:ascii="仿宋" w:hAnsi="仿宋" w:eastAsia="仿宋" w:cs="Arial"/>
          <w:color w:val="auto"/>
          <w:szCs w:val="22"/>
          <w:highlight w:val="none"/>
        </w:rPr>
        <w:br w:type="page"/>
      </w:r>
    </w:p>
    <w:p>
      <w:pPr>
        <w:ind w:left="424" w:firstLine="0" w:firstLineChars="0"/>
        <w:rPr>
          <w:rFonts w:ascii="仿宋" w:hAnsi="仿宋" w:eastAsia="仿宋" w:cs="Arial"/>
          <w:color w:val="auto"/>
          <w:szCs w:val="22"/>
          <w:highlight w:val="none"/>
        </w:rPr>
      </w:pPr>
      <w:r>
        <w:rPr>
          <w:rFonts w:hint="eastAsia" w:ascii="仿宋" w:hAnsi="仿宋" w:eastAsia="仿宋" w:cs="Arial"/>
          <w:color w:val="auto"/>
          <w:szCs w:val="22"/>
          <w:highlight w:val="none"/>
        </w:rPr>
        <w:t>（二）第二篇所需方案或证明材料（如果有）</w:t>
      </w:r>
    </w:p>
    <w:p>
      <w:pPr>
        <w:ind w:left="424" w:firstLine="0" w:firstLineChars="0"/>
        <w:rPr>
          <w:rFonts w:ascii="仿宋" w:hAnsi="仿宋" w:eastAsia="仿宋" w:cs="Arial"/>
          <w:color w:val="auto"/>
          <w:szCs w:val="22"/>
          <w:highlight w:val="none"/>
        </w:rPr>
      </w:pPr>
    </w:p>
    <w:p>
      <w:pPr>
        <w:ind w:left="424" w:firstLine="0" w:firstLineChars="0"/>
        <w:rPr>
          <w:rFonts w:ascii="仿宋" w:hAnsi="仿宋" w:eastAsia="仿宋" w:cs="Arial"/>
          <w:color w:val="auto"/>
          <w:szCs w:val="22"/>
          <w:highlight w:val="none"/>
        </w:rPr>
      </w:pPr>
      <w:r>
        <w:rPr>
          <w:rFonts w:hint="eastAsia" w:ascii="仿宋" w:hAnsi="仿宋" w:eastAsia="仿宋" w:cs="Arial"/>
          <w:color w:val="auto"/>
          <w:szCs w:val="22"/>
          <w:highlight w:val="none"/>
        </w:rPr>
        <w:t>（三）第四篇评审因素服务部分所需方案及证明材料</w:t>
      </w:r>
    </w:p>
    <w:p>
      <w:pPr>
        <w:ind w:left="424" w:firstLine="0" w:firstLineChars="0"/>
        <w:rPr>
          <w:rFonts w:ascii="仿宋" w:hAnsi="仿宋" w:eastAsia="仿宋" w:cs="Arial"/>
          <w:color w:val="auto"/>
          <w:szCs w:val="22"/>
          <w:highlight w:val="none"/>
        </w:rPr>
      </w:pPr>
    </w:p>
    <w:p>
      <w:pPr>
        <w:ind w:left="424" w:firstLine="0" w:firstLineChars="0"/>
        <w:rPr>
          <w:rFonts w:ascii="仿宋" w:hAnsi="仿宋" w:eastAsia="仿宋" w:cs="Arial"/>
          <w:color w:val="auto"/>
          <w:szCs w:val="22"/>
          <w:highlight w:val="none"/>
        </w:rPr>
      </w:pPr>
      <w:r>
        <w:rPr>
          <w:rFonts w:hint="eastAsia" w:ascii="仿宋" w:hAnsi="仿宋" w:eastAsia="仿宋" w:cs="Arial"/>
          <w:color w:val="auto"/>
          <w:szCs w:val="22"/>
          <w:highlight w:val="none"/>
        </w:rPr>
        <w:t>（四）其他服务资料</w:t>
      </w:r>
    </w:p>
    <w:p>
      <w:pPr>
        <w:keepNext/>
        <w:keepLines/>
        <w:widowControl/>
        <w:adjustRightInd w:val="0"/>
        <w:snapToGrid w:val="0"/>
        <w:spacing w:beforeLines="50" w:afterLines="50" w:line="240" w:lineRule="auto"/>
        <w:ind w:firstLine="520"/>
        <w:outlineLvl w:val="1"/>
        <w:rPr>
          <w:rStyle w:val="53"/>
          <w:rFonts w:hint="default" w:ascii="仿宋" w:hAnsi="仿宋" w:eastAsia="仿宋" w:cs="Cambria Math"/>
          <w:b w:val="0"/>
          <w:color w:val="auto"/>
          <w:kern w:val="0"/>
          <w:highlight w:val="none"/>
        </w:rPr>
      </w:pPr>
      <w:r>
        <w:rPr>
          <w:rFonts w:hint="eastAsia" w:ascii="仿宋" w:hAnsi="仿宋" w:eastAsia="仿宋"/>
          <w:b/>
          <w:color w:val="auto"/>
          <w:kern w:val="0"/>
          <w:sz w:val="28"/>
          <w:highlight w:val="none"/>
        </w:rPr>
        <w:br w:type="page"/>
      </w:r>
      <w:bookmarkStart w:id="829" w:name="_Toc8237"/>
      <w:bookmarkStart w:id="830" w:name="_Toc17893"/>
      <w:bookmarkStart w:id="831" w:name="_Toc7246"/>
      <w:bookmarkStart w:id="832" w:name="_Toc32360"/>
      <w:bookmarkStart w:id="833" w:name="_Toc6765"/>
      <w:bookmarkStart w:id="834" w:name="_Toc31082"/>
      <w:bookmarkStart w:id="835" w:name="_Toc32190"/>
      <w:bookmarkStart w:id="836" w:name="_Toc1910"/>
      <w:bookmarkStart w:id="837" w:name="_Toc581"/>
      <w:bookmarkStart w:id="838" w:name="_Toc26576"/>
      <w:bookmarkStart w:id="839" w:name="_Toc4564"/>
      <w:bookmarkStart w:id="840" w:name="_Toc28244"/>
      <w:bookmarkStart w:id="841" w:name="_Toc7376"/>
      <w:bookmarkStart w:id="842" w:name="_Toc63600446"/>
      <w:bookmarkStart w:id="843" w:name="_Toc30637"/>
      <w:r>
        <w:rPr>
          <w:rFonts w:hint="eastAsia" w:ascii="仿宋" w:hAnsi="仿宋" w:eastAsia="仿宋" w:cs="Arial"/>
          <w:b/>
          <w:color w:val="auto"/>
          <w:kern w:val="0"/>
          <w:sz w:val="28"/>
          <w:highlight w:val="none"/>
        </w:rPr>
        <w:t>三、商务文件</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pPr>
        <w:spacing w:beforeLines="100" w:afterLines="100"/>
        <w:ind w:firstLine="0" w:firstLineChars="0"/>
        <w:jc w:val="center"/>
        <w:rPr>
          <w:rFonts w:ascii="仿宋" w:hAnsi="仿宋" w:eastAsia="仿宋"/>
          <w:color w:val="auto"/>
          <w:sz w:val="28"/>
          <w:szCs w:val="21"/>
          <w:highlight w:val="none"/>
        </w:rPr>
      </w:pPr>
      <w:r>
        <w:rPr>
          <w:rFonts w:hint="eastAsia" w:ascii="仿宋" w:hAnsi="仿宋" w:eastAsia="仿宋"/>
          <w:color w:val="auto"/>
          <w:sz w:val="28"/>
          <w:szCs w:val="21"/>
          <w:highlight w:val="none"/>
        </w:rPr>
        <w:t>（一）投标函（格式）</w:t>
      </w:r>
    </w:p>
    <w:p>
      <w:pPr>
        <w:spacing w:line="500" w:lineRule="exact"/>
        <w:ind w:firstLine="438"/>
        <w:rPr>
          <w:rFonts w:ascii="方正仿宋_GBK" w:hAnsi="仿宋" w:eastAsia="方正仿宋_GBK"/>
          <w:color w:val="auto"/>
          <w:szCs w:val="28"/>
          <w:highlight w:val="none"/>
          <w:u w:val="single"/>
        </w:rPr>
      </w:pPr>
      <w:r>
        <w:rPr>
          <w:rFonts w:hint="eastAsia" w:ascii="方正仿宋_GBK" w:hAnsi="仿宋" w:eastAsia="方正仿宋_GBK"/>
          <w:color w:val="auto"/>
          <w:szCs w:val="28"/>
          <w:highlight w:val="none"/>
        </w:rPr>
        <w:t>招标项目名称：</w:t>
      </w:r>
    </w:p>
    <w:p>
      <w:pPr>
        <w:spacing w:line="500" w:lineRule="exact"/>
        <w:ind w:firstLine="0" w:firstLineChars="0"/>
        <w:rPr>
          <w:rFonts w:ascii="方正仿宋_GBK" w:hAnsi="仿宋" w:eastAsia="方正仿宋_GBK"/>
          <w:color w:val="auto"/>
          <w:szCs w:val="28"/>
          <w:highlight w:val="none"/>
        </w:rPr>
      </w:pPr>
    </w:p>
    <w:p>
      <w:pPr>
        <w:tabs>
          <w:tab w:val="left" w:pos="6300"/>
        </w:tabs>
        <w:snapToGrid w:val="0"/>
        <w:spacing w:line="500" w:lineRule="exact"/>
        <w:ind w:firstLine="438"/>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致：（采购代理机构名称）：</w:t>
      </w:r>
    </w:p>
    <w:p>
      <w:pPr>
        <w:snapToGrid w:val="0"/>
        <w:spacing w:beforeLines="50" w:line="500" w:lineRule="exact"/>
        <w:ind w:firstLine="438"/>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（投标人名称）系中华人民共和国合法企业，注册地址：。我方就参加本次投标有关事项郑重声明如下：</w:t>
      </w:r>
    </w:p>
    <w:p>
      <w:pPr>
        <w:ind w:firstLine="438"/>
        <w:rPr>
          <w:rFonts w:ascii="仿宋" w:hAnsi="仿宋" w:eastAsia="仿宋"/>
          <w:color w:val="auto"/>
          <w:highlight w:val="none"/>
        </w:rPr>
      </w:pPr>
      <w:r>
        <w:rPr>
          <w:rFonts w:hint="eastAsia" w:ascii="仿宋" w:hAnsi="仿宋" w:eastAsia="仿宋"/>
          <w:color w:val="auto"/>
          <w:highlight w:val="none"/>
        </w:rPr>
        <w:t>一、我方完全理解并接受该项目招标文件所有要求。</w:t>
      </w:r>
    </w:p>
    <w:p>
      <w:pPr>
        <w:ind w:firstLine="438"/>
        <w:rPr>
          <w:rFonts w:ascii="仿宋" w:hAnsi="仿宋" w:eastAsia="仿宋"/>
          <w:color w:val="auto"/>
          <w:highlight w:val="none"/>
        </w:rPr>
      </w:pPr>
      <w:r>
        <w:rPr>
          <w:rFonts w:hint="eastAsia" w:ascii="仿宋" w:hAnsi="仿宋" w:eastAsia="仿宋"/>
          <w:color w:val="auto"/>
          <w:highlight w:val="none"/>
        </w:rPr>
        <w:t>二、我方提交的所有电子投标文件、资料都是准确和真实的，如有虚假或隐瞒，我方愿意承担一切法律责任。</w:t>
      </w:r>
    </w:p>
    <w:p>
      <w:pPr>
        <w:ind w:firstLine="438"/>
        <w:rPr>
          <w:rFonts w:ascii="仿宋" w:hAnsi="仿宋" w:eastAsia="仿宋"/>
          <w:color w:val="auto"/>
          <w:highlight w:val="none"/>
        </w:rPr>
      </w:pPr>
      <w:r>
        <w:rPr>
          <w:rFonts w:hint="eastAsia" w:ascii="仿宋" w:hAnsi="仿宋" w:eastAsia="仿宋"/>
          <w:color w:val="auto"/>
          <w:highlight w:val="none"/>
        </w:rPr>
        <w:t>三、我方承诺按照招标文件要求，提供招标项目的技术（质量）服务。</w:t>
      </w:r>
    </w:p>
    <w:p>
      <w:pPr>
        <w:ind w:firstLine="438"/>
        <w:rPr>
          <w:rFonts w:ascii="宋体" w:hAnsi="宋体" w:cs="宋体"/>
          <w:color w:val="auto"/>
          <w:szCs w:val="28"/>
          <w:highlight w:val="none"/>
        </w:rPr>
      </w:pPr>
      <w:r>
        <w:rPr>
          <w:rFonts w:hint="eastAsia" w:ascii="仿宋" w:hAnsi="仿宋" w:eastAsia="仿宋"/>
          <w:color w:val="auto"/>
          <w:highlight w:val="none"/>
        </w:rPr>
        <w:t>四、我方按招标文件要求提交的投标文件为：电子投标文件壹份。</w:t>
      </w:r>
    </w:p>
    <w:p>
      <w:pPr>
        <w:ind w:firstLine="438"/>
        <w:rPr>
          <w:rFonts w:ascii="仿宋" w:hAnsi="仿宋" w:eastAsia="仿宋"/>
          <w:color w:val="auto"/>
          <w:highlight w:val="none"/>
        </w:rPr>
      </w:pPr>
      <w:r>
        <w:rPr>
          <w:rFonts w:hint="eastAsia" w:ascii="仿宋" w:hAnsi="仿宋" w:eastAsia="仿宋"/>
          <w:color w:val="auto"/>
          <w:highlight w:val="none"/>
        </w:rPr>
        <w:t>五、我方承诺：本次投标的投标有效期为电子投标文件递交截止时间起90天。</w:t>
      </w:r>
    </w:p>
    <w:p>
      <w:pPr>
        <w:ind w:firstLine="438"/>
        <w:rPr>
          <w:rFonts w:ascii="仿宋" w:hAnsi="仿宋" w:eastAsia="仿宋"/>
          <w:color w:val="auto"/>
          <w:highlight w:val="none"/>
        </w:rPr>
      </w:pPr>
      <w:r>
        <w:rPr>
          <w:rFonts w:hint="eastAsia" w:ascii="仿宋" w:hAnsi="仿宋" w:eastAsia="仿宋"/>
          <w:color w:val="auto"/>
          <w:highlight w:val="none"/>
        </w:rPr>
        <w:t>六、我方投标报价为闭口价。即在投标有效期和合同有效期内，该报价固定不变。</w:t>
      </w:r>
    </w:p>
    <w:p>
      <w:pPr>
        <w:ind w:firstLine="438"/>
        <w:rPr>
          <w:rFonts w:ascii="仿宋" w:hAnsi="仿宋" w:eastAsia="仿宋"/>
          <w:color w:val="auto"/>
          <w:highlight w:val="none"/>
        </w:rPr>
      </w:pPr>
      <w:r>
        <w:rPr>
          <w:rFonts w:hint="eastAsia" w:ascii="仿宋" w:hAnsi="仿宋" w:eastAsia="仿宋"/>
          <w:color w:val="auto"/>
          <w:highlight w:val="none"/>
        </w:rPr>
        <w:t>七、如果我方中标，我方将履行招标文件中规定的各项要求以及我方电子投标文件的各项承诺，按《中华人民共和国政府采购法》、《中华人民共和国民法典》及合同约定条款承担我方责任。</w:t>
      </w:r>
    </w:p>
    <w:p>
      <w:pPr>
        <w:ind w:firstLine="438"/>
        <w:rPr>
          <w:rFonts w:ascii="仿宋" w:hAnsi="仿宋" w:eastAsia="仿宋"/>
          <w:color w:val="auto"/>
          <w:highlight w:val="none"/>
        </w:rPr>
      </w:pPr>
      <w:r>
        <w:rPr>
          <w:rFonts w:hint="eastAsia" w:ascii="仿宋" w:hAnsi="仿宋" w:eastAsia="仿宋"/>
          <w:color w:val="auto"/>
          <w:highlight w:val="none"/>
        </w:rPr>
        <w:t>八、我方未为采购项目提供整体设计、规范编制或者项目管理、监理、检测等服务。</w:t>
      </w:r>
    </w:p>
    <w:p>
      <w:pPr>
        <w:tabs>
          <w:tab w:val="left" w:pos="6300"/>
        </w:tabs>
        <w:snapToGrid w:val="0"/>
        <w:spacing w:line="500" w:lineRule="exact"/>
        <w:ind w:firstLine="438"/>
        <w:rPr>
          <w:rFonts w:ascii="方正仿宋_GBK" w:hAnsi="仿宋" w:eastAsia="方正仿宋_GBK"/>
          <w:color w:val="auto"/>
          <w:szCs w:val="28"/>
          <w:highlight w:val="none"/>
        </w:rPr>
      </w:pPr>
      <w:r>
        <w:rPr>
          <w:rFonts w:hint="eastAsia" w:ascii="仿宋" w:hAnsi="仿宋" w:eastAsia="仿宋"/>
          <w:color w:val="auto"/>
          <w:highlight w:val="none"/>
        </w:rPr>
        <w:t>九、我方理解，最低报价不是中标的唯一条件</w:t>
      </w:r>
      <w:r>
        <w:rPr>
          <w:rFonts w:hint="eastAsia" w:ascii="方正仿宋_GBK" w:hAnsi="仿宋" w:eastAsia="方正仿宋_GBK"/>
          <w:color w:val="auto"/>
          <w:szCs w:val="28"/>
          <w:highlight w:val="none"/>
        </w:rPr>
        <w:t>。</w:t>
      </w:r>
    </w:p>
    <w:p>
      <w:pPr>
        <w:ind w:firstLine="438"/>
        <w:rPr>
          <w:rFonts w:ascii="仿宋" w:hAnsi="仿宋" w:eastAsia="仿宋"/>
          <w:color w:val="auto"/>
          <w:highlight w:val="none"/>
        </w:rPr>
      </w:pPr>
      <w:r>
        <w:rPr>
          <w:rFonts w:hint="eastAsia" w:ascii="仿宋" w:hAnsi="仿宋" w:eastAsia="仿宋"/>
          <w:color w:val="auto"/>
          <w:highlight w:val="none"/>
        </w:rPr>
        <w:t>十、我方同意按有关规定及招标文件要求。</w:t>
      </w:r>
    </w:p>
    <w:p>
      <w:pPr>
        <w:tabs>
          <w:tab w:val="left" w:pos="6300"/>
        </w:tabs>
        <w:snapToGrid w:val="0"/>
        <w:spacing w:line="500" w:lineRule="exact"/>
        <w:ind w:firstLine="438"/>
        <w:rPr>
          <w:rFonts w:ascii="方正仿宋_GBK" w:hAnsi="仿宋" w:eastAsia="方正仿宋_GBK"/>
          <w:color w:val="auto"/>
          <w:szCs w:val="28"/>
          <w:highlight w:val="none"/>
        </w:rPr>
      </w:pPr>
    </w:p>
    <w:p>
      <w:pPr>
        <w:tabs>
          <w:tab w:val="left" w:pos="6300"/>
        </w:tabs>
        <w:snapToGrid w:val="0"/>
        <w:spacing w:line="500" w:lineRule="exact"/>
        <w:ind w:firstLine="4983" w:firstLineChars="2275"/>
        <w:rPr>
          <w:rFonts w:ascii="方正仿宋_GBK" w:hAnsi="仿宋" w:eastAsia="方正仿宋_GBK"/>
          <w:color w:val="auto"/>
          <w:szCs w:val="28"/>
          <w:highlight w:val="none"/>
        </w:rPr>
      </w:pPr>
    </w:p>
    <w:p>
      <w:pPr>
        <w:tabs>
          <w:tab w:val="left" w:pos="6300"/>
        </w:tabs>
        <w:snapToGrid w:val="0"/>
        <w:spacing w:line="500" w:lineRule="exact"/>
        <w:ind w:firstLine="4983" w:firstLineChars="2275"/>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（投标人公章或自然人签署）</w:t>
      </w:r>
    </w:p>
    <w:p>
      <w:pPr>
        <w:tabs>
          <w:tab w:val="left" w:pos="6300"/>
        </w:tabs>
        <w:snapToGrid w:val="0"/>
        <w:spacing w:line="500" w:lineRule="exact"/>
        <w:ind w:firstLine="5256" w:firstLineChars="2400"/>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年    月   日</w:t>
      </w:r>
    </w:p>
    <w:p>
      <w:pPr>
        <w:ind w:firstLine="438"/>
        <w:rPr>
          <w:rFonts w:ascii="仿宋" w:hAnsi="仿宋" w:eastAsia="仿宋"/>
          <w:color w:val="auto"/>
          <w:highlight w:val="none"/>
        </w:rPr>
      </w:pPr>
    </w:p>
    <w:p>
      <w:pPr>
        <w:pStyle w:val="18"/>
        <w:ind w:firstLine="0" w:firstLineChars="0"/>
        <w:rPr>
          <w:color w:val="auto"/>
          <w:highlight w:val="none"/>
        </w:rPr>
      </w:pPr>
    </w:p>
    <w:p>
      <w:pPr>
        <w:ind w:firstLine="438"/>
        <w:rPr>
          <w:rFonts w:ascii="仿宋" w:hAnsi="仿宋" w:eastAsia="仿宋"/>
          <w:color w:val="auto"/>
          <w:highlight w:val="none"/>
        </w:rPr>
      </w:pPr>
    </w:p>
    <w:p>
      <w:pPr>
        <w:ind w:firstLine="438"/>
        <w:rPr>
          <w:rFonts w:ascii="仿宋" w:hAnsi="仿宋" w:eastAsia="仿宋"/>
          <w:color w:val="auto"/>
          <w:highlight w:val="none"/>
        </w:rPr>
      </w:pPr>
      <w:r>
        <w:rPr>
          <w:rFonts w:hint="eastAsia" w:ascii="仿宋" w:hAnsi="仿宋" w:eastAsia="仿宋"/>
          <w:color w:val="auto"/>
          <w:highlight w:val="none"/>
        </w:rPr>
        <w:t>（二）商务条款差异表</w:t>
      </w:r>
    </w:p>
    <w:p>
      <w:pPr>
        <w:spacing w:line="360" w:lineRule="auto"/>
        <w:ind w:firstLine="438"/>
        <w:rPr>
          <w:rFonts w:ascii="仿宋" w:hAnsi="仿宋" w:eastAsia="仿宋"/>
          <w:color w:val="auto"/>
          <w:highlight w:val="none"/>
        </w:rPr>
      </w:pPr>
      <w:r>
        <w:rPr>
          <w:rFonts w:hint="eastAsia" w:ascii="仿宋" w:hAnsi="仿宋" w:eastAsia="仿宋"/>
          <w:color w:val="auto"/>
          <w:highlight w:val="none"/>
        </w:rPr>
        <w:t>项目号：</w:t>
      </w:r>
    </w:p>
    <w:p>
      <w:pPr>
        <w:spacing w:line="360" w:lineRule="auto"/>
        <w:ind w:firstLine="438"/>
        <w:rPr>
          <w:rFonts w:ascii="仿宋" w:hAnsi="仿宋" w:eastAsia="仿宋"/>
          <w:color w:val="auto"/>
          <w:highlight w:val="none"/>
        </w:rPr>
      </w:pPr>
      <w:r>
        <w:rPr>
          <w:rFonts w:hint="eastAsia" w:ascii="仿宋" w:hAnsi="仿宋" w:eastAsia="仿宋"/>
          <w:color w:val="auto"/>
          <w:highlight w:val="none"/>
        </w:rPr>
        <w:t>招标项目名称：</w:t>
      </w:r>
    </w:p>
    <w:tbl>
      <w:tblPr>
        <w:tblStyle w:val="32"/>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3473"/>
        <w:gridCol w:w="3474"/>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922" w:type="dxa"/>
            <w:vAlign w:val="center"/>
          </w:tcPr>
          <w:p>
            <w:pPr>
              <w:ind w:firstLine="0" w:firstLineChars="0"/>
              <w:jc w:val="center"/>
              <w:rPr>
                <w:rFonts w:ascii="仿宋" w:hAnsi="仿宋" w:eastAsia="仿宋"/>
                <w:color w:val="auto"/>
                <w:szCs w:val="22"/>
                <w:highlight w:val="none"/>
              </w:rPr>
            </w:pPr>
            <w:r>
              <w:rPr>
                <w:rFonts w:hint="eastAsia" w:ascii="仿宋" w:hAnsi="仿宋" w:eastAsia="仿宋"/>
                <w:color w:val="auto"/>
                <w:szCs w:val="22"/>
                <w:highlight w:val="none"/>
              </w:rPr>
              <w:t>序号</w:t>
            </w:r>
          </w:p>
        </w:tc>
        <w:tc>
          <w:tcPr>
            <w:tcW w:w="3473" w:type="dxa"/>
            <w:vAlign w:val="center"/>
          </w:tcPr>
          <w:p>
            <w:pPr>
              <w:ind w:firstLine="0" w:firstLineChars="0"/>
              <w:jc w:val="center"/>
              <w:rPr>
                <w:rFonts w:ascii="仿宋" w:hAnsi="仿宋" w:eastAsia="仿宋"/>
                <w:color w:val="auto"/>
                <w:szCs w:val="22"/>
                <w:highlight w:val="none"/>
              </w:rPr>
            </w:pPr>
            <w:r>
              <w:rPr>
                <w:rFonts w:hint="eastAsia" w:ascii="仿宋" w:hAnsi="仿宋" w:eastAsia="仿宋"/>
                <w:color w:val="auto"/>
                <w:szCs w:val="22"/>
                <w:highlight w:val="none"/>
              </w:rPr>
              <w:t>招标商务要求</w:t>
            </w:r>
          </w:p>
        </w:tc>
        <w:tc>
          <w:tcPr>
            <w:tcW w:w="3474" w:type="dxa"/>
            <w:vAlign w:val="center"/>
          </w:tcPr>
          <w:p>
            <w:pPr>
              <w:ind w:firstLine="0" w:firstLineChars="0"/>
              <w:jc w:val="center"/>
              <w:rPr>
                <w:rFonts w:ascii="仿宋" w:hAnsi="仿宋" w:eastAsia="仿宋"/>
                <w:color w:val="auto"/>
                <w:szCs w:val="22"/>
                <w:highlight w:val="none"/>
              </w:rPr>
            </w:pPr>
            <w:r>
              <w:rPr>
                <w:rFonts w:hint="eastAsia" w:ascii="仿宋" w:hAnsi="仿宋" w:eastAsia="仿宋"/>
                <w:color w:val="auto"/>
                <w:szCs w:val="22"/>
                <w:highlight w:val="none"/>
              </w:rPr>
              <w:t>投标商务应答</w:t>
            </w:r>
          </w:p>
        </w:tc>
        <w:tc>
          <w:tcPr>
            <w:tcW w:w="1419" w:type="dxa"/>
            <w:vAlign w:val="center"/>
          </w:tcPr>
          <w:p>
            <w:pPr>
              <w:ind w:firstLine="0" w:firstLineChars="0"/>
              <w:jc w:val="center"/>
              <w:rPr>
                <w:rFonts w:ascii="仿宋" w:hAnsi="仿宋" w:eastAsia="仿宋"/>
                <w:color w:val="auto"/>
                <w:szCs w:val="22"/>
                <w:highlight w:val="none"/>
              </w:rPr>
            </w:pPr>
            <w:r>
              <w:rPr>
                <w:rFonts w:hint="eastAsia" w:ascii="仿宋" w:hAnsi="仿宋" w:eastAsia="仿宋"/>
                <w:color w:val="auto"/>
                <w:szCs w:val="22"/>
                <w:highlight w:val="none"/>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r>
              <w:rPr>
                <w:rFonts w:hint="eastAsia" w:ascii="仿宋" w:hAnsi="仿宋" w:eastAsia="仿宋"/>
                <w:color w:val="auto"/>
                <w:szCs w:val="22"/>
                <w:highlight w:val="none"/>
              </w:rPr>
              <w:t>提醒：请注明具体内容以及电子投标文件中具体内容的位置（页码）</w:t>
            </w:r>
          </w:p>
        </w:tc>
        <w:tc>
          <w:tcPr>
            <w:tcW w:w="1419" w:type="dxa"/>
            <w:vAlign w:val="center"/>
          </w:tcPr>
          <w:p>
            <w:pPr>
              <w:ind w:firstLine="0" w:firstLineChars="0"/>
              <w:jc w:val="center"/>
              <w:rPr>
                <w:rFonts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p>
        </w:tc>
        <w:tc>
          <w:tcPr>
            <w:tcW w:w="1419" w:type="dxa"/>
            <w:vAlign w:val="center"/>
          </w:tcPr>
          <w:p>
            <w:pPr>
              <w:ind w:firstLine="0" w:firstLineChars="0"/>
              <w:jc w:val="center"/>
              <w:rPr>
                <w:rFonts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p>
        </w:tc>
        <w:tc>
          <w:tcPr>
            <w:tcW w:w="1419" w:type="dxa"/>
            <w:vAlign w:val="center"/>
          </w:tcPr>
          <w:p>
            <w:pPr>
              <w:ind w:firstLine="0" w:firstLineChars="0"/>
              <w:jc w:val="center"/>
              <w:rPr>
                <w:rFonts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p>
        </w:tc>
        <w:tc>
          <w:tcPr>
            <w:tcW w:w="1419" w:type="dxa"/>
            <w:vAlign w:val="center"/>
          </w:tcPr>
          <w:p>
            <w:pPr>
              <w:ind w:firstLine="0" w:firstLineChars="0"/>
              <w:jc w:val="center"/>
              <w:rPr>
                <w:rFonts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p>
        </w:tc>
        <w:tc>
          <w:tcPr>
            <w:tcW w:w="1419" w:type="dxa"/>
            <w:vAlign w:val="center"/>
          </w:tcPr>
          <w:p>
            <w:pPr>
              <w:ind w:firstLine="0" w:firstLineChars="0"/>
              <w:jc w:val="center"/>
              <w:rPr>
                <w:rFonts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p>
        </w:tc>
        <w:tc>
          <w:tcPr>
            <w:tcW w:w="1419" w:type="dxa"/>
            <w:vAlign w:val="center"/>
          </w:tcPr>
          <w:p>
            <w:pPr>
              <w:ind w:firstLine="0" w:firstLineChars="0"/>
              <w:jc w:val="center"/>
              <w:rPr>
                <w:rFonts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p>
        </w:tc>
        <w:tc>
          <w:tcPr>
            <w:tcW w:w="1419" w:type="dxa"/>
            <w:vAlign w:val="center"/>
          </w:tcPr>
          <w:p>
            <w:pPr>
              <w:ind w:firstLine="0" w:firstLineChars="0"/>
              <w:jc w:val="center"/>
              <w:rPr>
                <w:rFonts w:ascii="仿宋" w:hAnsi="仿宋" w:eastAsia="仿宋"/>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jc w:val="center"/>
        </w:trPr>
        <w:tc>
          <w:tcPr>
            <w:tcW w:w="922" w:type="dxa"/>
            <w:vAlign w:val="center"/>
          </w:tcPr>
          <w:p>
            <w:pPr>
              <w:ind w:firstLine="0" w:firstLineChars="0"/>
              <w:jc w:val="center"/>
              <w:rPr>
                <w:rFonts w:ascii="仿宋" w:hAnsi="仿宋" w:eastAsia="仿宋"/>
                <w:color w:val="auto"/>
                <w:szCs w:val="22"/>
                <w:highlight w:val="none"/>
              </w:rPr>
            </w:pPr>
          </w:p>
        </w:tc>
        <w:tc>
          <w:tcPr>
            <w:tcW w:w="3473" w:type="dxa"/>
            <w:vAlign w:val="center"/>
          </w:tcPr>
          <w:p>
            <w:pPr>
              <w:ind w:firstLine="0" w:firstLineChars="0"/>
              <w:jc w:val="center"/>
              <w:rPr>
                <w:rFonts w:ascii="仿宋" w:hAnsi="仿宋" w:eastAsia="仿宋"/>
                <w:color w:val="auto"/>
                <w:szCs w:val="22"/>
                <w:highlight w:val="none"/>
              </w:rPr>
            </w:pPr>
          </w:p>
        </w:tc>
        <w:tc>
          <w:tcPr>
            <w:tcW w:w="3474" w:type="dxa"/>
            <w:vAlign w:val="center"/>
          </w:tcPr>
          <w:p>
            <w:pPr>
              <w:ind w:firstLine="0" w:firstLineChars="0"/>
              <w:jc w:val="center"/>
              <w:rPr>
                <w:rFonts w:ascii="仿宋" w:hAnsi="仿宋" w:eastAsia="仿宋"/>
                <w:color w:val="auto"/>
                <w:szCs w:val="22"/>
                <w:highlight w:val="none"/>
              </w:rPr>
            </w:pPr>
          </w:p>
        </w:tc>
        <w:tc>
          <w:tcPr>
            <w:tcW w:w="1419" w:type="dxa"/>
            <w:vAlign w:val="center"/>
          </w:tcPr>
          <w:p>
            <w:pPr>
              <w:ind w:firstLine="0" w:firstLineChars="0"/>
              <w:jc w:val="center"/>
              <w:rPr>
                <w:rFonts w:ascii="仿宋" w:hAnsi="仿宋" w:eastAsia="仿宋"/>
                <w:color w:val="auto"/>
                <w:szCs w:val="22"/>
                <w:highlight w:val="none"/>
              </w:rPr>
            </w:pPr>
          </w:p>
        </w:tc>
      </w:tr>
    </w:tbl>
    <w:p>
      <w:pPr>
        <w:ind w:firstLine="1095" w:firstLineChars="500"/>
        <w:rPr>
          <w:rFonts w:ascii="仿宋" w:hAnsi="仿宋" w:eastAsia="仿宋"/>
          <w:color w:val="auto"/>
          <w:highlight w:val="none"/>
        </w:rPr>
      </w:pPr>
      <w:r>
        <w:rPr>
          <w:rFonts w:hint="eastAsia" w:ascii="仿宋" w:hAnsi="仿宋" w:eastAsia="仿宋"/>
          <w:color w:val="auto"/>
          <w:highlight w:val="none"/>
        </w:rPr>
        <w:t>投标人：                      法定代表人（或法定代表人授权代表）或自然人：</w:t>
      </w:r>
    </w:p>
    <w:p>
      <w:pPr>
        <w:ind w:firstLine="876" w:firstLineChars="400"/>
        <w:rPr>
          <w:rFonts w:ascii="仿宋" w:hAnsi="仿宋" w:eastAsia="仿宋"/>
          <w:color w:val="auto"/>
          <w:highlight w:val="none"/>
        </w:rPr>
      </w:pPr>
      <w:r>
        <w:rPr>
          <w:rFonts w:hint="eastAsia" w:ascii="仿宋" w:hAnsi="仿宋" w:eastAsia="仿宋"/>
          <w:color w:val="auto"/>
          <w:highlight w:val="none"/>
        </w:rPr>
        <w:t>（投标人公章）</w:t>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ab/>
      </w:r>
      <w:r>
        <w:rPr>
          <w:rFonts w:hint="eastAsia" w:ascii="仿宋" w:hAnsi="仿宋" w:eastAsia="仿宋"/>
          <w:color w:val="auto"/>
          <w:highlight w:val="none"/>
        </w:rPr>
        <w:t>（签署或盖章）</w:t>
      </w:r>
    </w:p>
    <w:p>
      <w:pPr>
        <w:ind w:firstLine="438"/>
        <w:rPr>
          <w:rFonts w:ascii="仿宋" w:hAnsi="仿宋" w:eastAsia="仿宋"/>
          <w:color w:val="auto"/>
          <w:highlight w:val="none"/>
        </w:rPr>
      </w:pPr>
    </w:p>
    <w:p>
      <w:pPr>
        <w:wordWrap w:val="0"/>
        <w:ind w:right="764" w:rightChars="349" w:firstLine="6132" w:firstLineChars="2800"/>
        <w:jc w:val="right"/>
        <w:rPr>
          <w:rFonts w:ascii="仿宋" w:hAnsi="仿宋" w:eastAsia="仿宋"/>
          <w:color w:val="auto"/>
          <w:highlight w:val="none"/>
        </w:rPr>
      </w:pPr>
      <w:r>
        <w:rPr>
          <w:rFonts w:hint="eastAsia" w:ascii="仿宋" w:hAnsi="仿宋" w:eastAsia="仿宋"/>
          <w:color w:val="auto"/>
          <w:highlight w:val="none"/>
        </w:rPr>
        <w:t>年   月   日</w:t>
      </w:r>
    </w:p>
    <w:p>
      <w:pPr>
        <w:ind w:firstLine="438"/>
        <w:rPr>
          <w:rFonts w:ascii="仿宋" w:hAnsi="仿宋" w:eastAsia="仿宋"/>
          <w:color w:val="auto"/>
          <w:highlight w:val="none"/>
        </w:rPr>
      </w:pPr>
      <w:r>
        <w:rPr>
          <w:rFonts w:hint="eastAsia" w:ascii="仿宋" w:hAnsi="仿宋" w:eastAsia="仿宋"/>
          <w:color w:val="auto"/>
          <w:highlight w:val="none"/>
        </w:rPr>
        <w:t>注：</w:t>
      </w:r>
    </w:p>
    <w:p>
      <w:pPr>
        <w:ind w:firstLine="438"/>
        <w:rPr>
          <w:rFonts w:ascii="仿宋" w:hAnsi="仿宋" w:eastAsia="仿宋"/>
          <w:color w:val="auto"/>
          <w:highlight w:val="none"/>
        </w:rPr>
      </w:pPr>
      <w:r>
        <w:rPr>
          <w:rFonts w:hint="eastAsia" w:ascii="仿宋" w:hAnsi="仿宋" w:eastAsia="仿宋"/>
          <w:color w:val="auto"/>
          <w:highlight w:val="none"/>
        </w:rPr>
        <w:t>1.本表即为对本项目“第三篇 项目商务需求”中所列条款进行比较和响应，应逐条如实填写，“投标商务应答”中必须列出具体数值或内容。如投标人未应答或只注明“符合”、“满足”等类似无具体数值或内容的表述，视为不满足相应条款；</w:t>
      </w:r>
    </w:p>
    <w:p>
      <w:pPr>
        <w:ind w:firstLine="438"/>
        <w:rPr>
          <w:rFonts w:ascii="仿宋" w:hAnsi="仿宋" w:eastAsia="仿宋"/>
          <w:color w:val="auto"/>
          <w:highlight w:val="none"/>
        </w:rPr>
      </w:pPr>
      <w:r>
        <w:rPr>
          <w:rFonts w:hint="eastAsia" w:ascii="仿宋" w:hAnsi="仿宋" w:eastAsia="仿宋"/>
          <w:color w:val="auto"/>
          <w:highlight w:val="none"/>
        </w:rPr>
        <w:t>2.该表必须按照招标文件要求逐条如实填写，根据投标情况在“差异说明”项填写正偏离或负偏离及原因，完全符合的填写“无差异”；</w:t>
      </w:r>
    </w:p>
    <w:p>
      <w:pPr>
        <w:ind w:firstLine="438"/>
        <w:rPr>
          <w:rFonts w:ascii="仿宋" w:hAnsi="仿宋" w:eastAsia="仿宋"/>
          <w:color w:val="auto"/>
          <w:highlight w:val="none"/>
        </w:rPr>
      </w:pPr>
      <w:r>
        <w:rPr>
          <w:rFonts w:hint="eastAsia" w:ascii="仿宋" w:hAnsi="仿宋" w:eastAsia="仿宋"/>
          <w:color w:val="auto"/>
          <w:highlight w:val="none"/>
        </w:rPr>
        <w:t>3.该表可扩展。</w:t>
      </w:r>
      <w:r>
        <w:rPr>
          <w:rFonts w:hint="eastAsia" w:ascii="仿宋" w:hAnsi="仿宋" w:eastAsia="仿宋"/>
          <w:color w:val="auto"/>
          <w:highlight w:val="none"/>
        </w:rPr>
        <w:br w:type="page"/>
      </w:r>
    </w:p>
    <w:p>
      <w:pPr>
        <w:ind w:firstLine="438"/>
        <w:rPr>
          <w:rFonts w:ascii="仿宋" w:hAnsi="仿宋" w:eastAsia="仿宋"/>
          <w:color w:val="auto"/>
          <w:szCs w:val="22"/>
          <w:highlight w:val="none"/>
        </w:rPr>
      </w:pPr>
      <w:r>
        <w:rPr>
          <w:rFonts w:hint="eastAsia" w:ascii="仿宋" w:hAnsi="仿宋" w:eastAsia="仿宋"/>
          <w:color w:val="auto"/>
          <w:szCs w:val="22"/>
          <w:highlight w:val="none"/>
        </w:rPr>
        <w:t>（三）第三篇所需证明材料（如果有）</w:t>
      </w:r>
    </w:p>
    <w:p>
      <w:pPr>
        <w:ind w:firstLine="438"/>
        <w:rPr>
          <w:rFonts w:ascii="仿宋" w:hAnsi="仿宋" w:eastAsia="仿宋"/>
          <w:color w:val="auto"/>
          <w:szCs w:val="22"/>
          <w:highlight w:val="none"/>
        </w:rPr>
      </w:pPr>
    </w:p>
    <w:p>
      <w:pPr>
        <w:ind w:firstLine="438"/>
        <w:rPr>
          <w:rFonts w:ascii="仿宋" w:hAnsi="仿宋" w:eastAsia="仿宋"/>
          <w:color w:val="auto"/>
          <w:szCs w:val="22"/>
          <w:highlight w:val="none"/>
        </w:rPr>
      </w:pPr>
      <w:r>
        <w:rPr>
          <w:rFonts w:hint="eastAsia" w:ascii="仿宋" w:hAnsi="仿宋" w:eastAsia="仿宋"/>
          <w:color w:val="auto"/>
          <w:szCs w:val="22"/>
          <w:highlight w:val="none"/>
        </w:rPr>
        <w:t>（四）第四篇评审因素商务部分所需证明材料</w:t>
      </w:r>
    </w:p>
    <w:p>
      <w:pPr>
        <w:ind w:firstLine="438"/>
        <w:rPr>
          <w:rFonts w:ascii="仿宋" w:hAnsi="仿宋" w:eastAsia="仿宋"/>
          <w:color w:val="auto"/>
          <w:szCs w:val="22"/>
          <w:highlight w:val="none"/>
        </w:rPr>
      </w:pPr>
    </w:p>
    <w:p>
      <w:pPr>
        <w:ind w:firstLine="438"/>
        <w:rPr>
          <w:rFonts w:ascii="仿宋" w:hAnsi="仿宋" w:eastAsia="仿宋"/>
          <w:color w:val="auto"/>
          <w:highlight w:val="none"/>
        </w:rPr>
      </w:pPr>
      <w:r>
        <w:rPr>
          <w:rFonts w:hint="eastAsia" w:ascii="仿宋" w:hAnsi="仿宋" w:eastAsia="仿宋"/>
          <w:color w:val="auto"/>
          <w:szCs w:val="22"/>
          <w:highlight w:val="none"/>
        </w:rPr>
        <w:t>（五）其他商务资料</w:t>
      </w:r>
    </w:p>
    <w:p>
      <w:pPr>
        <w:ind w:firstLine="438"/>
        <w:rPr>
          <w:rFonts w:ascii="仿宋" w:hAnsi="仿宋" w:eastAsia="仿宋"/>
          <w:color w:val="auto"/>
          <w:highlight w:val="none"/>
        </w:rPr>
        <w:sectPr>
          <w:pgSz w:w="11907" w:h="16840"/>
          <w:pgMar w:top="1134" w:right="1191" w:bottom="1134" w:left="1304" w:header="794" w:footer="992" w:gutter="0"/>
          <w:cols w:space="720" w:num="1"/>
          <w:docGrid w:type="linesAndChars" w:linePitch="393" w:charSpace="-4325"/>
        </w:sectPr>
      </w:pPr>
    </w:p>
    <w:p>
      <w:pPr>
        <w:keepNext/>
        <w:keepLines/>
        <w:adjustRightInd w:val="0"/>
        <w:snapToGrid w:val="0"/>
        <w:spacing w:beforeLines="50" w:afterLines="50" w:line="240" w:lineRule="auto"/>
        <w:ind w:firstLine="562"/>
        <w:outlineLvl w:val="1"/>
        <w:rPr>
          <w:rFonts w:ascii="仿宋" w:hAnsi="仿宋" w:eastAsia="仿宋"/>
          <w:b/>
          <w:color w:val="auto"/>
          <w:kern w:val="0"/>
          <w:sz w:val="28"/>
          <w:highlight w:val="none"/>
        </w:rPr>
      </w:pPr>
      <w:bookmarkStart w:id="844" w:name="_Toc19566"/>
      <w:bookmarkStart w:id="845" w:name="_Toc12558"/>
      <w:bookmarkStart w:id="846" w:name="_Toc17512"/>
      <w:bookmarkStart w:id="847" w:name="_Toc16629"/>
      <w:bookmarkStart w:id="848" w:name="_Toc21990"/>
      <w:bookmarkStart w:id="849" w:name="_Toc6335"/>
      <w:bookmarkStart w:id="850" w:name="_Toc7332"/>
      <w:bookmarkStart w:id="851" w:name="_Toc18599"/>
      <w:bookmarkStart w:id="852" w:name="_Toc10864"/>
      <w:bookmarkStart w:id="853" w:name="_Toc63600448"/>
      <w:bookmarkStart w:id="854" w:name="_Toc13808"/>
      <w:bookmarkStart w:id="855" w:name="_Toc24525"/>
      <w:bookmarkStart w:id="856" w:name="_Toc31553"/>
      <w:bookmarkStart w:id="857" w:name="_Toc9110"/>
      <w:bookmarkStart w:id="858" w:name="_Toc13194"/>
      <w:r>
        <w:rPr>
          <w:rFonts w:hint="eastAsia" w:ascii="仿宋" w:hAnsi="仿宋" w:eastAsia="仿宋"/>
          <w:b/>
          <w:color w:val="auto"/>
          <w:kern w:val="0"/>
          <w:sz w:val="28"/>
          <w:highlight w:val="none"/>
        </w:rPr>
        <w:t>四、资格文件</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pPr>
        <w:ind w:firstLine="480"/>
        <w:rPr>
          <w:rFonts w:ascii="仿宋" w:hAnsi="仿宋" w:eastAsia="仿宋"/>
          <w:color w:val="auto"/>
          <w:highlight w:val="none"/>
        </w:rPr>
      </w:pPr>
      <w:r>
        <w:rPr>
          <w:rFonts w:hint="eastAsia" w:ascii="仿宋" w:hAnsi="仿宋" w:eastAsia="仿宋"/>
          <w:color w:val="auto"/>
          <w:highlight w:val="none"/>
        </w:rPr>
        <w:t>（一）投标人法人营业执照（副本）或事业单位法人证书（副本）或个体工商户营业执照或有效的自然人身份证明或社会团体法人登记证书（提供复印件）</w:t>
      </w:r>
    </w:p>
    <w:p>
      <w:pPr>
        <w:pStyle w:val="17"/>
        <w:ind w:firstLine="360"/>
        <w:rPr>
          <w:rFonts w:ascii="仿宋" w:hAnsi="仿宋" w:eastAsia="仿宋"/>
          <w:color w:val="auto"/>
          <w:highlight w:val="none"/>
        </w:rPr>
      </w:pPr>
      <w:r>
        <w:rPr>
          <w:rFonts w:ascii="仿宋" w:hAnsi="仿宋" w:eastAsia="仿宋"/>
          <w:color w:val="auto"/>
          <w:highlight w:val="none"/>
        </w:rPr>
        <w:br w:type="page"/>
      </w:r>
      <w:bookmarkEnd w:id="827"/>
      <w:r>
        <w:rPr>
          <w:rFonts w:hint="eastAsia" w:ascii="仿宋" w:hAnsi="仿宋" w:eastAsia="仿宋"/>
          <w:color w:val="auto"/>
          <w:sz w:val="24"/>
          <w:szCs w:val="20"/>
          <w:highlight w:val="none"/>
        </w:rPr>
        <w:t>（二）法定代表人身份证明书（格式）</w:t>
      </w:r>
    </w:p>
    <w:p>
      <w:pPr>
        <w:ind w:firstLine="480"/>
        <w:rPr>
          <w:rFonts w:ascii="仿宋" w:hAnsi="仿宋" w:eastAsia="仿宋"/>
          <w:color w:val="auto"/>
          <w:highlight w:val="none"/>
        </w:rPr>
      </w:pPr>
    </w:p>
    <w:p>
      <w:pPr>
        <w:tabs>
          <w:tab w:val="left" w:pos="6300"/>
        </w:tabs>
        <w:snapToGrid w:val="0"/>
        <w:spacing w:line="500" w:lineRule="exact"/>
        <w:ind w:firstLine="480"/>
        <w:rPr>
          <w:rFonts w:ascii="方正仿宋_GBK" w:hAnsi="仿宋" w:eastAsia="方正仿宋_GBK"/>
          <w:color w:val="auto"/>
          <w:highlight w:val="none"/>
        </w:rPr>
      </w:pPr>
      <w:r>
        <w:rPr>
          <w:rFonts w:hint="eastAsia" w:ascii="仿宋" w:hAnsi="仿宋" w:eastAsia="仿宋"/>
          <w:color w:val="auto"/>
          <w:highlight w:val="none"/>
        </w:rPr>
        <w:t>招标项目名称：</w:t>
      </w:r>
    </w:p>
    <w:p>
      <w:pPr>
        <w:ind w:firstLine="480"/>
        <w:rPr>
          <w:rFonts w:ascii="仿宋" w:hAnsi="仿宋" w:eastAsia="仿宋"/>
          <w:color w:val="auto"/>
          <w:highlight w:val="none"/>
        </w:rPr>
      </w:pPr>
    </w:p>
    <w:p>
      <w:pPr>
        <w:ind w:firstLine="480"/>
        <w:rPr>
          <w:rFonts w:ascii="仿宋" w:hAnsi="仿宋" w:eastAsia="仿宋"/>
          <w:color w:val="auto"/>
          <w:highlight w:val="none"/>
        </w:rPr>
      </w:pPr>
      <w:r>
        <w:rPr>
          <w:rFonts w:hint="eastAsia" w:ascii="仿宋" w:hAnsi="仿宋" w:eastAsia="仿宋"/>
          <w:color w:val="auto"/>
          <w:highlight w:val="none"/>
        </w:rPr>
        <w:t>致：（采购代理机构名称）</w:t>
      </w:r>
    </w:p>
    <w:p>
      <w:pPr>
        <w:ind w:firstLine="480"/>
        <w:rPr>
          <w:rFonts w:ascii="仿宋" w:hAnsi="仿宋" w:eastAsia="仿宋"/>
          <w:color w:val="auto"/>
          <w:highlight w:val="none"/>
        </w:rPr>
      </w:pPr>
      <w:r>
        <w:rPr>
          <w:rFonts w:hint="eastAsia" w:ascii="仿宋" w:hAnsi="仿宋" w:eastAsia="仿宋"/>
          <w:color w:val="auto"/>
          <w:highlight w:val="none"/>
        </w:rPr>
        <w:t>（法定代表人姓名）在（投标人名称）任（职务名称）职务，是（投标人名称）的法定代表人。</w:t>
      </w:r>
    </w:p>
    <w:p>
      <w:pPr>
        <w:ind w:firstLine="480"/>
        <w:rPr>
          <w:rFonts w:ascii="仿宋" w:hAnsi="仿宋" w:eastAsia="仿宋"/>
          <w:color w:val="auto"/>
          <w:highlight w:val="none"/>
        </w:rPr>
      </w:pPr>
    </w:p>
    <w:p>
      <w:pPr>
        <w:ind w:firstLine="480"/>
        <w:rPr>
          <w:rFonts w:ascii="仿宋" w:hAnsi="仿宋" w:eastAsia="仿宋"/>
          <w:color w:val="auto"/>
          <w:highlight w:val="none"/>
        </w:rPr>
      </w:pPr>
      <w:r>
        <w:rPr>
          <w:rFonts w:hint="eastAsia" w:ascii="仿宋" w:hAnsi="仿宋" w:eastAsia="仿宋"/>
          <w:color w:val="auto"/>
          <w:highlight w:val="none"/>
        </w:rPr>
        <w:t>特此证明。</w:t>
      </w:r>
    </w:p>
    <w:p>
      <w:pPr>
        <w:ind w:firstLine="0" w:firstLineChars="0"/>
        <w:rPr>
          <w:rFonts w:ascii="仿宋" w:hAnsi="仿宋" w:eastAsia="仿宋"/>
          <w:color w:val="auto"/>
          <w:szCs w:val="22"/>
          <w:highlight w:val="none"/>
        </w:rPr>
      </w:pPr>
    </w:p>
    <w:p>
      <w:pPr>
        <w:ind w:firstLine="480"/>
        <w:rPr>
          <w:rFonts w:ascii="仿宋" w:hAnsi="仿宋" w:eastAsia="仿宋"/>
          <w:color w:val="auto"/>
          <w:szCs w:val="22"/>
          <w:highlight w:val="none"/>
        </w:rPr>
      </w:pPr>
    </w:p>
    <w:p>
      <w:pPr>
        <w:ind w:firstLine="480"/>
        <w:jc w:val="right"/>
        <w:rPr>
          <w:rFonts w:ascii="仿宋" w:hAnsi="仿宋" w:eastAsia="仿宋"/>
          <w:color w:val="auto"/>
          <w:highlight w:val="none"/>
        </w:rPr>
      </w:pPr>
      <w:r>
        <w:rPr>
          <w:rFonts w:hint="eastAsia" w:ascii="仿宋" w:hAnsi="仿宋" w:eastAsia="仿宋"/>
          <w:color w:val="auto"/>
          <w:highlight w:val="none"/>
        </w:rPr>
        <w:t>（投标人公章）</w:t>
      </w:r>
    </w:p>
    <w:p>
      <w:pPr>
        <w:ind w:firstLine="480"/>
        <w:rPr>
          <w:rFonts w:ascii="仿宋" w:hAnsi="仿宋" w:eastAsia="仿宋"/>
          <w:color w:val="auto"/>
          <w:szCs w:val="22"/>
          <w:highlight w:val="none"/>
          <w:lang w:val="zh-CN"/>
        </w:rPr>
      </w:pPr>
    </w:p>
    <w:p>
      <w:pPr>
        <w:wordWrap w:val="0"/>
        <w:ind w:firstLine="480"/>
        <w:jc w:val="right"/>
        <w:rPr>
          <w:rFonts w:ascii="仿宋" w:hAnsi="仿宋" w:eastAsia="仿宋"/>
          <w:color w:val="auto"/>
          <w:highlight w:val="none"/>
        </w:rPr>
      </w:pPr>
      <w:r>
        <w:rPr>
          <w:rFonts w:hint="eastAsia" w:ascii="仿宋" w:hAnsi="仿宋" w:eastAsia="仿宋"/>
          <w:color w:val="auto"/>
          <w:highlight w:val="none"/>
        </w:rPr>
        <w:t xml:space="preserve">年   月   日       </w:t>
      </w:r>
    </w:p>
    <w:p>
      <w:pPr>
        <w:ind w:firstLine="480"/>
        <w:rPr>
          <w:rFonts w:ascii="仿宋" w:hAnsi="仿宋" w:eastAsia="仿宋"/>
          <w:color w:val="auto"/>
          <w:szCs w:val="22"/>
          <w:highlight w:val="none"/>
        </w:rPr>
      </w:pPr>
    </w:p>
    <w:p>
      <w:pPr>
        <w:pStyle w:val="17"/>
        <w:ind w:firstLine="480"/>
        <w:rPr>
          <w:rFonts w:ascii="仿宋" w:hAnsi="仿宋" w:eastAsia="仿宋"/>
          <w:color w:val="auto"/>
          <w:highlight w:val="none"/>
        </w:rPr>
      </w:pPr>
      <w:r>
        <w:rPr>
          <w:rFonts w:hint="eastAsia" w:ascii="仿宋" w:hAnsi="仿宋" w:eastAsia="仿宋"/>
          <w:color w:val="auto"/>
          <w:sz w:val="24"/>
          <w:highlight w:val="none"/>
        </w:rPr>
        <w:t>法定代表人电话：XXXXXXX      电子邮箱：XXXXXX@XXXXX（若授权他人办理并签署电子投标文件的可不填写）</w:t>
      </w:r>
    </w:p>
    <w:p>
      <w:pPr>
        <w:ind w:firstLine="480"/>
        <w:rPr>
          <w:rFonts w:ascii="仿宋" w:hAnsi="仿宋" w:eastAsia="仿宋" w:cs="等线 Light"/>
          <w:color w:val="auto"/>
          <w:szCs w:val="28"/>
          <w:highlight w:val="none"/>
        </w:rPr>
      </w:pPr>
      <w:r>
        <w:rPr>
          <w:rFonts w:hint="eastAsia" w:ascii="仿宋" w:hAnsi="仿宋" w:eastAsia="仿宋"/>
          <w:color w:val="auto"/>
          <w:highlight w:val="none"/>
        </w:rPr>
        <w:t>（附：法定代表人身份证正反面复印件）</w:t>
      </w:r>
    </w:p>
    <w:p>
      <w:pPr>
        <w:tabs>
          <w:tab w:val="left" w:pos="6300"/>
        </w:tabs>
        <w:snapToGrid w:val="0"/>
        <w:spacing w:line="500" w:lineRule="exact"/>
        <w:ind w:firstLine="480"/>
        <w:rPr>
          <w:rFonts w:ascii="仿宋" w:hAnsi="仿宋" w:eastAsia="仿宋" w:cs="等线 Light"/>
          <w:color w:val="auto"/>
          <w:szCs w:val="28"/>
          <w:highlight w:val="none"/>
        </w:rPr>
      </w:pPr>
    </w:p>
    <w:p>
      <w:pPr>
        <w:tabs>
          <w:tab w:val="left" w:pos="6300"/>
        </w:tabs>
        <w:snapToGrid w:val="0"/>
        <w:spacing w:line="500" w:lineRule="exact"/>
        <w:ind w:firstLine="480"/>
        <w:rPr>
          <w:rFonts w:ascii="仿宋" w:hAnsi="仿宋" w:eastAsia="仿宋" w:cs="等线 Light"/>
          <w:color w:val="auto"/>
          <w:szCs w:val="28"/>
          <w:highlight w:val="none"/>
        </w:rPr>
      </w:pPr>
    </w:p>
    <w:p>
      <w:pPr>
        <w:tabs>
          <w:tab w:val="left" w:pos="6300"/>
        </w:tabs>
        <w:snapToGrid w:val="0"/>
        <w:spacing w:line="500" w:lineRule="exact"/>
        <w:ind w:firstLine="480"/>
        <w:rPr>
          <w:rFonts w:ascii="仿宋" w:hAnsi="仿宋" w:eastAsia="仿宋" w:cs="等线 Light"/>
          <w:color w:val="auto"/>
          <w:szCs w:val="28"/>
          <w:highlight w:val="none"/>
        </w:rPr>
      </w:pPr>
    </w:p>
    <w:p>
      <w:pPr>
        <w:tabs>
          <w:tab w:val="left" w:pos="6300"/>
        </w:tabs>
        <w:snapToGrid w:val="0"/>
        <w:spacing w:line="500" w:lineRule="exact"/>
        <w:ind w:firstLine="480"/>
        <w:rPr>
          <w:rFonts w:ascii="仿宋" w:hAnsi="仿宋" w:eastAsia="仿宋" w:cs="等线 Light"/>
          <w:color w:val="auto"/>
          <w:szCs w:val="28"/>
          <w:highlight w:val="none"/>
        </w:rPr>
      </w:pPr>
    </w:p>
    <w:p>
      <w:pPr>
        <w:tabs>
          <w:tab w:val="left" w:pos="6300"/>
        </w:tabs>
        <w:snapToGrid w:val="0"/>
        <w:spacing w:line="500" w:lineRule="exact"/>
        <w:ind w:firstLine="480"/>
        <w:rPr>
          <w:rFonts w:ascii="仿宋" w:hAnsi="仿宋" w:eastAsia="仿宋" w:cs="等线 Light"/>
          <w:color w:val="auto"/>
          <w:szCs w:val="28"/>
          <w:highlight w:val="none"/>
        </w:rPr>
      </w:pPr>
    </w:p>
    <w:p>
      <w:pPr>
        <w:ind w:firstLine="0" w:firstLineChars="0"/>
        <w:rPr>
          <w:rFonts w:ascii="仿宋" w:hAnsi="仿宋" w:eastAsia="仿宋" w:cs="等线 Light"/>
          <w:color w:val="auto"/>
          <w:szCs w:val="28"/>
          <w:highlight w:val="none"/>
        </w:rPr>
      </w:pPr>
    </w:p>
    <w:p>
      <w:pPr>
        <w:ind w:firstLine="480"/>
        <w:rPr>
          <w:rFonts w:ascii="仿宋" w:hAnsi="仿宋" w:eastAsia="仿宋"/>
          <w:color w:val="auto"/>
          <w:highlight w:val="none"/>
        </w:rPr>
      </w:pPr>
      <w:r>
        <w:rPr>
          <w:rFonts w:hint="eastAsia" w:ascii="仿宋" w:hAnsi="仿宋" w:eastAsia="仿宋"/>
          <w:color w:val="auto"/>
          <w:highlight w:val="none"/>
        </w:rPr>
        <w:br w:type="page"/>
      </w:r>
    </w:p>
    <w:p>
      <w:pPr>
        <w:ind w:firstLine="480"/>
        <w:rPr>
          <w:rFonts w:ascii="仿宋" w:hAnsi="仿宋" w:eastAsia="仿宋"/>
          <w:color w:val="auto"/>
          <w:highlight w:val="none"/>
        </w:rPr>
      </w:pPr>
      <w:r>
        <w:rPr>
          <w:rFonts w:hint="eastAsia" w:ascii="仿宋" w:hAnsi="仿宋" w:eastAsia="仿宋"/>
          <w:color w:val="auto"/>
          <w:highlight w:val="none"/>
        </w:rPr>
        <w:t>（三）法定代表人授权委托书（格式）</w:t>
      </w:r>
    </w:p>
    <w:p>
      <w:pPr>
        <w:ind w:firstLine="480"/>
        <w:rPr>
          <w:rFonts w:ascii="仿宋" w:hAnsi="仿宋" w:eastAsia="仿宋"/>
          <w:color w:val="auto"/>
          <w:highlight w:val="none"/>
        </w:rPr>
      </w:pPr>
    </w:p>
    <w:p>
      <w:pPr>
        <w:tabs>
          <w:tab w:val="left" w:pos="6300"/>
        </w:tabs>
        <w:snapToGrid w:val="0"/>
        <w:spacing w:line="500" w:lineRule="exact"/>
        <w:ind w:firstLine="480"/>
        <w:rPr>
          <w:rFonts w:ascii="方正仿宋_GBK" w:hAnsi="仿宋" w:eastAsia="方正仿宋_GBK"/>
          <w:color w:val="auto"/>
          <w:highlight w:val="none"/>
        </w:rPr>
      </w:pPr>
      <w:r>
        <w:rPr>
          <w:rFonts w:hint="eastAsia" w:ascii="仿宋" w:hAnsi="仿宋" w:eastAsia="仿宋"/>
          <w:color w:val="auto"/>
          <w:highlight w:val="none"/>
        </w:rPr>
        <w:t>招标项目名称：</w:t>
      </w:r>
    </w:p>
    <w:p>
      <w:pPr>
        <w:ind w:firstLine="480"/>
        <w:rPr>
          <w:rFonts w:ascii="仿宋" w:hAnsi="仿宋" w:eastAsia="仿宋"/>
          <w:color w:val="auto"/>
          <w:highlight w:val="none"/>
        </w:rPr>
      </w:pPr>
    </w:p>
    <w:p>
      <w:pPr>
        <w:ind w:firstLine="480"/>
        <w:rPr>
          <w:rFonts w:ascii="仿宋" w:hAnsi="仿宋" w:eastAsia="仿宋"/>
          <w:color w:val="auto"/>
          <w:highlight w:val="none"/>
        </w:rPr>
      </w:pPr>
      <w:r>
        <w:rPr>
          <w:rFonts w:hint="eastAsia" w:ascii="仿宋" w:hAnsi="仿宋" w:eastAsia="仿宋"/>
          <w:color w:val="auto"/>
          <w:highlight w:val="none"/>
        </w:rPr>
        <w:t>致：（采购代理机构名称）</w:t>
      </w:r>
    </w:p>
    <w:p>
      <w:pPr>
        <w:ind w:firstLine="480"/>
        <w:rPr>
          <w:rFonts w:ascii="仿宋" w:hAnsi="仿宋" w:eastAsia="仿宋"/>
          <w:color w:val="auto"/>
          <w:highlight w:val="none"/>
        </w:rPr>
      </w:pPr>
      <w:r>
        <w:rPr>
          <w:rFonts w:hint="eastAsia" w:ascii="仿宋" w:hAnsi="仿宋" w:eastAsia="仿宋"/>
          <w:color w:val="auto"/>
          <w:highlight w:val="none"/>
        </w:rPr>
        <w:t>（投标人法定代表人名称）是（投标人名称）的法定代表人，特授权（被授权人姓名及身份证代码）代表我单位全权办理上述项目的投标、谈判、签约等具体工作，并签署全部有关文件、协议及合同。</w:t>
      </w:r>
    </w:p>
    <w:p>
      <w:pPr>
        <w:ind w:firstLine="480"/>
        <w:rPr>
          <w:rFonts w:ascii="仿宋" w:hAnsi="仿宋" w:eastAsia="仿宋"/>
          <w:color w:val="auto"/>
          <w:highlight w:val="none"/>
        </w:rPr>
      </w:pPr>
      <w:r>
        <w:rPr>
          <w:rFonts w:hint="eastAsia" w:ascii="仿宋" w:hAnsi="仿宋" w:eastAsia="仿宋"/>
          <w:color w:val="auto"/>
          <w:highlight w:val="none"/>
        </w:rPr>
        <w:t>我单位对被授权人的签署负全部责任。</w:t>
      </w:r>
    </w:p>
    <w:p>
      <w:pPr>
        <w:ind w:firstLine="480"/>
        <w:rPr>
          <w:rFonts w:ascii="仿宋" w:hAnsi="仿宋" w:eastAsia="仿宋"/>
          <w:color w:val="auto"/>
          <w:highlight w:val="none"/>
        </w:rPr>
      </w:pPr>
      <w:r>
        <w:rPr>
          <w:rFonts w:hint="eastAsia" w:ascii="仿宋" w:hAnsi="仿宋" w:eastAsia="仿宋"/>
          <w:color w:val="auto"/>
          <w:highlight w:val="none"/>
        </w:rPr>
        <w:t>在撤消授权的书面通知以前，本授权书一直有效。被授权人在授权书有效期内签署的所有文件不因授权的撤消而失效。</w:t>
      </w:r>
    </w:p>
    <w:p>
      <w:pPr>
        <w:ind w:firstLine="480"/>
        <w:rPr>
          <w:rFonts w:ascii="仿宋" w:hAnsi="仿宋" w:eastAsia="仿宋"/>
          <w:color w:val="auto"/>
          <w:szCs w:val="22"/>
          <w:highlight w:val="none"/>
          <w:lang w:val="zh-CN"/>
        </w:rPr>
      </w:pPr>
    </w:p>
    <w:p>
      <w:pPr>
        <w:ind w:firstLine="480"/>
        <w:rPr>
          <w:rFonts w:ascii="仿宋" w:hAnsi="仿宋" w:eastAsia="仿宋"/>
          <w:color w:val="auto"/>
          <w:highlight w:val="none"/>
        </w:rPr>
      </w:pPr>
      <w:r>
        <w:rPr>
          <w:rFonts w:hint="eastAsia" w:ascii="仿宋" w:hAnsi="仿宋" w:eastAsia="仿宋"/>
          <w:color w:val="auto"/>
          <w:highlight w:val="none"/>
        </w:rPr>
        <w:t>被授权人：                                投标人法定代表人：</w:t>
      </w:r>
    </w:p>
    <w:p>
      <w:pPr>
        <w:ind w:firstLine="480"/>
        <w:rPr>
          <w:rFonts w:ascii="仿宋" w:hAnsi="仿宋" w:eastAsia="仿宋"/>
          <w:color w:val="auto"/>
          <w:szCs w:val="22"/>
          <w:highlight w:val="none"/>
          <w:lang w:val="zh-CN"/>
        </w:rPr>
      </w:pPr>
      <w:r>
        <w:rPr>
          <w:rFonts w:hint="eastAsia" w:ascii="仿宋" w:hAnsi="仿宋" w:eastAsia="仿宋"/>
          <w:color w:val="auto"/>
          <w:szCs w:val="22"/>
          <w:highlight w:val="none"/>
          <w:lang w:val="zh-CN"/>
        </w:rPr>
        <w:t>（签署或盖章）                                （签署或盖章）</w:t>
      </w:r>
    </w:p>
    <w:p>
      <w:pPr>
        <w:pStyle w:val="17"/>
        <w:ind w:firstLine="360"/>
        <w:rPr>
          <w:rFonts w:ascii="仿宋" w:hAnsi="仿宋" w:eastAsia="仿宋"/>
          <w:color w:val="auto"/>
          <w:highlight w:val="none"/>
          <w:lang w:val="zh-CN"/>
        </w:rPr>
      </w:pPr>
    </w:p>
    <w:p>
      <w:pPr>
        <w:ind w:firstLine="7920" w:firstLineChars="3300"/>
        <w:rPr>
          <w:rFonts w:ascii="仿宋" w:hAnsi="仿宋" w:eastAsia="仿宋"/>
          <w:color w:val="auto"/>
          <w:szCs w:val="22"/>
          <w:highlight w:val="none"/>
          <w:lang w:val="zh-CN"/>
        </w:rPr>
      </w:pPr>
      <w:r>
        <w:rPr>
          <w:rFonts w:hint="eastAsia" w:ascii="仿宋" w:hAnsi="仿宋" w:eastAsia="仿宋"/>
          <w:color w:val="auto"/>
          <w:highlight w:val="none"/>
        </w:rPr>
        <w:t>（投标人公章）</w:t>
      </w:r>
    </w:p>
    <w:p>
      <w:pPr>
        <w:wordWrap w:val="0"/>
        <w:ind w:firstLine="480"/>
        <w:jc w:val="right"/>
        <w:rPr>
          <w:rFonts w:ascii="仿宋" w:hAnsi="仿宋" w:eastAsia="仿宋"/>
          <w:color w:val="auto"/>
          <w:highlight w:val="none"/>
        </w:rPr>
      </w:pPr>
      <w:r>
        <w:rPr>
          <w:rFonts w:hint="eastAsia" w:ascii="仿宋" w:hAnsi="仿宋" w:eastAsia="仿宋"/>
          <w:color w:val="auto"/>
          <w:highlight w:val="none"/>
        </w:rPr>
        <w:t>年   月   日</w:t>
      </w:r>
    </w:p>
    <w:p>
      <w:pPr>
        <w:pStyle w:val="17"/>
        <w:ind w:firstLine="360"/>
        <w:rPr>
          <w:rFonts w:ascii="仿宋" w:hAnsi="仿宋" w:eastAsia="仿宋"/>
          <w:color w:val="auto"/>
          <w:highlight w:val="none"/>
        </w:rPr>
      </w:pPr>
    </w:p>
    <w:p>
      <w:pPr>
        <w:pStyle w:val="17"/>
        <w:ind w:firstLine="480"/>
        <w:rPr>
          <w:rFonts w:ascii="仿宋" w:hAnsi="仿宋" w:eastAsia="仿宋"/>
          <w:color w:val="auto"/>
          <w:highlight w:val="none"/>
        </w:rPr>
      </w:pPr>
      <w:r>
        <w:rPr>
          <w:rFonts w:hint="eastAsia" w:ascii="仿宋" w:hAnsi="仿宋" w:eastAsia="仿宋"/>
          <w:color w:val="auto"/>
          <w:sz w:val="24"/>
          <w:highlight w:val="none"/>
        </w:rPr>
        <w:t>被授权人电话：XXXXXXX     电子邮箱：XXXXXX@XXXXX（若法定代表人办理并签署电子投标文件的可不填写）</w:t>
      </w:r>
    </w:p>
    <w:p>
      <w:pPr>
        <w:ind w:firstLine="480"/>
        <w:rPr>
          <w:rFonts w:ascii="仿宋" w:hAnsi="仿宋" w:eastAsia="仿宋"/>
          <w:color w:val="auto"/>
          <w:highlight w:val="none"/>
        </w:rPr>
      </w:pPr>
      <w:r>
        <w:rPr>
          <w:rFonts w:hint="eastAsia" w:ascii="仿宋" w:hAnsi="仿宋" w:eastAsia="仿宋"/>
          <w:color w:val="auto"/>
          <w:highlight w:val="none"/>
        </w:rPr>
        <w:t>（附：被授权人身份证正反面复印件）</w:t>
      </w:r>
    </w:p>
    <w:p>
      <w:pPr>
        <w:ind w:firstLine="480"/>
        <w:rPr>
          <w:rFonts w:ascii="仿宋" w:hAnsi="仿宋" w:eastAsia="仿宋"/>
          <w:color w:val="auto"/>
          <w:highlight w:val="none"/>
        </w:rPr>
      </w:pPr>
    </w:p>
    <w:p>
      <w:pPr>
        <w:ind w:firstLine="480"/>
        <w:rPr>
          <w:rFonts w:ascii="仿宋" w:hAnsi="仿宋" w:eastAsia="仿宋"/>
          <w:color w:val="auto"/>
          <w:highlight w:val="none"/>
        </w:rPr>
      </w:pPr>
    </w:p>
    <w:p>
      <w:pPr>
        <w:ind w:firstLine="480"/>
        <w:rPr>
          <w:rFonts w:ascii="仿宋" w:hAnsi="仿宋" w:eastAsia="仿宋"/>
          <w:color w:val="auto"/>
          <w:highlight w:val="none"/>
        </w:rPr>
      </w:pPr>
    </w:p>
    <w:p>
      <w:pPr>
        <w:ind w:firstLine="480"/>
        <w:rPr>
          <w:rFonts w:ascii="仿宋" w:hAnsi="仿宋" w:eastAsia="仿宋"/>
          <w:color w:val="auto"/>
          <w:highlight w:val="none"/>
        </w:rPr>
      </w:pPr>
    </w:p>
    <w:p>
      <w:pPr>
        <w:spacing w:line="460" w:lineRule="exact"/>
        <w:ind w:firstLine="0" w:firstLineChars="0"/>
        <w:rPr>
          <w:rFonts w:ascii="仿宋" w:hAnsi="仿宋" w:eastAsia="仿宋"/>
          <w:color w:val="auto"/>
          <w:szCs w:val="22"/>
          <w:highlight w:val="none"/>
        </w:rPr>
      </w:pPr>
      <w:r>
        <w:rPr>
          <w:rFonts w:hint="eastAsia" w:ascii="仿宋" w:hAnsi="仿宋" w:eastAsia="仿宋"/>
          <w:color w:val="auto"/>
          <w:szCs w:val="22"/>
          <w:highlight w:val="none"/>
        </w:rPr>
        <w:t>注：</w:t>
      </w:r>
    </w:p>
    <w:p>
      <w:pPr>
        <w:spacing w:line="460" w:lineRule="exact"/>
        <w:ind w:firstLine="0" w:firstLineChars="0"/>
        <w:rPr>
          <w:rFonts w:ascii="仿宋" w:hAnsi="仿宋" w:eastAsia="仿宋"/>
          <w:color w:val="auto"/>
          <w:szCs w:val="22"/>
          <w:highlight w:val="none"/>
        </w:rPr>
      </w:pPr>
      <w:r>
        <w:rPr>
          <w:rFonts w:hint="eastAsia" w:ascii="仿宋" w:hAnsi="仿宋" w:eastAsia="仿宋"/>
          <w:color w:val="auto"/>
          <w:szCs w:val="22"/>
          <w:highlight w:val="none"/>
        </w:rPr>
        <w:t>1.若为法定代表人办理并签署电子投标文件的，不提供此文件。</w:t>
      </w:r>
    </w:p>
    <w:p>
      <w:pPr>
        <w:spacing w:line="460" w:lineRule="exact"/>
        <w:ind w:firstLine="0" w:firstLineChars="0"/>
        <w:rPr>
          <w:rFonts w:ascii="仿宋" w:hAnsi="仿宋" w:eastAsia="仿宋"/>
          <w:color w:val="auto"/>
          <w:szCs w:val="22"/>
          <w:highlight w:val="none"/>
        </w:rPr>
      </w:pPr>
      <w:r>
        <w:rPr>
          <w:rFonts w:hint="eastAsia" w:ascii="仿宋" w:hAnsi="仿宋" w:eastAsia="仿宋"/>
          <w:color w:val="auto"/>
          <w:szCs w:val="22"/>
          <w:highlight w:val="none"/>
        </w:rPr>
        <w:t>2.若为联合体投标的，法定代表人授权委托书由联合体主办方（主体）出具。</w:t>
      </w:r>
    </w:p>
    <w:p>
      <w:pPr>
        <w:ind w:firstLine="0" w:firstLineChars="0"/>
        <w:jc w:val="center"/>
        <w:rPr>
          <w:rFonts w:ascii="仿宋" w:hAnsi="仿宋" w:eastAsia="仿宋"/>
          <w:color w:val="auto"/>
          <w:sz w:val="28"/>
          <w:szCs w:val="21"/>
          <w:highlight w:val="none"/>
        </w:rPr>
      </w:pPr>
      <w:r>
        <w:rPr>
          <w:rFonts w:hint="eastAsia" w:ascii="仿宋" w:hAnsi="仿宋" w:eastAsia="仿宋"/>
          <w:color w:val="auto"/>
          <w:highlight w:val="none"/>
        </w:rPr>
        <w:br w:type="page"/>
      </w:r>
    </w:p>
    <w:p>
      <w:pPr>
        <w:ind w:firstLine="0" w:firstLineChars="0"/>
        <w:jc w:val="left"/>
        <w:rPr>
          <w:rFonts w:ascii="仿宋" w:hAnsi="仿宋" w:eastAsia="仿宋"/>
          <w:color w:val="auto"/>
          <w:sz w:val="28"/>
          <w:szCs w:val="21"/>
          <w:highlight w:val="none"/>
        </w:rPr>
      </w:pPr>
      <w:r>
        <w:rPr>
          <w:rFonts w:hint="eastAsia" w:ascii="仿宋" w:hAnsi="仿宋" w:eastAsia="仿宋"/>
          <w:color w:val="auto"/>
          <w:sz w:val="28"/>
          <w:szCs w:val="21"/>
          <w:highlight w:val="none"/>
        </w:rPr>
        <w:t>（四）基本资格条件承诺函</w:t>
      </w:r>
    </w:p>
    <w:p>
      <w:pPr>
        <w:tabs>
          <w:tab w:val="left" w:pos="6300"/>
        </w:tabs>
        <w:snapToGrid w:val="0"/>
        <w:spacing w:line="500" w:lineRule="exact"/>
        <w:ind w:firstLine="643"/>
        <w:jc w:val="center"/>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基本资格条件承诺函</w:t>
      </w:r>
    </w:p>
    <w:p>
      <w:pPr>
        <w:tabs>
          <w:tab w:val="left" w:pos="6300"/>
        </w:tabs>
        <w:snapToGrid w:val="0"/>
        <w:spacing w:line="530" w:lineRule="exact"/>
        <w:ind w:firstLine="480"/>
        <w:rPr>
          <w:color w:val="auto"/>
          <w:highlight w:val="none"/>
        </w:rPr>
      </w:pPr>
    </w:p>
    <w:p>
      <w:pP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致（采购代理机构名称）：</w:t>
      </w:r>
    </w:p>
    <w:p>
      <w:pP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（投标人名称)）郑重承诺：</w:t>
      </w:r>
    </w:p>
    <w:p>
      <w:pP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1.我方具有良好的商业信誉和健全的财务会计制度，具有履行合同所必需的设备和专业技术能力，具</w:t>
      </w:r>
      <w:r>
        <w:rPr>
          <w:rFonts w:hint="eastAsia" w:ascii="仿宋" w:hAnsi="仿宋" w:eastAsia="仿宋" w:cs="仿宋"/>
          <w:color w:val="auto"/>
          <w:szCs w:val="24"/>
          <w:highlight w:val="none"/>
          <w:lang w:val="zh-CN"/>
        </w:rPr>
        <w:t>有依法缴纳税收和社会保障金的良好记录</w:t>
      </w:r>
      <w:r>
        <w:rPr>
          <w:rFonts w:hint="eastAsia" w:ascii="仿宋" w:hAnsi="仿宋" w:eastAsia="仿宋" w:cs="仿宋"/>
          <w:color w:val="auto"/>
          <w:szCs w:val="24"/>
          <w:highlight w:val="none"/>
        </w:rPr>
        <w:t>，参加本项目采购活动前三年内无重大违法活动记录。</w:t>
      </w:r>
    </w:p>
    <w:p>
      <w:pP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2.我方未列入在信用中国网站（www.creditchina.gov.cn）“失信被执行人”、“重大税收违法案件当事人名单”中，也未列入中国政府采购网（www.ccgp.gov.cn）“政府采购严重违法失信行为记录名单”中。</w:t>
      </w:r>
    </w:p>
    <w:p>
      <w:pP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3.我方在采购项目评审（评标）环节结束后，随时接受采购人、采购代理机构的检查验证，配合提供相关证明材料，证明符合《中华人民共和国政府采购法》规定的投标人基本资格条件。</w:t>
      </w:r>
    </w:p>
    <w:p>
      <w:pP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我方对以上承诺负全部法律责任。</w:t>
      </w:r>
    </w:p>
    <w:p>
      <w:pPr>
        <w:ind w:firstLine="480"/>
        <w:rPr>
          <w:rFonts w:ascii="仿宋" w:hAnsi="仿宋" w:eastAsia="仿宋" w:cs="仿宋"/>
          <w:color w:val="auto"/>
          <w:szCs w:val="24"/>
          <w:highlight w:val="none"/>
        </w:rPr>
      </w:pPr>
      <w:r>
        <w:rPr>
          <w:rFonts w:hint="eastAsia" w:ascii="仿宋" w:hAnsi="仿宋" w:eastAsia="仿宋" w:cs="仿宋"/>
          <w:color w:val="auto"/>
          <w:szCs w:val="24"/>
          <w:highlight w:val="none"/>
        </w:rPr>
        <w:t>特此承诺。</w:t>
      </w:r>
    </w:p>
    <w:p>
      <w:pPr>
        <w:ind w:firstLine="480"/>
        <w:rPr>
          <w:rFonts w:ascii="仿宋" w:hAnsi="仿宋" w:eastAsia="仿宋" w:cs="仿宋"/>
          <w:color w:val="auto"/>
          <w:szCs w:val="24"/>
          <w:highlight w:val="none"/>
        </w:rPr>
      </w:pPr>
    </w:p>
    <w:p>
      <w:pPr>
        <w:ind w:firstLine="480"/>
        <w:jc w:val="center"/>
        <w:rPr>
          <w:rFonts w:ascii="仿宋" w:hAnsi="仿宋" w:eastAsia="仿宋" w:cs="仿宋"/>
          <w:color w:val="auto"/>
          <w:szCs w:val="24"/>
          <w:highlight w:val="none"/>
        </w:rPr>
      </w:pPr>
      <w:r>
        <w:rPr>
          <w:rFonts w:hint="eastAsia" w:ascii="仿宋" w:hAnsi="仿宋" w:eastAsia="仿宋" w:cs="仿宋"/>
          <w:color w:val="auto"/>
          <w:szCs w:val="24"/>
          <w:highlight w:val="none"/>
        </w:rPr>
        <w:t>（投标人公章）</w:t>
      </w:r>
    </w:p>
    <w:p>
      <w:pPr>
        <w:ind w:firstLine="480"/>
        <w:rPr>
          <w:rFonts w:ascii="仿宋" w:hAnsi="仿宋" w:eastAsia="仿宋" w:cs="仿宋"/>
          <w:color w:val="auto"/>
          <w:szCs w:val="24"/>
          <w:highlight w:val="none"/>
        </w:rPr>
      </w:pPr>
    </w:p>
    <w:p>
      <w:pPr>
        <w:ind w:firstLine="7200" w:firstLineChars="3000"/>
        <w:rPr>
          <w:rFonts w:ascii="仿宋" w:hAnsi="仿宋" w:eastAsia="仿宋" w:cs="仿宋"/>
          <w:color w:val="auto"/>
          <w:szCs w:val="24"/>
          <w:highlight w:val="none"/>
        </w:rPr>
      </w:pPr>
      <w:r>
        <w:rPr>
          <w:rFonts w:hint="eastAsia" w:ascii="仿宋" w:hAnsi="仿宋" w:eastAsia="仿宋" w:cs="仿宋"/>
          <w:color w:val="auto"/>
          <w:szCs w:val="24"/>
          <w:highlight w:val="none"/>
        </w:rPr>
        <w:t>年   月   日</w:t>
      </w:r>
    </w:p>
    <w:p>
      <w:pPr>
        <w:ind w:firstLine="7200" w:firstLineChars="3000"/>
        <w:rPr>
          <w:rFonts w:ascii="仿宋" w:hAnsi="仿宋" w:eastAsia="仿宋" w:cs="仿宋"/>
          <w:color w:val="auto"/>
          <w:szCs w:val="24"/>
          <w:highlight w:val="none"/>
        </w:rPr>
      </w:pPr>
    </w:p>
    <w:p>
      <w:pPr>
        <w:ind w:firstLine="480"/>
        <w:rPr>
          <w:rFonts w:ascii="仿宋" w:hAnsi="仿宋" w:eastAsia="仿宋"/>
          <w:color w:val="auto"/>
          <w:highlight w:val="none"/>
        </w:rPr>
      </w:pPr>
    </w:p>
    <w:p>
      <w:pPr>
        <w:pStyle w:val="18"/>
        <w:ind w:firstLine="360"/>
        <w:rPr>
          <w:rFonts w:ascii="仿宋" w:hAnsi="仿宋" w:eastAsia="仿宋"/>
          <w:color w:val="auto"/>
          <w:highlight w:val="none"/>
        </w:rPr>
      </w:pPr>
    </w:p>
    <w:p>
      <w:pPr>
        <w:ind w:firstLine="480"/>
        <w:rPr>
          <w:rFonts w:ascii="仿宋" w:hAnsi="仿宋" w:eastAsia="仿宋"/>
          <w:color w:val="auto"/>
          <w:szCs w:val="22"/>
          <w:highlight w:val="none"/>
        </w:rPr>
      </w:pPr>
    </w:p>
    <w:p>
      <w:pPr>
        <w:pStyle w:val="18"/>
        <w:ind w:firstLine="360"/>
        <w:rPr>
          <w:color w:val="auto"/>
          <w:highlight w:val="none"/>
        </w:rPr>
      </w:pPr>
    </w:p>
    <w:p>
      <w:pPr>
        <w:pStyle w:val="18"/>
        <w:ind w:firstLine="360"/>
        <w:rPr>
          <w:color w:val="auto"/>
          <w:highlight w:val="none"/>
        </w:rPr>
      </w:pPr>
    </w:p>
    <w:p>
      <w:pPr>
        <w:numPr>
          <w:ilvl w:val="0"/>
          <w:numId w:val="6"/>
        </w:numPr>
        <w:ind w:firstLine="480"/>
        <w:rPr>
          <w:rFonts w:ascii="仿宋" w:hAnsi="仿宋" w:eastAsia="仿宋"/>
          <w:color w:val="auto"/>
          <w:szCs w:val="22"/>
          <w:highlight w:val="none"/>
        </w:rPr>
      </w:pPr>
      <w:r>
        <w:rPr>
          <w:rFonts w:hint="eastAsia" w:ascii="仿宋" w:hAnsi="仿宋" w:eastAsia="仿宋"/>
          <w:color w:val="auto"/>
          <w:szCs w:val="22"/>
          <w:highlight w:val="none"/>
        </w:rPr>
        <w:t>特定资格条件证书或证明文件：</w:t>
      </w:r>
    </w:p>
    <w:p>
      <w:pPr>
        <w:pStyle w:val="18"/>
        <w:ind w:firstLine="360"/>
        <w:rPr>
          <w:rFonts w:hint="eastAsia" w:ascii="仿宋" w:hAnsi="仿宋" w:eastAsia="仿宋" w:cs="Cambria Math"/>
          <w:color w:val="auto"/>
          <w:kern w:val="2"/>
          <w:sz w:val="24"/>
          <w:szCs w:val="22"/>
          <w:highlight w:val="none"/>
          <w:lang w:val="en-US" w:eastAsia="zh-CN" w:bidi="ar-SA"/>
        </w:rPr>
      </w:pPr>
      <w:r>
        <w:rPr>
          <w:rFonts w:hint="eastAsia" w:ascii="仿宋" w:hAnsi="仿宋" w:eastAsia="仿宋" w:cs="Cambria Math"/>
          <w:color w:val="auto"/>
          <w:kern w:val="2"/>
          <w:sz w:val="24"/>
          <w:szCs w:val="22"/>
          <w:highlight w:val="none"/>
          <w:lang w:val="en-US" w:eastAsia="zh-CN" w:bidi="ar-SA"/>
        </w:rPr>
        <w:t>无</w:t>
      </w: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pStyle w:val="18"/>
        <w:ind w:firstLine="360"/>
        <w:rPr>
          <w:rFonts w:ascii="方正仿宋_GBK" w:hAnsi="宋体" w:eastAsia="方正仿宋_GBK"/>
          <w:color w:val="auto"/>
          <w:szCs w:val="24"/>
          <w:highlight w:val="none"/>
        </w:rPr>
      </w:pPr>
    </w:p>
    <w:p>
      <w:pPr>
        <w:ind w:firstLine="562"/>
        <w:rPr>
          <w:rFonts w:ascii="仿宋" w:hAnsi="仿宋" w:eastAsia="仿宋"/>
          <w:b/>
          <w:color w:val="auto"/>
          <w:kern w:val="0"/>
          <w:sz w:val="28"/>
          <w:highlight w:val="none"/>
        </w:rPr>
      </w:pPr>
      <w:bookmarkStart w:id="859" w:name="_Toc27066"/>
      <w:bookmarkStart w:id="860" w:name="_Toc11448"/>
      <w:bookmarkStart w:id="861" w:name="_Toc24445"/>
      <w:bookmarkStart w:id="862" w:name="_Toc27624"/>
      <w:bookmarkStart w:id="863" w:name="_Toc12485"/>
      <w:bookmarkStart w:id="864" w:name="_Toc6824"/>
      <w:bookmarkStart w:id="865" w:name="_Toc22487"/>
      <w:bookmarkStart w:id="866" w:name="_Toc30170"/>
      <w:bookmarkStart w:id="867" w:name="_Toc452628354"/>
      <w:bookmarkStart w:id="868" w:name="_Toc18468"/>
      <w:bookmarkStart w:id="869" w:name="_Toc31336"/>
      <w:bookmarkStart w:id="870" w:name="_Toc1486"/>
      <w:bookmarkStart w:id="871" w:name="_Toc20046"/>
      <w:bookmarkStart w:id="872" w:name="_Toc1630"/>
      <w:bookmarkStart w:id="873" w:name="_Toc63600447"/>
      <w:bookmarkStart w:id="874" w:name="_Toc2818"/>
      <w:r>
        <w:rPr>
          <w:rFonts w:hint="eastAsia" w:ascii="仿宋" w:hAnsi="仿宋" w:eastAsia="仿宋"/>
          <w:b/>
          <w:color w:val="auto"/>
          <w:kern w:val="0"/>
          <w:sz w:val="28"/>
          <w:highlight w:val="none"/>
        </w:rPr>
        <w:br w:type="page"/>
      </w:r>
    </w:p>
    <w:p>
      <w:pPr>
        <w:keepNext/>
        <w:keepLines/>
        <w:adjustRightInd w:val="0"/>
        <w:snapToGrid w:val="0"/>
        <w:spacing w:beforeLines="50" w:afterLines="50" w:line="240" w:lineRule="auto"/>
        <w:ind w:firstLine="562"/>
        <w:outlineLvl w:val="1"/>
        <w:rPr>
          <w:rFonts w:ascii="仿宋" w:hAnsi="仿宋" w:eastAsia="仿宋"/>
          <w:b/>
          <w:color w:val="auto"/>
          <w:kern w:val="0"/>
          <w:sz w:val="28"/>
          <w:highlight w:val="none"/>
        </w:rPr>
      </w:pPr>
      <w:bookmarkStart w:id="875" w:name="_Toc9221"/>
      <w:r>
        <w:rPr>
          <w:rFonts w:hint="eastAsia" w:ascii="仿宋" w:hAnsi="仿宋" w:eastAsia="仿宋"/>
          <w:b/>
          <w:color w:val="auto"/>
          <w:kern w:val="0"/>
          <w:sz w:val="28"/>
          <w:highlight w:val="none"/>
        </w:rPr>
        <w:t>五、其他</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Start w:id="876" w:name="_Toc3706"/>
    </w:p>
    <w:p>
      <w:pPr>
        <w:adjustRightInd w:val="0"/>
        <w:snapToGrid w:val="0"/>
        <w:spacing w:beforeLines="100" w:line="360" w:lineRule="auto"/>
        <w:ind w:firstLine="480"/>
        <w:jc w:val="center"/>
        <w:rPr>
          <w:rFonts w:ascii="仿宋" w:hAnsi="仿宋" w:eastAsia="仿宋"/>
          <w:color w:val="auto"/>
          <w:highlight w:val="none"/>
        </w:rPr>
      </w:pPr>
      <w:bookmarkStart w:id="877" w:name="_Hlk70157365"/>
      <w:bookmarkStart w:id="878" w:name="_Hlk63595935"/>
      <w:r>
        <w:rPr>
          <w:rFonts w:hint="eastAsia" w:ascii="仿宋" w:hAnsi="仿宋" w:eastAsia="仿宋"/>
          <w:color w:val="auto"/>
          <w:highlight w:val="none"/>
        </w:rPr>
        <w:t>（一）中小企业声明函、监狱企业证明文件、残疾人福利性单位声明函</w:t>
      </w:r>
    </w:p>
    <w:bookmarkEnd w:id="877"/>
    <w:bookmarkEnd w:id="878"/>
    <w:p>
      <w:pPr>
        <w:tabs>
          <w:tab w:val="left" w:pos="6300"/>
        </w:tabs>
        <w:snapToGrid w:val="0"/>
        <w:spacing w:line="500" w:lineRule="exact"/>
        <w:ind w:firstLine="560"/>
        <w:jc w:val="center"/>
        <w:rPr>
          <w:rFonts w:ascii="仿宋" w:hAnsi="仿宋" w:eastAsia="仿宋"/>
          <w:color w:val="auto"/>
          <w:sz w:val="28"/>
          <w:highlight w:val="none"/>
        </w:rPr>
      </w:pPr>
      <w:r>
        <w:rPr>
          <w:rFonts w:hint="eastAsia" w:ascii="仿宋" w:hAnsi="仿宋" w:eastAsia="仿宋"/>
          <w:color w:val="auto"/>
          <w:sz w:val="28"/>
          <w:highlight w:val="none"/>
        </w:rPr>
        <w:t>中小企业声明函（服务）</w:t>
      </w:r>
    </w:p>
    <w:p>
      <w:pPr>
        <w:pStyle w:val="17"/>
        <w:ind w:firstLine="360"/>
        <w:rPr>
          <w:rFonts w:hint="eastAsia"/>
          <w:color w:val="auto"/>
          <w:highlight w:val="none"/>
        </w:rPr>
      </w:pPr>
    </w:p>
    <w:p>
      <w:pPr>
        <w:tabs>
          <w:tab w:val="left" w:pos="6300"/>
        </w:tabs>
        <w:snapToGrid w:val="0"/>
        <w:spacing w:line="400" w:lineRule="exact"/>
        <w:ind w:firstLine="480"/>
        <w:rPr>
          <w:rFonts w:ascii="仿宋" w:hAnsi="仿宋" w:eastAsia="仿宋"/>
          <w:color w:val="auto"/>
          <w:szCs w:val="28"/>
          <w:highlight w:val="none"/>
        </w:rPr>
      </w:pPr>
      <w:r>
        <w:rPr>
          <w:rFonts w:hint="eastAsia" w:ascii="仿宋" w:hAnsi="仿宋" w:eastAsia="仿宋"/>
          <w:color w:val="auto"/>
          <w:szCs w:val="28"/>
          <w:highlight w:val="none"/>
        </w:rPr>
        <w:t>本公司（联合体）郑重声明，根据《政府采购促进中小企业发展管理办法》（</w:t>
      </w:r>
      <w:r>
        <w:rPr>
          <w:rFonts w:hint="eastAsia" w:ascii="仿宋" w:hAnsi="仿宋" w:eastAsia="仿宋"/>
          <w:color w:val="auto"/>
          <w:szCs w:val="24"/>
          <w:highlight w:val="none"/>
        </w:rPr>
        <w:t>财库〔2020〕46号</w:t>
      </w:r>
      <w:r>
        <w:rPr>
          <w:rFonts w:hint="eastAsia" w:ascii="仿宋" w:hAnsi="仿宋" w:eastAsia="仿宋"/>
          <w:color w:val="auto"/>
          <w:szCs w:val="28"/>
          <w:highlight w:val="none"/>
        </w:rPr>
        <w:t>）的规定，本公司（联合体）参加</w:t>
      </w:r>
      <w:r>
        <w:rPr>
          <w:rFonts w:hint="eastAsia" w:ascii="仿宋" w:hAnsi="仿宋" w:eastAsia="仿宋"/>
          <w:iCs/>
          <w:color w:val="auto"/>
          <w:szCs w:val="28"/>
          <w:highlight w:val="none"/>
          <w:u w:val="single"/>
        </w:rPr>
        <w:t>（单位名称）</w:t>
      </w:r>
      <w:r>
        <w:rPr>
          <w:rFonts w:hint="eastAsia" w:ascii="仿宋" w:hAnsi="仿宋" w:eastAsia="仿宋"/>
          <w:iCs/>
          <w:color w:val="auto"/>
          <w:szCs w:val="28"/>
          <w:highlight w:val="none"/>
        </w:rPr>
        <w:t>的</w:t>
      </w:r>
      <w:r>
        <w:rPr>
          <w:rFonts w:hint="eastAsia" w:ascii="仿宋" w:hAnsi="仿宋" w:eastAsia="仿宋"/>
          <w:iCs/>
          <w:color w:val="auto"/>
          <w:szCs w:val="28"/>
          <w:highlight w:val="none"/>
          <w:u w:val="single"/>
        </w:rPr>
        <w:t>（项目名称）</w:t>
      </w:r>
      <w:r>
        <w:rPr>
          <w:rFonts w:hint="eastAsia" w:ascii="仿宋" w:hAnsi="仿宋" w:eastAsia="仿宋"/>
          <w:color w:val="auto"/>
          <w:szCs w:val="28"/>
          <w:highlight w:val="none"/>
        </w:rPr>
        <w:t>采购活动，服务全部由符合政策要求的中小企业承接。相关企业（含联合体中的中小企业、签订分包意向协议的中小企业）的具体情况如下：</w:t>
      </w:r>
    </w:p>
    <w:p>
      <w:pPr>
        <w:tabs>
          <w:tab w:val="left" w:pos="6300"/>
        </w:tabs>
        <w:snapToGrid w:val="0"/>
        <w:spacing w:line="500" w:lineRule="exact"/>
        <w:ind w:firstLine="480"/>
        <w:rPr>
          <w:rFonts w:ascii="仿宋" w:hAnsi="仿宋" w:eastAsia="仿宋"/>
          <w:color w:val="auto"/>
          <w:szCs w:val="28"/>
          <w:highlight w:val="none"/>
        </w:rPr>
      </w:pPr>
      <w:r>
        <w:rPr>
          <w:rFonts w:ascii="仿宋" w:hAnsi="仿宋" w:eastAsia="仿宋"/>
          <w:color w:val="auto"/>
          <w:szCs w:val="28"/>
          <w:highlight w:val="none"/>
        </w:rPr>
        <w:t>1.</w:t>
      </w:r>
      <w:r>
        <w:rPr>
          <w:rFonts w:hint="eastAsia" w:ascii="仿宋" w:hAnsi="仿宋" w:eastAsia="仿宋"/>
          <w:color w:val="auto"/>
          <w:szCs w:val="28"/>
          <w:highlight w:val="none"/>
          <w:u w:val="single"/>
        </w:rPr>
        <w:t>（标的名称）</w:t>
      </w:r>
      <w:r>
        <w:rPr>
          <w:rFonts w:hint="eastAsia" w:ascii="仿宋" w:hAnsi="仿宋" w:eastAsia="仿宋"/>
          <w:color w:val="auto"/>
          <w:szCs w:val="28"/>
          <w:highlight w:val="none"/>
        </w:rPr>
        <w:t>，属于</w:t>
      </w:r>
      <w:r>
        <w:rPr>
          <w:rFonts w:hint="eastAsia" w:ascii="仿宋" w:hAnsi="仿宋" w:eastAsia="仿宋"/>
          <w:color w:val="auto"/>
          <w:szCs w:val="28"/>
          <w:highlight w:val="none"/>
          <w:u w:val="single"/>
        </w:rPr>
        <w:t>（采购文件中明确的所属行业）行业</w:t>
      </w:r>
      <w:r>
        <w:rPr>
          <w:rFonts w:hint="eastAsia" w:ascii="仿宋" w:hAnsi="仿宋" w:eastAsia="仿宋"/>
          <w:color w:val="auto"/>
          <w:szCs w:val="28"/>
          <w:highlight w:val="none"/>
        </w:rPr>
        <w:t>；承接企业为</w:t>
      </w:r>
      <w:r>
        <w:rPr>
          <w:rFonts w:hint="eastAsia" w:ascii="仿宋" w:hAnsi="仿宋" w:eastAsia="仿宋"/>
          <w:color w:val="auto"/>
          <w:szCs w:val="28"/>
          <w:highlight w:val="none"/>
          <w:u w:val="single"/>
        </w:rPr>
        <w:t>（企业名称）</w:t>
      </w:r>
      <w:r>
        <w:rPr>
          <w:rFonts w:hint="eastAsia" w:ascii="仿宋" w:hAnsi="仿宋" w:eastAsia="仿宋"/>
          <w:color w:val="auto"/>
          <w:szCs w:val="28"/>
          <w:highlight w:val="none"/>
        </w:rPr>
        <w:t>，从业人员人，营业收入为万元，资产总额为万元，属于</w:t>
      </w:r>
      <w:r>
        <w:rPr>
          <w:rFonts w:hint="eastAsia" w:ascii="仿宋" w:hAnsi="仿宋" w:eastAsia="仿宋"/>
          <w:color w:val="auto"/>
          <w:szCs w:val="28"/>
          <w:highlight w:val="none"/>
          <w:u w:val="single"/>
        </w:rPr>
        <w:t>（中型企业、小型企业、微型企业）</w:t>
      </w:r>
      <w:r>
        <w:rPr>
          <w:rFonts w:hint="eastAsia" w:ascii="仿宋" w:hAnsi="仿宋" w:eastAsia="仿宋"/>
          <w:color w:val="auto"/>
          <w:szCs w:val="28"/>
          <w:highlight w:val="none"/>
        </w:rPr>
        <w:t>；</w:t>
      </w:r>
    </w:p>
    <w:p>
      <w:pPr>
        <w:tabs>
          <w:tab w:val="left" w:pos="6300"/>
        </w:tabs>
        <w:snapToGrid w:val="0"/>
        <w:spacing w:line="500" w:lineRule="exact"/>
        <w:ind w:firstLine="480"/>
        <w:rPr>
          <w:rFonts w:ascii="仿宋" w:hAnsi="仿宋" w:eastAsia="仿宋"/>
          <w:color w:val="auto"/>
          <w:szCs w:val="28"/>
          <w:highlight w:val="none"/>
        </w:rPr>
      </w:pPr>
      <w:bookmarkStart w:id="879" w:name="_Hlk85123035"/>
      <w:r>
        <w:rPr>
          <w:rFonts w:hint="eastAsia" w:ascii="仿宋" w:hAnsi="仿宋" w:eastAsia="仿宋"/>
          <w:color w:val="auto"/>
          <w:szCs w:val="28"/>
          <w:highlight w:val="none"/>
        </w:rPr>
        <w:t>为本标的提供的服务人员人，其中与本企业签订劳动合同人，其他人员人。</w:t>
      </w:r>
      <w:r>
        <w:rPr>
          <w:rFonts w:hint="eastAsia" w:ascii="仿宋" w:hAnsi="仿宋" w:eastAsia="仿宋"/>
          <w:b/>
          <w:bCs/>
          <w:color w:val="auto"/>
          <w:szCs w:val="28"/>
          <w:highlight w:val="none"/>
        </w:rPr>
        <w:t>有其他人员的不符合中小企业扶持政策</w:t>
      </w:r>
      <w:r>
        <w:rPr>
          <w:rFonts w:ascii="仿宋" w:hAnsi="仿宋" w:eastAsia="仿宋"/>
          <w:b/>
          <w:bCs/>
          <w:color w:val="auto"/>
          <w:szCs w:val="28"/>
          <w:highlight w:val="none"/>
        </w:rPr>
        <w:t>;</w:t>
      </w:r>
      <w:bookmarkEnd w:id="879"/>
    </w:p>
    <w:p>
      <w:pPr>
        <w:tabs>
          <w:tab w:val="left" w:pos="6300"/>
        </w:tabs>
        <w:snapToGrid w:val="0"/>
        <w:spacing w:line="500" w:lineRule="exact"/>
        <w:ind w:firstLine="480"/>
        <w:rPr>
          <w:rFonts w:ascii="仿宋" w:hAnsi="仿宋" w:eastAsia="仿宋"/>
          <w:color w:val="auto"/>
          <w:szCs w:val="28"/>
          <w:highlight w:val="none"/>
        </w:rPr>
      </w:pPr>
      <w:r>
        <w:rPr>
          <w:rFonts w:ascii="仿宋" w:hAnsi="仿宋" w:eastAsia="仿宋"/>
          <w:color w:val="auto"/>
          <w:szCs w:val="28"/>
          <w:highlight w:val="none"/>
        </w:rPr>
        <w:t>2.</w:t>
      </w:r>
      <w:r>
        <w:rPr>
          <w:rFonts w:hint="eastAsia" w:ascii="仿宋" w:hAnsi="仿宋" w:eastAsia="仿宋"/>
          <w:color w:val="auto"/>
          <w:szCs w:val="28"/>
          <w:highlight w:val="none"/>
        </w:rPr>
        <w:t>（标的名称），属于（采购文件中明</w:t>
      </w:r>
      <w:r>
        <w:rPr>
          <w:rFonts w:hint="eastAsia" w:ascii="仿宋" w:hAnsi="仿宋" w:eastAsia="仿宋"/>
          <w:iCs/>
          <w:color w:val="auto"/>
          <w:szCs w:val="28"/>
          <w:highlight w:val="none"/>
          <w:u w:val="single"/>
        </w:rPr>
        <w:t>确的所属行业）行业</w:t>
      </w:r>
      <w:r>
        <w:rPr>
          <w:rFonts w:hint="eastAsia" w:ascii="仿宋" w:hAnsi="仿宋" w:eastAsia="仿宋"/>
          <w:iCs/>
          <w:color w:val="auto"/>
          <w:szCs w:val="28"/>
          <w:highlight w:val="none"/>
        </w:rPr>
        <w:t>；承接企业为</w:t>
      </w:r>
      <w:r>
        <w:rPr>
          <w:rFonts w:hint="eastAsia" w:ascii="仿宋" w:hAnsi="仿宋" w:eastAsia="仿宋"/>
          <w:iCs/>
          <w:color w:val="auto"/>
          <w:szCs w:val="28"/>
          <w:highlight w:val="none"/>
          <w:u w:val="single"/>
        </w:rPr>
        <w:t>（企业名称）</w:t>
      </w:r>
      <w:r>
        <w:rPr>
          <w:rFonts w:hint="eastAsia" w:ascii="仿宋" w:hAnsi="仿宋" w:eastAsia="仿宋"/>
          <w:iCs/>
          <w:color w:val="auto"/>
          <w:szCs w:val="28"/>
          <w:highlight w:val="none"/>
        </w:rPr>
        <w:t>，</w:t>
      </w:r>
      <w:r>
        <w:rPr>
          <w:rFonts w:hint="eastAsia" w:ascii="仿宋" w:hAnsi="仿宋" w:eastAsia="仿宋"/>
          <w:color w:val="auto"/>
          <w:szCs w:val="28"/>
          <w:highlight w:val="none"/>
        </w:rPr>
        <w:t>从业人员人，营业收入为万元，资产总额为万元，属于</w:t>
      </w:r>
      <w:r>
        <w:rPr>
          <w:rFonts w:hint="eastAsia" w:ascii="仿宋" w:hAnsi="仿宋" w:eastAsia="仿宋"/>
          <w:iCs/>
          <w:color w:val="auto"/>
          <w:szCs w:val="28"/>
          <w:highlight w:val="none"/>
          <w:u w:val="single"/>
        </w:rPr>
        <w:t>（中型企业、小型企业、微型企业）</w:t>
      </w:r>
      <w:r>
        <w:rPr>
          <w:rFonts w:hint="eastAsia" w:ascii="仿宋" w:hAnsi="仿宋" w:eastAsia="仿宋"/>
          <w:color w:val="auto"/>
          <w:szCs w:val="28"/>
          <w:highlight w:val="none"/>
        </w:rPr>
        <w:t>；</w:t>
      </w:r>
    </w:p>
    <w:p>
      <w:pPr>
        <w:tabs>
          <w:tab w:val="left" w:pos="6300"/>
        </w:tabs>
        <w:snapToGrid w:val="0"/>
        <w:spacing w:line="500" w:lineRule="exact"/>
        <w:ind w:firstLine="480"/>
        <w:rPr>
          <w:color w:val="auto"/>
          <w:highlight w:val="none"/>
        </w:rPr>
      </w:pPr>
      <w:r>
        <w:rPr>
          <w:rFonts w:hint="eastAsia" w:ascii="仿宋" w:hAnsi="仿宋" w:eastAsia="仿宋"/>
          <w:color w:val="auto"/>
          <w:szCs w:val="28"/>
          <w:highlight w:val="none"/>
        </w:rPr>
        <w:t>为本标的提供的服务人员人，其中与本企业签订劳动合同人，其他人员人。</w:t>
      </w:r>
      <w:r>
        <w:rPr>
          <w:rFonts w:hint="eastAsia" w:ascii="仿宋" w:hAnsi="仿宋" w:eastAsia="仿宋"/>
          <w:b/>
          <w:bCs/>
          <w:color w:val="auto"/>
          <w:szCs w:val="28"/>
          <w:highlight w:val="none"/>
        </w:rPr>
        <w:t>有其他人员的不符合中小企业扶持政策</w:t>
      </w:r>
      <w:r>
        <w:rPr>
          <w:rFonts w:ascii="仿宋" w:hAnsi="仿宋" w:eastAsia="仿宋"/>
          <w:b/>
          <w:bCs/>
          <w:color w:val="auto"/>
          <w:szCs w:val="28"/>
          <w:highlight w:val="none"/>
        </w:rPr>
        <w:t>;</w:t>
      </w:r>
    </w:p>
    <w:p>
      <w:pPr>
        <w:tabs>
          <w:tab w:val="left" w:pos="6300"/>
        </w:tabs>
        <w:snapToGrid w:val="0"/>
        <w:spacing w:line="500" w:lineRule="exact"/>
        <w:ind w:right="782" w:firstLine="480"/>
        <w:rPr>
          <w:rFonts w:ascii="仿宋" w:hAnsi="仿宋" w:eastAsia="仿宋"/>
          <w:color w:val="auto"/>
          <w:highlight w:val="none"/>
        </w:rPr>
      </w:pPr>
      <w:r>
        <w:rPr>
          <w:rFonts w:hint="eastAsia" w:ascii="仿宋" w:hAnsi="仿宋" w:eastAsia="仿宋"/>
          <w:color w:val="auto"/>
          <w:highlight w:val="none"/>
        </w:rPr>
        <w:t>……</w:t>
      </w:r>
    </w:p>
    <w:p>
      <w:pPr>
        <w:tabs>
          <w:tab w:val="left" w:pos="6300"/>
        </w:tabs>
        <w:snapToGrid w:val="0"/>
        <w:spacing w:line="500" w:lineRule="exact"/>
        <w:ind w:firstLine="480"/>
        <w:rPr>
          <w:rFonts w:ascii="仿宋" w:hAnsi="仿宋" w:eastAsia="仿宋"/>
          <w:color w:val="auto"/>
          <w:szCs w:val="28"/>
          <w:highlight w:val="none"/>
        </w:rPr>
      </w:pPr>
      <w:r>
        <w:rPr>
          <w:rFonts w:hint="eastAsia" w:ascii="仿宋" w:hAnsi="仿宋" w:eastAsia="仿宋"/>
          <w:color w:val="auto"/>
          <w:szCs w:val="28"/>
          <w:highlight w:val="none"/>
        </w:rPr>
        <w:t>以上企业，不属于大企业的分支机构，不存在控股股东为大企业的情形，也不存在与大企业的负责人为同一人的情形。</w:t>
      </w:r>
    </w:p>
    <w:p>
      <w:pPr>
        <w:tabs>
          <w:tab w:val="left" w:pos="6300"/>
        </w:tabs>
        <w:snapToGrid w:val="0"/>
        <w:spacing w:line="500" w:lineRule="exact"/>
        <w:ind w:firstLine="480"/>
        <w:rPr>
          <w:rFonts w:ascii="仿宋" w:hAnsi="仿宋" w:eastAsia="仿宋"/>
          <w:color w:val="auto"/>
          <w:szCs w:val="28"/>
          <w:highlight w:val="none"/>
        </w:rPr>
      </w:pPr>
      <w:r>
        <w:rPr>
          <w:rFonts w:hint="eastAsia" w:ascii="仿宋" w:hAnsi="仿宋" w:eastAsia="仿宋"/>
          <w:color w:val="auto"/>
          <w:szCs w:val="28"/>
          <w:highlight w:val="none"/>
        </w:rPr>
        <w:t>本企业对上述声明内容的真实性负责。如有虚假，将依法承担相应责任。</w:t>
      </w:r>
    </w:p>
    <w:p>
      <w:pPr>
        <w:tabs>
          <w:tab w:val="left" w:pos="6300"/>
        </w:tabs>
        <w:snapToGrid w:val="0"/>
        <w:spacing w:line="400" w:lineRule="exact"/>
        <w:ind w:firstLine="480"/>
        <w:rPr>
          <w:rFonts w:ascii="仿宋" w:hAnsi="仿宋" w:eastAsia="仿宋"/>
          <w:color w:val="auto"/>
          <w:szCs w:val="28"/>
          <w:highlight w:val="none"/>
        </w:rPr>
      </w:pPr>
    </w:p>
    <w:p>
      <w:pPr>
        <w:tabs>
          <w:tab w:val="left" w:pos="6300"/>
        </w:tabs>
        <w:snapToGrid w:val="0"/>
        <w:spacing w:line="400" w:lineRule="exact"/>
        <w:ind w:firstLine="6120" w:firstLineChars="2550"/>
        <w:rPr>
          <w:rFonts w:ascii="仿宋" w:hAnsi="仿宋" w:eastAsia="仿宋"/>
          <w:color w:val="auto"/>
          <w:szCs w:val="28"/>
          <w:highlight w:val="none"/>
        </w:rPr>
      </w:pPr>
      <w:r>
        <w:rPr>
          <w:rFonts w:hint="eastAsia" w:ascii="仿宋" w:hAnsi="仿宋" w:eastAsia="仿宋"/>
          <w:color w:val="auto"/>
          <w:szCs w:val="28"/>
          <w:highlight w:val="none"/>
        </w:rPr>
        <w:t xml:space="preserve">企业名称（盖章）： </w:t>
      </w:r>
    </w:p>
    <w:p>
      <w:pPr>
        <w:tabs>
          <w:tab w:val="left" w:pos="6300"/>
        </w:tabs>
        <w:snapToGrid w:val="0"/>
        <w:spacing w:line="400" w:lineRule="exact"/>
        <w:ind w:firstLine="6120" w:firstLineChars="2550"/>
        <w:rPr>
          <w:rFonts w:ascii="仿宋" w:hAnsi="仿宋" w:eastAsia="仿宋"/>
          <w:color w:val="auto"/>
          <w:szCs w:val="28"/>
          <w:highlight w:val="none"/>
        </w:rPr>
      </w:pPr>
      <w:r>
        <w:rPr>
          <w:rFonts w:hint="eastAsia" w:ascii="仿宋" w:hAnsi="仿宋" w:eastAsia="仿宋"/>
          <w:color w:val="auto"/>
          <w:szCs w:val="28"/>
          <w:highlight w:val="none"/>
        </w:rPr>
        <w:t>日期：</w:t>
      </w:r>
    </w:p>
    <w:p>
      <w:pPr>
        <w:tabs>
          <w:tab w:val="left" w:pos="6300"/>
        </w:tabs>
        <w:snapToGrid w:val="0"/>
        <w:spacing w:line="400" w:lineRule="exact"/>
        <w:ind w:firstLine="0" w:firstLineChars="0"/>
        <w:jc w:val="left"/>
        <w:rPr>
          <w:rFonts w:ascii="仿宋" w:hAnsi="仿宋" w:eastAsia="仿宋" w:cs="黑体"/>
          <w:color w:val="auto"/>
          <w:kern w:val="0"/>
          <w:sz w:val="21"/>
          <w:szCs w:val="21"/>
          <w:highlight w:val="none"/>
        </w:rPr>
      </w:pPr>
    </w:p>
    <w:p>
      <w:pPr>
        <w:tabs>
          <w:tab w:val="left" w:pos="6300"/>
        </w:tabs>
        <w:snapToGrid w:val="0"/>
        <w:spacing w:line="400" w:lineRule="exact"/>
        <w:ind w:firstLine="0" w:firstLineChars="0"/>
        <w:jc w:val="left"/>
        <w:rPr>
          <w:rFonts w:ascii="仿宋" w:hAnsi="仿宋" w:eastAsia="仿宋" w:cs="黑体"/>
          <w:color w:val="auto"/>
          <w:kern w:val="0"/>
          <w:sz w:val="21"/>
          <w:szCs w:val="21"/>
          <w:highlight w:val="none"/>
        </w:rPr>
      </w:pPr>
      <w:r>
        <w:rPr>
          <w:rFonts w:hint="eastAsia" w:ascii="仿宋" w:hAnsi="仿宋" w:eastAsia="仿宋" w:cs="黑体"/>
          <w:color w:val="auto"/>
          <w:kern w:val="0"/>
          <w:sz w:val="21"/>
          <w:szCs w:val="21"/>
          <w:highlight w:val="none"/>
        </w:rPr>
        <w:t>填写时应注意以下事项：</w:t>
      </w:r>
    </w:p>
    <w:p>
      <w:pPr>
        <w:tabs>
          <w:tab w:val="left" w:pos="6300"/>
        </w:tabs>
        <w:snapToGrid w:val="0"/>
        <w:spacing w:line="400" w:lineRule="exact"/>
        <w:ind w:firstLine="420"/>
        <w:jc w:val="left"/>
        <w:rPr>
          <w:rFonts w:ascii="仿宋" w:hAnsi="仿宋" w:eastAsia="仿宋" w:cs="黑体"/>
          <w:color w:val="auto"/>
          <w:kern w:val="0"/>
          <w:sz w:val="21"/>
          <w:szCs w:val="21"/>
          <w:highlight w:val="none"/>
        </w:rPr>
      </w:pPr>
      <w:r>
        <w:rPr>
          <w:rFonts w:hint="eastAsia" w:ascii="仿宋" w:hAnsi="仿宋" w:eastAsia="仿宋" w:cs="黑体"/>
          <w:color w:val="auto"/>
          <w:kern w:val="0"/>
          <w:sz w:val="21"/>
          <w:szCs w:val="21"/>
          <w:highlight w:val="none"/>
        </w:rPr>
        <w:t>1.从业人员、营业收入、资产总额填报上一年度数据，无上一年度数据的新成立企业可不填报。</w:t>
      </w:r>
    </w:p>
    <w:p>
      <w:pPr>
        <w:tabs>
          <w:tab w:val="left" w:pos="6300"/>
        </w:tabs>
        <w:snapToGrid w:val="0"/>
        <w:spacing w:line="400" w:lineRule="exact"/>
        <w:ind w:firstLine="422"/>
        <w:jc w:val="left"/>
        <w:rPr>
          <w:rFonts w:ascii="仿宋" w:hAnsi="仿宋" w:eastAsia="仿宋" w:cs="黑体"/>
          <w:b/>
          <w:color w:val="auto"/>
          <w:kern w:val="0"/>
          <w:sz w:val="21"/>
          <w:szCs w:val="21"/>
          <w:highlight w:val="none"/>
          <w:u w:val="single"/>
        </w:rPr>
      </w:pPr>
      <w:r>
        <w:rPr>
          <w:rFonts w:hint="eastAsia" w:ascii="仿宋" w:hAnsi="仿宋" w:eastAsia="仿宋" w:cs="黑体"/>
          <w:b/>
          <w:color w:val="auto"/>
          <w:kern w:val="0"/>
          <w:sz w:val="21"/>
          <w:szCs w:val="21"/>
          <w:highlight w:val="none"/>
          <w:u w:val="single"/>
        </w:rPr>
        <w:t>2.中小企业应当按照《中小企业划型标准规定》（工信部联企业〔2011〕300号），如实填写并提交《中小企业声明函》。</w:t>
      </w:r>
    </w:p>
    <w:p>
      <w:pPr>
        <w:tabs>
          <w:tab w:val="left" w:pos="6300"/>
        </w:tabs>
        <w:snapToGrid w:val="0"/>
        <w:spacing w:line="420" w:lineRule="exact"/>
        <w:ind w:firstLine="422"/>
        <w:jc w:val="left"/>
        <w:rPr>
          <w:rFonts w:ascii="仿宋" w:hAnsi="仿宋" w:eastAsia="仿宋" w:cs="黑体"/>
          <w:b/>
          <w:color w:val="auto"/>
          <w:kern w:val="0"/>
          <w:sz w:val="21"/>
          <w:szCs w:val="21"/>
          <w:highlight w:val="none"/>
          <w:u w:val="single"/>
        </w:rPr>
      </w:pPr>
      <w:r>
        <w:rPr>
          <w:rFonts w:hint="eastAsia" w:ascii="仿宋" w:hAnsi="仿宋" w:eastAsia="仿宋" w:cs="黑体"/>
          <w:b/>
          <w:color w:val="auto"/>
          <w:kern w:val="0"/>
          <w:sz w:val="21"/>
          <w:szCs w:val="21"/>
          <w:highlight w:val="none"/>
          <w:u w:val="single"/>
        </w:rPr>
        <w:t>3.投标人填写《中小企业声明函》中所属行业时，应与采购文件第一篇“采购标的对应的中小企业划分标准所属行业”中填写的所属行业一致。</w:t>
      </w:r>
    </w:p>
    <w:p>
      <w:pPr>
        <w:tabs>
          <w:tab w:val="left" w:pos="6300"/>
        </w:tabs>
        <w:snapToGrid w:val="0"/>
        <w:spacing w:line="420" w:lineRule="exact"/>
        <w:ind w:firstLine="422"/>
        <w:jc w:val="left"/>
        <w:rPr>
          <w:rFonts w:ascii="方正仿宋_GBK" w:hAnsi="宋体" w:eastAsia="方正仿宋_GBK" w:cs="宋体"/>
          <w:b/>
          <w:color w:val="auto"/>
          <w:kern w:val="0"/>
          <w:sz w:val="21"/>
          <w:szCs w:val="21"/>
          <w:highlight w:val="none"/>
        </w:rPr>
      </w:pPr>
      <w:r>
        <w:rPr>
          <w:rFonts w:hint="eastAsia" w:ascii="仿宋" w:hAnsi="仿宋" w:eastAsia="仿宋" w:cs="黑体"/>
          <w:b/>
          <w:color w:val="auto"/>
          <w:kern w:val="0"/>
          <w:sz w:val="21"/>
          <w:szCs w:val="21"/>
          <w:highlight w:val="none"/>
          <w:u w:val="single"/>
        </w:rPr>
        <w:t>4.本声明函“企业名称（盖章）”处为投标人盖章。</w:t>
      </w:r>
    </w:p>
    <w:p>
      <w:pPr>
        <w:tabs>
          <w:tab w:val="left" w:pos="6300"/>
        </w:tabs>
        <w:snapToGrid w:val="0"/>
        <w:spacing w:line="500" w:lineRule="exact"/>
        <w:ind w:firstLine="0" w:firstLineChars="0"/>
        <w:rPr>
          <w:rFonts w:ascii="仿宋" w:hAnsi="仿宋" w:eastAsia="仿宋"/>
          <w:color w:val="auto"/>
          <w:sz w:val="21"/>
          <w:szCs w:val="21"/>
          <w:highlight w:val="none"/>
        </w:rPr>
      </w:pPr>
      <w:r>
        <w:rPr>
          <w:rFonts w:hint="eastAsia" w:ascii="仿宋" w:hAnsi="仿宋" w:eastAsia="仿宋"/>
          <w:color w:val="auto"/>
          <w:sz w:val="21"/>
          <w:szCs w:val="21"/>
          <w:highlight w:val="none"/>
        </w:rPr>
        <w:t>注：各行业划型标准：</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tabs>
          <w:tab w:val="left" w:pos="6300"/>
        </w:tabs>
        <w:snapToGrid w:val="0"/>
        <w:spacing w:line="400" w:lineRule="exact"/>
        <w:ind w:firstLine="420"/>
        <w:jc w:val="left"/>
        <w:rPr>
          <w:rFonts w:ascii="仿宋" w:hAnsi="仿宋" w:eastAsia="仿宋"/>
          <w:color w:val="auto"/>
          <w:sz w:val="21"/>
          <w:szCs w:val="21"/>
          <w:highlight w:val="none"/>
        </w:rPr>
      </w:pPr>
      <w:r>
        <w:rPr>
          <w:rFonts w:hint="eastAsia" w:ascii="仿宋" w:hAnsi="仿宋" w:eastAsia="仿宋"/>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p>
      <w:pPr>
        <w:tabs>
          <w:tab w:val="left" w:pos="6300"/>
        </w:tabs>
        <w:snapToGrid w:val="0"/>
        <w:spacing w:line="500" w:lineRule="exact"/>
        <w:ind w:firstLine="0" w:firstLineChars="0"/>
        <w:rPr>
          <w:rFonts w:ascii="仿宋" w:hAnsi="仿宋" w:eastAsia="仿宋"/>
          <w:color w:val="auto"/>
          <w:highlight w:val="none"/>
        </w:rPr>
        <w:sectPr>
          <w:pgSz w:w="11907" w:h="16840"/>
          <w:pgMar w:top="1134" w:right="1191" w:bottom="1134" w:left="1304" w:header="794" w:footer="992" w:gutter="0"/>
          <w:cols w:space="720" w:num="1"/>
          <w:docGrid w:linePitch="380" w:charSpace="-5735"/>
        </w:sectPr>
      </w:pPr>
    </w:p>
    <w:p>
      <w:pPr>
        <w:spacing w:beforeLines="100" w:afterLines="100"/>
        <w:ind w:firstLine="0" w:firstLineChars="0"/>
        <w:jc w:val="center"/>
        <w:rPr>
          <w:rFonts w:ascii="仿宋" w:hAnsi="仿宋" w:eastAsia="仿宋"/>
          <w:color w:val="auto"/>
          <w:sz w:val="28"/>
          <w:szCs w:val="21"/>
          <w:highlight w:val="none"/>
        </w:rPr>
      </w:pPr>
      <w:r>
        <w:rPr>
          <w:rFonts w:hint="eastAsia" w:ascii="仿宋" w:hAnsi="仿宋" w:eastAsia="仿宋"/>
          <w:color w:val="auto"/>
          <w:sz w:val="28"/>
          <w:szCs w:val="21"/>
          <w:highlight w:val="none"/>
        </w:rPr>
        <w:t>监狱企业证明文件</w:t>
      </w:r>
    </w:p>
    <w:p>
      <w:pPr>
        <w:ind w:firstLine="424"/>
        <w:rPr>
          <w:rFonts w:ascii="仿宋" w:hAnsi="仿宋" w:eastAsia="仿宋"/>
          <w:color w:val="auto"/>
          <w:szCs w:val="22"/>
          <w:highlight w:val="none"/>
        </w:rPr>
      </w:pPr>
    </w:p>
    <w:p>
      <w:pPr>
        <w:ind w:firstLine="424"/>
        <w:rPr>
          <w:rFonts w:ascii="仿宋" w:hAnsi="仿宋" w:eastAsia="仿宋"/>
          <w:color w:val="auto"/>
          <w:highlight w:val="none"/>
        </w:rPr>
      </w:pPr>
      <w:r>
        <w:rPr>
          <w:rFonts w:hint="eastAsia" w:ascii="仿宋" w:hAnsi="仿宋" w:eastAsia="仿宋"/>
          <w:color w:val="auto"/>
          <w:szCs w:val="22"/>
          <w:highlight w:val="none"/>
        </w:rPr>
        <w:t>以省级以上监狱管理局、戒毒管理局（含新疆生产建设兵团）出具的属于监狱企业的证明文件为准。</w:t>
      </w:r>
      <w:r>
        <w:rPr>
          <w:rFonts w:hint="eastAsia" w:ascii="仿宋" w:hAnsi="仿宋" w:eastAsia="仿宋"/>
          <w:color w:val="auto"/>
          <w:szCs w:val="22"/>
          <w:highlight w:val="none"/>
        </w:rPr>
        <w:br w:type="page"/>
      </w:r>
    </w:p>
    <w:p>
      <w:pPr>
        <w:spacing w:beforeLines="100" w:afterLines="100"/>
        <w:ind w:firstLine="0" w:firstLineChars="0"/>
        <w:jc w:val="center"/>
        <w:rPr>
          <w:rFonts w:ascii="仿宋" w:hAnsi="仿宋" w:eastAsia="仿宋"/>
          <w:color w:val="auto"/>
          <w:sz w:val="28"/>
          <w:szCs w:val="21"/>
          <w:highlight w:val="none"/>
        </w:rPr>
      </w:pPr>
      <w:r>
        <w:rPr>
          <w:rFonts w:hint="eastAsia" w:ascii="仿宋" w:hAnsi="仿宋" w:eastAsia="仿宋"/>
          <w:color w:val="auto"/>
          <w:sz w:val="28"/>
          <w:szCs w:val="21"/>
          <w:highlight w:val="none"/>
        </w:rPr>
        <w:t>残疾人福利性单位声明函</w:t>
      </w:r>
    </w:p>
    <w:p>
      <w:pPr>
        <w:ind w:firstLine="424"/>
        <w:rPr>
          <w:rFonts w:ascii="仿宋" w:hAnsi="仿宋" w:eastAsia="仿宋"/>
          <w:color w:val="auto"/>
          <w:highlight w:val="none"/>
        </w:rPr>
      </w:pPr>
    </w:p>
    <w:p>
      <w:pPr>
        <w:ind w:firstLine="424"/>
        <w:rPr>
          <w:rFonts w:ascii="仿宋" w:hAnsi="仿宋" w:eastAsia="仿宋"/>
          <w:color w:val="auto"/>
          <w:highlight w:val="none"/>
        </w:rPr>
      </w:pPr>
      <w:r>
        <w:rPr>
          <w:rFonts w:hint="eastAsia" w:ascii="仿宋" w:hAnsi="仿宋" w:eastAsia="仿宋"/>
          <w:color w:val="auto"/>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ind w:firstLine="424"/>
        <w:rPr>
          <w:rFonts w:ascii="仿宋" w:hAnsi="仿宋" w:eastAsia="仿宋"/>
          <w:color w:val="auto"/>
          <w:highlight w:val="none"/>
        </w:rPr>
      </w:pPr>
      <w:r>
        <w:rPr>
          <w:rFonts w:hint="eastAsia" w:ascii="仿宋" w:hAnsi="仿宋" w:eastAsia="仿宋"/>
          <w:color w:val="auto"/>
          <w:highlight w:val="none"/>
        </w:rPr>
        <w:t>本单位对上述声明的真实性负责。如有虚假，将依法承担相应责任。</w:t>
      </w:r>
    </w:p>
    <w:p>
      <w:pPr>
        <w:ind w:firstLine="424"/>
        <w:rPr>
          <w:rFonts w:ascii="仿宋" w:hAnsi="仿宋" w:eastAsia="仿宋"/>
          <w:color w:val="auto"/>
          <w:highlight w:val="none"/>
        </w:rPr>
      </w:pPr>
    </w:p>
    <w:p>
      <w:pPr>
        <w:ind w:firstLine="424"/>
        <w:rPr>
          <w:rFonts w:ascii="仿宋" w:hAnsi="仿宋" w:eastAsia="仿宋"/>
          <w:color w:val="auto"/>
          <w:highlight w:val="none"/>
        </w:rPr>
      </w:pPr>
    </w:p>
    <w:p>
      <w:pPr>
        <w:wordWrap w:val="0"/>
        <w:ind w:firstLine="424"/>
        <w:jc w:val="right"/>
        <w:rPr>
          <w:rFonts w:ascii="仿宋" w:hAnsi="仿宋" w:eastAsia="仿宋"/>
          <w:color w:val="auto"/>
          <w:highlight w:val="none"/>
        </w:rPr>
      </w:pPr>
      <w:r>
        <w:rPr>
          <w:rFonts w:hint="eastAsia" w:ascii="仿宋" w:hAnsi="仿宋" w:eastAsia="仿宋"/>
          <w:color w:val="auto"/>
          <w:highlight w:val="none"/>
        </w:rPr>
        <w:t xml:space="preserve">投标人名称（盖章）：             </w:t>
      </w:r>
    </w:p>
    <w:p>
      <w:pPr>
        <w:wordWrap w:val="0"/>
        <w:ind w:firstLine="424"/>
        <w:jc w:val="right"/>
        <w:rPr>
          <w:rFonts w:ascii="仿宋" w:hAnsi="仿宋" w:eastAsia="仿宋"/>
          <w:color w:val="auto"/>
          <w:highlight w:val="none"/>
        </w:rPr>
      </w:pPr>
      <w:r>
        <w:rPr>
          <w:rFonts w:hint="eastAsia" w:ascii="仿宋" w:hAnsi="仿宋" w:eastAsia="仿宋"/>
          <w:color w:val="auto"/>
          <w:highlight w:val="none"/>
        </w:rPr>
        <w:t xml:space="preserve">日期：                          </w:t>
      </w: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p>
    <w:p>
      <w:pPr>
        <w:ind w:firstLine="424"/>
        <w:rPr>
          <w:rFonts w:ascii="仿宋" w:hAnsi="仿宋" w:eastAsia="仿宋"/>
          <w:color w:val="auto"/>
          <w:highlight w:val="none"/>
        </w:rPr>
      </w:pPr>
      <w:r>
        <w:rPr>
          <w:rFonts w:hint="eastAsia" w:ascii="仿宋" w:hAnsi="仿宋" w:eastAsia="仿宋"/>
          <w:color w:val="auto"/>
          <w:highlight w:val="none"/>
        </w:rPr>
        <w:t>若中标人为残疾人福利性单位的，将在结果公告时公告其《残疾人福利性单位声明函》。</w:t>
      </w:r>
    </w:p>
    <w:p>
      <w:pPr>
        <w:ind w:firstLine="424"/>
        <w:rPr>
          <w:rFonts w:ascii="仿宋" w:hAnsi="仿宋" w:eastAsia="仿宋"/>
          <w:color w:val="auto"/>
          <w:highlight w:val="none"/>
        </w:rPr>
      </w:pPr>
      <w:r>
        <w:rPr>
          <w:rFonts w:hint="eastAsia" w:ascii="仿宋" w:hAnsi="仿宋" w:eastAsia="仿宋"/>
          <w:color w:val="auto"/>
          <w:highlight w:val="none"/>
        </w:rPr>
        <w:br w:type="page"/>
      </w:r>
      <w:r>
        <w:rPr>
          <w:rFonts w:hint="eastAsia" w:ascii="仿宋" w:hAnsi="仿宋" w:eastAsia="仿宋"/>
          <w:color w:val="auto"/>
          <w:highlight w:val="none"/>
        </w:rPr>
        <w:t>（二）其他与项目有关的资料（自附）</w:t>
      </w:r>
    </w:p>
    <w:p>
      <w:pPr>
        <w:pStyle w:val="17"/>
        <w:ind w:firstLine="424"/>
        <w:rPr>
          <w:rFonts w:ascii="仿宋" w:hAnsi="仿宋" w:eastAsia="仿宋"/>
          <w:color w:val="auto"/>
          <w:sz w:val="24"/>
          <w:szCs w:val="20"/>
          <w:highlight w:val="none"/>
        </w:rPr>
      </w:pPr>
    </w:p>
    <w:p>
      <w:pPr>
        <w:pStyle w:val="17"/>
        <w:ind w:firstLine="424"/>
        <w:rPr>
          <w:rFonts w:ascii="仿宋" w:hAnsi="仿宋" w:eastAsia="仿宋"/>
          <w:color w:val="auto"/>
          <w:sz w:val="24"/>
          <w:szCs w:val="20"/>
          <w:highlight w:val="none"/>
        </w:rPr>
      </w:pPr>
      <w:r>
        <w:rPr>
          <w:rFonts w:hint="eastAsia" w:ascii="仿宋" w:hAnsi="仿宋" w:eastAsia="仿宋"/>
          <w:color w:val="auto"/>
          <w:sz w:val="24"/>
          <w:szCs w:val="20"/>
          <w:highlight w:val="none"/>
        </w:rPr>
        <w:t>（三）分包意向协议（格式自定）</w:t>
      </w:r>
    </w:p>
    <w:bookmarkEnd w:id="876"/>
    <w:p>
      <w:pPr>
        <w:pStyle w:val="18"/>
        <w:ind w:firstLine="0" w:firstLineChars="0"/>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pStyle w:val="18"/>
        <w:ind w:firstLine="304"/>
        <w:rPr>
          <w:rFonts w:ascii="方正仿宋_GBK" w:hAnsi="宋体" w:eastAsia="方正仿宋_GBK"/>
          <w:color w:val="auto"/>
          <w:szCs w:val="24"/>
          <w:highlight w:val="none"/>
        </w:rPr>
      </w:pPr>
    </w:p>
    <w:p>
      <w:pPr>
        <w:ind w:firstLine="424"/>
        <w:jc w:val="center"/>
        <w:rPr>
          <w:rFonts w:ascii="仿宋" w:hAnsi="仿宋" w:eastAsia="仿宋"/>
          <w:color w:val="auto"/>
          <w:szCs w:val="22"/>
          <w:highlight w:val="none"/>
        </w:rPr>
      </w:pPr>
    </w:p>
    <w:sectPr>
      <w:pgSz w:w="11907" w:h="16840"/>
      <w:pgMar w:top="1134" w:right="1191" w:bottom="1134" w:left="1304" w:header="794" w:footer="992" w:gutter="0"/>
      <w:cols w:space="720" w:num="1"/>
      <w:docGrid w:type="linesAndChars"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minorBidi">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0000000000000000000"/>
    <w:charset w:val="86"/>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jc w:val="center"/>
      <w:rPr>
        <w:rStyle w:val="27"/>
      </w:rPr>
    </w:pPr>
  </w:p>
  <w:p>
    <w:pPr>
      <w:pStyle w:val="18"/>
      <w:ind w:right="360" w:firstLine="480"/>
      <w:jc w:val="center"/>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ind w:firstLine="360"/>
      <w:rPr>
        <w:rStyle w:val="27"/>
      </w:rPr>
    </w:pPr>
    <w:r>
      <w:fldChar w:fldCharType="begin"/>
    </w:r>
    <w:r>
      <w:rPr>
        <w:rStyle w:val="27"/>
      </w:rPr>
      <w:instrText xml:space="preserve">PAGE  </w:instrText>
    </w:r>
    <w:r>
      <w:fldChar w:fldCharType="end"/>
    </w:r>
  </w:p>
  <w:p>
    <w:pPr>
      <w:pStyle w:val="1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w:t>
                          </w:r>
                          <w:r>
                            <w:rPr>
                              <w:rFonts w:hint="eastAsia"/>
                              <w:sz w:val="18"/>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u5GgbwBAABiAwAADgAAAGRycy9lMm9Eb2MueG1srVNLbtswEN0H6B0I&#10;7mPJAlI4gumgQZCiQNEGSHIAmiItAvxhSFvyBdobdNVN9z2Xz9EhbTlFswu6oWY4wzfzZp6WN6M1&#10;ZCchau8Ync9qSqQTvtNuw+jz0/3lgpKYuOu48U4yupeR3qzeXSyH0MrG9950EgiCuNgOgdE+pdBW&#10;VRS9tDzOfJAOg8qD5Qld2FQd8AHRramaun5fDR66AF7IGPH27hikq4KvlBTpq1JRJmIYxd5SOaGc&#10;63xWqyVvN8BDr8WpDf6GLizXDoueoe544mQL+hWU1QJ89CrNhLeVV0oLWTggm3n9D5vHngdZuOBw&#10;YjiPKf4/WPFl9wBEd4w2lDhucUWHH98PP38ffn0j8zyeIcQWsx4D5qXx1o+45uk+4mVmPSqw+Yt8&#10;CMZx0PvzcOWYiMiPFs1iUWNIYGxyEL96eR4gpo/SW5INRgG3V4bKd59jOqZOKbma8/famLJB48jA&#10;6PVVc1UenCMIblzOlUULJ5hM6dh6ttK4Hk88177bI80B9cCoQ8FSYj45HHeWzmTAZKwnYxtAb/qi&#10;rVwrhg/bhL2VlnOFIyxSzQ4uspA+iS4r5W+/ZL38Gqs/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zql5uc8AAAAFAQAADwAAAAAAAAABACAAAAAiAAAAZHJzL2Rvd25yZXYueG1sUEsBAhQAFAAAAAgA&#10;h07iQBruRoG8AQAAYgMAAA4AAAAAAAAAAQAgAAAAHgEAAGRycy9lMm9Eb2MueG1sUEsFBgAAAAAG&#10;AAYAWQEAAEwFAAAAAA==&#10;">
              <v:fill on="f" focussize="0,0"/>
              <v:stroke on="f"/>
              <v:imagedata o:title=""/>
              <o:lock v:ext="edit" aspectratio="f"/>
              <v:textbox inset="0mm,0mm,0mm,0mm" style="mso-fit-shape-to-text:t;">
                <w:txbxContent>
                  <w:p>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105" w:firstLineChars="50"/>
      <w:jc w:val="both"/>
      <w:rPr>
        <w:rFonts w:ascii="仿宋" w:hAnsi="仿宋" w:eastAsia="仿宋"/>
      </w:rPr>
    </w:pPr>
    <w:r>
      <w:rPr>
        <w:rFonts w:hint="eastAsia" w:ascii="仿宋" w:hAnsi="仿宋" w:eastAsia="仿宋"/>
        <w:sz w:val="21"/>
        <w:szCs w:val="21"/>
      </w:rPr>
      <w:t>重庆市巴南区政府采购中心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single" w:color="auto" w:sz="4" w:space="1"/>
      </w:pBdr>
      <w:ind w:firstLine="420"/>
      <w:jc w:val="both"/>
      <w:rPr>
        <w:rFonts w:hint="eastAsia" w:ascii="方正仿宋_GBK" w:eastAsia="仿宋"/>
        <w:sz w:val="21"/>
        <w:szCs w:val="24"/>
      </w:rPr>
    </w:pPr>
    <w:r>
      <w:rPr>
        <w:rFonts w:hint="eastAsia" w:ascii="仿宋" w:hAnsi="仿宋" w:eastAsia="仿宋" w:cs="仿宋"/>
        <w:sz w:val="21"/>
        <w:szCs w:val="21"/>
      </w:rPr>
      <w:t>重庆市巴南区政府采购中心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B328D"/>
    <w:multiLevelType w:val="multilevel"/>
    <w:tmpl w:val="162B328D"/>
    <w:lvl w:ilvl="0" w:tentative="0">
      <w:start w:val="1"/>
      <w:numFmt w:val="japaneseCounting"/>
      <w:lvlText w:val="（%1）"/>
      <w:lvlJc w:val="left"/>
      <w:pPr>
        <w:ind w:left="1144" w:hanging="720"/>
      </w:pPr>
      <w:rPr>
        <w:rFonts w:hint="default"/>
      </w:r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1">
    <w:nsid w:val="34DD9191"/>
    <w:multiLevelType w:val="multilevel"/>
    <w:tmpl w:val="34DD9191"/>
    <w:lvl w:ilvl="0" w:tentative="0">
      <w:start w:val="1"/>
      <w:numFmt w:val="chineseCounting"/>
      <w:lvlText w:val="第%1篇  "/>
      <w:lvlJc w:val="left"/>
      <w:pPr>
        <w:tabs>
          <w:tab w:val="left" w:pos="1530"/>
        </w:tabs>
        <w:ind w:left="1530" w:hanging="1530"/>
      </w:pPr>
      <w:rPr>
        <w:rFonts w:hint="eastAsia" w:ascii="黑体" w:hAnsi="黑体" w:eastAsia="方正小标宋简体" w:cs="黑体"/>
      </w:rPr>
    </w:lvl>
    <w:lvl w:ilvl="1" w:tentative="0">
      <w:start w:val="1"/>
      <w:numFmt w:val="chineseCounting"/>
      <w:lvlText w:val="%2、"/>
      <w:lvlJc w:val="left"/>
      <w:pPr>
        <w:tabs>
          <w:tab w:val="left" w:pos="840"/>
        </w:tabs>
        <w:ind w:left="840" w:hanging="420"/>
      </w:pPr>
      <w:rPr>
        <w:rFonts w:hint="eastAsia" w:ascii="黑体" w:hAnsi="黑体" w:eastAsia="黑体" w:cs="黑体"/>
      </w:rPr>
    </w:lvl>
    <w:lvl w:ilvl="2" w:tentative="0">
      <w:start w:val="1"/>
      <w:numFmt w:val="chineseCounting"/>
      <w:lvlText w:val="（%3）"/>
      <w:lvlJc w:val="right"/>
      <w:pPr>
        <w:tabs>
          <w:tab w:val="left" w:pos="1260"/>
        </w:tabs>
        <w:ind w:left="1260" w:hanging="420"/>
      </w:pPr>
      <w:rPr>
        <w:rFonts w:hint="eastAsia" w:ascii="黑体" w:hAnsi="黑体" w:eastAsia="黑体" w:cs="黑体"/>
      </w:rPr>
    </w:lvl>
    <w:lvl w:ilvl="3" w:tentative="0">
      <w:start w:val="1"/>
      <w:numFmt w:val="decimal"/>
      <w:lvlText w:val="%4、"/>
      <w:lvlJc w:val="left"/>
      <w:pPr>
        <w:tabs>
          <w:tab w:val="left" w:pos="1680"/>
        </w:tabs>
        <w:ind w:left="1680" w:hanging="420"/>
      </w:pPr>
      <w:rPr>
        <w:rFonts w:hint="eastAsia" w:ascii="黑体" w:hAnsi="黑体" w:eastAsia="黑体" w:cs="黑体"/>
      </w:rPr>
    </w:lvl>
    <w:lvl w:ilvl="4" w:tentative="0">
      <w:start w:val="1"/>
      <w:numFmt w:val="decimal"/>
      <w:lvlText w:val="（%5）"/>
      <w:lvlJc w:val="left"/>
      <w:pPr>
        <w:tabs>
          <w:tab w:val="left" w:pos="2100"/>
        </w:tabs>
        <w:ind w:left="2100" w:hanging="420"/>
      </w:pPr>
      <w:rPr>
        <w:rFonts w:hint="eastAsia" w:ascii="黑体" w:hAnsi="黑体" w:eastAsia="黑体" w:cs="黑体"/>
      </w:rPr>
    </w:lvl>
    <w:lvl w:ilvl="5" w:tentative="0">
      <w:start w:val="1"/>
      <w:numFmt w:val="lowerRoman"/>
      <w:lvlText w:val="%6."/>
      <w:lvlJc w:val="right"/>
      <w:pPr>
        <w:tabs>
          <w:tab w:val="left" w:pos="2520"/>
        </w:tabs>
        <w:ind w:left="2520" w:hanging="420"/>
      </w:pPr>
      <w:rPr>
        <w:rFonts w:hint="eastAsia" w:ascii="黑体" w:hAnsi="黑体" w:eastAsia="黑体" w:cs="黑体"/>
      </w:rPr>
    </w:lvl>
    <w:lvl w:ilvl="6" w:tentative="0">
      <w:start w:val="1"/>
      <w:numFmt w:val="decimal"/>
      <w:lvlText w:val="%7."/>
      <w:lvlJc w:val="left"/>
      <w:pPr>
        <w:tabs>
          <w:tab w:val="left" w:pos="2940"/>
        </w:tabs>
        <w:ind w:left="2940" w:hanging="420"/>
      </w:pPr>
      <w:rPr>
        <w:rFonts w:hint="eastAsia" w:ascii="黑体" w:hAnsi="黑体" w:eastAsia="黑体" w:cs="黑体"/>
      </w:rPr>
    </w:lvl>
    <w:lvl w:ilvl="7" w:tentative="0">
      <w:start w:val="1"/>
      <w:numFmt w:val="lowerLetter"/>
      <w:lvlText w:val="%8)"/>
      <w:lvlJc w:val="left"/>
      <w:pPr>
        <w:tabs>
          <w:tab w:val="left" w:pos="3360"/>
        </w:tabs>
        <w:ind w:left="3360" w:hanging="420"/>
      </w:pPr>
      <w:rPr>
        <w:rFonts w:hint="eastAsia" w:ascii="黑体" w:hAnsi="黑体" w:eastAsia="黑体" w:cs="黑体"/>
      </w:rPr>
    </w:lvl>
    <w:lvl w:ilvl="8" w:tentative="0">
      <w:start w:val="1"/>
      <w:numFmt w:val="lowerRoman"/>
      <w:lvlText w:val="%9."/>
      <w:lvlJc w:val="right"/>
      <w:pPr>
        <w:tabs>
          <w:tab w:val="left" w:pos="3780"/>
        </w:tabs>
        <w:ind w:left="3780" w:hanging="420"/>
      </w:pPr>
      <w:rPr>
        <w:rFonts w:hint="eastAsia" w:ascii="黑体" w:hAnsi="黑体" w:eastAsia="黑体" w:cs="黑体"/>
      </w:rPr>
    </w:lvl>
  </w:abstractNum>
  <w:abstractNum w:abstractNumId="2">
    <w:nsid w:val="62CE7CA8"/>
    <w:multiLevelType w:val="singleLevel"/>
    <w:tmpl w:val="62CE7CA8"/>
    <w:lvl w:ilvl="0" w:tentative="0">
      <w:start w:val="1"/>
      <w:numFmt w:val="chineseCounting"/>
      <w:suff w:val="nothing"/>
      <w:lvlText w:val="%1、"/>
      <w:lvlJc w:val="left"/>
    </w:lvl>
  </w:abstractNum>
  <w:abstractNum w:abstractNumId="3">
    <w:nsid w:val="67BBD86C"/>
    <w:multiLevelType w:val="singleLevel"/>
    <w:tmpl w:val="67BBD86C"/>
    <w:lvl w:ilvl="0" w:tentative="0">
      <w:start w:val="2"/>
      <w:numFmt w:val="chineseCounting"/>
      <w:suff w:val="nothing"/>
      <w:lvlText w:val="（%1）"/>
      <w:lvlJc w:val="left"/>
    </w:lvl>
  </w:abstractNum>
  <w:abstractNum w:abstractNumId="4">
    <w:nsid w:val="67BBDBA7"/>
    <w:multiLevelType w:val="singleLevel"/>
    <w:tmpl w:val="67BBDBA7"/>
    <w:lvl w:ilvl="0" w:tentative="0">
      <w:start w:val="2"/>
      <w:numFmt w:val="chineseCounting"/>
      <w:suff w:val="nothing"/>
      <w:lvlText w:val="（%1）"/>
      <w:lvlJc w:val="left"/>
    </w:lvl>
  </w:abstractNum>
  <w:abstractNum w:abstractNumId="5">
    <w:nsid w:val="6AFAB3C2"/>
    <w:multiLevelType w:val="singleLevel"/>
    <w:tmpl w:val="6AFAB3C2"/>
    <w:lvl w:ilvl="0" w:tentative="0">
      <w:start w:val="5"/>
      <w:numFmt w:val="chineseCounting"/>
      <w:suff w:val="nothing"/>
      <w:lvlText w:val="（%1）"/>
      <w:lvlJc w:val="left"/>
      <w:rPr>
        <w:rFonts w:hint="eastAsia"/>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documentProtection w:edit="readOnly" w:formatting="1" w:enforcement="0"/>
  <w:defaultTabStop w:val="420"/>
  <w:drawingGridHorizontalSpacing w:val="109"/>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4ZTM1YjU2ZTMwZTEzYjEyNGQzMDVkNTFiMDg3YWEifQ=="/>
  </w:docVars>
  <w:rsids>
    <w:rsidRoot w:val="6D0A655C"/>
    <w:rsid w:val="00001E8C"/>
    <w:rsid w:val="00004276"/>
    <w:rsid w:val="0001362D"/>
    <w:rsid w:val="00013CF2"/>
    <w:rsid w:val="0001500E"/>
    <w:rsid w:val="00016605"/>
    <w:rsid w:val="00023F73"/>
    <w:rsid w:val="000267E6"/>
    <w:rsid w:val="0003295A"/>
    <w:rsid w:val="000409F8"/>
    <w:rsid w:val="00052DE9"/>
    <w:rsid w:val="00053F43"/>
    <w:rsid w:val="00055012"/>
    <w:rsid w:val="00055B9B"/>
    <w:rsid w:val="00055FCE"/>
    <w:rsid w:val="0006583E"/>
    <w:rsid w:val="00082689"/>
    <w:rsid w:val="00085A0A"/>
    <w:rsid w:val="00085E84"/>
    <w:rsid w:val="00094740"/>
    <w:rsid w:val="000A4DA6"/>
    <w:rsid w:val="000A58F1"/>
    <w:rsid w:val="000B1CF6"/>
    <w:rsid w:val="000B224F"/>
    <w:rsid w:val="000B2F21"/>
    <w:rsid w:val="000B6396"/>
    <w:rsid w:val="000B66DA"/>
    <w:rsid w:val="000B78BD"/>
    <w:rsid w:val="000C03C0"/>
    <w:rsid w:val="000D12B3"/>
    <w:rsid w:val="000D7366"/>
    <w:rsid w:val="000E54D2"/>
    <w:rsid w:val="000E730D"/>
    <w:rsid w:val="000F0975"/>
    <w:rsid w:val="000F49BB"/>
    <w:rsid w:val="001263DC"/>
    <w:rsid w:val="00126C72"/>
    <w:rsid w:val="00126E98"/>
    <w:rsid w:val="001300F7"/>
    <w:rsid w:val="0014180A"/>
    <w:rsid w:val="00161E86"/>
    <w:rsid w:val="00171610"/>
    <w:rsid w:val="00171C72"/>
    <w:rsid w:val="0018028C"/>
    <w:rsid w:val="0018090B"/>
    <w:rsid w:val="0018131E"/>
    <w:rsid w:val="0018274E"/>
    <w:rsid w:val="001926F1"/>
    <w:rsid w:val="00192EA9"/>
    <w:rsid w:val="0019430A"/>
    <w:rsid w:val="001A32A6"/>
    <w:rsid w:val="001A4245"/>
    <w:rsid w:val="001B06F6"/>
    <w:rsid w:val="001B30BE"/>
    <w:rsid w:val="001B3D54"/>
    <w:rsid w:val="001C3EE1"/>
    <w:rsid w:val="001D1B21"/>
    <w:rsid w:val="001D5A85"/>
    <w:rsid w:val="001E6DC1"/>
    <w:rsid w:val="001F21A7"/>
    <w:rsid w:val="00206121"/>
    <w:rsid w:val="00240FE9"/>
    <w:rsid w:val="00242659"/>
    <w:rsid w:val="0024561D"/>
    <w:rsid w:val="00251162"/>
    <w:rsid w:val="0027111E"/>
    <w:rsid w:val="00272263"/>
    <w:rsid w:val="00274677"/>
    <w:rsid w:val="00274C30"/>
    <w:rsid w:val="00286DA7"/>
    <w:rsid w:val="0029336E"/>
    <w:rsid w:val="00293C81"/>
    <w:rsid w:val="00297462"/>
    <w:rsid w:val="002A1AFF"/>
    <w:rsid w:val="002A446D"/>
    <w:rsid w:val="002C1075"/>
    <w:rsid w:val="002C65FE"/>
    <w:rsid w:val="002D424D"/>
    <w:rsid w:val="002D5073"/>
    <w:rsid w:val="002D5EC1"/>
    <w:rsid w:val="002F691F"/>
    <w:rsid w:val="0030152B"/>
    <w:rsid w:val="003026B9"/>
    <w:rsid w:val="00310DD1"/>
    <w:rsid w:val="003142D8"/>
    <w:rsid w:val="00314A6B"/>
    <w:rsid w:val="00321C39"/>
    <w:rsid w:val="00327CC4"/>
    <w:rsid w:val="0033212A"/>
    <w:rsid w:val="003339CC"/>
    <w:rsid w:val="0034069A"/>
    <w:rsid w:val="0034101F"/>
    <w:rsid w:val="00341C18"/>
    <w:rsid w:val="0035087E"/>
    <w:rsid w:val="003547C4"/>
    <w:rsid w:val="003612E7"/>
    <w:rsid w:val="003627E6"/>
    <w:rsid w:val="003643A9"/>
    <w:rsid w:val="00367DDE"/>
    <w:rsid w:val="00382B4F"/>
    <w:rsid w:val="00385247"/>
    <w:rsid w:val="00385F94"/>
    <w:rsid w:val="00391C38"/>
    <w:rsid w:val="00392A39"/>
    <w:rsid w:val="00392E08"/>
    <w:rsid w:val="003A7ACF"/>
    <w:rsid w:val="003B08E3"/>
    <w:rsid w:val="003B4A36"/>
    <w:rsid w:val="003B6E6F"/>
    <w:rsid w:val="003B7627"/>
    <w:rsid w:val="003C0409"/>
    <w:rsid w:val="003C105A"/>
    <w:rsid w:val="003C4A6C"/>
    <w:rsid w:val="003D3505"/>
    <w:rsid w:val="003D7302"/>
    <w:rsid w:val="003E08E4"/>
    <w:rsid w:val="003E711B"/>
    <w:rsid w:val="003F3928"/>
    <w:rsid w:val="0040151E"/>
    <w:rsid w:val="00420ACF"/>
    <w:rsid w:val="00427A9E"/>
    <w:rsid w:val="00433233"/>
    <w:rsid w:val="00437329"/>
    <w:rsid w:val="004423AE"/>
    <w:rsid w:val="004651B0"/>
    <w:rsid w:val="0046550B"/>
    <w:rsid w:val="00465D3C"/>
    <w:rsid w:val="00472B3D"/>
    <w:rsid w:val="00476272"/>
    <w:rsid w:val="00480202"/>
    <w:rsid w:val="00485DB4"/>
    <w:rsid w:val="00486B42"/>
    <w:rsid w:val="00490634"/>
    <w:rsid w:val="004918BC"/>
    <w:rsid w:val="004B24D3"/>
    <w:rsid w:val="004D2FA6"/>
    <w:rsid w:val="004D48E8"/>
    <w:rsid w:val="004D4ABF"/>
    <w:rsid w:val="004E4140"/>
    <w:rsid w:val="004E4B0C"/>
    <w:rsid w:val="004F1F50"/>
    <w:rsid w:val="005015FC"/>
    <w:rsid w:val="00501C8B"/>
    <w:rsid w:val="00504F44"/>
    <w:rsid w:val="00514E30"/>
    <w:rsid w:val="005214BF"/>
    <w:rsid w:val="00524EBB"/>
    <w:rsid w:val="005253CF"/>
    <w:rsid w:val="00527AAA"/>
    <w:rsid w:val="00537406"/>
    <w:rsid w:val="0053751C"/>
    <w:rsid w:val="0054569D"/>
    <w:rsid w:val="00560056"/>
    <w:rsid w:val="00570CE1"/>
    <w:rsid w:val="00573891"/>
    <w:rsid w:val="00590EF7"/>
    <w:rsid w:val="005B1DC3"/>
    <w:rsid w:val="005B55D7"/>
    <w:rsid w:val="005B7AE2"/>
    <w:rsid w:val="005C2F98"/>
    <w:rsid w:val="005C405F"/>
    <w:rsid w:val="005C7A7D"/>
    <w:rsid w:val="005D21B7"/>
    <w:rsid w:val="005D5F79"/>
    <w:rsid w:val="005D70D8"/>
    <w:rsid w:val="005E3BFF"/>
    <w:rsid w:val="005E521C"/>
    <w:rsid w:val="005F09D0"/>
    <w:rsid w:val="005F393A"/>
    <w:rsid w:val="006004DD"/>
    <w:rsid w:val="00600D59"/>
    <w:rsid w:val="006101B9"/>
    <w:rsid w:val="00613EDB"/>
    <w:rsid w:val="0061413C"/>
    <w:rsid w:val="0062491A"/>
    <w:rsid w:val="00625CAF"/>
    <w:rsid w:val="00633336"/>
    <w:rsid w:val="00633491"/>
    <w:rsid w:val="006351CA"/>
    <w:rsid w:val="00640E6F"/>
    <w:rsid w:val="00646919"/>
    <w:rsid w:val="00653492"/>
    <w:rsid w:val="006537ED"/>
    <w:rsid w:val="00656D6D"/>
    <w:rsid w:val="0067052D"/>
    <w:rsid w:val="0067389B"/>
    <w:rsid w:val="00673F3D"/>
    <w:rsid w:val="00686071"/>
    <w:rsid w:val="00694518"/>
    <w:rsid w:val="006A33AE"/>
    <w:rsid w:val="006A4DD3"/>
    <w:rsid w:val="006A504A"/>
    <w:rsid w:val="006A54F1"/>
    <w:rsid w:val="006A6D6E"/>
    <w:rsid w:val="006B178C"/>
    <w:rsid w:val="006C0869"/>
    <w:rsid w:val="006D230E"/>
    <w:rsid w:val="006D4122"/>
    <w:rsid w:val="006F04FB"/>
    <w:rsid w:val="006F082D"/>
    <w:rsid w:val="006F4E29"/>
    <w:rsid w:val="006F5C2A"/>
    <w:rsid w:val="006F6A36"/>
    <w:rsid w:val="00700E5B"/>
    <w:rsid w:val="00701D9B"/>
    <w:rsid w:val="0070293C"/>
    <w:rsid w:val="00706D7E"/>
    <w:rsid w:val="007101C0"/>
    <w:rsid w:val="00735FAF"/>
    <w:rsid w:val="00736ACD"/>
    <w:rsid w:val="0075194C"/>
    <w:rsid w:val="00763143"/>
    <w:rsid w:val="007644B0"/>
    <w:rsid w:val="00764F05"/>
    <w:rsid w:val="00767885"/>
    <w:rsid w:val="00770520"/>
    <w:rsid w:val="00772954"/>
    <w:rsid w:val="00780D4E"/>
    <w:rsid w:val="00781C94"/>
    <w:rsid w:val="007858BA"/>
    <w:rsid w:val="00787170"/>
    <w:rsid w:val="00791D07"/>
    <w:rsid w:val="007948F5"/>
    <w:rsid w:val="00796F9A"/>
    <w:rsid w:val="00797B7E"/>
    <w:rsid w:val="007A15C3"/>
    <w:rsid w:val="007A52A7"/>
    <w:rsid w:val="007A755E"/>
    <w:rsid w:val="007B031F"/>
    <w:rsid w:val="007B1CA0"/>
    <w:rsid w:val="007B77BA"/>
    <w:rsid w:val="007D6F8F"/>
    <w:rsid w:val="007E254C"/>
    <w:rsid w:val="007F0C9A"/>
    <w:rsid w:val="007F14A4"/>
    <w:rsid w:val="007F6877"/>
    <w:rsid w:val="0080011C"/>
    <w:rsid w:val="008021B5"/>
    <w:rsid w:val="00805846"/>
    <w:rsid w:val="0081028F"/>
    <w:rsid w:val="00821718"/>
    <w:rsid w:val="008249E0"/>
    <w:rsid w:val="00824D0A"/>
    <w:rsid w:val="00827ACC"/>
    <w:rsid w:val="00827F46"/>
    <w:rsid w:val="008369E6"/>
    <w:rsid w:val="00843566"/>
    <w:rsid w:val="00857709"/>
    <w:rsid w:val="00857B88"/>
    <w:rsid w:val="00865847"/>
    <w:rsid w:val="00866BDA"/>
    <w:rsid w:val="0086770B"/>
    <w:rsid w:val="00874C85"/>
    <w:rsid w:val="00875D51"/>
    <w:rsid w:val="00877F1B"/>
    <w:rsid w:val="008800A3"/>
    <w:rsid w:val="008927F9"/>
    <w:rsid w:val="0089584E"/>
    <w:rsid w:val="008A0C43"/>
    <w:rsid w:val="008A416D"/>
    <w:rsid w:val="008A53DD"/>
    <w:rsid w:val="008B184E"/>
    <w:rsid w:val="008B28C9"/>
    <w:rsid w:val="008B3BA2"/>
    <w:rsid w:val="008C02ED"/>
    <w:rsid w:val="008C354F"/>
    <w:rsid w:val="008C3CD8"/>
    <w:rsid w:val="008C4F4F"/>
    <w:rsid w:val="008D2027"/>
    <w:rsid w:val="008D76F9"/>
    <w:rsid w:val="008D7C45"/>
    <w:rsid w:val="008E3DC3"/>
    <w:rsid w:val="008F04AF"/>
    <w:rsid w:val="008F23A9"/>
    <w:rsid w:val="008F3021"/>
    <w:rsid w:val="008F6F76"/>
    <w:rsid w:val="00905884"/>
    <w:rsid w:val="00911B9D"/>
    <w:rsid w:val="00915862"/>
    <w:rsid w:val="0092456D"/>
    <w:rsid w:val="009269A2"/>
    <w:rsid w:val="0094232A"/>
    <w:rsid w:val="0094463B"/>
    <w:rsid w:val="00955B05"/>
    <w:rsid w:val="00961743"/>
    <w:rsid w:val="00961FE8"/>
    <w:rsid w:val="009629A5"/>
    <w:rsid w:val="009705E7"/>
    <w:rsid w:val="00977B14"/>
    <w:rsid w:val="00980223"/>
    <w:rsid w:val="009812F2"/>
    <w:rsid w:val="00983B1A"/>
    <w:rsid w:val="00987F78"/>
    <w:rsid w:val="009A60BF"/>
    <w:rsid w:val="009A6810"/>
    <w:rsid w:val="009B273A"/>
    <w:rsid w:val="009B29D8"/>
    <w:rsid w:val="009B6F5C"/>
    <w:rsid w:val="009C01E4"/>
    <w:rsid w:val="009C6679"/>
    <w:rsid w:val="009D224F"/>
    <w:rsid w:val="009D435F"/>
    <w:rsid w:val="009D4DC8"/>
    <w:rsid w:val="009D5110"/>
    <w:rsid w:val="009F1156"/>
    <w:rsid w:val="009F1C85"/>
    <w:rsid w:val="00A04699"/>
    <w:rsid w:val="00A13BCC"/>
    <w:rsid w:val="00A22869"/>
    <w:rsid w:val="00A36333"/>
    <w:rsid w:val="00A46F93"/>
    <w:rsid w:val="00A51E09"/>
    <w:rsid w:val="00A5321D"/>
    <w:rsid w:val="00A6361A"/>
    <w:rsid w:val="00A66505"/>
    <w:rsid w:val="00A86DD9"/>
    <w:rsid w:val="00A91464"/>
    <w:rsid w:val="00AA52D6"/>
    <w:rsid w:val="00AA5D9F"/>
    <w:rsid w:val="00AB0039"/>
    <w:rsid w:val="00AB0978"/>
    <w:rsid w:val="00AD2D9D"/>
    <w:rsid w:val="00AE50A1"/>
    <w:rsid w:val="00AE67EE"/>
    <w:rsid w:val="00AF39FF"/>
    <w:rsid w:val="00AF77B9"/>
    <w:rsid w:val="00B01600"/>
    <w:rsid w:val="00B07070"/>
    <w:rsid w:val="00B07C2D"/>
    <w:rsid w:val="00B1381C"/>
    <w:rsid w:val="00B139A0"/>
    <w:rsid w:val="00B20C37"/>
    <w:rsid w:val="00B37F88"/>
    <w:rsid w:val="00B57293"/>
    <w:rsid w:val="00B60988"/>
    <w:rsid w:val="00B67858"/>
    <w:rsid w:val="00B71F2B"/>
    <w:rsid w:val="00B81068"/>
    <w:rsid w:val="00B82384"/>
    <w:rsid w:val="00B83D91"/>
    <w:rsid w:val="00B85987"/>
    <w:rsid w:val="00B93F2F"/>
    <w:rsid w:val="00BA7397"/>
    <w:rsid w:val="00BB7373"/>
    <w:rsid w:val="00BC1FFA"/>
    <w:rsid w:val="00BD2B79"/>
    <w:rsid w:val="00BD337D"/>
    <w:rsid w:val="00BD6C12"/>
    <w:rsid w:val="00BE350F"/>
    <w:rsid w:val="00BE54ED"/>
    <w:rsid w:val="00BE5EF8"/>
    <w:rsid w:val="00BE6A50"/>
    <w:rsid w:val="00BF1F9B"/>
    <w:rsid w:val="00BF6EE2"/>
    <w:rsid w:val="00C156AE"/>
    <w:rsid w:val="00C326CC"/>
    <w:rsid w:val="00C35DBD"/>
    <w:rsid w:val="00C36B5B"/>
    <w:rsid w:val="00C430F4"/>
    <w:rsid w:val="00C43477"/>
    <w:rsid w:val="00C5524B"/>
    <w:rsid w:val="00C70F78"/>
    <w:rsid w:val="00C85EF2"/>
    <w:rsid w:val="00C87DCE"/>
    <w:rsid w:val="00C90C21"/>
    <w:rsid w:val="00C9302B"/>
    <w:rsid w:val="00C96E99"/>
    <w:rsid w:val="00CA452D"/>
    <w:rsid w:val="00CB0AA0"/>
    <w:rsid w:val="00CC1E82"/>
    <w:rsid w:val="00CC303C"/>
    <w:rsid w:val="00CD1E52"/>
    <w:rsid w:val="00CD1EEE"/>
    <w:rsid w:val="00CD2D96"/>
    <w:rsid w:val="00CE1CCC"/>
    <w:rsid w:val="00CE45D2"/>
    <w:rsid w:val="00CF1D33"/>
    <w:rsid w:val="00CF3F01"/>
    <w:rsid w:val="00D0055B"/>
    <w:rsid w:val="00D0409B"/>
    <w:rsid w:val="00D06C8E"/>
    <w:rsid w:val="00D15C72"/>
    <w:rsid w:val="00D1656D"/>
    <w:rsid w:val="00D21DD3"/>
    <w:rsid w:val="00D24CAD"/>
    <w:rsid w:val="00D25D15"/>
    <w:rsid w:val="00D27793"/>
    <w:rsid w:val="00D335D3"/>
    <w:rsid w:val="00D35986"/>
    <w:rsid w:val="00D50917"/>
    <w:rsid w:val="00D51632"/>
    <w:rsid w:val="00D518B6"/>
    <w:rsid w:val="00D55580"/>
    <w:rsid w:val="00D55885"/>
    <w:rsid w:val="00D6318C"/>
    <w:rsid w:val="00D659E4"/>
    <w:rsid w:val="00D70864"/>
    <w:rsid w:val="00D7124F"/>
    <w:rsid w:val="00D750BD"/>
    <w:rsid w:val="00D760A3"/>
    <w:rsid w:val="00D77170"/>
    <w:rsid w:val="00D80A3A"/>
    <w:rsid w:val="00D80B44"/>
    <w:rsid w:val="00D822C7"/>
    <w:rsid w:val="00D851D5"/>
    <w:rsid w:val="00D92F57"/>
    <w:rsid w:val="00D9470E"/>
    <w:rsid w:val="00D9647D"/>
    <w:rsid w:val="00DA3417"/>
    <w:rsid w:val="00DA38D2"/>
    <w:rsid w:val="00DA4E1C"/>
    <w:rsid w:val="00DA76F7"/>
    <w:rsid w:val="00DB07F3"/>
    <w:rsid w:val="00DB0828"/>
    <w:rsid w:val="00DC0661"/>
    <w:rsid w:val="00DC6539"/>
    <w:rsid w:val="00DE03C5"/>
    <w:rsid w:val="00DE05AB"/>
    <w:rsid w:val="00DE46A6"/>
    <w:rsid w:val="00DE6EBD"/>
    <w:rsid w:val="00DF3479"/>
    <w:rsid w:val="00DF6188"/>
    <w:rsid w:val="00DF7531"/>
    <w:rsid w:val="00DF7B7C"/>
    <w:rsid w:val="00E02623"/>
    <w:rsid w:val="00E0285A"/>
    <w:rsid w:val="00E103E9"/>
    <w:rsid w:val="00E10F63"/>
    <w:rsid w:val="00E1658D"/>
    <w:rsid w:val="00E23644"/>
    <w:rsid w:val="00E24ABA"/>
    <w:rsid w:val="00E27B63"/>
    <w:rsid w:val="00E3174C"/>
    <w:rsid w:val="00E42B57"/>
    <w:rsid w:val="00E43FE1"/>
    <w:rsid w:val="00E458D8"/>
    <w:rsid w:val="00E5059A"/>
    <w:rsid w:val="00E52568"/>
    <w:rsid w:val="00E53375"/>
    <w:rsid w:val="00E56C77"/>
    <w:rsid w:val="00E6002F"/>
    <w:rsid w:val="00E656CD"/>
    <w:rsid w:val="00E7706B"/>
    <w:rsid w:val="00E81605"/>
    <w:rsid w:val="00E90F15"/>
    <w:rsid w:val="00EA3983"/>
    <w:rsid w:val="00EA3C02"/>
    <w:rsid w:val="00EA6780"/>
    <w:rsid w:val="00EB3D7A"/>
    <w:rsid w:val="00EB6881"/>
    <w:rsid w:val="00EE1211"/>
    <w:rsid w:val="00EE3BE8"/>
    <w:rsid w:val="00EF6351"/>
    <w:rsid w:val="00EF7950"/>
    <w:rsid w:val="00F063E6"/>
    <w:rsid w:val="00F11B66"/>
    <w:rsid w:val="00F14E59"/>
    <w:rsid w:val="00F155BA"/>
    <w:rsid w:val="00F23A65"/>
    <w:rsid w:val="00F40AD3"/>
    <w:rsid w:val="00F42C1B"/>
    <w:rsid w:val="00F52F54"/>
    <w:rsid w:val="00F53B0B"/>
    <w:rsid w:val="00F67C14"/>
    <w:rsid w:val="00F71988"/>
    <w:rsid w:val="00F72EC6"/>
    <w:rsid w:val="00F74A57"/>
    <w:rsid w:val="00F77F6C"/>
    <w:rsid w:val="00F80E0A"/>
    <w:rsid w:val="00FA065E"/>
    <w:rsid w:val="00FA12DC"/>
    <w:rsid w:val="00FA1BEF"/>
    <w:rsid w:val="00FA2494"/>
    <w:rsid w:val="00FA7578"/>
    <w:rsid w:val="00FB58E7"/>
    <w:rsid w:val="00FC4775"/>
    <w:rsid w:val="00FC53E0"/>
    <w:rsid w:val="00FC5DAB"/>
    <w:rsid w:val="00FC77F2"/>
    <w:rsid w:val="00FD7035"/>
    <w:rsid w:val="00FD7633"/>
    <w:rsid w:val="00FE730F"/>
    <w:rsid w:val="00FF4D56"/>
    <w:rsid w:val="00FF56BA"/>
    <w:rsid w:val="010A4CEA"/>
    <w:rsid w:val="01205D5C"/>
    <w:rsid w:val="01261D99"/>
    <w:rsid w:val="012A0129"/>
    <w:rsid w:val="012A0989"/>
    <w:rsid w:val="01333763"/>
    <w:rsid w:val="01360FCA"/>
    <w:rsid w:val="013712F7"/>
    <w:rsid w:val="01374E54"/>
    <w:rsid w:val="013A46BA"/>
    <w:rsid w:val="0140603B"/>
    <w:rsid w:val="014412C0"/>
    <w:rsid w:val="0159623B"/>
    <w:rsid w:val="015F73BE"/>
    <w:rsid w:val="01630C1E"/>
    <w:rsid w:val="01826A17"/>
    <w:rsid w:val="01893028"/>
    <w:rsid w:val="018A4C67"/>
    <w:rsid w:val="01910A08"/>
    <w:rsid w:val="01914043"/>
    <w:rsid w:val="019E6B47"/>
    <w:rsid w:val="01A11B1B"/>
    <w:rsid w:val="01C519BF"/>
    <w:rsid w:val="01C9374D"/>
    <w:rsid w:val="01D24695"/>
    <w:rsid w:val="01E21263"/>
    <w:rsid w:val="01EB4E2A"/>
    <w:rsid w:val="01EE2079"/>
    <w:rsid w:val="01EE7C08"/>
    <w:rsid w:val="01FC5D16"/>
    <w:rsid w:val="0200793B"/>
    <w:rsid w:val="020737ED"/>
    <w:rsid w:val="02076F1C"/>
    <w:rsid w:val="02091835"/>
    <w:rsid w:val="020C7114"/>
    <w:rsid w:val="02136A64"/>
    <w:rsid w:val="021F2C42"/>
    <w:rsid w:val="022223EC"/>
    <w:rsid w:val="02322AEA"/>
    <w:rsid w:val="0240282F"/>
    <w:rsid w:val="024C46E5"/>
    <w:rsid w:val="024F7D4B"/>
    <w:rsid w:val="02532161"/>
    <w:rsid w:val="02656B1E"/>
    <w:rsid w:val="026C4FD1"/>
    <w:rsid w:val="0270686F"/>
    <w:rsid w:val="02724931"/>
    <w:rsid w:val="027645DC"/>
    <w:rsid w:val="02787C59"/>
    <w:rsid w:val="027A1CD8"/>
    <w:rsid w:val="027B5AD0"/>
    <w:rsid w:val="027C2E6E"/>
    <w:rsid w:val="027D28DC"/>
    <w:rsid w:val="02831013"/>
    <w:rsid w:val="029342B6"/>
    <w:rsid w:val="02AA3521"/>
    <w:rsid w:val="02CE1353"/>
    <w:rsid w:val="02E40163"/>
    <w:rsid w:val="02E55A98"/>
    <w:rsid w:val="02E60C51"/>
    <w:rsid w:val="02FE20CD"/>
    <w:rsid w:val="0302732A"/>
    <w:rsid w:val="03084CF6"/>
    <w:rsid w:val="030F6FC4"/>
    <w:rsid w:val="032C4E8C"/>
    <w:rsid w:val="03304250"/>
    <w:rsid w:val="03315F03"/>
    <w:rsid w:val="034A5312"/>
    <w:rsid w:val="035050C0"/>
    <w:rsid w:val="03595555"/>
    <w:rsid w:val="035E2B6B"/>
    <w:rsid w:val="036C0052"/>
    <w:rsid w:val="036F7586"/>
    <w:rsid w:val="038500F8"/>
    <w:rsid w:val="03993BA4"/>
    <w:rsid w:val="03A56B04"/>
    <w:rsid w:val="03A819CD"/>
    <w:rsid w:val="03AA4375"/>
    <w:rsid w:val="03AD2F5D"/>
    <w:rsid w:val="03B22EB7"/>
    <w:rsid w:val="03B31109"/>
    <w:rsid w:val="03B352A2"/>
    <w:rsid w:val="03C2134C"/>
    <w:rsid w:val="03C361D8"/>
    <w:rsid w:val="03C36975"/>
    <w:rsid w:val="03D12E47"/>
    <w:rsid w:val="03D14E56"/>
    <w:rsid w:val="03D53ABC"/>
    <w:rsid w:val="03F92894"/>
    <w:rsid w:val="03FE7538"/>
    <w:rsid w:val="04021749"/>
    <w:rsid w:val="0414681C"/>
    <w:rsid w:val="04267C75"/>
    <w:rsid w:val="042814B7"/>
    <w:rsid w:val="042C4DB0"/>
    <w:rsid w:val="04312E35"/>
    <w:rsid w:val="043D09D3"/>
    <w:rsid w:val="04476D68"/>
    <w:rsid w:val="04496B84"/>
    <w:rsid w:val="04551485"/>
    <w:rsid w:val="045D1075"/>
    <w:rsid w:val="045D28BA"/>
    <w:rsid w:val="046467B8"/>
    <w:rsid w:val="046C77C1"/>
    <w:rsid w:val="04745EB4"/>
    <w:rsid w:val="04765BD0"/>
    <w:rsid w:val="047B0B81"/>
    <w:rsid w:val="04844B94"/>
    <w:rsid w:val="049D76C3"/>
    <w:rsid w:val="04AB734C"/>
    <w:rsid w:val="04B3795C"/>
    <w:rsid w:val="04B62533"/>
    <w:rsid w:val="04CD3880"/>
    <w:rsid w:val="04CE3D65"/>
    <w:rsid w:val="04D629EB"/>
    <w:rsid w:val="04DD49FA"/>
    <w:rsid w:val="04E13A54"/>
    <w:rsid w:val="04FA4D03"/>
    <w:rsid w:val="04FD2993"/>
    <w:rsid w:val="0507603A"/>
    <w:rsid w:val="050D488F"/>
    <w:rsid w:val="05116285"/>
    <w:rsid w:val="05176CE2"/>
    <w:rsid w:val="051E5640"/>
    <w:rsid w:val="051F4320"/>
    <w:rsid w:val="05215158"/>
    <w:rsid w:val="053846EF"/>
    <w:rsid w:val="05397887"/>
    <w:rsid w:val="053F3069"/>
    <w:rsid w:val="054012A6"/>
    <w:rsid w:val="05570E76"/>
    <w:rsid w:val="057D704F"/>
    <w:rsid w:val="057E4196"/>
    <w:rsid w:val="058558ED"/>
    <w:rsid w:val="058568CD"/>
    <w:rsid w:val="05905BA6"/>
    <w:rsid w:val="059A6126"/>
    <w:rsid w:val="05A76A4C"/>
    <w:rsid w:val="05BC2F2E"/>
    <w:rsid w:val="05BD613B"/>
    <w:rsid w:val="05C860E0"/>
    <w:rsid w:val="05CC0B4A"/>
    <w:rsid w:val="05CD3FD8"/>
    <w:rsid w:val="05CE71E0"/>
    <w:rsid w:val="05D46B68"/>
    <w:rsid w:val="05D76566"/>
    <w:rsid w:val="05D93BFF"/>
    <w:rsid w:val="05EC0902"/>
    <w:rsid w:val="06037B6F"/>
    <w:rsid w:val="06101E8D"/>
    <w:rsid w:val="061E1583"/>
    <w:rsid w:val="0623204B"/>
    <w:rsid w:val="06301362"/>
    <w:rsid w:val="0636392C"/>
    <w:rsid w:val="063907D1"/>
    <w:rsid w:val="06414FAB"/>
    <w:rsid w:val="064B266E"/>
    <w:rsid w:val="064E551D"/>
    <w:rsid w:val="0655367E"/>
    <w:rsid w:val="066974AF"/>
    <w:rsid w:val="06764ACA"/>
    <w:rsid w:val="06916CB7"/>
    <w:rsid w:val="0697630C"/>
    <w:rsid w:val="06A1035C"/>
    <w:rsid w:val="06A23DAF"/>
    <w:rsid w:val="06AB60C8"/>
    <w:rsid w:val="06BE3158"/>
    <w:rsid w:val="06C25E34"/>
    <w:rsid w:val="06D2111D"/>
    <w:rsid w:val="06DB73D4"/>
    <w:rsid w:val="06E13F1E"/>
    <w:rsid w:val="06FF7277"/>
    <w:rsid w:val="07127994"/>
    <w:rsid w:val="071D1E67"/>
    <w:rsid w:val="072145DC"/>
    <w:rsid w:val="072215C3"/>
    <w:rsid w:val="072440CC"/>
    <w:rsid w:val="07287718"/>
    <w:rsid w:val="073A0E25"/>
    <w:rsid w:val="073A1D45"/>
    <w:rsid w:val="07414C7E"/>
    <w:rsid w:val="075D7355"/>
    <w:rsid w:val="075E75DE"/>
    <w:rsid w:val="075F0054"/>
    <w:rsid w:val="07616D28"/>
    <w:rsid w:val="07657B01"/>
    <w:rsid w:val="07660D9E"/>
    <w:rsid w:val="076A43DA"/>
    <w:rsid w:val="076B1CFB"/>
    <w:rsid w:val="07756093"/>
    <w:rsid w:val="077A3CEC"/>
    <w:rsid w:val="07827D63"/>
    <w:rsid w:val="07926CB5"/>
    <w:rsid w:val="07A75E4F"/>
    <w:rsid w:val="07AC21C8"/>
    <w:rsid w:val="07B5353D"/>
    <w:rsid w:val="07B802F1"/>
    <w:rsid w:val="07BD6523"/>
    <w:rsid w:val="07CC2583"/>
    <w:rsid w:val="07E06D79"/>
    <w:rsid w:val="07F8392C"/>
    <w:rsid w:val="07F938F6"/>
    <w:rsid w:val="080F08D8"/>
    <w:rsid w:val="081049D0"/>
    <w:rsid w:val="081141FE"/>
    <w:rsid w:val="081E54CE"/>
    <w:rsid w:val="082A40E5"/>
    <w:rsid w:val="085023B6"/>
    <w:rsid w:val="08536A17"/>
    <w:rsid w:val="085841B6"/>
    <w:rsid w:val="085957FA"/>
    <w:rsid w:val="085A01A7"/>
    <w:rsid w:val="085A54CE"/>
    <w:rsid w:val="085E5577"/>
    <w:rsid w:val="085E58A3"/>
    <w:rsid w:val="0865260B"/>
    <w:rsid w:val="087D7F38"/>
    <w:rsid w:val="087E624B"/>
    <w:rsid w:val="087F73B5"/>
    <w:rsid w:val="08857E31"/>
    <w:rsid w:val="089B03BE"/>
    <w:rsid w:val="089B4D1F"/>
    <w:rsid w:val="08BC0A60"/>
    <w:rsid w:val="08CC67C9"/>
    <w:rsid w:val="08D514FD"/>
    <w:rsid w:val="08D5567E"/>
    <w:rsid w:val="08F04F8E"/>
    <w:rsid w:val="08F658BB"/>
    <w:rsid w:val="08F84448"/>
    <w:rsid w:val="09012917"/>
    <w:rsid w:val="090541B4"/>
    <w:rsid w:val="091139F4"/>
    <w:rsid w:val="091C2641"/>
    <w:rsid w:val="091F17B3"/>
    <w:rsid w:val="0921683E"/>
    <w:rsid w:val="09241151"/>
    <w:rsid w:val="093F4CCA"/>
    <w:rsid w:val="094038F1"/>
    <w:rsid w:val="094621A8"/>
    <w:rsid w:val="095A5AAA"/>
    <w:rsid w:val="095B5350"/>
    <w:rsid w:val="096705CE"/>
    <w:rsid w:val="096C318B"/>
    <w:rsid w:val="09795742"/>
    <w:rsid w:val="097E79CF"/>
    <w:rsid w:val="097F1A8E"/>
    <w:rsid w:val="097F445F"/>
    <w:rsid w:val="09801C20"/>
    <w:rsid w:val="098B0432"/>
    <w:rsid w:val="099150CB"/>
    <w:rsid w:val="09970E9E"/>
    <w:rsid w:val="09976C6E"/>
    <w:rsid w:val="09997385"/>
    <w:rsid w:val="09A45CA6"/>
    <w:rsid w:val="09A6228C"/>
    <w:rsid w:val="09B0607B"/>
    <w:rsid w:val="09B32B98"/>
    <w:rsid w:val="09B90AFC"/>
    <w:rsid w:val="09DC307E"/>
    <w:rsid w:val="09F53FD9"/>
    <w:rsid w:val="09FC6D80"/>
    <w:rsid w:val="0A0E6BDD"/>
    <w:rsid w:val="0A0F2E11"/>
    <w:rsid w:val="0A125DE1"/>
    <w:rsid w:val="0A127DF5"/>
    <w:rsid w:val="0A1501C7"/>
    <w:rsid w:val="0A222B45"/>
    <w:rsid w:val="0A3102A2"/>
    <w:rsid w:val="0A3679FF"/>
    <w:rsid w:val="0A4D7496"/>
    <w:rsid w:val="0A7333A0"/>
    <w:rsid w:val="0A8511F3"/>
    <w:rsid w:val="0A8A21E9"/>
    <w:rsid w:val="0A8C4857"/>
    <w:rsid w:val="0A9D1C9F"/>
    <w:rsid w:val="0AA277E2"/>
    <w:rsid w:val="0AA51BFC"/>
    <w:rsid w:val="0AAB7716"/>
    <w:rsid w:val="0AB10575"/>
    <w:rsid w:val="0ACC3009"/>
    <w:rsid w:val="0ACE05F3"/>
    <w:rsid w:val="0ACF3618"/>
    <w:rsid w:val="0AD130F3"/>
    <w:rsid w:val="0AD330AB"/>
    <w:rsid w:val="0AE86E1D"/>
    <w:rsid w:val="0AF049F1"/>
    <w:rsid w:val="0AF07ACD"/>
    <w:rsid w:val="0AFC38CC"/>
    <w:rsid w:val="0B0C55A3"/>
    <w:rsid w:val="0B152302"/>
    <w:rsid w:val="0B2C354F"/>
    <w:rsid w:val="0B2E1F77"/>
    <w:rsid w:val="0B2F28BF"/>
    <w:rsid w:val="0B2F4B72"/>
    <w:rsid w:val="0B3100D8"/>
    <w:rsid w:val="0B3861B5"/>
    <w:rsid w:val="0B3F582F"/>
    <w:rsid w:val="0B4B540D"/>
    <w:rsid w:val="0B5254C4"/>
    <w:rsid w:val="0B5F41C0"/>
    <w:rsid w:val="0B6D2D8A"/>
    <w:rsid w:val="0B7451BB"/>
    <w:rsid w:val="0B792C38"/>
    <w:rsid w:val="0B7B52AF"/>
    <w:rsid w:val="0B806C75"/>
    <w:rsid w:val="0B842769"/>
    <w:rsid w:val="0BBF2615"/>
    <w:rsid w:val="0BBF6171"/>
    <w:rsid w:val="0BC807CF"/>
    <w:rsid w:val="0BC83278"/>
    <w:rsid w:val="0BEE406C"/>
    <w:rsid w:val="0BF02939"/>
    <w:rsid w:val="0C060B74"/>
    <w:rsid w:val="0C1C7EE8"/>
    <w:rsid w:val="0C1D1425"/>
    <w:rsid w:val="0C1E733C"/>
    <w:rsid w:val="0C204532"/>
    <w:rsid w:val="0C283235"/>
    <w:rsid w:val="0C2D757F"/>
    <w:rsid w:val="0C324B95"/>
    <w:rsid w:val="0C3C77C2"/>
    <w:rsid w:val="0C460F16"/>
    <w:rsid w:val="0C547201"/>
    <w:rsid w:val="0C647739"/>
    <w:rsid w:val="0C71565E"/>
    <w:rsid w:val="0C746A9C"/>
    <w:rsid w:val="0C83675F"/>
    <w:rsid w:val="0C8914A8"/>
    <w:rsid w:val="0C963376"/>
    <w:rsid w:val="0C9B5968"/>
    <w:rsid w:val="0C9C1180"/>
    <w:rsid w:val="0CC2594A"/>
    <w:rsid w:val="0CC50D4E"/>
    <w:rsid w:val="0CCA3020"/>
    <w:rsid w:val="0CE45F4D"/>
    <w:rsid w:val="0CE934B0"/>
    <w:rsid w:val="0CEC743A"/>
    <w:rsid w:val="0CF4551D"/>
    <w:rsid w:val="0CF54541"/>
    <w:rsid w:val="0CF602B9"/>
    <w:rsid w:val="0CF74EA7"/>
    <w:rsid w:val="0CFA2E7C"/>
    <w:rsid w:val="0CFD1A4C"/>
    <w:rsid w:val="0D004C93"/>
    <w:rsid w:val="0D152C18"/>
    <w:rsid w:val="0D1E628F"/>
    <w:rsid w:val="0D30496F"/>
    <w:rsid w:val="0D313943"/>
    <w:rsid w:val="0D37540A"/>
    <w:rsid w:val="0D3F3A0E"/>
    <w:rsid w:val="0D495ABF"/>
    <w:rsid w:val="0D505C42"/>
    <w:rsid w:val="0D7B15F4"/>
    <w:rsid w:val="0D8633EB"/>
    <w:rsid w:val="0D90198C"/>
    <w:rsid w:val="0D9458D3"/>
    <w:rsid w:val="0D9939C3"/>
    <w:rsid w:val="0DB066B9"/>
    <w:rsid w:val="0DBB715C"/>
    <w:rsid w:val="0DBC6E0C"/>
    <w:rsid w:val="0DBD4F00"/>
    <w:rsid w:val="0DBF6DF3"/>
    <w:rsid w:val="0DC65EDD"/>
    <w:rsid w:val="0DD46BC8"/>
    <w:rsid w:val="0DD547C8"/>
    <w:rsid w:val="0DD67424"/>
    <w:rsid w:val="0DE9351E"/>
    <w:rsid w:val="0DF26CD2"/>
    <w:rsid w:val="0DFD0AA0"/>
    <w:rsid w:val="0E0027BD"/>
    <w:rsid w:val="0E007E64"/>
    <w:rsid w:val="0E1115DE"/>
    <w:rsid w:val="0E26538A"/>
    <w:rsid w:val="0E2F202D"/>
    <w:rsid w:val="0E520922"/>
    <w:rsid w:val="0E5B1976"/>
    <w:rsid w:val="0E5F4743"/>
    <w:rsid w:val="0E666D78"/>
    <w:rsid w:val="0E764431"/>
    <w:rsid w:val="0E8536A2"/>
    <w:rsid w:val="0E8611C8"/>
    <w:rsid w:val="0E926D69"/>
    <w:rsid w:val="0E997EEE"/>
    <w:rsid w:val="0EA004DC"/>
    <w:rsid w:val="0EAC3AE4"/>
    <w:rsid w:val="0EAE63A6"/>
    <w:rsid w:val="0EAF247D"/>
    <w:rsid w:val="0EB977F0"/>
    <w:rsid w:val="0EBC203F"/>
    <w:rsid w:val="0EC248F6"/>
    <w:rsid w:val="0EE02022"/>
    <w:rsid w:val="0EE24C38"/>
    <w:rsid w:val="0EE25ACB"/>
    <w:rsid w:val="0EFC6C0E"/>
    <w:rsid w:val="0F026AA1"/>
    <w:rsid w:val="0F0B5F51"/>
    <w:rsid w:val="0F1C42AF"/>
    <w:rsid w:val="0F2E3D3A"/>
    <w:rsid w:val="0F2F5F1E"/>
    <w:rsid w:val="0F315271"/>
    <w:rsid w:val="0F44355D"/>
    <w:rsid w:val="0F497914"/>
    <w:rsid w:val="0F5817E0"/>
    <w:rsid w:val="0F5D73D7"/>
    <w:rsid w:val="0F681386"/>
    <w:rsid w:val="0F881738"/>
    <w:rsid w:val="0F92724B"/>
    <w:rsid w:val="0F9525AD"/>
    <w:rsid w:val="0F98053D"/>
    <w:rsid w:val="0FA40A51"/>
    <w:rsid w:val="0FA54B0F"/>
    <w:rsid w:val="0FA64541"/>
    <w:rsid w:val="0FAC28D6"/>
    <w:rsid w:val="0FC41FA8"/>
    <w:rsid w:val="0FD03C22"/>
    <w:rsid w:val="0FDA791B"/>
    <w:rsid w:val="0FDA7A1E"/>
    <w:rsid w:val="0FDC0E30"/>
    <w:rsid w:val="0FDF3286"/>
    <w:rsid w:val="0FE61ADE"/>
    <w:rsid w:val="0FF4042D"/>
    <w:rsid w:val="0FF860F6"/>
    <w:rsid w:val="10082A72"/>
    <w:rsid w:val="100D2E5B"/>
    <w:rsid w:val="1010343F"/>
    <w:rsid w:val="101C0036"/>
    <w:rsid w:val="103658F2"/>
    <w:rsid w:val="103833BC"/>
    <w:rsid w:val="1047519F"/>
    <w:rsid w:val="10521CAA"/>
    <w:rsid w:val="106041E6"/>
    <w:rsid w:val="10694F61"/>
    <w:rsid w:val="107570B5"/>
    <w:rsid w:val="10870625"/>
    <w:rsid w:val="109C43D9"/>
    <w:rsid w:val="10A13547"/>
    <w:rsid w:val="10A531C9"/>
    <w:rsid w:val="10AF3C52"/>
    <w:rsid w:val="10B759F8"/>
    <w:rsid w:val="10CA30B4"/>
    <w:rsid w:val="10CA5A2E"/>
    <w:rsid w:val="10DA55FF"/>
    <w:rsid w:val="10EC47E6"/>
    <w:rsid w:val="10F1314C"/>
    <w:rsid w:val="10F6576D"/>
    <w:rsid w:val="10F77E9E"/>
    <w:rsid w:val="11035B78"/>
    <w:rsid w:val="110452F3"/>
    <w:rsid w:val="11066507"/>
    <w:rsid w:val="11191DC4"/>
    <w:rsid w:val="111A63DB"/>
    <w:rsid w:val="111C4E94"/>
    <w:rsid w:val="111F7DDE"/>
    <w:rsid w:val="11277DDA"/>
    <w:rsid w:val="113076DC"/>
    <w:rsid w:val="1131364F"/>
    <w:rsid w:val="11373E05"/>
    <w:rsid w:val="11394671"/>
    <w:rsid w:val="11534963"/>
    <w:rsid w:val="115455AE"/>
    <w:rsid w:val="11562718"/>
    <w:rsid w:val="11621BD0"/>
    <w:rsid w:val="116B3CF2"/>
    <w:rsid w:val="116E48C1"/>
    <w:rsid w:val="117D2D56"/>
    <w:rsid w:val="118C666C"/>
    <w:rsid w:val="11A1691D"/>
    <w:rsid w:val="11A26E13"/>
    <w:rsid w:val="11A625CF"/>
    <w:rsid w:val="11A64F2A"/>
    <w:rsid w:val="11AA6D05"/>
    <w:rsid w:val="11AB7ED2"/>
    <w:rsid w:val="11AC0F46"/>
    <w:rsid w:val="11AF62D6"/>
    <w:rsid w:val="11BF2180"/>
    <w:rsid w:val="11CC5591"/>
    <w:rsid w:val="11D04C02"/>
    <w:rsid w:val="11D5188E"/>
    <w:rsid w:val="11EB6A00"/>
    <w:rsid w:val="11FF5982"/>
    <w:rsid w:val="12012060"/>
    <w:rsid w:val="1201571C"/>
    <w:rsid w:val="121615A2"/>
    <w:rsid w:val="12170AB5"/>
    <w:rsid w:val="121931CF"/>
    <w:rsid w:val="121C33CB"/>
    <w:rsid w:val="12210CD0"/>
    <w:rsid w:val="122B4561"/>
    <w:rsid w:val="123D6968"/>
    <w:rsid w:val="123E1520"/>
    <w:rsid w:val="1249415F"/>
    <w:rsid w:val="1252752F"/>
    <w:rsid w:val="12581823"/>
    <w:rsid w:val="12661606"/>
    <w:rsid w:val="12727092"/>
    <w:rsid w:val="127A589D"/>
    <w:rsid w:val="12870785"/>
    <w:rsid w:val="12874123"/>
    <w:rsid w:val="12A6548A"/>
    <w:rsid w:val="12AC14EC"/>
    <w:rsid w:val="12C368B0"/>
    <w:rsid w:val="12C6162C"/>
    <w:rsid w:val="12CA45BF"/>
    <w:rsid w:val="12CF5590"/>
    <w:rsid w:val="12D44BF8"/>
    <w:rsid w:val="12DF0D21"/>
    <w:rsid w:val="130915C1"/>
    <w:rsid w:val="130C322A"/>
    <w:rsid w:val="13135A3A"/>
    <w:rsid w:val="1316330F"/>
    <w:rsid w:val="13180F89"/>
    <w:rsid w:val="1330121D"/>
    <w:rsid w:val="13311D39"/>
    <w:rsid w:val="13367661"/>
    <w:rsid w:val="13394A5B"/>
    <w:rsid w:val="134578A4"/>
    <w:rsid w:val="13482EF0"/>
    <w:rsid w:val="13512B8F"/>
    <w:rsid w:val="135A133C"/>
    <w:rsid w:val="135B70C7"/>
    <w:rsid w:val="135D4C76"/>
    <w:rsid w:val="136750A0"/>
    <w:rsid w:val="13677F46"/>
    <w:rsid w:val="1369752F"/>
    <w:rsid w:val="136E222B"/>
    <w:rsid w:val="136E6A26"/>
    <w:rsid w:val="136F5A0A"/>
    <w:rsid w:val="13710699"/>
    <w:rsid w:val="137147AF"/>
    <w:rsid w:val="137F3C94"/>
    <w:rsid w:val="138A32E7"/>
    <w:rsid w:val="1391476C"/>
    <w:rsid w:val="13914E7E"/>
    <w:rsid w:val="139306C5"/>
    <w:rsid w:val="13B32A60"/>
    <w:rsid w:val="13B808C7"/>
    <w:rsid w:val="13BC05F0"/>
    <w:rsid w:val="13BC6760"/>
    <w:rsid w:val="13C55B06"/>
    <w:rsid w:val="13CD67C8"/>
    <w:rsid w:val="13DE3593"/>
    <w:rsid w:val="13DE4396"/>
    <w:rsid w:val="13E01570"/>
    <w:rsid w:val="13E3623C"/>
    <w:rsid w:val="13E96481"/>
    <w:rsid w:val="13F37775"/>
    <w:rsid w:val="13F8365E"/>
    <w:rsid w:val="13FD1DA8"/>
    <w:rsid w:val="1401634C"/>
    <w:rsid w:val="140164D0"/>
    <w:rsid w:val="14037DFC"/>
    <w:rsid w:val="1407000D"/>
    <w:rsid w:val="140B63F8"/>
    <w:rsid w:val="141D5C26"/>
    <w:rsid w:val="141D7208"/>
    <w:rsid w:val="14333BA0"/>
    <w:rsid w:val="145853B5"/>
    <w:rsid w:val="145F04F1"/>
    <w:rsid w:val="14640C1D"/>
    <w:rsid w:val="146E3801"/>
    <w:rsid w:val="14767345"/>
    <w:rsid w:val="14834122"/>
    <w:rsid w:val="148A3321"/>
    <w:rsid w:val="148D0149"/>
    <w:rsid w:val="148D0B4E"/>
    <w:rsid w:val="149B3E2E"/>
    <w:rsid w:val="14A16D5C"/>
    <w:rsid w:val="14A85E79"/>
    <w:rsid w:val="14AB7BDB"/>
    <w:rsid w:val="14BD3EA9"/>
    <w:rsid w:val="14C667C2"/>
    <w:rsid w:val="14CD749D"/>
    <w:rsid w:val="14D25167"/>
    <w:rsid w:val="14D40BF4"/>
    <w:rsid w:val="14D71F1D"/>
    <w:rsid w:val="14DD0A94"/>
    <w:rsid w:val="14E32BC4"/>
    <w:rsid w:val="14E56108"/>
    <w:rsid w:val="14EA192F"/>
    <w:rsid w:val="14ED7306"/>
    <w:rsid w:val="14F04294"/>
    <w:rsid w:val="14F46606"/>
    <w:rsid w:val="14FC0436"/>
    <w:rsid w:val="15037504"/>
    <w:rsid w:val="150A333C"/>
    <w:rsid w:val="151D2886"/>
    <w:rsid w:val="1523526E"/>
    <w:rsid w:val="15431BC1"/>
    <w:rsid w:val="154F5DB3"/>
    <w:rsid w:val="155F68B6"/>
    <w:rsid w:val="156404B5"/>
    <w:rsid w:val="1566451C"/>
    <w:rsid w:val="15690293"/>
    <w:rsid w:val="1578017B"/>
    <w:rsid w:val="15791A87"/>
    <w:rsid w:val="157A6C74"/>
    <w:rsid w:val="15805DEE"/>
    <w:rsid w:val="15945D62"/>
    <w:rsid w:val="159E0A2F"/>
    <w:rsid w:val="15A308B2"/>
    <w:rsid w:val="15AB76BC"/>
    <w:rsid w:val="15CC605B"/>
    <w:rsid w:val="15CE56DE"/>
    <w:rsid w:val="15D46F5D"/>
    <w:rsid w:val="15D84686"/>
    <w:rsid w:val="15DB6052"/>
    <w:rsid w:val="15E56BF9"/>
    <w:rsid w:val="15E678C5"/>
    <w:rsid w:val="15E837B9"/>
    <w:rsid w:val="15F1381F"/>
    <w:rsid w:val="1604752D"/>
    <w:rsid w:val="160E7D4D"/>
    <w:rsid w:val="16132274"/>
    <w:rsid w:val="1614673F"/>
    <w:rsid w:val="168E29E1"/>
    <w:rsid w:val="16900E36"/>
    <w:rsid w:val="169A1CB5"/>
    <w:rsid w:val="169F0CD1"/>
    <w:rsid w:val="16AB5C70"/>
    <w:rsid w:val="16B6081B"/>
    <w:rsid w:val="16C11CB7"/>
    <w:rsid w:val="16C17241"/>
    <w:rsid w:val="16C82202"/>
    <w:rsid w:val="16C86822"/>
    <w:rsid w:val="16CF5E02"/>
    <w:rsid w:val="16D73A79"/>
    <w:rsid w:val="16D742BF"/>
    <w:rsid w:val="16DD1810"/>
    <w:rsid w:val="16DE7DF3"/>
    <w:rsid w:val="16E01099"/>
    <w:rsid w:val="16EE6B18"/>
    <w:rsid w:val="16F42A5D"/>
    <w:rsid w:val="17020270"/>
    <w:rsid w:val="170C67C0"/>
    <w:rsid w:val="17157DFA"/>
    <w:rsid w:val="171B14C6"/>
    <w:rsid w:val="171D3DBE"/>
    <w:rsid w:val="1724317B"/>
    <w:rsid w:val="17262C09"/>
    <w:rsid w:val="1751337C"/>
    <w:rsid w:val="176522C3"/>
    <w:rsid w:val="17795C60"/>
    <w:rsid w:val="17906024"/>
    <w:rsid w:val="17912E48"/>
    <w:rsid w:val="17984446"/>
    <w:rsid w:val="17A32DEB"/>
    <w:rsid w:val="17AA4179"/>
    <w:rsid w:val="17B31280"/>
    <w:rsid w:val="17B3652C"/>
    <w:rsid w:val="17B6418E"/>
    <w:rsid w:val="17B80644"/>
    <w:rsid w:val="17C0399D"/>
    <w:rsid w:val="17C528B3"/>
    <w:rsid w:val="17C92852"/>
    <w:rsid w:val="17D92641"/>
    <w:rsid w:val="17DB6C11"/>
    <w:rsid w:val="17DC3A77"/>
    <w:rsid w:val="17DD60D0"/>
    <w:rsid w:val="17E12B74"/>
    <w:rsid w:val="17E6784E"/>
    <w:rsid w:val="17EC16AA"/>
    <w:rsid w:val="17FA6FDA"/>
    <w:rsid w:val="180B4C5C"/>
    <w:rsid w:val="18140221"/>
    <w:rsid w:val="18226406"/>
    <w:rsid w:val="18347426"/>
    <w:rsid w:val="183A10DC"/>
    <w:rsid w:val="183A72AB"/>
    <w:rsid w:val="183E0A36"/>
    <w:rsid w:val="18520D29"/>
    <w:rsid w:val="185266E4"/>
    <w:rsid w:val="18591AD2"/>
    <w:rsid w:val="1859749F"/>
    <w:rsid w:val="18710663"/>
    <w:rsid w:val="18756535"/>
    <w:rsid w:val="18826EA4"/>
    <w:rsid w:val="18B0318B"/>
    <w:rsid w:val="18B20746"/>
    <w:rsid w:val="18B232E6"/>
    <w:rsid w:val="18CD0120"/>
    <w:rsid w:val="18DC7084"/>
    <w:rsid w:val="18E355A9"/>
    <w:rsid w:val="1901012A"/>
    <w:rsid w:val="19047496"/>
    <w:rsid w:val="192D5062"/>
    <w:rsid w:val="19343640"/>
    <w:rsid w:val="193464ED"/>
    <w:rsid w:val="19394BAE"/>
    <w:rsid w:val="195F2D42"/>
    <w:rsid w:val="19604048"/>
    <w:rsid w:val="19682FFC"/>
    <w:rsid w:val="196D532A"/>
    <w:rsid w:val="197D55BD"/>
    <w:rsid w:val="198F00B9"/>
    <w:rsid w:val="19996254"/>
    <w:rsid w:val="199B6C2C"/>
    <w:rsid w:val="19B301EB"/>
    <w:rsid w:val="19B7492C"/>
    <w:rsid w:val="19C103FD"/>
    <w:rsid w:val="19C40C10"/>
    <w:rsid w:val="19C75B27"/>
    <w:rsid w:val="19CA465F"/>
    <w:rsid w:val="19D33952"/>
    <w:rsid w:val="19D92AF4"/>
    <w:rsid w:val="19DB5A0B"/>
    <w:rsid w:val="19EA2F53"/>
    <w:rsid w:val="19F26149"/>
    <w:rsid w:val="19F4792E"/>
    <w:rsid w:val="1A0A6501"/>
    <w:rsid w:val="1A117498"/>
    <w:rsid w:val="1A147202"/>
    <w:rsid w:val="1A163D48"/>
    <w:rsid w:val="1A1A55E6"/>
    <w:rsid w:val="1A1B310D"/>
    <w:rsid w:val="1A1D1942"/>
    <w:rsid w:val="1A24008C"/>
    <w:rsid w:val="1A2E0094"/>
    <w:rsid w:val="1A2E1092"/>
    <w:rsid w:val="1A3246B7"/>
    <w:rsid w:val="1A3A1539"/>
    <w:rsid w:val="1A3B05BF"/>
    <w:rsid w:val="1A4876EE"/>
    <w:rsid w:val="1A5335E6"/>
    <w:rsid w:val="1A5347FA"/>
    <w:rsid w:val="1A554DB1"/>
    <w:rsid w:val="1A6C3968"/>
    <w:rsid w:val="1A846F04"/>
    <w:rsid w:val="1A8C4960"/>
    <w:rsid w:val="1A925E24"/>
    <w:rsid w:val="1A9A04D5"/>
    <w:rsid w:val="1AA749A0"/>
    <w:rsid w:val="1AAD0FC0"/>
    <w:rsid w:val="1AAD65ED"/>
    <w:rsid w:val="1AB74DC6"/>
    <w:rsid w:val="1ABC6E54"/>
    <w:rsid w:val="1AC026C8"/>
    <w:rsid w:val="1AC13778"/>
    <w:rsid w:val="1AC727F8"/>
    <w:rsid w:val="1AC76DF0"/>
    <w:rsid w:val="1ACC7674"/>
    <w:rsid w:val="1AD95023"/>
    <w:rsid w:val="1ADC261E"/>
    <w:rsid w:val="1AFE2011"/>
    <w:rsid w:val="1B0267ED"/>
    <w:rsid w:val="1B0A3E90"/>
    <w:rsid w:val="1B0A7CCE"/>
    <w:rsid w:val="1B1006B6"/>
    <w:rsid w:val="1B145626"/>
    <w:rsid w:val="1B171474"/>
    <w:rsid w:val="1B18764C"/>
    <w:rsid w:val="1B18764F"/>
    <w:rsid w:val="1B24005C"/>
    <w:rsid w:val="1B320391"/>
    <w:rsid w:val="1B326C39"/>
    <w:rsid w:val="1B376BFB"/>
    <w:rsid w:val="1B41733C"/>
    <w:rsid w:val="1B473BDE"/>
    <w:rsid w:val="1B522F24"/>
    <w:rsid w:val="1B5E59C7"/>
    <w:rsid w:val="1B6D729E"/>
    <w:rsid w:val="1B6F218E"/>
    <w:rsid w:val="1B920E30"/>
    <w:rsid w:val="1B947F26"/>
    <w:rsid w:val="1B9F1B2B"/>
    <w:rsid w:val="1BB5418A"/>
    <w:rsid w:val="1BB57C9A"/>
    <w:rsid w:val="1BBC0E66"/>
    <w:rsid w:val="1BC2745A"/>
    <w:rsid w:val="1BCC66CA"/>
    <w:rsid w:val="1BD9386B"/>
    <w:rsid w:val="1BD9502D"/>
    <w:rsid w:val="1BEC6B0F"/>
    <w:rsid w:val="1BEF2B65"/>
    <w:rsid w:val="1BF12377"/>
    <w:rsid w:val="1BF4037F"/>
    <w:rsid w:val="1BFD6F6E"/>
    <w:rsid w:val="1C037AEB"/>
    <w:rsid w:val="1C073948"/>
    <w:rsid w:val="1C214927"/>
    <w:rsid w:val="1C2C114C"/>
    <w:rsid w:val="1C545F51"/>
    <w:rsid w:val="1C701782"/>
    <w:rsid w:val="1C784846"/>
    <w:rsid w:val="1C7D1871"/>
    <w:rsid w:val="1C7F19BD"/>
    <w:rsid w:val="1C84143D"/>
    <w:rsid w:val="1C8E05FC"/>
    <w:rsid w:val="1C8E07FD"/>
    <w:rsid w:val="1C981895"/>
    <w:rsid w:val="1CB96C93"/>
    <w:rsid w:val="1CD3019A"/>
    <w:rsid w:val="1CDB3A18"/>
    <w:rsid w:val="1CDD33DB"/>
    <w:rsid w:val="1D0B329E"/>
    <w:rsid w:val="1D1207F7"/>
    <w:rsid w:val="1D2B5163"/>
    <w:rsid w:val="1D3518E0"/>
    <w:rsid w:val="1D424BB4"/>
    <w:rsid w:val="1D4A4435"/>
    <w:rsid w:val="1D4B451A"/>
    <w:rsid w:val="1D5729D7"/>
    <w:rsid w:val="1D5768FF"/>
    <w:rsid w:val="1D596426"/>
    <w:rsid w:val="1D784649"/>
    <w:rsid w:val="1D7D6437"/>
    <w:rsid w:val="1D8A4831"/>
    <w:rsid w:val="1D8F59AE"/>
    <w:rsid w:val="1D9926C7"/>
    <w:rsid w:val="1DC87923"/>
    <w:rsid w:val="1DE66DE4"/>
    <w:rsid w:val="1DEA31C4"/>
    <w:rsid w:val="1DEC078C"/>
    <w:rsid w:val="1DED3012"/>
    <w:rsid w:val="1DEE05BA"/>
    <w:rsid w:val="1DF45A14"/>
    <w:rsid w:val="1DF61502"/>
    <w:rsid w:val="1DF9036F"/>
    <w:rsid w:val="1DFC3255"/>
    <w:rsid w:val="1E01326C"/>
    <w:rsid w:val="1E0E08B8"/>
    <w:rsid w:val="1E17506E"/>
    <w:rsid w:val="1E195BB5"/>
    <w:rsid w:val="1E2E3C44"/>
    <w:rsid w:val="1E511B1E"/>
    <w:rsid w:val="1E5A6573"/>
    <w:rsid w:val="1E666C47"/>
    <w:rsid w:val="1E6B7F89"/>
    <w:rsid w:val="1E7159F1"/>
    <w:rsid w:val="1E733517"/>
    <w:rsid w:val="1E771777"/>
    <w:rsid w:val="1E7F010E"/>
    <w:rsid w:val="1E8A0EBC"/>
    <w:rsid w:val="1E8E5319"/>
    <w:rsid w:val="1E9A1580"/>
    <w:rsid w:val="1EA6441D"/>
    <w:rsid w:val="1EA67E4A"/>
    <w:rsid w:val="1EA91A44"/>
    <w:rsid w:val="1EC76D55"/>
    <w:rsid w:val="1ED47449"/>
    <w:rsid w:val="1EDA6D77"/>
    <w:rsid w:val="1EE1019F"/>
    <w:rsid w:val="1EE2069D"/>
    <w:rsid w:val="1EEB7551"/>
    <w:rsid w:val="1EF50D90"/>
    <w:rsid w:val="1EFA59E6"/>
    <w:rsid w:val="1F070103"/>
    <w:rsid w:val="1F1A3C9B"/>
    <w:rsid w:val="1F2A7CBA"/>
    <w:rsid w:val="1F30016F"/>
    <w:rsid w:val="1F315784"/>
    <w:rsid w:val="1F5C044F"/>
    <w:rsid w:val="1F5F1CED"/>
    <w:rsid w:val="1F6D0BF7"/>
    <w:rsid w:val="1F707A57"/>
    <w:rsid w:val="1F737547"/>
    <w:rsid w:val="1F8A6156"/>
    <w:rsid w:val="1FA77DBF"/>
    <w:rsid w:val="1FAA11BB"/>
    <w:rsid w:val="1FB63935"/>
    <w:rsid w:val="1FBC0EEE"/>
    <w:rsid w:val="1FC10EBF"/>
    <w:rsid w:val="1FD224BF"/>
    <w:rsid w:val="1FD2703B"/>
    <w:rsid w:val="1FD47710"/>
    <w:rsid w:val="1FE8442E"/>
    <w:rsid w:val="1FED115D"/>
    <w:rsid w:val="20016901"/>
    <w:rsid w:val="20080D74"/>
    <w:rsid w:val="20144886"/>
    <w:rsid w:val="201523CC"/>
    <w:rsid w:val="202131BB"/>
    <w:rsid w:val="202A0CE1"/>
    <w:rsid w:val="202D3B9A"/>
    <w:rsid w:val="20346CD6"/>
    <w:rsid w:val="203B02FF"/>
    <w:rsid w:val="203D0592"/>
    <w:rsid w:val="203E55D3"/>
    <w:rsid w:val="20514F06"/>
    <w:rsid w:val="205416CE"/>
    <w:rsid w:val="20573B7B"/>
    <w:rsid w:val="20580E42"/>
    <w:rsid w:val="205C5FB1"/>
    <w:rsid w:val="206770AC"/>
    <w:rsid w:val="207277FE"/>
    <w:rsid w:val="20816F15"/>
    <w:rsid w:val="208F215E"/>
    <w:rsid w:val="208F7369"/>
    <w:rsid w:val="20A01452"/>
    <w:rsid w:val="20A025BE"/>
    <w:rsid w:val="20A83135"/>
    <w:rsid w:val="20AB1138"/>
    <w:rsid w:val="20AF190C"/>
    <w:rsid w:val="20B16579"/>
    <w:rsid w:val="20C461CA"/>
    <w:rsid w:val="20E00AC1"/>
    <w:rsid w:val="20EB1A8B"/>
    <w:rsid w:val="20F2389F"/>
    <w:rsid w:val="20F359B8"/>
    <w:rsid w:val="20F841A8"/>
    <w:rsid w:val="21005607"/>
    <w:rsid w:val="211047CC"/>
    <w:rsid w:val="211F76B7"/>
    <w:rsid w:val="2120725A"/>
    <w:rsid w:val="21220C71"/>
    <w:rsid w:val="212E3725"/>
    <w:rsid w:val="21352D06"/>
    <w:rsid w:val="213F62D3"/>
    <w:rsid w:val="214967B1"/>
    <w:rsid w:val="214E08EE"/>
    <w:rsid w:val="21640D24"/>
    <w:rsid w:val="216E44EA"/>
    <w:rsid w:val="216F69CC"/>
    <w:rsid w:val="21745682"/>
    <w:rsid w:val="218A285B"/>
    <w:rsid w:val="218E68BA"/>
    <w:rsid w:val="218E6C10"/>
    <w:rsid w:val="21B12BBF"/>
    <w:rsid w:val="21B46380"/>
    <w:rsid w:val="21BA4C49"/>
    <w:rsid w:val="21BD4EC8"/>
    <w:rsid w:val="21C26C83"/>
    <w:rsid w:val="21CC38B5"/>
    <w:rsid w:val="21DA76DA"/>
    <w:rsid w:val="21E25148"/>
    <w:rsid w:val="21E464DA"/>
    <w:rsid w:val="21EE2682"/>
    <w:rsid w:val="21F67FBA"/>
    <w:rsid w:val="21F7595C"/>
    <w:rsid w:val="2201663E"/>
    <w:rsid w:val="220426D8"/>
    <w:rsid w:val="220A4192"/>
    <w:rsid w:val="221875F0"/>
    <w:rsid w:val="221F140C"/>
    <w:rsid w:val="22217064"/>
    <w:rsid w:val="22271C40"/>
    <w:rsid w:val="22407BB4"/>
    <w:rsid w:val="22426526"/>
    <w:rsid w:val="22462CF1"/>
    <w:rsid w:val="22592900"/>
    <w:rsid w:val="225B679C"/>
    <w:rsid w:val="226C6BFB"/>
    <w:rsid w:val="22771FA7"/>
    <w:rsid w:val="22876968"/>
    <w:rsid w:val="22961FAB"/>
    <w:rsid w:val="229C18D7"/>
    <w:rsid w:val="22A041B9"/>
    <w:rsid w:val="22A90280"/>
    <w:rsid w:val="22AF4D3A"/>
    <w:rsid w:val="22B403B0"/>
    <w:rsid w:val="22B673C3"/>
    <w:rsid w:val="22BF73A1"/>
    <w:rsid w:val="22C0780A"/>
    <w:rsid w:val="22C13B45"/>
    <w:rsid w:val="22C3279A"/>
    <w:rsid w:val="22D213FA"/>
    <w:rsid w:val="22D53353"/>
    <w:rsid w:val="22DE02DB"/>
    <w:rsid w:val="22DE4B14"/>
    <w:rsid w:val="22DF5610"/>
    <w:rsid w:val="22E13967"/>
    <w:rsid w:val="22EC1E5D"/>
    <w:rsid w:val="22ED3FF7"/>
    <w:rsid w:val="22EF270B"/>
    <w:rsid w:val="22FF1C52"/>
    <w:rsid w:val="23031C0D"/>
    <w:rsid w:val="23076924"/>
    <w:rsid w:val="230F7587"/>
    <w:rsid w:val="23130E25"/>
    <w:rsid w:val="231D36DD"/>
    <w:rsid w:val="231D42C4"/>
    <w:rsid w:val="23302B17"/>
    <w:rsid w:val="23576D5D"/>
    <w:rsid w:val="235D4C8B"/>
    <w:rsid w:val="23641680"/>
    <w:rsid w:val="236B0918"/>
    <w:rsid w:val="237028D8"/>
    <w:rsid w:val="23721F3D"/>
    <w:rsid w:val="238121A2"/>
    <w:rsid w:val="238166D6"/>
    <w:rsid w:val="238654B6"/>
    <w:rsid w:val="239377B7"/>
    <w:rsid w:val="239C0A7D"/>
    <w:rsid w:val="23A44742"/>
    <w:rsid w:val="23A5771A"/>
    <w:rsid w:val="23AB5501"/>
    <w:rsid w:val="23AE0828"/>
    <w:rsid w:val="23AE6AEC"/>
    <w:rsid w:val="23B95E70"/>
    <w:rsid w:val="23C70DBA"/>
    <w:rsid w:val="23C860B3"/>
    <w:rsid w:val="23D20BD7"/>
    <w:rsid w:val="23DC1B5F"/>
    <w:rsid w:val="23ED3D6C"/>
    <w:rsid w:val="23F51308"/>
    <w:rsid w:val="2408256C"/>
    <w:rsid w:val="241E50D6"/>
    <w:rsid w:val="24213A15"/>
    <w:rsid w:val="24262DDA"/>
    <w:rsid w:val="243155C3"/>
    <w:rsid w:val="243948BB"/>
    <w:rsid w:val="24406C18"/>
    <w:rsid w:val="24480FA2"/>
    <w:rsid w:val="24520E5C"/>
    <w:rsid w:val="247C1C61"/>
    <w:rsid w:val="24925CE3"/>
    <w:rsid w:val="249369A6"/>
    <w:rsid w:val="249A0E5D"/>
    <w:rsid w:val="24A87283"/>
    <w:rsid w:val="24AB726B"/>
    <w:rsid w:val="24BE024D"/>
    <w:rsid w:val="24C0322E"/>
    <w:rsid w:val="24E03B14"/>
    <w:rsid w:val="24E24F53"/>
    <w:rsid w:val="24F42ED8"/>
    <w:rsid w:val="24F727CC"/>
    <w:rsid w:val="24FB6014"/>
    <w:rsid w:val="24FD689B"/>
    <w:rsid w:val="25066786"/>
    <w:rsid w:val="251610A0"/>
    <w:rsid w:val="25162E4E"/>
    <w:rsid w:val="25167F92"/>
    <w:rsid w:val="25175261"/>
    <w:rsid w:val="251A293E"/>
    <w:rsid w:val="251C03A1"/>
    <w:rsid w:val="251F4BAF"/>
    <w:rsid w:val="253B18CE"/>
    <w:rsid w:val="256040C9"/>
    <w:rsid w:val="25761B3F"/>
    <w:rsid w:val="257B0F03"/>
    <w:rsid w:val="258F4B8D"/>
    <w:rsid w:val="259B426B"/>
    <w:rsid w:val="25A53646"/>
    <w:rsid w:val="25B14925"/>
    <w:rsid w:val="25B3069D"/>
    <w:rsid w:val="25BA0DDC"/>
    <w:rsid w:val="25D0484D"/>
    <w:rsid w:val="25DE1152"/>
    <w:rsid w:val="25E3793F"/>
    <w:rsid w:val="25E506CF"/>
    <w:rsid w:val="25EB6089"/>
    <w:rsid w:val="25F95101"/>
    <w:rsid w:val="25FC1874"/>
    <w:rsid w:val="2617408E"/>
    <w:rsid w:val="261B154F"/>
    <w:rsid w:val="262835E3"/>
    <w:rsid w:val="263C0DB9"/>
    <w:rsid w:val="263F0183"/>
    <w:rsid w:val="26512BBA"/>
    <w:rsid w:val="26551138"/>
    <w:rsid w:val="26634A6A"/>
    <w:rsid w:val="267D02CD"/>
    <w:rsid w:val="267F1533"/>
    <w:rsid w:val="2693065B"/>
    <w:rsid w:val="26A06F3E"/>
    <w:rsid w:val="26A83681"/>
    <w:rsid w:val="26A84583"/>
    <w:rsid w:val="26AD7232"/>
    <w:rsid w:val="26AE73E4"/>
    <w:rsid w:val="26B60F6F"/>
    <w:rsid w:val="26BF522F"/>
    <w:rsid w:val="26CF6776"/>
    <w:rsid w:val="26D84C10"/>
    <w:rsid w:val="26D97A3A"/>
    <w:rsid w:val="26DD020A"/>
    <w:rsid w:val="26FB2D54"/>
    <w:rsid w:val="2703727D"/>
    <w:rsid w:val="27091AE1"/>
    <w:rsid w:val="271475E3"/>
    <w:rsid w:val="271A6947"/>
    <w:rsid w:val="271C434E"/>
    <w:rsid w:val="272F06BB"/>
    <w:rsid w:val="27386C22"/>
    <w:rsid w:val="2739326C"/>
    <w:rsid w:val="273B094A"/>
    <w:rsid w:val="273F6303"/>
    <w:rsid w:val="27555674"/>
    <w:rsid w:val="275B228B"/>
    <w:rsid w:val="275D2FB6"/>
    <w:rsid w:val="275D4970"/>
    <w:rsid w:val="276500BD"/>
    <w:rsid w:val="276F2485"/>
    <w:rsid w:val="276F34B4"/>
    <w:rsid w:val="278030B6"/>
    <w:rsid w:val="278550F5"/>
    <w:rsid w:val="278C7B3F"/>
    <w:rsid w:val="278E087B"/>
    <w:rsid w:val="278E5565"/>
    <w:rsid w:val="279D3ED2"/>
    <w:rsid w:val="27A12EE7"/>
    <w:rsid w:val="27A85230"/>
    <w:rsid w:val="27B6095F"/>
    <w:rsid w:val="27DD63FA"/>
    <w:rsid w:val="27DE294D"/>
    <w:rsid w:val="280D4F8C"/>
    <w:rsid w:val="281148F2"/>
    <w:rsid w:val="281318C7"/>
    <w:rsid w:val="28232C1A"/>
    <w:rsid w:val="284101E2"/>
    <w:rsid w:val="28410649"/>
    <w:rsid w:val="28411514"/>
    <w:rsid w:val="28414686"/>
    <w:rsid w:val="2843601C"/>
    <w:rsid w:val="28495938"/>
    <w:rsid w:val="284C6CE6"/>
    <w:rsid w:val="28513231"/>
    <w:rsid w:val="28530EE4"/>
    <w:rsid w:val="28571F79"/>
    <w:rsid w:val="285F3285"/>
    <w:rsid w:val="286337CC"/>
    <w:rsid w:val="28722A91"/>
    <w:rsid w:val="287B7F65"/>
    <w:rsid w:val="288C1E8D"/>
    <w:rsid w:val="28911EDF"/>
    <w:rsid w:val="289218D8"/>
    <w:rsid w:val="28964A2B"/>
    <w:rsid w:val="289F2F20"/>
    <w:rsid w:val="28A15125"/>
    <w:rsid w:val="28B416C7"/>
    <w:rsid w:val="28B540DD"/>
    <w:rsid w:val="28CE3CD0"/>
    <w:rsid w:val="28D21CD2"/>
    <w:rsid w:val="28E02C58"/>
    <w:rsid w:val="28E15521"/>
    <w:rsid w:val="28F11C08"/>
    <w:rsid w:val="28FE1E99"/>
    <w:rsid w:val="29102A75"/>
    <w:rsid w:val="29172673"/>
    <w:rsid w:val="291F3B7F"/>
    <w:rsid w:val="292E6B67"/>
    <w:rsid w:val="292F44DF"/>
    <w:rsid w:val="29300D9C"/>
    <w:rsid w:val="29387837"/>
    <w:rsid w:val="29472938"/>
    <w:rsid w:val="29615213"/>
    <w:rsid w:val="296F1552"/>
    <w:rsid w:val="2971584D"/>
    <w:rsid w:val="29731360"/>
    <w:rsid w:val="29770B5B"/>
    <w:rsid w:val="297F5466"/>
    <w:rsid w:val="2984094B"/>
    <w:rsid w:val="2989658B"/>
    <w:rsid w:val="298A55FC"/>
    <w:rsid w:val="299673FF"/>
    <w:rsid w:val="299A30A2"/>
    <w:rsid w:val="299B5532"/>
    <w:rsid w:val="29AD505F"/>
    <w:rsid w:val="29BB6387"/>
    <w:rsid w:val="29DC7D86"/>
    <w:rsid w:val="29E57F59"/>
    <w:rsid w:val="29E7300B"/>
    <w:rsid w:val="29F97EFC"/>
    <w:rsid w:val="2A037BD8"/>
    <w:rsid w:val="2A08659D"/>
    <w:rsid w:val="2A0E7287"/>
    <w:rsid w:val="2A1536D4"/>
    <w:rsid w:val="2A185CCC"/>
    <w:rsid w:val="2A2077F1"/>
    <w:rsid w:val="2A22427F"/>
    <w:rsid w:val="2A505255"/>
    <w:rsid w:val="2A5C57A7"/>
    <w:rsid w:val="2A682281"/>
    <w:rsid w:val="2A691840"/>
    <w:rsid w:val="2A7155D3"/>
    <w:rsid w:val="2A737A39"/>
    <w:rsid w:val="2A746F8A"/>
    <w:rsid w:val="2A7929A3"/>
    <w:rsid w:val="2A84500E"/>
    <w:rsid w:val="2A8538EF"/>
    <w:rsid w:val="2A857A80"/>
    <w:rsid w:val="2A87632B"/>
    <w:rsid w:val="2A946CEF"/>
    <w:rsid w:val="2A9F5694"/>
    <w:rsid w:val="2A9F7442"/>
    <w:rsid w:val="2AA941E7"/>
    <w:rsid w:val="2AB82DAB"/>
    <w:rsid w:val="2ABF38E0"/>
    <w:rsid w:val="2AC93F11"/>
    <w:rsid w:val="2AED0370"/>
    <w:rsid w:val="2AF45138"/>
    <w:rsid w:val="2AFA03E9"/>
    <w:rsid w:val="2B251266"/>
    <w:rsid w:val="2B2C4928"/>
    <w:rsid w:val="2B2D7144"/>
    <w:rsid w:val="2B361B54"/>
    <w:rsid w:val="2B397896"/>
    <w:rsid w:val="2B4B052A"/>
    <w:rsid w:val="2B4C10CE"/>
    <w:rsid w:val="2B4F358C"/>
    <w:rsid w:val="2B5F601B"/>
    <w:rsid w:val="2B841B99"/>
    <w:rsid w:val="2B852ADC"/>
    <w:rsid w:val="2B8770F9"/>
    <w:rsid w:val="2B910E36"/>
    <w:rsid w:val="2B936C3B"/>
    <w:rsid w:val="2B983E5B"/>
    <w:rsid w:val="2B9A270B"/>
    <w:rsid w:val="2BA271EA"/>
    <w:rsid w:val="2BA54F2C"/>
    <w:rsid w:val="2BB01A48"/>
    <w:rsid w:val="2BB11425"/>
    <w:rsid w:val="2BB92785"/>
    <w:rsid w:val="2BBF73E6"/>
    <w:rsid w:val="2BC03B14"/>
    <w:rsid w:val="2BD71F49"/>
    <w:rsid w:val="2BE5357A"/>
    <w:rsid w:val="2BE92273"/>
    <w:rsid w:val="2BEA293F"/>
    <w:rsid w:val="2BEA5D34"/>
    <w:rsid w:val="2BEC4909"/>
    <w:rsid w:val="2BEE0681"/>
    <w:rsid w:val="2BF6688E"/>
    <w:rsid w:val="2BFB601F"/>
    <w:rsid w:val="2BFD49A2"/>
    <w:rsid w:val="2C02412C"/>
    <w:rsid w:val="2C052BD2"/>
    <w:rsid w:val="2C1C3067"/>
    <w:rsid w:val="2C1F2245"/>
    <w:rsid w:val="2C2C3CDF"/>
    <w:rsid w:val="2C365B84"/>
    <w:rsid w:val="2C3855D3"/>
    <w:rsid w:val="2C4426B5"/>
    <w:rsid w:val="2C471B3F"/>
    <w:rsid w:val="2C4958B7"/>
    <w:rsid w:val="2C4F5E94"/>
    <w:rsid w:val="2C540AD0"/>
    <w:rsid w:val="2C676B7C"/>
    <w:rsid w:val="2C697A8D"/>
    <w:rsid w:val="2C9F6C78"/>
    <w:rsid w:val="2CB16300"/>
    <w:rsid w:val="2CB279DA"/>
    <w:rsid w:val="2CB33085"/>
    <w:rsid w:val="2CBA0B3D"/>
    <w:rsid w:val="2CBE65D8"/>
    <w:rsid w:val="2CC5386F"/>
    <w:rsid w:val="2CCA2855"/>
    <w:rsid w:val="2CCB09C2"/>
    <w:rsid w:val="2CD258AD"/>
    <w:rsid w:val="2CD834CA"/>
    <w:rsid w:val="2CDA68B9"/>
    <w:rsid w:val="2CE03EE2"/>
    <w:rsid w:val="2CE43D44"/>
    <w:rsid w:val="2CE6215B"/>
    <w:rsid w:val="2CE675AA"/>
    <w:rsid w:val="2CF577ED"/>
    <w:rsid w:val="2D4E3084"/>
    <w:rsid w:val="2D55028C"/>
    <w:rsid w:val="2D5902CC"/>
    <w:rsid w:val="2D6040C6"/>
    <w:rsid w:val="2D614E83"/>
    <w:rsid w:val="2D6F134E"/>
    <w:rsid w:val="2D7517EB"/>
    <w:rsid w:val="2D7C71FA"/>
    <w:rsid w:val="2D7E77E3"/>
    <w:rsid w:val="2D8432E7"/>
    <w:rsid w:val="2D9014CD"/>
    <w:rsid w:val="2D9F1161"/>
    <w:rsid w:val="2DA45043"/>
    <w:rsid w:val="2DA571CB"/>
    <w:rsid w:val="2DA769B4"/>
    <w:rsid w:val="2DC42B6B"/>
    <w:rsid w:val="2DD85145"/>
    <w:rsid w:val="2DDB7EFD"/>
    <w:rsid w:val="2DF84E9C"/>
    <w:rsid w:val="2DF92AB1"/>
    <w:rsid w:val="2DFE4801"/>
    <w:rsid w:val="2E132108"/>
    <w:rsid w:val="2E1A3B85"/>
    <w:rsid w:val="2E1D7728"/>
    <w:rsid w:val="2E2771FE"/>
    <w:rsid w:val="2E296F6D"/>
    <w:rsid w:val="2E385435"/>
    <w:rsid w:val="2E422F06"/>
    <w:rsid w:val="2E59121F"/>
    <w:rsid w:val="2E5C6F7C"/>
    <w:rsid w:val="2E644F4E"/>
    <w:rsid w:val="2E6928AA"/>
    <w:rsid w:val="2E6C11E0"/>
    <w:rsid w:val="2E6D110E"/>
    <w:rsid w:val="2E735B1E"/>
    <w:rsid w:val="2E7623C4"/>
    <w:rsid w:val="2E7B5463"/>
    <w:rsid w:val="2E7B5C11"/>
    <w:rsid w:val="2E7F4A26"/>
    <w:rsid w:val="2E8D45C5"/>
    <w:rsid w:val="2E8F5444"/>
    <w:rsid w:val="2EA7420F"/>
    <w:rsid w:val="2EAD544F"/>
    <w:rsid w:val="2EB31249"/>
    <w:rsid w:val="2EB33091"/>
    <w:rsid w:val="2EC456C9"/>
    <w:rsid w:val="2EC9054D"/>
    <w:rsid w:val="2EC96D3D"/>
    <w:rsid w:val="2ECC2677"/>
    <w:rsid w:val="2ECE479A"/>
    <w:rsid w:val="2ED020E7"/>
    <w:rsid w:val="2EDC6E9C"/>
    <w:rsid w:val="2EE355AD"/>
    <w:rsid w:val="2EEF6C10"/>
    <w:rsid w:val="2EF1712B"/>
    <w:rsid w:val="2EF96C43"/>
    <w:rsid w:val="2F0F2DE8"/>
    <w:rsid w:val="2F192FE1"/>
    <w:rsid w:val="2F1C4ABB"/>
    <w:rsid w:val="2F2A5E74"/>
    <w:rsid w:val="2F2B2FFD"/>
    <w:rsid w:val="2F3F282A"/>
    <w:rsid w:val="2F3F2AB3"/>
    <w:rsid w:val="2F421401"/>
    <w:rsid w:val="2F5F2884"/>
    <w:rsid w:val="2F715851"/>
    <w:rsid w:val="2F743EB3"/>
    <w:rsid w:val="2F757FC3"/>
    <w:rsid w:val="2F8F113D"/>
    <w:rsid w:val="2F983B27"/>
    <w:rsid w:val="2F9B4E4F"/>
    <w:rsid w:val="2FA379D4"/>
    <w:rsid w:val="2FB06FC0"/>
    <w:rsid w:val="2FB43110"/>
    <w:rsid w:val="2FB67708"/>
    <w:rsid w:val="2FCA0A04"/>
    <w:rsid w:val="2FCB60FD"/>
    <w:rsid w:val="2FD573F9"/>
    <w:rsid w:val="2FD61B58"/>
    <w:rsid w:val="2FD9641A"/>
    <w:rsid w:val="300057A5"/>
    <w:rsid w:val="30093406"/>
    <w:rsid w:val="300D4BC3"/>
    <w:rsid w:val="300E150D"/>
    <w:rsid w:val="30105B11"/>
    <w:rsid w:val="30142680"/>
    <w:rsid w:val="30224D9D"/>
    <w:rsid w:val="302A5A00"/>
    <w:rsid w:val="303C16E1"/>
    <w:rsid w:val="304E5B92"/>
    <w:rsid w:val="30597433"/>
    <w:rsid w:val="30667B0F"/>
    <w:rsid w:val="306D4382"/>
    <w:rsid w:val="308713AC"/>
    <w:rsid w:val="30973EF0"/>
    <w:rsid w:val="30A14BFB"/>
    <w:rsid w:val="30A94B23"/>
    <w:rsid w:val="30A97374"/>
    <w:rsid w:val="30AA5996"/>
    <w:rsid w:val="30B5578D"/>
    <w:rsid w:val="30B874AF"/>
    <w:rsid w:val="30C64149"/>
    <w:rsid w:val="30D51ACE"/>
    <w:rsid w:val="30EF2CAE"/>
    <w:rsid w:val="310821E5"/>
    <w:rsid w:val="31082F3E"/>
    <w:rsid w:val="310A2105"/>
    <w:rsid w:val="310E02FC"/>
    <w:rsid w:val="311566B0"/>
    <w:rsid w:val="3128421A"/>
    <w:rsid w:val="313C1E8F"/>
    <w:rsid w:val="313C3A15"/>
    <w:rsid w:val="313E1763"/>
    <w:rsid w:val="31413C7D"/>
    <w:rsid w:val="3141740A"/>
    <w:rsid w:val="314B20D2"/>
    <w:rsid w:val="31666F0B"/>
    <w:rsid w:val="316C4696"/>
    <w:rsid w:val="31724290"/>
    <w:rsid w:val="317A07A0"/>
    <w:rsid w:val="318D6246"/>
    <w:rsid w:val="319B1AFD"/>
    <w:rsid w:val="31A9786E"/>
    <w:rsid w:val="31AB491E"/>
    <w:rsid w:val="31AE5460"/>
    <w:rsid w:val="31BA4A99"/>
    <w:rsid w:val="31C71425"/>
    <w:rsid w:val="31DB16A7"/>
    <w:rsid w:val="31E43039"/>
    <w:rsid w:val="31EE13DB"/>
    <w:rsid w:val="31FA07A2"/>
    <w:rsid w:val="320A7897"/>
    <w:rsid w:val="320C781A"/>
    <w:rsid w:val="3212777E"/>
    <w:rsid w:val="321E15AB"/>
    <w:rsid w:val="32214754"/>
    <w:rsid w:val="32336476"/>
    <w:rsid w:val="3239017C"/>
    <w:rsid w:val="323B3EF4"/>
    <w:rsid w:val="323D79F5"/>
    <w:rsid w:val="32434205"/>
    <w:rsid w:val="32532856"/>
    <w:rsid w:val="32682165"/>
    <w:rsid w:val="326C67A3"/>
    <w:rsid w:val="32871D8C"/>
    <w:rsid w:val="3287257E"/>
    <w:rsid w:val="32920289"/>
    <w:rsid w:val="32AE0B6A"/>
    <w:rsid w:val="32BB6DE3"/>
    <w:rsid w:val="32BF4657"/>
    <w:rsid w:val="32C65EB4"/>
    <w:rsid w:val="32C671E9"/>
    <w:rsid w:val="32CC60D2"/>
    <w:rsid w:val="32E3112B"/>
    <w:rsid w:val="32EF342C"/>
    <w:rsid w:val="32FB689D"/>
    <w:rsid w:val="32FD2DF0"/>
    <w:rsid w:val="32FD704A"/>
    <w:rsid w:val="33296443"/>
    <w:rsid w:val="332A2E84"/>
    <w:rsid w:val="333A12F4"/>
    <w:rsid w:val="333F7A14"/>
    <w:rsid w:val="33413D8D"/>
    <w:rsid w:val="33491793"/>
    <w:rsid w:val="335976E6"/>
    <w:rsid w:val="336B2685"/>
    <w:rsid w:val="33721E5D"/>
    <w:rsid w:val="33775400"/>
    <w:rsid w:val="337771AE"/>
    <w:rsid w:val="33932B7B"/>
    <w:rsid w:val="339D3B89"/>
    <w:rsid w:val="339D6D33"/>
    <w:rsid w:val="339E298D"/>
    <w:rsid w:val="339F0ECF"/>
    <w:rsid w:val="33A1083D"/>
    <w:rsid w:val="33AB50A9"/>
    <w:rsid w:val="33BB7738"/>
    <w:rsid w:val="33BF4C05"/>
    <w:rsid w:val="33C9793A"/>
    <w:rsid w:val="33D75E9F"/>
    <w:rsid w:val="33DE57C2"/>
    <w:rsid w:val="33E33810"/>
    <w:rsid w:val="33E60BCA"/>
    <w:rsid w:val="33ED43D1"/>
    <w:rsid w:val="33EF5FE1"/>
    <w:rsid w:val="34043CAD"/>
    <w:rsid w:val="341D0485"/>
    <w:rsid w:val="34207846"/>
    <w:rsid w:val="34256C0A"/>
    <w:rsid w:val="34277DFB"/>
    <w:rsid w:val="342D77AE"/>
    <w:rsid w:val="34300A12"/>
    <w:rsid w:val="34425A0E"/>
    <w:rsid w:val="34493E09"/>
    <w:rsid w:val="34505279"/>
    <w:rsid w:val="34515C51"/>
    <w:rsid w:val="346F257B"/>
    <w:rsid w:val="3471363D"/>
    <w:rsid w:val="348663D4"/>
    <w:rsid w:val="348C21C2"/>
    <w:rsid w:val="34943D90"/>
    <w:rsid w:val="34AD5102"/>
    <w:rsid w:val="34B14942"/>
    <w:rsid w:val="34BB131C"/>
    <w:rsid w:val="34D07DBB"/>
    <w:rsid w:val="34D42413"/>
    <w:rsid w:val="34DB551B"/>
    <w:rsid w:val="34DD74E5"/>
    <w:rsid w:val="34E940DB"/>
    <w:rsid w:val="34E970D5"/>
    <w:rsid w:val="34F35E47"/>
    <w:rsid w:val="34F65BC6"/>
    <w:rsid w:val="34F71537"/>
    <w:rsid w:val="35030A1D"/>
    <w:rsid w:val="350612F5"/>
    <w:rsid w:val="350B3B22"/>
    <w:rsid w:val="35127663"/>
    <w:rsid w:val="351F093A"/>
    <w:rsid w:val="351F4644"/>
    <w:rsid w:val="3538787E"/>
    <w:rsid w:val="353F1F4D"/>
    <w:rsid w:val="35471F8F"/>
    <w:rsid w:val="35505A9F"/>
    <w:rsid w:val="356B6E60"/>
    <w:rsid w:val="356D5EAF"/>
    <w:rsid w:val="357769EE"/>
    <w:rsid w:val="357E501F"/>
    <w:rsid w:val="359D0A22"/>
    <w:rsid w:val="35A01AFC"/>
    <w:rsid w:val="35AD5109"/>
    <w:rsid w:val="35AE5BC2"/>
    <w:rsid w:val="35DB1A9A"/>
    <w:rsid w:val="35DD6DBE"/>
    <w:rsid w:val="35EF74CF"/>
    <w:rsid w:val="35FF348B"/>
    <w:rsid w:val="3614710D"/>
    <w:rsid w:val="362B15C1"/>
    <w:rsid w:val="363035F0"/>
    <w:rsid w:val="36336A09"/>
    <w:rsid w:val="363A42B6"/>
    <w:rsid w:val="36455341"/>
    <w:rsid w:val="364A54CE"/>
    <w:rsid w:val="364E4CE2"/>
    <w:rsid w:val="3659703F"/>
    <w:rsid w:val="366A6AE6"/>
    <w:rsid w:val="368045CB"/>
    <w:rsid w:val="36824C77"/>
    <w:rsid w:val="368340BC"/>
    <w:rsid w:val="36851E0B"/>
    <w:rsid w:val="368A19A3"/>
    <w:rsid w:val="368B252A"/>
    <w:rsid w:val="36952BF6"/>
    <w:rsid w:val="369B1405"/>
    <w:rsid w:val="369D33CF"/>
    <w:rsid w:val="36AA33F6"/>
    <w:rsid w:val="36B03E94"/>
    <w:rsid w:val="36B2366F"/>
    <w:rsid w:val="36C460EA"/>
    <w:rsid w:val="36D46301"/>
    <w:rsid w:val="36F20EB9"/>
    <w:rsid w:val="36F40B16"/>
    <w:rsid w:val="36F86858"/>
    <w:rsid w:val="36FD01E1"/>
    <w:rsid w:val="36FF3E04"/>
    <w:rsid w:val="36FF5B08"/>
    <w:rsid w:val="370960AB"/>
    <w:rsid w:val="37104EC1"/>
    <w:rsid w:val="37177B51"/>
    <w:rsid w:val="37192273"/>
    <w:rsid w:val="37217B5C"/>
    <w:rsid w:val="372C0AC6"/>
    <w:rsid w:val="372E20F0"/>
    <w:rsid w:val="373B6810"/>
    <w:rsid w:val="373D7C39"/>
    <w:rsid w:val="37473961"/>
    <w:rsid w:val="374A0410"/>
    <w:rsid w:val="374D69AC"/>
    <w:rsid w:val="374E26E8"/>
    <w:rsid w:val="375648C2"/>
    <w:rsid w:val="375D472E"/>
    <w:rsid w:val="376831F7"/>
    <w:rsid w:val="37693471"/>
    <w:rsid w:val="37716FBD"/>
    <w:rsid w:val="37806E59"/>
    <w:rsid w:val="37820F37"/>
    <w:rsid w:val="378E62FC"/>
    <w:rsid w:val="37A1471D"/>
    <w:rsid w:val="37A172EF"/>
    <w:rsid w:val="37A645A1"/>
    <w:rsid w:val="37A94898"/>
    <w:rsid w:val="37AE0C3F"/>
    <w:rsid w:val="37B6462C"/>
    <w:rsid w:val="37D0411A"/>
    <w:rsid w:val="37D56B99"/>
    <w:rsid w:val="37E302A8"/>
    <w:rsid w:val="37E367BD"/>
    <w:rsid w:val="37E53795"/>
    <w:rsid w:val="37F17E96"/>
    <w:rsid w:val="37FE1AE5"/>
    <w:rsid w:val="380B72CD"/>
    <w:rsid w:val="3816097A"/>
    <w:rsid w:val="381B6177"/>
    <w:rsid w:val="381D7FBD"/>
    <w:rsid w:val="382132C4"/>
    <w:rsid w:val="38247BCB"/>
    <w:rsid w:val="382A1D02"/>
    <w:rsid w:val="382D2531"/>
    <w:rsid w:val="3830372D"/>
    <w:rsid w:val="38327B47"/>
    <w:rsid w:val="38354BD1"/>
    <w:rsid w:val="3837515E"/>
    <w:rsid w:val="38392C84"/>
    <w:rsid w:val="384A30E3"/>
    <w:rsid w:val="385266D4"/>
    <w:rsid w:val="38557CCE"/>
    <w:rsid w:val="385D529C"/>
    <w:rsid w:val="386C35DA"/>
    <w:rsid w:val="38726196"/>
    <w:rsid w:val="38885CF4"/>
    <w:rsid w:val="38896C7A"/>
    <w:rsid w:val="388C2CCF"/>
    <w:rsid w:val="388D51CB"/>
    <w:rsid w:val="38B10070"/>
    <w:rsid w:val="38C50406"/>
    <w:rsid w:val="38C74BB7"/>
    <w:rsid w:val="38D07731"/>
    <w:rsid w:val="38D43DD7"/>
    <w:rsid w:val="38D46BD8"/>
    <w:rsid w:val="38DB1F8D"/>
    <w:rsid w:val="38EB7437"/>
    <w:rsid w:val="38F768F8"/>
    <w:rsid w:val="38F8669B"/>
    <w:rsid w:val="38FD63A7"/>
    <w:rsid w:val="39056868"/>
    <w:rsid w:val="3914549F"/>
    <w:rsid w:val="39272916"/>
    <w:rsid w:val="39283FF8"/>
    <w:rsid w:val="392E23E0"/>
    <w:rsid w:val="393A3141"/>
    <w:rsid w:val="393C5F40"/>
    <w:rsid w:val="39581E0F"/>
    <w:rsid w:val="39592E9E"/>
    <w:rsid w:val="396C0E37"/>
    <w:rsid w:val="396F6A29"/>
    <w:rsid w:val="3974141F"/>
    <w:rsid w:val="397D07C4"/>
    <w:rsid w:val="397F33B5"/>
    <w:rsid w:val="398167F3"/>
    <w:rsid w:val="3982065B"/>
    <w:rsid w:val="39A470EC"/>
    <w:rsid w:val="39A87B83"/>
    <w:rsid w:val="39B90520"/>
    <w:rsid w:val="39C70904"/>
    <w:rsid w:val="39CA7B18"/>
    <w:rsid w:val="39D30EB6"/>
    <w:rsid w:val="39D92970"/>
    <w:rsid w:val="39DD6741"/>
    <w:rsid w:val="39DE703E"/>
    <w:rsid w:val="39DF1EFF"/>
    <w:rsid w:val="39E30592"/>
    <w:rsid w:val="39EB187C"/>
    <w:rsid w:val="39F46A66"/>
    <w:rsid w:val="39F623F5"/>
    <w:rsid w:val="39F96B6F"/>
    <w:rsid w:val="3A0D78F2"/>
    <w:rsid w:val="3A1964A1"/>
    <w:rsid w:val="3A211C22"/>
    <w:rsid w:val="3A3108BA"/>
    <w:rsid w:val="3A3D7F16"/>
    <w:rsid w:val="3A456D84"/>
    <w:rsid w:val="3A4B6C9E"/>
    <w:rsid w:val="3A4E75CF"/>
    <w:rsid w:val="3A502507"/>
    <w:rsid w:val="3A571217"/>
    <w:rsid w:val="3A571AE7"/>
    <w:rsid w:val="3A761CE0"/>
    <w:rsid w:val="3A8C25D2"/>
    <w:rsid w:val="3AA47782"/>
    <w:rsid w:val="3AA765CB"/>
    <w:rsid w:val="3AAA35D0"/>
    <w:rsid w:val="3AB0777C"/>
    <w:rsid w:val="3AB56025"/>
    <w:rsid w:val="3AB74171"/>
    <w:rsid w:val="3AB95C08"/>
    <w:rsid w:val="3AC64F03"/>
    <w:rsid w:val="3AE424E7"/>
    <w:rsid w:val="3AE73E39"/>
    <w:rsid w:val="3B0943A5"/>
    <w:rsid w:val="3B0B2F6E"/>
    <w:rsid w:val="3B0D20C4"/>
    <w:rsid w:val="3B1672AC"/>
    <w:rsid w:val="3B244078"/>
    <w:rsid w:val="3B2876BA"/>
    <w:rsid w:val="3B2D33EA"/>
    <w:rsid w:val="3B3271D1"/>
    <w:rsid w:val="3B372A69"/>
    <w:rsid w:val="3B3E5EEC"/>
    <w:rsid w:val="3B4E6416"/>
    <w:rsid w:val="3B626996"/>
    <w:rsid w:val="3B6E08B4"/>
    <w:rsid w:val="3B8C3C7B"/>
    <w:rsid w:val="3B9247ED"/>
    <w:rsid w:val="3B974891"/>
    <w:rsid w:val="3BA20525"/>
    <w:rsid w:val="3BA66417"/>
    <w:rsid w:val="3BC85E23"/>
    <w:rsid w:val="3BD71F5E"/>
    <w:rsid w:val="3BDD12C3"/>
    <w:rsid w:val="3C053DBF"/>
    <w:rsid w:val="3C12635F"/>
    <w:rsid w:val="3C1B1E6B"/>
    <w:rsid w:val="3C1E4BD0"/>
    <w:rsid w:val="3C2C4B69"/>
    <w:rsid w:val="3C2F5EA5"/>
    <w:rsid w:val="3C357C06"/>
    <w:rsid w:val="3C476178"/>
    <w:rsid w:val="3C5711B9"/>
    <w:rsid w:val="3C681D8A"/>
    <w:rsid w:val="3C6A3D54"/>
    <w:rsid w:val="3C6C6B0C"/>
    <w:rsid w:val="3C6F3118"/>
    <w:rsid w:val="3C76318A"/>
    <w:rsid w:val="3C860462"/>
    <w:rsid w:val="3C9F6DC9"/>
    <w:rsid w:val="3CB016BF"/>
    <w:rsid w:val="3CC00FAE"/>
    <w:rsid w:val="3CCD1F95"/>
    <w:rsid w:val="3CDD2778"/>
    <w:rsid w:val="3CDD3238"/>
    <w:rsid w:val="3CE04016"/>
    <w:rsid w:val="3CE1705C"/>
    <w:rsid w:val="3CEA6C43"/>
    <w:rsid w:val="3CED6733"/>
    <w:rsid w:val="3CF2490D"/>
    <w:rsid w:val="3CFA5B13"/>
    <w:rsid w:val="3D112421"/>
    <w:rsid w:val="3D115F7D"/>
    <w:rsid w:val="3D187FE6"/>
    <w:rsid w:val="3D241170"/>
    <w:rsid w:val="3D257C7B"/>
    <w:rsid w:val="3D366A59"/>
    <w:rsid w:val="3D37492C"/>
    <w:rsid w:val="3D420FDD"/>
    <w:rsid w:val="3D495C6B"/>
    <w:rsid w:val="3D4C16AB"/>
    <w:rsid w:val="3D6A7D83"/>
    <w:rsid w:val="3D720A63"/>
    <w:rsid w:val="3D7E738B"/>
    <w:rsid w:val="3D8E4DD8"/>
    <w:rsid w:val="3D8F6203"/>
    <w:rsid w:val="3D954E00"/>
    <w:rsid w:val="3DAA2FE2"/>
    <w:rsid w:val="3DC76BC2"/>
    <w:rsid w:val="3DE4534D"/>
    <w:rsid w:val="3DF97EF2"/>
    <w:rsid w:val="3E020CB3"/>
    <w:rsid w:val="3E0C5BE2"/>
    <w:rsid w:val="3E214D2D"/>
    <w:rsid w:val="3E23240C"/>
    <w:rsid w:val="3E3B010A"/>
    <w:rsid w:val="3E3B3423"/>
    <w:rsid w:val="3E4B54BF"/>
    <w:rsid w:val="3E4E23A3"/>
    <w:rsid w:val="3E5D598D"/>
    <w:rsid w:val="3E5F3835"/>
    <w:rsid w:val="3E616BB1"/>
    <w:rsid w:val="3E6549ED"/>
    <w:rsid w:val="3E690FE8"/>
    <w:rsid w:val="3E7034E9"/>
    <w:rsid w:val="3E70530B"/>
    <w:rsid w:val="3E7C3374"/>
    <w:rsid w:val="3E7C40AF"/>
    <w:rsid w:val="3E7F160D"/>
    <w:rsid w:val="3E94330A"/>
    <w:rsid w:val="3EA80B63"/>
    <w:rsid w:val="3EB738C0"/>
    <w:rsid w:val="3EBD0A57"/>
    <w:rsid w:val="3EC51845"/>
    <w:rsid w:val="3ED100BA"/>
    <w:rsid w:val="3EED5B58"/>
    <w:rsid w:val="3EF96F3E"/>
    <w:rsid w:val="3EFF74F1"/>
    <w:rsid w:val="3F0710BF"/>
    <w:rsid w:val="3F0865C1"/>
    <w:rsid w:val="3F0D001D"/>
    <w:rsid w:val="3F1028ED"/>
    <w:rsid w:val="3F110DB1"/>
    <w:rsid w:val="3F160DD8"/>
    <w:rsid w:val="3F224122"/>
    <w:rsid w:val="3F2367E0"/>
    <w:rsid w:val="3F3E6E9F"/>
    <w:rsid w:val="3F4F0973"/>
    <w:rsid w:val="3F572532"/>
    <w:rsid w:val="3F67457A"/>
    <w:rsid w:val="3F6D013D"/>
    <w:rsid w:val="3F722FE2"/>
    <w:rsid w:val="3F77397F"/>
    <w:rsid w:val="3F790810"/>
    <w:rsid w:val="3F7B70C5"/>
    <w:rsid w:val="3F7D5DDD"/>
    <w:rsid w:val="3F7F6478"/>
    <w:rsid w:val="3F836EDA"/>
    <w:rsid w:val="3F8844F1"/>
    <w:rsid w:val="3F980BD8"/>
    <w:rsid w:val="3F9A2BF6"/>
    <w:rsid w:val="3FA16FFD"/>
    <w:rsid w:val="3FA53213"/>
    <w:rsid w:val="3FAE79C7"/>
    <w:rsid w:val="3FC53B20"/>
    <w:rsid w:val="3FCD02FC"/>
    <w:rsid w:val="3FD62244"/>
    <w:rsid w:val="3FE613ED"/>
    <w:rsid w:val="3FF56A1D"/>
    <w:rsid w:val="401069C0"/>
    <w:rsid w:val="401C5C5B"/>
    <w:rsid w:val="402310A5"/>
    <w:rsid w:val="40246B44"/>
    <w:rsid w:val="403313EB"/>
    <w:rsid w:val="4045312A"/>
    <w:rsid w:val="404C307A"/>
    <w:rsid w:val="404E03E6"/>
    <w:rsid w:val="406A021E"/>
    <w:rsid w:val="406A7547"/>
    <w:rsid w:val="407F3B46"/>
    <w:rsid w:val="407F76A2"/>
    <w:rsid w:val="40875451"/>
    <w:rsid w:val="408A487B"/>
    <w:rsid w:val="40924476"/>
    <w:rsid w:val="40A555D1"/>
    <w:rsid w:val="40A924B1"/>
    <w:rsid w:val="40B33461"/>
    <w:rsid w:val="40C5093E"/>
    <w:rsid w:val="40C55B9D"/>
    <w:rsid w:val="40C576E1"/>
    <w:rsid w:val="40CD24AD"/>
    <w:rsid w:val="40D32738"/>
    <w:rsid w:val="40E10308"/>
    <w:rsid w:val="40EA30C3"/>
    <w:rsid w:val="40F97454"/>
    <w:rsid w:val="40FA2BEA"/>
    <w:rsid w:val="41007747"/>
    <w:rsid w:val="410211BD"/>
    <w:rsid w:val="410450DE"/>
    <w:rsid w:val="41046CED"/>
    <w:rsid w:val="410734D9"/>
    <w:rsid w:val="41112E96"/>
    <w:rsid w:val="411F5309"/>
    <w:rsid w:val="412D70FE"/>
    <w:rsid w:val="413E1C1B"/>
    <w:rsid w:val="41453ADD"/>
    <w:rsid w:val="414A05AA"/>
    <w:rsid w:val="414A29F3"/>
    <w:rsid w:val="41506DEF"/>
    <w:rsid w:val="41567EF5"/>
    <w:rsid w:val="41612D1E"/>
    <w:rsid w:val="41655287"/>
    <w:rsid w:val="416627C6"/>
    <w:rsid w:val="41705947"/>
    <w:rsid w:val="4174693C"/>
    <w:rsid w:val="41762396"/>
    <w:rsid w:val="41895F42"/>
    <w:rsid w:val="41975A14"/>
    <w:rsid w:val="41AA3041"/>
    <w:rsid w:val="41B23768"/>
    <w:rsid w:val="41C15134"/>
    <w:rsid w:val="41C71532"/>
    <w:rsid w:val="41D20EB2"/>
    <w:rsid w:val="41D67D9E"/>
    <w:rsid w:val="41EA5314"/>
    <w:rsid w:val="41EF380B"/>
    <w:rsid w:val="41F35546"/>
    <w:rsid w:val="41F85D5D"/>
    <w:rsid w:val="42010F4F"/>
    <w:rsid w:val="42220C2D"/>
    <w:rsid w:val="4224119B"/>
    <w:rsid w:val="42254279"/>
    <w:rsid w:val="42295D0A"/>
    <w:rsid w:val="422E0F26"/>
    <w:rsid w:val="4230334A"/>
    <w:rsid w:val="42400F4D"/>
    <w:rsid w:val="424E28D1"/>
    <w:rsid w:val="425B697E"/>
    <w:rsid w:val="426167A8"/>
    <w:rsid w:val="42666D6B"/>
    <w:rsid w:val="42671538"/>
    <w:rsid w:val="42751EF8"/>
    <w:rsid w:val="427705F4"/>
    <w:rsid w:val="428A00A1"/>
    <w:rsid w:val="42A1154B"/>
    <w:rsid w:val="42BC77CC"/>
    <w:rsid w:val="42C57F36"/>
    <w:rsid w:val="42DB4F8B"/>
    <w:rsid w:val="42E50D40"/>
    <w:rsid w:val="42F35176"/>
    <w:rsid w:val="42F367E4"/>
    <w:rsid w:val="42F659FF"/>
    <w:rsid w:val="43012695"/>
    <w:rsid w:val="43040332"/>
    <w:rsid w:val="43217DAE"/>
    <w:rsid w:val="432602A9"/>
    <w:rsid w:val="43452E25"/>
    <w:rsid w:val="43650DD1"/>
    <w:rsid w:val="43721A28"/>
    <w:rsid w:val="43731A2A"/>
    <w:rsid w:val="437514C4"/>
    <w:rsid w:val="43762FDE"/>
    <w:rsid w:val="43854171"/>
    <w:rsid w:val="438865E1"/>
    <w:rsid w:val="439B6921"/>
    <w:rsid w:val="43CC0E50"/>
    <w:rsid w:val="43CE0810"/>
    <w:rsid w:val="43E26EBF"/>
    <w:rsid w:val="43E40F94"/>
    <w:rsid w:val="43E73FA1"/>
    <w:rsid w:val="43EE6C47"/>
    <w:rsid w:val="43F950BF"/>
    <w:rsid w:val="440041AC"/>
    <w:rsid w:val="441427F7"/>
    <w:rsid w:val="441F0AAE"/>
    <w:rsid w:val="442F6DEA"/>
    <w:rsid w:val="44352E99"/>
    <w:rsid w:val="443823EE"/>
    <w:rsid w:val="446E1F07"/>
    <w:rsid w:val="449000D0"/>
    <w:rsid w:val="449776B0"/>
    <w:rsid w:val="449C4CC6"/>
    <w:rsid w:val="44AB348C"/>
    <w:rsid w:val="44AD518C"/>
    <w:rsid w:val="44B17597"/>
    <w:rsid w:val="44C47744"/>
    <w:rsid w:val="44C94A59"/>
    <w:rsid w:val="44E65F41"/>
    <w:rsid w:val="44E71036"/>
    <w:rsid w:val="44E7457D"/>
    <w:rsid w:val="44EA007E"/>
    <w:rsid w:val="44EC5C2D"/>
    <w:rsid w:val="44FE4F8D"/>
    <w:rsid w:val="44FE59C1"/>
    <w:rsid w:val="45034D45"/>
    <w:rsid w:val="450A5C6F"/>
    <w:rsid w:val="452F0AA3"/>
    <w:rsid w:val="452F71A0"/>
    <w:rsid w:val="45322F35"/>
    <w:rsid w:val="453E7450"/>
    <w:rsid w:val="45523F07"/>
    <w:rsid w:val="45542843"/>
    <w:rsid w:val="457D09DE"/>
    <w:rsid w:val="45806A6A"/>
    <w:rsid w:val="458C2D5C"/>
    <w:rsid w:val="458F5E3E"/>
    <w:rsid w:val="45AB1A2D"/>
    <w:rsid w:val="45B10EDD"/>
    <w:rsid w:val="45BF3A14"/>
    <w:rsid w:val="45C46E00"/>
    <w:rsid w:val="45C91A10"/>
    <w:rsid w:val="45E67974"/>
    <w:rsid w:val="45E961DD"/>
    <w:rsid w:val="45F16509"/>
    <w:rsid w:val="46041458"/>
    <w:rsid w:val="460654D4"/>
    <w:rsid w:val="46072613"/>
    <w:rsid w:val="460743D6"/>
    <w:rsid w:val="46081DC4"/>
    <w:rsid w:val="4615187D"/>
    <w:rsid w:val="46175A17"/>
    <w:rsid w:val="461E795D"/>
    <w:rsid w:val="462C5D32"/>
    <w:rsid w:val="464006E5"/>
    <w:rsid w:val="46416968"/>
    <w:rsid w:val="46430B1E"/>
    <w:rsid w:val="46444DC4"/>
    <w:rsid w:val="46497371"/>
    <w:rsid w:val="46541F66"/>
    <w:rsid w:val="46553A33"/>
    <w:rsid w:val="465D66D7"/>
    <w:rsid w:val="465E1C7F"/>
    <w:rsid w:val="465F7957"/>
    <w:rsid w:val="46620FC2"/>
    <w:rsid w:val="468F297C"/>
    <w:rsid w:val="4691304C"/>
    <w:rsid w:val="46945D2A"/>
    <w:rsid w:val="46A41C10"/>
    <w:rsid w:val="46A97562"/>
    <w:rsid w:val="46AE6664"/>
    <w:rsid w:val="46B22F42"/>
    <w:rsid w:val="46BD7176"/>
    <w:rsid w:val="46BF1E0F"/>
    <w:rsid w:val="46D924A0"/>
    <w:rsid w:val="46E26BDC"/>
    <w:rsid w:val="46E7037E"/>
    <w:rsid w:val="46E9240E"/>
    <w:rsid w:val="46F075AE"/>
    <w:rsid w:val="46F30DEA"/>
    <w:rsid w:val="47073A1C"/>
    <w:rsid w:val="4709445B"/>
    <w:rsid w:val="470F194A"/>
    <w:rsid w:val="47305B9A"/>
    <w:rsid w:val="47370CD6"/>
    <w:rsid w:val="473821AC"/>
    <w:rsid w:val="4739254C"/>
    <w:rsid w:val="474068AA"/>
    <w:rsid w:val="47446854"/>
    <w:rsid w:val="47454BDE"/>
    <w:rsid w:val="47541888"/>
    <w:rsid w:val="47552CBC"/>
    <w:rsid w:val="47584998"/>
    <w:rsid w:val="475C083B"/>
    <w:rsid w:val="477402A6"/>
    <w:rsid w:val="477A012E"/>
    <w:rsid w:val="477C0DDF"/>
    <w:rsid w:val="477E1023"/>
    <w:rsid w:val="477E3690"/>
    <w:rsid w:val="47863D8C"/>
    <w:rsid w:val="47A151BE"/>
    <w:rsid w:val="47A2428B"/>
    <w:rsid w:val="47A84747"/>
    <w:rsid w:val="47B24801"/>
    <w:rsid w:val="47B6071F"/>
    <w:rsid w:val="47B622FA"/>
    <w:rsid w:val="47BB2143"/>
    <w:rsid w:val="47BB75C7"/>
    <w:rsid w:val="47C87B80"/>
    <w:rsid w:val="47CD5E87"/>
    <w:rsid w:val="47CF53B3"/>
    <w:rsid w:val="47DD1FB8"/>
    <w:rsid w:val="47DD59D5"/>
    <w:rsid w:val="47E844D1"/>
    <w:rsid w:val="47EB25B3"/>
    <w:rsid w:val="47EF22F9"/>
    <w:rsid w:val="47F04456"/>
    <w:rsid w:val="47F676A6"/>
    <w:rsid w:val="47F74C2A"/>
    <w:rsid w:val="47FC28B8"/>
    <w:rsid w:val="4807185D"/>
    <w:rsid w:val="480D6D7A"/>
    <w:rsid w:val="48135ACB"/>
    <w:rsid w:val="481E59F2"/>
    <w:rsid w:val="48321781"/>
    <w:rsid w:val="483B65A4"/>
    <w:rsid w:val="48496F13"/>
    <w:rsid w:val="48502DBC"/>
    <w:rsid w:val="485908F5"/>
    <w:rsid w:val="485B11BF"/>
    <w:rsid w:val="485F12FD"/>
    <w:rsid w:val="48874064"/>
    <w:rsid w:val="488E54D7"/>
    <w:rsid w:val="489F5422"/>
    <w:rsid w:val="48B77355"/>
    <w:rsid w:val="48BC3D17"/>
    <w:rsid w:val="48BD1ABF"/>
    <w:rsid w:val="48C3358A"/>
    <w:rsid w:val="48CC44D8"/>
    <w:rsid w:val="48D72771"/>
    <w:rsid w:val="48DA7B6B"/>
    <w:rsid w:val="48DB7220"/>
    <w:rsid w:val="48E06C03"/>
    <w:rsid w:val="48E52B99"/>
    <w:rsid w:val="48F7696F"/>
    <w:rsid w:val="48FB24BB"/>
    <w:rsid w:val="48FF3A76"/>
    <w:rsid w:val="49032368"/>
    <w:rsid w:val="49080B7C"/>
    <w:rsid w:val="491C0184"/>
    <w:rsid w:val="491C22E7"/>
    <w:rsid w:val="492D50BA"/>
    <w:rsid w:val="492F045D"/>
    <w:rsid w:val="49314C07"/>
    <w:rsid w:val="493A431E"/>
    <w:rsid w:val="4947508B"/>
    <w:rsid w:val="49514E23"/>
    <w:rsid w:val="495F0B5E"/>
    <w:rsid w:val="49681043"/>
    <w:rsid w:val="497008A4"/>
    <w:rsid w:val="49740B6A"/>
    <w:rsid w:val="497B7FE3"/>
    <w:rsid w:val="497C4A21"/>
    <w:rsid w:val="49837AC3"/>
    <w:rsid w:val="498972C5"/>
    <w:rsid w:val="498E5A8C"/>
    <w:rsid w:val="4996233E"/>
    <w:rsid w:val="49A13CC2"/>
    <w:rsid w:val="49A7283D"/>
    <w:rsid w:val="49B12E09"/>
    <w:rsid w:val="49B14854"/>
    <w:rsid w:val="49C04E41"/>
    <w:rsid w:val="49D12E78"/>
    <w:rsid w:val="49D2118A"/>
    <w:rsid w:val="49D260A4"/>
    <w:rsid w:val="49E04125"/>
    <w:rsid w:val="49EB0708"/>
    <w:rsid w:val="49EF5B52"/>
    <w:rsid w:val="4A0220F0"/>
    <w:rsid w:val="4A037596"/>
    <w:rsid w:val="4A0724DA"/>
    <w:rsid w:val="4A0864A9"/>
    <w:rsid w:val="4A0E63F0"/>
    <w:rsid w:val="4A1254C4"/>
    <w:rsid w:val="4A1915DE"/>
    <w:rsid w:val="4A1E1CDA"/>
    <w:rsid w:val="4A281E17"/>
    <w:rsid w:val="4A372D9B"/>
    <w:rsid w:val="4A4431CB"/>
    <w:rsid w:val="4A5751EC"/>
    <w:rsid w:val="4A702DC4"/>
    <w:rsid w:val="4A727D41"/>
    <w:rsid w:val="4A8478B8"/>
    <w:rsid w:val="4A8D7FB1"/>
    <w:rsid w:val="4AA61429"/>
    <w:rsid w:val="4AA72A0B"/>
    <w:rsid w:val="4AA91EEB"/>
    <w:rsid w:val="4AB265B9"/>
    <w:rsid w:val="4ABC4224"/>
    <w:rsid w:val="4AC11E21"/>
    <w:rsid w:val="4AC65188"/>
    <w:rsid w:val="4ACA0755"/>
    <w:rsid w:val="4AD4159A"/>
    <w:rsid w:val="4AD86414"/>
    <w:rsid w:val="4AD875BD"/>
    <w:rsid w:val="4AF1429D"/>
    <w:rsid w:val="4B052E99"/>
    <w:rsid w:val="4B180F63"/>
    <w:rsid w:val="4B1C090F"/>
    <w:rsid w:val="4B2D5E25"/>
    <w:rsid w:val="4B307F16"/>
    <w:rsid w:val="4B43686F"/>
    <w:rsid w:val="4B4820C4"/>
    <w:rsid w:val="4B4B6D65"/>
    <w:rsid w:val="4B5736F5"/>
    <w:rsid w:val="4B5869B6"/>
    <w:rsid w:val="4B655155"/>
    <w:rsid w:val="4B6F6776"/>
    <w:rsid w:val="4B7C147C"/>
    <w:rsid w:val="4B8244EA"/>
    <w:rsid w:val="4B885FA4"/>
    <w:rsid w:val="4BCD7E5B"/>
    <w:rsid w:val="4BD46B90"/>
    <w:rsid w:val="4BD56D10"/>
    <w:rsid w:val="4BE27A71"/>
    <w:rsid w:val="4BEA5C1A"/>
    <w:rsid w:val="4BF20745"/>
    <w:rsid w:val="4BFE6267"/>
    <w:rsid w:val="4C017732"/>
    <w:rsid w:val="4C043151"/>
    <w:rsid w:val="4C07336D"/>
    <w:rsid w:val="4C0851C2"/>
    <w:rsid w:val="4C096814"/>
    <w:rsid w:val="4C0A4C0B"/>
    <w:rsid w:val="4C0F3FD0"/>
    <w:rsid w:val="4C1E2465"/>
    <w:rsid w:val="4C3465C9"/>
    <w:rsid w:val="4C433C79"/>
    <w:rsid w:val="4C4C5224"/>
    <w:rsid w:val="4C4D6801"/>
    <w:rsid w:val="4C552FDC"/>
    <w:rsid w:val="4C575ACC"/>
    <w:rsid w:val="4C5E4F57"/>
    <w:rsid w:val="4C6B26D5"/>
    <w:rsid w:val="4C786019"/>
    <w:rsid w:val="4C8508EA"/>
    <w:rsid w:val="4C8D7888"/>
    <w:rsid w:val="4C9465C8"/>
    <w:rsid w:val="4C955C6A"/>
    <w:rsid w:val="4C9D5A7F"/>
    <w:rsid w:val="4CA93B10"/>
    <w:rsid w:val="4CAC42B5"/>
    <w:rsid w:val="4CBA6205"/>
    <w:rsid w:val="4CCC7D27"/>
    <w:rsid w:val="4CDA03A1"/>
    <w:rsid w:val="4CDE38EE"/>
    <w:rsid w:val="4CE3522C"/>
    <w:rsid w:val="4CE932BC"/>
    <w:rsid w:val="4CF50E7C"/>
    <w:rsid w:val="4CFA4C80"/>
    <w:rsid w:val="4D017C1C"/>
    <w:rsid w:val="4D0C70E2"/>
    <w:rsid w:val="4D136259"/>
    <w:rsid w:val="4D153868"/>
    <w:rsid w:val="4D2138D5"/>
    <w:rsid w:val="4D284213"/>
    <w:rsid w:val="4D2C3B3C"/>
    <w:rsid w:val="4D35404F"/>
    <w:rsid w:val="4D3A344D"/>
    <w:rsid w:val="4D5C3245"/>
    <w:rsid w:val="4D655436"/>
    <w:rsid w:val="4D671BE9"/>
    <w:rsid w:val="4D7B1789"/>
    <w:rsid w:val="4D860747"/>
    <w:rsid w:val="4D891B60"/>
    <w:rsid w:val="4D924EB8"/>
    <w:rsid w:val="4DA252E9"/>
    <w:rsid w:val="4DA44BEC"/>
    <w:rsid w:val="4DB0440C"/>
    <w:rsid w:val="4DB443C2"/>
    <w:rsid w:val="4DB52955"/>
    <w:rsid w:val="4DB71CF8"/>
    <w:rsid w:val="4DBE0DC0"/>
    <w:rsid w:val="4DD44485"/>
    <w:rsid w:val="4DD52FF7"/>
    <w:rsid w:val="4DD977ED"/>
    <w:rsid w:val="4DDE47F7"/>
    <w:rsid w:val="4DE1110F"/>
    <w:rsid w:val="4E0A41FA"/>
    <w:rsid w:val="4E0B3BD8"/>
    <w:rsid w:val="4E0F475B"/>
    <w:rsid w:val="4E343C31"/>
    <w:rsid w:val="4E37651A"/>
    <w:rsid w:val="4E3A10AC"/>
    <w:rsid w:val="4E3A5088"/>
    <w:rsid w:val="4E3B2D04"/>
    <w:rsid w:val="4E465C6B"/>
    <w:rsid w:val="4E4E598D"/>
    <w:rsid w:val="4E4F6905"/>
    <w:rsid w:val="4E53430E"/>
    <w:rsid w:val="4E5B174E"/>
    <w:rsid w:val="4E6E11BE"/>
    <w:rsid w:val="4E79197C"/>
    <w:rsid w:val="4EA56042"/>
    <w:rsid w:val="4EAD00FF"/>
    <w:rsid w:val="4EB47805"/>
    <w:rsid w:val="4EB707DF"/>
    <w:rsid w:val="4EC67B68"/>
    <w:rsid w:val="4EC75B6C"/>
    <w:rsid w:val="4EE64FE1"/>
    <w:rsid w:val="4EE65FB4"/>
    <w:rsid w:val="4EF64277"/>
    <w:rsid w:val="4EFD25D9"/>
    <w:rsid w:val="4F0446F0"/>
    <w:rsid w:val="4F083565"/>
    <w:rsid w:val="4F1B3C24"/>
    <w:rsid w:val="4F1C3672"/>
    <w:rsid w:val="4F26519D"/>
    <w:rsid w:val="4F433752"/>
    <w:rsid w:val="4F437BB6"/>
    <w:rsid w:val="4F4B6FBD"/>
    <w:rsid w:val="4F530677"/>
    <w:rsid w:val="4F5E063B"/>
    <w:rsid w:val="4F7A7F91"/>
    <w:rsid w:val="4F7D74A2"/>
    <w:rsid w:val="4F8627FB"/>
    <w:rsid w:val="4F8A62D6"/>
    <w:rsid w:val="4F951AE4"/>
    <w:rsid w:val="4FA233AD"/>
    <w:rsid w:val="4FA6729C"/>
    <w:rsid w:val="4FB15350"/>
    <w:rsid w:val="4FB3513A"/>
    <w:rsid w:val="4FB97980"/>
    <w:rsid w:val="4FC13989"/>
    <w:rsid w:val="4FD00DBB"/>
    <w:rsid w:val="4FE0767E"/>
    <w:rsid w:val="4FF1149E"/>
    <w:rsid w:val="4FF359B6"/>
    <w:rsid w:val="4FF43AC9"/>
    <w:rsid w:val="4FF5172F"/>
    <w:rsid w:val="4FFE4A87"/>
    <w:rsid w:val="500D49BD"/>
    <w:rsid w:val="501F2643"/>
    <w:rsid w:val="50206418"/>
    <w:rsid w:val="50212524"/>
    <w:rsid w:val="50245B70"/>
    <w:rsid w:val="502908B9"/>
    <w:rsid w:val="502C676E"/>
    <w:rsid w:val="502D3480"/>
    <w:rsid w:val="50487AB0"/>
    <w:rsid w:val="50550C2E"/>
    <w:rsid w:val="5060304C"/>
    <w:rsid w:val="50753961"/>
    <w:rsid w:val="507765E7"/>
    <w:rsid w:val="50860F40"/>
    <w:rsid w:val="50930410"/>
    <w:rsid w:val="50993B34"/>
    <w:rsid w:val="509C604E"/>
    <w:rsid w:val="50A47C81"/>
    <w:rsid w:val="50C57353"/>
    <w:rsid w:val="50C80C47"/>
    <w:rsid w:val="50CE4727"/>
    <w:rsid w:val="50CF01D2"/>
    <w:rsid w:val="50D21A70"/>
    <w:rsid w:val="50DA7389"/>
    <w:rsid w:val="50E81293"/>
    <w:rsid w:val="50F9711A"/>
    <w:rsid w:val="51015643"/>
    <w:rsid w:val="51037E7B"/>
    <w:rsid w:val="510B207F"/>
    <w:rsid w:val="510C1C56"/>
    <w:rsid w:val="5117712B"/>
    <w:rsid w:val="513922C3"/>
    <w:rsid w:val="514A47E4"/>
    <w:rsid w:val="514F735E"/>
    <w:rsid w:val="51595B4B"/>
    <w:rsid w:val="515B2D20"/>
    <w:rsid w:val="515F3303"/>
    <w:rsid w:val="51641D40"/>
    <w:rsid w:val="51722BCE"/>
    <w:rsid w:val="51781A83"/>
    <w:rsid w:val="518F6CC4"/>
    <w:rsid w:val="5197681B"/>
    <w:rsid w:val="51A36F9F"/>
    <w:rsid w:val="51AD040B"/>
    <w:rsid w:val="51AF61F0"/>
    <w:rsid w:val="51AF7DB0"/>
    <w:rsid w:val="51C044F3"/>
    <w:rsid w:val="51C20FCC"/>
    <w:rsid w:val="51CD6604"/>
    <w:rsid w:val="51D3784E"/>
    <w:rsid w:val="51D93E77"/>
    <w:rsid w:val="51E12914"/>
    <w:rsid w:val="51E5241A"/>
    <w:rsid w:val="51E607FC"/>
    <w:rsid w:val="51F4066A"/>
    <w:rsid w:val="5201606E"/>
    <w:rsid w:val="520C2D5F"/>
    <w:rsid w:val="521039ED"/>
    <w:rsid w:val="52172EA2"/>
    <w:rsid w:val="52197438"/>
    <w:rsid w:val="52201FE8"/>
    <w:rsid w:val="52335577"/>
    <w:rsid w:val="523B6EAF"/>
    <w:rsid w:val="523C796F"/>
    <w:rsid w:val="525A7F6F"/>
    <w:rsid w:val="526A0440"/>
    <w:rsid w:val="5270464A"/>
    <w:rsid w:val="52744464"/>
    <w:rsid w:val="527F1675"/>
    <w:rsid w:val="5281374D"/>
    <w:rsid w:val="5290573F"/>
    <w:rsid w:val="52920620"/>
    <w:rsid w:val="529B480F"/>
    <w:rsid w:val="52A405AA"/>
    <w:rsid w:val="52A46323"/>
    <w:rsid w:val="52A500F5"/>
    <w:rsid w:val="52B70F1D"/>
    <w:rsid w:val="52BB6551"/>
    <w:rsid w:val="52CB49C9"/>
    <w:rsid w:val="52CF0011"/>
    <w:rsid w:val="52DC4719"/>
    <w:rsid w:val="52DF3940"/>
    <w:rsid w:val="52F67C97"/>
    <w:rsid w:val="530B0888"/>
    <w:rsid w:val="530E14F1"/>
    <w:rsid w:val="53155A14"/>
    <w:rsid w:val="53190BB2"/>
    <w:rsid w:val="531F0B22"/>
    <w:rsid w:val="53364D03"/>
    <w:rsid w:val="533A47DA"/>
    <w:rsid w:val="533E62C2"/>
    <w:rsid w:val="534D2C79"/>
    <w:rsid w:val="534F6DFE"/>
    <w:rsid w:val="5354676C"/>
    <w:rsid w:val="53570B15"/>
    <w:rsid w:val="535E583D"/>
    <w:rsid w:val="536D15F3"/>
    <w:rsid w:val="537F6CFC"/>
    <w:rsid w:val="538A4C46"/>
    <w:rsid w:val="53A44BBD"/>
    <w:rsid w:val="53B04DE6"/>
    <w:rsid w:val="53BD5701"/>
    <w:rsid w:val="53BE5CE4"/>
    <w:rsid w:val="53C14392"/>
    <w:rsid w:val="53CC4537"/>
    <w:rsid w:val="53DD3091"/>
    <w:rsid w:val="53F046E7"/>
    <w:rsid w:val="53FC14B1"/>
    <w:rsid w:val="540A776B"/>
    <w:rsid w:val="541246F0"/>
    <w:rsid w:val="541A1A64"/>
    <w:rsid w:val="5421083B"/>
    <w:rsid w:val="54316AAD"/>
    <w:rsid w:val="54332825"/>
    <w:rsid w:val="543C4009"/>
    <w:rsid w:val="543D1CAE"/>
    <w:rsid w:val="54557B99"/>
    <w:rsid w:val="54696247"/>
    <w:rsid w:val="54761A7F"/>
    <w:rsid w:val="548F02D9"/>
    <w:rsid w:val="54923789"/>
    <w:rsid w:val="54931516"/>
    <w:rsid w:val="54A4226F"/>
    <w:rsid w:val="54B77C68"/>
    <w:rsid w:val="54CD67D6"/>
    <w:rsid w:val="54D66DA9"/>
    <w:rsid w:val="54E029AD"/>
    <w:rsid w:val="54E67D22"/>
    <w:rsid w:val="54ED4955"/>
    <w:rsid w:val="54F94CD6"/>
    <w:rsid w:val="550200E0"/>
    <w:rsid w:val="550348EE"/>
    <w:rsid w:val="55086B40"/>
    <w:rsid w:val="55101EB0"/>
    <w:rsid w:val="55196247"/>
    <w:rsid w:val="5521233B"/>
    <w:rsid w:val="55260912"/>
    <w:rsid w:val="55317AD1"/>
    <w:rsid w:val="55362C2B"/>
    <w:rsid w:val="55376FE4"/>
    <w:rsid w:val="55410CDA"/>
    <w:rsid w:val="55576A27"/>
    <w:rsid w:val="55823A64"/>
    <w:rsid w:val="558633E5"/>
    <w:rsid w:val="558A46C7"/>
    <w:rsid w:val="558D7D3D"/>
    <w:rsid w:val="5597560F"/>
    <w:rsid w:val="55986DE4"/>
    <w:rsid w:val="55B015AB"/>
    <w:rsid w:val="55B14A5F"/>
    <w:rsid w:val="55C0633B"/>
    <w:rsid w:val="55CD0FB5"/>
    <w:rsid w:val="55D115CA"/>
    <w:rsid w:val="55D65B5E"/>
    <w:rsid w:val="55E11340"/>
    <w:rsid w:val="55E24D68"/>
    <w:rsid w:val="55E4009B"/>
    <w:rsid w:val="55E53FD6"/>
    <w:rsid w:val="55EE747A"/>
    <w:rsid w:val="55F13956"/>
    <w:rsid w:val="55FA70D1"/>
    <w:rsid w:val="56065F22"/>
    <w:rsid w:val="561D19DF"/>
    <w:rsid w:val="561F1498"/>
    <w:rsid w:val="5633486A"/>
    <w:rsid w:val="56345B04"/>
    <w:rsid w:val="563805C7"/>
    <w:rsid w:val="56383549"/>
    <w:rsid w:val="563D585B"/>
    <w:rsid w:val="563E3AD8"/>
    <w:rsid w:val="56424FA2"/>
    <w:rsid w:val="565214D7"/>
    <w:rsid w:val="56625644"/>
    <w:rsid w:val="56707D61"/>
    <w:rsid w:val="56723AD9"/>
    <w:rsid w:val="56773047"/>
    <w:rsid w:val="5683001B"/>
    <w:rsid w:val="568C0625"/>
    <w:rsid w:val="56903D73"/>
    <w:rsid w:val="5691407C"/>
    <w:rsid w:val="56A31EE4"/>
    <w:rsid w:val="56A4277C"/>
    <w:rsid w:val="56AA0B00"/>
    <w:rsid w:val="56AD5ADB"/>
    <w:rsid w:val="56C258C0"/>
    <w:rsid w:val="56C467E7"/>
    <w:rsid w:val="56DA342C"/>
    <w:rsid w:val="56DB0E70"/>
    <w:rsid w:val="56EB6AC7"/>
    <w:rsid w:val="56FB7B3D"/>
    <w:rsid w:val="570019F4"/>
    <w:rsid w:val="5702306A"/>
    <w:rsid w:val="570536BB"/>
    <w:rsid w:val="573D54B8"/>
    <w:rsid w:val="57405985"/>
    <w:rsid w:val="57455DE7"/>
    <w:rsid w:val="574604A5"/>
    <w:rsid w:val="577D77DA"/>
    <w:rsid w:val="578A340D"/>
    <w:rsid w:val="578B7E7E"/>
    <w:rsid w:val="57902A5A"/>
    <w:rsid w:val="57985710"/>
    <w:rsid w:val="579B58EE"/>
    <w:rsid w:val="579E08FE"/>
    <w:rsid w:val="579E7B07"/>
    <w:rsid w:val="57A23F4A"/>
    <w:rsid w:val="57A87CB5"/>
    <w:rsid w:val="57BF4E3F"/>
    <w:rsid w:val="57BF6C50"/>
    <w:rsid w:val="57E90310"/>
    <w:rsid w:val="57F831DB"/>
    <w:rsid w:val="5805272B"/>
    <w:rsid w:val="580E7831"/>
    <w:rsid w:val="581D1822"/>
    <w:rsid w:val="581D629F"/>
    <w:rsid w:val="582B7602"/>
    <w:rsid w:val="582D1DF9"/>
    <w:rsid w:val="58492FE1"/>
    <w:rsid w:val="58535244"/>
    <w:rsid w:val="585A3BC4"/>
    <w:rsid w:val="58662F05"/>
    <w:rsid w:val="586C4558"/>
    <w:rsid w:val="58724029"/>
    <w:rsid w:val="587859DA"/>
    <w:rsid w:val="587C0C3F"/>
    <w:rsid w:val="588F51C1"/>
    <w:rsid w:val="58986428"/>
    <w:rsid w:val="589F492D"/>
    <w:rsid w:val="58A50058"/>
    <w:rsid w:val="58AC5E9E"/>
    <w:rsid w:val="58C53084"/>
    <w:rsid w:val="58C860C1"/>
    <w:rsid w:val="58EE5AC5"/>
    <w:rsid w:val="58F02049"/>
    <w:rsid w:val="58F14CEC"/>
    <w:rsid w:val="59017396"/>
    <w:rsid w:val="591B0FD7"/>
    <w:rsid w:val="591E2597"/>
    <w:rsid w:val="59204264"/>
    <w:rsid w:val="594C38C8"/>
    <w:rsid w:val="5952374E"/>
    <w:rsid w:val="595276C7"/>
    <w:rsid w:val="59554FEC"/>
    <w:rsid w:val="595C1EF6"/>
    <w:rsid w:val="596D67DA"/>
    <w:rsid w:val="59702C73"/>
    <w:rsid w:val="59790B1E"/>
    <w:rsid w:val="59812008"/>
    <w:rsid w:val="5988416C"/>
    <w:rsid w:val="59A044BC"/>
    <w:rsid w:val="59B325EA"/>
    <w:rsid w:val="59B3316B"/>
    <w:rsid w:val="59B3653F"/>
    <w:rsid w:val="59B46C80"/>
    <w:rsid w:val="59B57C6F"/>
    <w:rsid w:val="59CB687A"/>
    <w:rsid w:val="59D75D43"/>
    <w:rsid w:val="59DE1485"/>
    <w:rsid w:val="59E27C3A"/>
    <w:rsid w:val="59E444E8"/>
    <w:rsid w:val="59E92304"/>
    <w:rsid w:val="59EF71EF"/>
    <w:rsid w:val="5A052F63"/>
    <w:rsid w:val="5A074222"/>
    <w:rsid w:val="5A0A227A"/>
    <w:rsid w:val="5A107BB6"/>
    <w:rsid w:val="5A1629CD"/>
    <w:rsid w:val="5A177BD0"/>
    <w:rsid w:val="5A1A05C1"/>
    <w:rsid w:val="5A1A09A7"/>
    <w:rsid w:val="5A3A490E"/>
    <w:rsid w:val="5A3D43FE"/>
    <w:rsid w:val="5A491D30"/>
    <w:rsid w:val="5A4964F7"/>
    <w:rsid w:val="5A5B4884"/>
    <w:rsid w:val="5A5B79BF"/>
    <w:rsid w:val="5A5F25C6"/>
    <w:rsid w:val="5A6B2D19"/>
    <w:rsid w:val="5A6F41E8"/>
    <w:rsid w:val="5A712D9C"/>
    <w:rsid w:val="5A731BCE"/>
    <w:rsid w:val="5A784EC8"/>
    <w:rsid w:val="5A7A7400"/>
    <w:rsid w:val="5A7C1C26"/>
    <w:rsid w:val="5A7F7DCB"/>
    <w:rsid w:val="5A8E77E6"/>
    <w:rsid w:val="5A9316FF"/>
    <w:rsid w:val="5A936BA4"/>
    <w:rsid w:val="5A9A1850"/>
    <w:rsid w:val="5AA14AF3"/>
    <w:rsid w:val="5AA4352C"/>
    <w:rsid w:val="5AA7519E"/>
    <w:rsid w:val="5AAF4630"/>
    <w:rsid w:val="5AB54CAF"/>
    <w:rsid w:val="5ABE1E05"/>
    <w:rsid w:val="5AC23518"/>
    <w:rsid w:val="5AD065E8"/>
    <w:rsid w:val="5ADA178C"/>
    <w:rsid w:val="5AE233E4"/>
    <w:rsid w:val="5AE42ACB"/>
    <w:rsid w:val="5AE5349A"/>
    <w:rsid w:val="5AF73F97"/>
    <w:rsid w:val="5B0373F5"/>
    <w:rsid w:val="5B116F31"/>
    <w:rsid w:val="5B4C54AB"/>
    <w:rsid w:val="5B4D0671"/>
    <w:rsid w:val="5B533436"/>
    <w:rsid w:val="5B5D0B26"/>
    <w:rsid w:val="5B743D69"/>
    <w:rsid w:val="5B751975"/>
    <w:rsid w:val="5B78402D"/>
    <w:rsid w:val="5B7B7E83"/>
    <w:rsid w:val="5B871DD5"/>
    <w:rsid w:val="5B8B2B1E"/>
    <w:rsid w:val="5BA5225B"/>
    <w:rsid w:val="5BBE7ACF"/>
    <w:rsid w:val="5BC14BBB"/>
    <w:rsid w:val="5BC479E7"/>
    <w:rsid w:val="5BC67CA3"/>
    <w:rsid w:val="5BD56D95"/>
    <w:rsid w:val="5BDF32F9"/>
    <w:rsid w:val="5BE42B0A"/>
    <w:rsid w:val="5BF1296B"/>
    <w:rsid w:val="5C031A23"/>
    <w:rsid w:val="5C045DD6"/>
    <w:rsid w:val="5C0B3130"/>
    <w:rsid w:val="5C2C4DBB"/>
    <w:rsid w:val="5C3245D7"/>
    <w:rsid w:val="5C38752E"/>
    <w:rsid w:val="5C406C43"/>
    <w:rsid w:val="5C4557EC"/>
    <w:rsid w:val="5C531BAB"/>
    <w:rsid w:val="5C5A1762"/>
    <w:rsid w:val="5C5C747C"/>
    <w:rsid w:val="5C6C4822"/>
    <w:rsid w:val="5C757E7F"/>
    <w:rsid w:val="5C7A66D3"/>
    <w:rsid w:val="5C855BE8"/>
    <w:rsid w:val="5C900731"/>
    <w:rsid w:val="5C906C89"/>
    <w:rsid w:val="5C930305"/>
    <w:rsid w:val="5C9318FB"/>
    <w:rsid w:val="5C935DC5"/>
    <w:rsid w:val="5C93759D"/>
    <w:rsid w:val="5C9D2F32"/>
    <w:rsid w:val="5C9E5DE5"/>
    <w:rsid w:val="5CA70152"/>
    <w:rsid w:val="5CB0394B"/>
    <w:rsid w:val="5CB84210"/>
    <w:rsid w:val="5CBA515C"/>
    <w:rsid w:val="5CC331C2"/>
    <w:rsid w:val="5CDB6D23"/>
    <w:rsid w:val="5CDD5A24"/>
    <w:rsid w:val="5CE04545"/>
    <w:rsid w:val="5CE479AA"/>
    <w:rsid w:val="5CEE5E83"/>
    <w:rsid w:val="5CFA3F26"/>
    <w:rsid w:val="5CFF2B90"/>
    <w:rsid w:val="5D10052D"/>
    <w:rsid w:val="5D1358E2"/>
    <w:rsid w:val="5D1508DE"/>
    <w:rsid w:val="5D1C0B5B"/>
    <w:rsid w:val="5D214D8C"/>
    <w:rsid w:val="5D235B2D"/>
    <w:rsid w:val="5D2402A3"/>
    <w:rsid w:val="5D25087C"/>
    <w:rsid w:val="5D2C4DF7"/>
    <w:rsid w:val="5D2D36E5"/>
    <w:rsid w:val="5D301E31"/>
    <w:rsid w:val="5D304827"/>
    <w:rsid w:val="5D331AE8"/>
    <w:rsid w:val="5D356A32"/>
    <w:rsid w:val="5D404D1F"/>
    <w:rsid w:val="5D414205"/>
    <w:rsid w:val="5D4C7BA9"/>
    <w:rsid w:val="5D5509CA"/>
    <w:rsid w:val="5D626FE7"/>
    <w:rsid w:val="5D704836"/>
    <w:rsid w:val="5D725016"/>
    <w:rsid w:val="5D72616D"/>
    <w:rsid w:val="5D726A4F"/>
    <w:rsid w:val="5D753829"/>
    <w:rsid w:val="5D7C6FEB"/>
    <w:rsid w:val="5D8660BC"/>
    <w:rsid w:val="5D885C9C"/>
    <w:rsid w:val="5D890553"/>
    <w:rsid w:val="5D8E4C63"/>
    <w:rsid w:val="5D90412A"/>
    <w:rsid w:val="5DAA0368"/>
    <w:rsid w:val="5DAA2BAD"/>
    <w:rsid w:val="5DAB773C"/>
    <w:rsid w:val="5DB1138B"/>
    <w:rsid w:val="5DB25905"/>
    <w:rsid w:val="5DB72B65"/>
    <w:rsid w:val="5DB9023F"/>
    <w:rsid w:val="5DDE3802"/>
    <w:rsid w:val="5DE15998"/>
    <w:rsid w:val="5DE352BC"/>
    <w:rsid w:val="5DF75601"/>
    <w:rsid w:val="5E05011B"/>
    <w:rsid w:val="5E0A66B4"/>
    <w:rsid w:val="5E122904"/>
    <w:rsid w:val="5E23286C"/>
    <w:rsid w:val="5E4156C7"/>
    <w:rsid w:val="5E4B7993"/>
    <w:rsid w:val="5E4E0C18"/>
    <w:rsid w:val="5E736640"/>
    <w:rsid w:val="5E7803B6"/>
    <w:rsid w:val="5E797067"/>
    <w:rsid w:val="5E854552"/>
    <w:rsid w:val="5E966F4D"/>
    <w:rsid w:val="5EB30919"/>
    <w:rsid w:val="5EB32EE1"/>
    <w:rsid w:val="5EBC62A5"/>
    <w:rsid w:val="5EBF3753"/>
    <w:rsid w:val="5EC433D5"/>
    <w:rsid w:val="5EC60CEC"/>
    <w:rsid w:val="5EEB32A1"/>
    <w:rsid w:val="5F147AC0"/>
    <w:rsid w:val="5F1A37B8"/>
    <w:rsid w:val="5F1F40D2"/>
    <w:rsid w:val="5F28567D"/>
    <w:rsid w:val="5F395270"/>
    <w:rsid w:val="5F3E5AA0"/>
    <w:rsid w:val="5F4F5361"/>
    <w:rsid w:val="5F555D46"/>
    <w:rsid w:val="5F6E5059"/>
    <w:rsid w:val="5F72757D"/>
    <w:rsid w:val="5F891E7C"/>
    <w:rsid w:val="5F8D156F"/>
    <w:rsid w:val="5F8E4BBC"/>
    <w:rsid w:val="5F913BAB"/>
    <w:rsid w:val="5F965543"/>
    <w:rsid w:val="5F9B4FAA"/>
    <w:rsid w:val="5F9F5213"/>
    <w:rsid w:val="5FA14139"/>
    <w:rsid w:val="5FA4195F"/>
    <w:rsid w:val="5FA516CA"/>
    <w:rsid w:val="5FAB5327"/>
    <w:rsid w:val="5FB43BCA"/>
    <w:rsid w:val="5FB80D23"/>
    <w:rsid w:val="5FC627A0"/>
    <w:rsid w:val="5FD61855"/>
    <w:rsid w:val="5FDA4207"/>
    <w:rsid w:val="5FE00949"/>
    <w:rsid w:val="5FE07D05"/>
    <w:rsid w:val="5FFF3A83"/>
    <w:rsid w:val="600557A3"/>
    <w:rsid w:val="60100504"/>
    <w:rsid w:val="6019239B"/>
    <w:rsid w:val="6022105B"/>
    <w:rsid w:val="60317606"/>
    <w:rsid w:val="60342EFB"/>
    <w:rsid w:val="60345203"/>
    <w:rsid w:val="60391AF7"/>
    <w:rsid w:val="60414D5D"/>
    <w:rsid w:val="604314A9"/>
    <w:rsid w:val="60451093"/>
    <w:rsid w:val="604F6DF0"/>
    <w:rsid w:val="60553260"/>
    <w:rsid w:val="605B3830"/>
    <w:rsid w:val="606B106D"/>
    <w:rsid w:val="606D70BF"/>
    <w:rsid w:val="607B57AA"/>
    <w:rsid w:val="607E0176"/>
    <w:rsid w:val="607E5941"/>
    <w:rsid w:val="60815A80"/>
    <w:rsid w:val="60823EE0"/>
    <w:rsid w:val="60836988"/>
    <w:rsid w:val="60867EF3"/>
    <w:rsid w:val="60917BE5"/>
    <w:rsid w:val="60966616"/>
    <w:rsid w:val="60A21945"/>
    <w:rsid w:val="60BA706C"/>
    <w:rsid w:val="60BC3B6C"/>
    <w:rsid w:val="60D1764E"/>
    <w:rsid w:val="60DA5EBB"/>
    <w:rsid w:val="60E43825"/>
    <w:rsid w:val="60E71BFE"/>
    <w:rsid w:val="60EE21A3"/>
    <w:rsid w:val="60F33A68"/>
    <w:rsid w:val="60F63558"/>
    <w:rsid w:val="60FA6096"/>
    <w:rsid w:val="60FD1C8A"/>
    <w:rsid w:val="61180520"/>
    <w:rsid w:val="613D495B"/>
    <w:rsid w:val="614E0C9F"/>
    <w:rsid w:val="61500D4C"/>
    <w:rsid w:val="615C160D"/>
    <w:rsid w:val="61646DD6"/>
    <w:rsid w:val="61667117"/>
    <w:rsid w:val="616C22FC"/>
    <w:rsid w:val="617428EB"/>
    <w:rsid w:val="61765B94"/>
    <w:rsid w:val="61767FFA"/>
    <w:rsid w:val="617F354E"/>
    <w:rsid w:val="618D0AE8"/>
    <w:rsid w:val="618D2570"/>
    <w:rsid w:val="61954AEC"/>
    <w:rsid w:val="61956631"/>
    <w:rsid w:val="619D39E9"/>
    <w:rsid w:val="619F6539"/>
    <w:rsid w:val="61A53124"/>
    <w:rsid w:val="61B5194E"/>
    <w:rsid w:val="61B813BF"/>
    <w:rsid w:val="61BC02FE"/>
    <w:rsid w:val="61BE6086"/>
    <w:rsid w:val="61D216CF"/>
    <w:rsid w:val="61EF2D69"/>
    <w:rsid w:val="61FC06FB"/>
    <w:rsid w:val="620A47D7"/>
    <w:rsid w:val="621F6C7C"/>
    <w:rsid w:val="623422FF"/>
    <w:rsid w:val="62432908"/>
    <w:rsid w:val="62480070"/>
    <w:rsid w:val="62492E5E"/>
    <w:rsid w:val="624948D7"/>
    <w:rsid w:val="624A590A"/>
    <w:rsid w:val="626D2C74"/>
    <w:rsid w:val="62755F9A"/>
    <w:rsid w:val="627A69F8"/>
    <w:rsid w:val="628E52A5"/>
    <w:rsid w:val="62924D4A"/>
    <w:rsid w:val="629566FA"/>
    <w:rsid w:val="62A571CB"/>
    <w:rsid w:val="62B9483E"/>
    <w:rsid w:val="62B97209"/>
    <w:rsid w:val="62C62CD6"/>
    <w:rsid w:val="62C809EA"/>
    <w:rsid w:val="62CE1AD4"/>
    <w:rsid w:val="62CE49D1"/>
    <w:rsid w:val="62E65885"/>
    <w:rsid w:val="62F13FD7"/>
    <w:rsid w:val="633605DF"/>
    <w:rsid w:val="633F3F1D"/>
    <w:rsid w:val="63465B93"/>
    <w:rsid w:val="63651C00"/>
    <w:rsid w:val="63707F9E"/>
    <w:rsid w:val="6390291A"/>
    <w:rsid w:val="63963AFD"/>
    <w:rsid w:val="639A3714"/>
    <w:rsid w:val="63A01E2F"/>
    <w:rsid w:val="63BA5146"/>
    <w:rsid w:val="63BA5A58"/>
    <w:rsid w:val="63C437DD"/>
    <w:rsid w:val="63C67D28"/>
    <w:rsid w:val="63CC4DBF"/>
    <w:rsid w:val="63DB0D56"/>
    <w:rsid w:val="63E5686B"/>
    <w:rsid w:val="63E7670C"/>
    <w:rsid w:val="63E92F01"/>
    <w:rsid w:val="63E9417C"/>
    <w:rsid w:val="63EE6A2A"/>
    <w:rsid w:val="63F43D7F"/>
    <w:rsid w:val="63F518A5"/>
    <w:rsid w:val="63FF2724"/>
    <w:rsid w:val="64005E4C"/>
    <w:rsid w:val="642F539E"/>
    <w:rsid w:val="644708DA"/>
    <w:rsid w:val="644736AF"/>
    <w:rsid w:val="64605E79"/>
    <w:rsid w:val="646749B3"/>
    <w:rsid w:val="647059D3"/>
    <w:rsid w:val="6486196D"/>
    <w:rsid w:val="648F439F"/>
    <w:rsid w:val="64947310"/>
    <w:rsid w:val="64986E00"/>
    <w:rsid w:val="64A31301"/>
    <w:rsid w:val="64AA2CEC"/>
    <w:rsid w:val="64BC39A5"/>
    <w:rsid w:val="64C37BF6"/>
    <w:rsid w:val="64CA7B15"/>
    <w:rsid w:val="64D5152A"/>
    <w:rsid w:val="64D87668"/>
    <w:rsid w:val="64DC3D91"/>
    <w:rsid w:val="64EF753C"/>
    <w:rsid w:val="6518516D"/>
    <w:rsid w:val="651D2950"/>
    <w:rsid w:val="6531696B"/>
    <w:rsid w:val="6540474E"/>
    <w:rsid w:val="654B2189"/>
    <w:rsid w:val="65516FAF"/>
    <w:rsid w:val="65830998"/>
    <w:rsid w:val="659F41BF"/>
    <w:rsid w:val="65A610A9"/>
    <w:rsid w:val="65BA6903"/>
    <w:rsid w:val="65E47DC4"/>
    <w:rsid w:val="65E5720A"/>
    <w:rsid w:val="65EC0A86"/>
    <w:rsid w:val="65EE670F"/>
    <w:rsid w:val="65FA342C"/>
    <w:rsid w:val="66065FEC"/>
    <w:rsid w:val="660E4C2E"/>
    <w:rsid w:val="660E7805"/>
    <w:rsid w:val="66106E6A"/>
    <w:rsid w:val="661D0846"/>
    <w:rsid w:val="661E578D"/>
    <w:rsid w:val="66307B54"/>
    <w:rsid w:val="663E23DD"/>
    <w:rsid w:val="6641368B"/>
    <w:rsid w:val="66742F55"/>
    <w:rsid w:val="667E0E32"/>
    <w:rsid w:val="667E7C87"/>
    <w:rsid w:val="66897794"/>
    <w:rsid w:val="669228AF"/>
    <w:rsid w:val="66941FB3"/>
    <w:rsid w:val="66A21412"/>
    <w:rsid w:val="66A55805"/>
    <w:rsid w:val="66C20165"/>
    <w:rsid w:val="66C318F2"/>
    <w:rsid w:val="66D41A88"/>
    <w:rsid w:val="66DC7BD3"/>
    <w:rsid w:val="66E10FB9"/>
    <w:rsid w:val="66E300DB"/>
    <w:rsid w:val="66E81073"/>
    <w:rsid w:val="66F10C03"/>
    <w:rsid w:val="66F1755E"/>
    <w:rsid w:val="66F67936"/>
    <w:rsid w:val="66FF1B17"/>
    <w:rsid w:val="671E1113"/>
    <w:rsid w:val="672030DD"/>
    <w:rsid w:val="672F50CE"/>
    <w:rsid w:val="673C051C"/>
    <w:rsid w:val="674B3727"/>
    <w:rsid w:val="67740369"/>
    <w:rsid w:val="67794B87"/>
    <w:rsid w:val="6781158C"/>
    <w:rsid w:val="67845C62"/>
    <w:rsid w:val="67857839"/>
    <w:rsid w:val="678D4C12"/>
    <w:rsid w:val="67A2014A"/>
    <w:rsid w:val="67B7397A"/>
    <w:rsid w:val="67C059C1"/>
    <w:rsid w:val="67CE6B2B"/>
    <w:rsid w:val="67D22629"/>
    <w:rsid w:val="67D35739"/>
    <w:rsid w:val="67E80D85"/>
    <w:rsid w:val="67EA59F5"/>
    <w:rsid w:val="67EB5499"/>
    <w:rsid w:val="67F5518F"/>
    <w:rsid w:val="67FA7EE3"/>
    <w:rsid w:val="67FB3202"/>
    <w:rsid w:val="68036726"/>
    <w:rsid w:val="680F7A95"/>
    <w:rsid w:val="6812685B"/>
    <w:rsid w:val="68180C31"/>
    <w:rsid w:val="681D761D"/>
    <w:rsid w:val="68213863"/>
    <w:rsid w:val="68330BEE"/>
    <w:rsid w:val="68422BAA"/>
    <w:rsid w:val="684414C0"/>
    <w:rsid w:val="68474A3B"/>
    <w:rsid w:val="685079F2"/>
    <w:rsid w:val="6854199D"/>
    <w:rsid w:val="685740DB"/>
    <w:rsid w:val="685E152E"/>
    <w:rsid w:val="687E1949"/>
    <w:rsid w:val="68872C45"/>
    <w:rsid w:val="68897889"/>
    <w:rsid w:val="688B26FF"/>
    <w:rsid w:val="688D2DC6"/>
    <w:rsid w:val="689601ED"/>
    <w:rsid w:val="68AB1481"/>
    <w:rsid w:val="68AF2E23"/>
    <w:rsid w:val="68AF5790"/>
    <w:rsid w:val="68B22234"/>
    <w:rsid w:val="68BC0BE4"/>
    <w:rsid w:val="68BD31AC"/>
    <w:rsid w:val="68C161FA"/>
    <w:rsid w:val="68C47A98"/>
    <w:rsid w:val="68C5420D"/>
    <w:rsid w:val="68CA0998"/>
    <w:rsid w:val="68D75A1D"/>
    <w:rsid w:val="68DF041C"/>
    <w:rsid w:val="68F069DC"/>
    <w:rsid w:val="68F6129B"/>
    <w:rsid w:val="68F90AFD"/>
    <w:rsid w:val="68FB170C"/>
    <w:rsid w:val="68FB5BB0"/>
    <w:rsid w:val="68FE27A4"/>
    <w:rsid w:val="691265C0"/>
    <w:rsid w:val="69134DF3"/>
    <w:rsid w:val="69161775"/>
    <w:rsid w:val="69166C25"/>
    <w:rsid w:val="69376932"/>
    <w:rsid w:val="693D3743"/>
    <w:rsid w:val="69407B48"/>
    <w:rsid w:val="694166F8"/>
    <w:rsid w:val="695475F8"/>
    <w:rsid w:val="69641FE2"/>
    <w:rsid w:val="69676EB0"/>
    <w:rsid w:val="696C20CC"/>
    <w:rsid w:val="696E4C5C"/>
    <w:rsid w:val="69733998"/>
    <w:rsid w:val="69760C97"/>
    <w:rsid w:val="698D507F"/>
    <w:rsid w:val="69A822D8"/>
    <w:rsid w:val="69CF12E1"/>
    <w:rsid w:val="69D136D4"/>
    <w:rsid w:val="69E044D0"/>
    <w:rsid w:val="69EE1271"/>
    <w:rsid w:val="69FD3C2F"/>
    <w:rsid w:val="6A0061C6"/>
    <w:rsid w:val="6A024D1C"/>
    <w:rsid w:val="6A087615"/>
    <w:rsid w:val="6A0F75FF"/>
    <w:rsid w:val="6A1364CB"/>
    <w:rsid w:val="6A1567FD"/>
    <w:rsid w:val="6A162576"/>
    <w:rsid w:val="6A1F58CE"/>
    <w:rsid w:val="6A22536A"/>
    <w:rsid w:val="6A2B138A"/>
    <w:rsid w:val="6A2B4273"/>
    <w:rsid w:val="6A3A3736"/>
    <w:rsid w:val="6A3D74C9"/>
    <w:rsid w:val="6A3E4638"/>
    <w:rsid w:val="6A45005E"/>
    <w:rsid w:val="6A464C09"/>
    <w:rsid w:val="6A4656F4"/>
    <w:rsid w:val="6A4A7D7B"/>
    <w:rsid w:val="6A4D6C85"/>
    <w:rsid w:val="6A551FDD"/>
    <w:rsid w:val="6A562A68"/>
    <w:rsid w:val="6A573A34"/>
    <w:rsid w:val="6A773406"/>
    <w:rsid w:val="6A7809FB"/>
    <w:rsid w:val="6A793230"/>
    <w:rsid w:val="6A7B3614"/>
    <w:rsid w:val="6A7C4ACE"/>
    <w:rsid w:val="6A7F45BF"/>
    <w:rsid w:val="6A810356"/>
    <w:rsid w:val="6A9968DA"/>
    <w:rsid w:val="6AA4331E"/>
    <w:rsid w:val="6AAA52F8"/>
    <w:rsid w:val="6AAD1997"/>
    <w:rsid w:val="6AC06687"/>
    <w:rsid w:val="6AC36259"/>
    <w:rsid w:val="6ACA3A8C"/>
    <w:rsid w:val="6AD752CE"/>
    <w:rsid w:val="6ADE74EE"/>
    <w:rsid w:val="6ADF0BB9"/>
    <w:rsid w:val="6AF059C3"/>
    <w:rsid w:val="6AFE3735"/>
    <w:rsid w:val="6B0A306B"/>
    <w:rsid w:val="6B1F3B5D"/>
    <w:rsid w:val="6B1F74D0"/>
    <w:rsid w:val="6B200F04"/>
    <w:rsid w:val="6B2111D2"/>
    <w:rsid w:val="6B2B3B35"/>
    <w:rsid w:val="6B2C4D6B"/>
    <w:rsid w:val="6B34344E"/>
    <w:rsid w:val="6B3B70B1"/>
    <w:rsid w:val="6B5C045C"/>
    <w:rsid w:val="6B633598"/>
    <w:rsid w:val="6B69581D"/>
    <w:rsid w:val="6B6A0DCB"/>
    <w:rsid w:val="6B6E3FA2"/>
    <w:rsid w:val="6B7457A6"/>
    <w:rsid w:val="6B7C3FFF"/>
    <w:rsid w:val="6B817763"/>
    <w:rsid w:val="6B8A7587"/>
    <w:rsid w:val="6B8F0831"/>
    <w:rsid w:val="6B8F3A87"/>
    <w:rsid w:val="6B906B5A"/>
    <w:rsid w:val="6BB66EA3"/>
    <w:rsid w:val="6BBA6837"/>
    <w:rsid w:val="6BBB33D4"/>
    <w:rsid w:val="6BBB35F3"/>
    <w:rsid w:val="6BD611FE"/>
    <w:rsid w:val="6BD859A6"/>
    <w:rsid w:val="6BE03F56"/>
    <w:rsid w:val="6BEC59F4"/>
    <w:rsid w:val="6BF35DF5"/>
    <w:rsid w:val="6BF45D9D"/>
    <w:rsid w:val="6BFB5ADF"/>
    <w:rsid w:val="6C050161"/>
    <w:rsid w:val="6C332AB1"/>
    <w:rsid w:val="6C356E77"/>
    <w:rsid w:val="6C48604F"/>
    <w:rsid w:val="6C4A48BB"/>
    <w:rsid w:val="6C4D0704"/>
    <w:rsid w:val="6C515AE7"/>
    <w:rsid w:val="6C705F6D"/>
    <w:rsid w:val="6C7B34F1"/>
    <w:rsid w:val="6C962A76"/>
    <w:rsid w:val="6C992F39"/>
    <w:rsid w:val="6CB37550"/>
    <w:rsid w:val="6CB467A2"/>
    <w:rsid w:val="6CC32EA1"/>
    <w:rsid w:val="6CD02EB0"/>
    <w:rsid w:val="6CD1245A"/>
    <w:rsid w:val="6CE538AE"/>
    <w:rsid w:val="6CF03552"/>
    <w:rsid w:val="6D0A655C"/>
    <w:rsid w:val="6D175CF2"/>
    <w:rsid w:val="6D1A6AA7"/>
    <w:rsid w:val="6D1C11E2"/>
    <w:rsid w:val="6D261AB7"/>
    <w:rsid w:val="6D391ADB"/>
    <w:rsid w:val="6D3F3A03"/>
    <w:rsid w:val="6D5C7615"/>
    <w:rsid w:val="6D604A35"/>
    <w:rsid w:val="6D6D4BA2"/>
    <w:rsid w:val="6D75600B"/>
    <w:rsid w:val="6D82064E"/>
    <w:rsid w:val="6D940381"/>
    <w:rsid w:val="6D990C0B"/>
    <w:rsid w:val="6DA301BC"/>
    <w:rsid w:val="6DB25897"/>
    <w:rsid w:val="6DC1694D"/>
    <w:rsid w:val="6DEC1F6B"/>
    <w:rsid w:val="6DF350A8"/>
    <w:rsid w:val="6DFA2B29"/>
    <w:rsid w:val="6E07670F"/>
    <w:rsid w:val="6E14501E"/>
    <w:rsid w:val="6E186BA6"/>
    <w:rsid w:val="6E1D756A"/>
    <w:rsid w:val="6E2048E7"/>
    <w:rsid w:val="6E2A1E35"/>
    <w:rsid w:val="6E425845"/>
    <w:rsid w:val="6E465E58"/>
    <w:rsid w:val="6E4A4966"/>
    <w:rsid w:val="6E574517"/>
    <w:rsid w:val="6E582E96"/>
    <w:rsid w:val="6E5B43BE"/>
    <w:rsid w:val="6E6353F8"/>
    <w:rsid w:val="6E6C4E5A"/>
    <w:rsid w:val="6E6F7C4F"/>
    <w:rsid w:val="6E720785"/>
    <w:rsid w:val="6E782B68"/>
    <w:rsid w:val="6E881C94"/>
    <w:rsid w:val="6E9566C7"/>
    <w:rsid w:val="6E963C85"/>
    <w:rsid w:val="6EAB43FB"/>
    <w:rsid w:val="6EAE7204"/>
    <w:rsid w:val="6EB331B8"/>
    <w:rsid w:val="6EB77C04"/>
    <w:rsid w:val="6ECB5CE0"/>
    <w:rsid w:val="6EE00EFF"/>
    <w:rsid w:val="6EE30640"/>
    <w:rsid w:val="6EE93366"/>
    <w:rsid w:val="6EEC6773"/>
    <w:rsid w:val="6EF015E7"/>
    <w:rsid w:val="6EF103C7"/>
    <w:rsid w:val="6F02567C"/>
    <w:rsid w:val="6F067FA2"/>
    <w:rsid w:val="6F1E69B3"/>
    <w:rsid w:val="6F3F468B"/>
    <w:rsid w:val="6F413E5E"/>
    <w:rsid w:val="6F52107F"/>
    <w:rsid w:val="6F5A2F55"/>
    <w:rsid w:val="6F6048F3"/>
    <w:rsid w:val="6F66773F"/>
    <w:rsid w:val="6F690C1F"/>
    <w:rsid w:val="6F7475F4"/>
    <w:rsid w:val="6F800BBD"/>
    <w:rsid w:val="6F8320CC"/>
    <w:rsid w:val="6F8C5C38"/>
    <w:rsid w:val="6F8F4F96"/>
    <w:rsid w:val="6F916A61"/>
    <w:rsid w:val="6F944884"/>
    <w:rsid w:val="6F9C52CB"/>
    <w:rsid w:val="6FAA47AD"/>
    <w:rsid w:val="6FB91FAD"/>
    <w:rsid w:val="6FB94E5C"/>
    <w:rsid w:val="6FC36242"/>
    <w:rsid w:val="6FCA092F"/>
    <w:rsid w:val="6FCA2292"/>
    <w:rsid w:val="6FCD5DBC"/>
    <w:rsid w:val="6FD26FBB"/>
    <w:rsid w:val="6FD27D0B"/>
    <w:rsid w:val="6FEF6B08"/>
    <w:rsid w:val="6FF35D05"/>
    <w:rsid w:val="6FF367C2"/>
    <w:rsid w:val="6FFA2DC7"/>
    <w:rsid w:val="70164EC9"/>
    <w:rsid w:val="70165923"/>
    <w:rsid w:val="70175533"/>
    <w:rsid w:val="70227FED"/>
    <w:rsid w:val="702339CF"/>
    <w:rsid w:val="702A6D7B"/>
    <w:rsid w:val="702B4999"/>
    <w:rsid w:val="70310FE5"/>
    <w:rsid w:val="704F57CC"/>
    <w:rsid w:val="7064653D"/>
    <w:rsid w:val="706A6110"/>
    <w:rsid w:val="70735112"/>
    <w:rsid w:val="70746A2E"/>
    <w:rsid w:val="707510AA"/>
    <w:rsid w:val="70793078"/>
    <w:rsid w:val="707B442E"/>
    <w:rsid w:val="70866B04"/>
    <w:rsid w:val="70875F7B"/>
    <w:rsid w:val="708E10B8"/>
    <w:rsid w:val="709E6944"/>
    <w:rsid w:val="70BB1E01"/>
    <w:rsid w:val="70BF3967"/>
    <w:rsid w:val="70E36BE4"/>
    <w:rsid w:val="70EB02B8"/>
    <w:rsid w:val="71025602"/>
    <w:rsid w:val="712063F0"/>
    <w:rsid w:val="71263826"/>
    <w:rsid w:val="712A5353"/>
    <w:rsid w:val="7130216F"/>
    <w:rsid w:val="71322A4F"/>
    <w:rsid w:val="71327085"/>
    <w:rsid w:val="71362E6E"/>
    <w:rsid w:val="715E20FF"/>
    <w:rsid w:val="716B74C3"/>
    <w:rsid w:val="71716369"/>
    <w:rsid w:val="717604C9"/>
    <w:rsid w:val="717A3C3A"/>
    <w:rsid w:val="718648D3"/>
    <w:rsid w:val="718B55F7"/>
    <w:rsid w:val="718F0D6A"/>
    <w:rsid w:val="71944420"/>
    <w:rsid w:val="719C1091"/>
    <w:rsid w:val="71AA4C70"/>
    <w:rsid w:val="71AB5C99"/>
    <w:rsid w:val="71AF5EC3"/>
    <w:rsid w:val="71B20DD6"/>
    <w:rsid w:val="71B26EEF"/>
    <w:rsid w:val="71BB0AB2"/>
    <w:rsid w:val="71C31235"/>
    <w:rsid w:val="71C961F4"/>
    <w:rsid w:val="71D20638"/>
    <w:rsid w:val="71E80C9B"/>
    <w:rsid w:val="71F028DA"/>
    <w:rsid w:val="71F26797"/>
    <w:rsid w:val="71F40411"/>
    <w:rsid w:val="71F63A39"/>
    <w:rsid w:val="72037997"/>
    <w:rsid w:val="72100FD7"/>
    <w:rsid w:val="721537D9"/>
    <w:rsid w:val="721B2E1F"/>
    <w:rsid w:val="722203DE"/>
    <w:rsid w:val="72225F5B"/>
    <w:rsid w:val="72411EDA"/>
    <w:rsid w:val="7256620B"/>
    <w:rsid w:val="725A629C"/>
    <w:rsid w:val="725B5AC2"/>
    <w:rsid w:val="72661B47"/>
    <w:rsid w:val="72694C54"/>
    <w:rsid w:val="727424BC"/>
    <w:rsid w:val="727644F9"/>
    <w:rsid w:val="72814140"/>
    <w:rsid w:val="728B1C28"/>
    <w:rsid w:val="729426D5"/>
    <w:rsid w:val="729F6D75"/>
    <w:rsid w:val="72A32F02"/>
    <w:rsid w:val="72BF5659"/>
    <w:rsid w:val="72C366FF"/>
    <w:rsid w:val="72C83F7F"/>
    <w:rsid w:val="72C92DF6"/>
    <w:rsid w:val="72CE76A2"/>
    <w:rsid w:val="72D87E44"/>
    <w:rsid w:val="72D94A7B"/>
    <w:rsid w:val="72E35BEB"/>
    <w:rsid w:val="72F37A53"/>
    <w:rsid w:val="72F922D3"/>
    <w:rsid w:val="73082CF7"/>
    <w:rsid w:val="730D7FC7"/>
    <w:rsid w:val="73147803"/>
    <w:rsid w:val="73211839"/>
    <w:rsid w:val="73214465"/>
    <w:rsid w:val="73357DE7"/>
    <w:rsid w:val="73422726"/>
    <w:rsid w:val="7342588A"/>
    <w:rsid w:val="735449BD"/>
    <w:rsid w:val="736009A4"/>
    <w:rsid w:val="737765D5"/>
    <w:rsid w:val="738813CC"/>
    <w:rsid w:val="738E141A"/>
    <w:rsid w:val="739509AF"/>
    <w:rsid w:val="739854AB"/>
    <w:rsid w:val="73AC4DD3"/>
    <w:rsid w:val="73B4150C"/>
    <w:rsid w:val="73C53042"/>
    <w:rsid w:val="73D8243F"/>
    <w:rsid w:val="73E37C21"/>
    <w:rsid w:val="73E64235"/>
    <w:rsid w:val="73EF5B8D"/>
    <w:rsid w:val="73F76F74"/>
    <w:rsid w:val="74036E1D"/>
    <w:rsid w:val="74064A28"/>
    <w:rsid w:val="740711B2"/>
    <w:rsid w:val="74133520"/>
    <w:rsid w:val="74184AE3"/>
    <w:rsid w:val="74195B2C"/>
    <w:rsid w:val="741B5358"/>
    <w:rsid w:val="74224FE7"/>
    <w:rsid w:val="742467DC"/>
    <w:rsid w:val="74356508"/>
    <w:rsid w:val="743818B9"/>
    <w:rsid w:val="7441026E"/>
    <w:rsid w:val="74477EFB"/>
    <w:rsid w:val="7449684F"/>
    <w:rsid w:val="74690215"/>
    <w:rsid w:val="74753285"/>
    <w:rsid w:val="74754D84"/>
    <w:rsid w:val="74841829"/>
    <w:rsid w:val="74851F16"/>
    <w:rsid w:val="748A428C"/>
    <w:rsid w:val="748E6512"/>
    <w:rsid w:val="749C7991"/>
    <w:rsid w:val="74CA357B"/>
    <w:rsid w:val="74CB6898"/>
    <w:rsid w:val="74DB1413"/>
    <w:rsid w:val="74F207FB"/>
    <w:rsid w:val="74FC1FB8"/>
    <w:rsid w:val="74FD64DD"/>
    <w:rsid w:val="75267ECE"/>
    <w:rsid w:val="75272B6C"/>
    <w:rsid w:val="752B034F"/>
    <w:rsid w:val="752E2E69"/>
    <w:rsid w:val="752F2A8C"/>
    <w:rsid w:val="75453B95"/>
    <w:rsid w:val="75466405"/>
    <w:rsid w:val="754B3322"/>
    <w:rsid w:val="755B1BBB"/>
    <w:rsid w:val="755B6243"/>
    <w:rsid w:val="756478F6"/>
    <w:rsid w:val="75750A98"/>
    <w:rsid w:val="75842ACB"/>
    <w:rsid w:val="758846C4"/>
    <w:rsid w:val="758954BA"/>
    <w:rsid w:val="759251A6"/>
    <w:rsid w:val="759B3BC0"/>
    <w:rsid w:val="759E5658"/>
    <w:rsid w:val="75B0387E"/>
    <w:rsid w:val="75B24148"/>
    <w:rsid w:val="75D46F9A"/>
    <w:rsid w:val="75DE3E58"/>
    <w:rsid w:val="75EB2B08"/>
    <w:rsid w:val="75EE0217"/>
    <w:rsid w:val="75F9481F"/>
    <w:rsid w:val="75FA2A11"/>
    <w:rsid w:val="760473B5"/>
    <w:rsid w:val="760D16F3"/>
    <w:rsid w:val="760D40B5"/>
    <w:rsid w:val="76150118"/>
    <w:rsid w:val="763620CF"/>
    <w:rsid w:val="763C15B6"/>
    <w:rsid w:val="76564426"/>
    <w:rsid w:val="765F282F"/>
    <w:rsid w:val="76621B7C"/>
    <w:rsid w:val="76717F75"/>
    <w:rsid w:val="76746B04"/>
    <w:rsid w:val="76813F3C"/>
    <w:rsid w:val="76875EFE"/>
    <w:rsid w:val="76A5061F"/>
    <w:rsid w:val="76B14C36"/>
    <w:rsid w:val="76B243DD"/>
    <w:rsid w:val="76BF39B5"/>
    <w:rsid w:val="76C07AF1"/>
    <w:rsid w:val="76CA658E"/>
    <w:rsid w:val="76D23D19"/>
    <w:rsid w:val="76D53F20"/>
    <w:rsid w:val="77040325"/>
    <w:rsid w:val="7721487B"/>
    <w:rsid w:val="77230D72"/>
    <w:rsid w:val="772457E2"/>
    <w:rsid w:val="773C1E6E"/>
    <w:rsid w:val="773D55E5"/>
    <w:rsid w:val="776E1C43"/>
    <w:rsid w:val="77935205"/>
    <w:rsid w:val="77967D1F"/>
    <w:rsid w:val="779F0C0B"/>
    <w:rsid w:val="77E05712"/>
    <w:rsid w:val="77EC05A4"/>
    <w:rsid w:val="77ED0DBA"/>
    <w:rsid w:val="77F167B8"/>
    <w:rsid w:val="77FC2106"/>
    <w:rsid w:val="77FF31FB"/>
    <w:rsid w:val="78011513"/>
    <w:rsid w:val="780412CD"/>
    <w:rsid w:val="78104EA1"/>
    <w:rsid w:val="78207B18"/>
    <w:rsid w:val="782425FD"/>
    <w:rsid w:val="78242C1C"/>
    <w:rsid w:val="78255356"/>
    <w:rsid w:val="782B485D"/>
    <w:rsid w:val="78315E4D"/>
    <w:rsid w:val="785233B2"/>
    <w:rsid w:val="785250C1"/>
    <w:rsid w:val="786C70F0"/>
    <w:rsid w:val="78713799"/>
    <w:rsid w:val="78731E2A"/>
    <w:rsid w:val="78774223"/>
    <w:rsid w:val="787B63C5"/>
    <w:rsid w:val="78854142"/>
    <w:rsid w:val="78882890"/>
    <w:rsid w:val="789512A5"/>
    <w:rsid w:val="78972AD3"/>
    <w:rsid w:val="78987070"/>
    <w:rsid w:val="78A2410E"/>
    <w:rsid w:val="78A30A77"/>
    <w:rsid w:val="78AA2807"/>
    <w:rsid w:val="78AB2AC0"/>
    <w:rsid w:val="78AC5D59"/>
    <w:rsid w:val="78B057B3"/>
    <w:rsid w:val="78B231A5"/>
    <w:rsid w:val="78B41FE0"/>
    <w:rsid w:val="78B879C7"/>
    <w:rsid w:val="78EF0C2B"/>
    <w:rsid w:val="78FF2DE3"/>
    <w:rsid w:val="79103FB6"/>
    <w:rsid w:val="7928524E"/>
    <w:rsid w:val="792E2C5F"/>
    <w:rsid w:val="793919F3"/>
    <w:rsid w:val="79422873"/>
    <w:rsid w:val="79532E9E"/>
    <w:rsid w:val="795F0347"/>
    <w:rsid w:val="79614B7F"/>
    <w:rsid w:val="7962570D"/>
    <w:rsid w:val="79751067"/>
    <w:rsid w:val="798C55EE"/>
    <w:rsid w:val="798E4F2A"/>
    <w:rsid w:val="799372C1"/>
    <w:rsid w:val="79984D55"/>
    <w:rsid w:val="799A6D1F"/>
    <w:rsid w:val="799D5B4B"/>
    <w:rsid w:val="79A8612D"/>
    <w:rsid w:val="79A960E5"/>
    <w:rsid w:val="79B96882"/>
    <w:rsid w:val="79C11168"/>
    <w:rsid w:val="79D139C9"/>
    <w:rsid w:val="79DE7A50"/>
    <w:rsid w:val="79E94409"/>
    <w:rsid w:val="79E94DDA"/>
    <w:rsid w:val="79EA581A"/>
    <w:rsid w:val="79EC58EF"/>
    <w:rsid w:val="7A1E16FE"/>
    <w:rsid w:val="7A2429FB"/>
    <w:rsid w:val="7A2465E9"/>
    <w:rsid w:val="7A5213A8"/>
    <w:rsid w:val="7A567165"/>
    <w:rsid w:val="7A61079D"/>
    <w:rsid w:val="7A6A6167"/>
    <w:rsid w:val="7A715CD2"/>
    <w:rsid w:val="7A75531E"/>
    <w:rsid w:val="7A796935"/>
    <w:rsid w:val="7A812222"/>
    <w:rsid w:val="7A821A83"/>
    <w:rsid w:val="7A8B549A"/>
    <w:rsid w:val="7A8D538D"/>
    <w:rsid w:val="7A8F2A29"/>
    <w:rsid w:val="7A9C2F0C"/>
    <w:rsid w:val="7A9F6D7D"/>
    <w:rsid w:val="7AA93B06"/>
    <w:rsid w:val="7AB4693D"/>
    <w:rsid w:val="7AC57997"/>
    <w:rsid w:val="7AD145BC"/>
    <w:rsid w:val="7AD81BA1"/>
    <w:rsid w:val="7ADE3188"/>
    <w:rsid w:val="7AE40197"/>
    <w:rsid w:val="7AF273CD"/>
    <w:rsid w:val="7B0408F4"/>
    <w:rsid w:val="7B073BFD"/>
    <w:rsid w:val="7B1C1618"/>
    <w:rsid w:val="7B3603DF"/>
    <w:rsid w:val="7B3A1384"/>
    <w:rsid w:val="7B542EFE"/>
    <w:rsid w:val="7B5772CB"/>
    <w:rsid w:val="7B67681C"/>
    <w:rsid w:val="7B6C6499"/>
    <w:rsid w:val="7B790E22"/>
    <w:rsid w:val="7B80323C"/>
    <w:rsid w:val="7B8942C9"/>
    <w:rsid w:val="7BA67BFD"/>
    <w:rsid w:val="7BB210A1"/>
    <w:rsid w:val="7BC9754A"/>
    <w:rsid w:val="7BD24287"/>
    <w:rsid w:val="7BD36518"/>
    <w:rsid w:val="7BD858DD"/>
    <w:rsid w:val="7BDF759E"/>
    <w:rsid w:val="7BE170D7"/>
    <w:rsid w:val="7BF569EA"/>
    <w:rsid w:val="7BF602EC"/>
    <w:rsid w:val="7BF87F3E"/>
    <w:rsid w:val="7BFC1D49"/>
    <w:rsid w:val="7BFF7AC7"/>
    <w:rsid w:val="7C030885"/>
    <w:rsid w:val="7C043F55"/>
    <w:rsid w:val="7C140D54"/>
    <w:rsid w:val="7C197854"/>
    <w:rsid w:val="7C1A3C56"/>
    <w:rsid w:val="7C2910F0"/>
    <w:rsid w:val="7C295DA8"/>
    <w:rsid w:val="7C345209"/>
    <w:rsid w:val="7C3611F8"/>
    <w:rsid w:val="7C425F83"/>
    <w:rsid w:val="7C4768EC"/>
    <w:rsid w:val="7C49199A"/>
    <w:rsid w:val="7C5464EF"/>
    <w:rsid w:val="7C5D1333"/>
    <w:rsid w:val="7C755702"/>
    <w:rsid w:val="7C785FC2"/>
    <w:rsid w:val="7C7F073A"/>
    <w:rsid w:val="7C8461A6"/>
    <w:rsid w:val="7C8778FD"/>
    <w:rsid w:val="7C885555"/>
    <w:rsid w:val="7C8A1631"/>
    <w:rsid w:val="7C9712F4"/>
    <w:rsid w:val="7C977546"/>
    <w:rsid w:val="7CB03AF7"/>
    <w:rsid w:val="7CB75800"/>
    <w:rsid w:val="7CC52EE4"/>
    <w:rsid w:val="7CD12A58"/>
    <w:rsid w:val="7CE074BB"/>
    <w:rsid w:val="7CE50EC6"/>
    <w:rsid w:val="7CEB3350"/>
    <w:rsid w:val="7CF60710"/>
    <w:rsid w:val="7CF63B85"/>
    <w:rsid w:val="7CF77B58"/>
    <w:rsid w:val="7D056ADA"/>
    <w:rsid w:val="7D2D49E7"/>
    <w:rsid w:val="7D3054F3"/>
    <w:rsid w:val="7D323BFA"/>
    <w:rsid w:val="7D3445B5"/>
    <w:rsid w:val="7D3E282D"/>
    <w:rsid w:val="7D407BDD"/>
    <w:rsid w:val="7D42181D"/>
    <w:rsid w:val="7D474AC8"/>
    <w:rsid w:val="7D4D0C8D"/>
    <w:rsid w:val="7D511EE5"/>
    <w:rsid w:val="7D58075C"/>
    <w:rsid w:val="7D6367D7"/>
    <w:rsid w:val="7D6A6A67"/>
    <w:rsid w:val="7D6C0C96"/>
    <w:rsid w:val="7D8014BC"/>
    <w:rsid w:val="7D89596F"/>
    <w:rsid w:val="7D9C41D2"/>
    <w:rsid w:val="7DB52379"/>
    <w:rsid w:val="7DBA7440"/>
    <w:rsid w:val="7DBB54B6"/>
    <w:rsid w:val="7DBC2787"/>
    <w:rsid w:val="7DC504EA"/>
    <w:rsid w:val="7DD82F98"/>
    <w:rsid w:val="7DDA1E40"/>
    <w:rsid w:val="7DE723CC"/>
    <w:rsid w:val="7DEC02D7"/>
    <w:rsid w:val="7DED3A81"/>
    <w:rsid w:val="7DF423A0"/>
    <w:rsid w:val="7DF633A3"/>
    <w:rsid w:val="7E024D1C"/>
    <w:rsid w:val="7E113ABB"/>
    <w:rsid w:val="7E2A0D25"/>
    <w:rsid w:val="7E392DFA"/>
    <w:rsid w:val="7E451C68"/>
    <w:rsid w:val="7E4B452D"/>
    <w:rsid w:val="7E4D25B2"/>
    <w:rsid w:val="7E597FD2"/>
    <w:rsid w:val="7E5D19ED"/>
    <w:rsid w:val="7E786F03"/>
    <w:rsid w:val="7E7D62F2"/>
    <w:rsid w:val="7E823D8F"/>
    <w:rsid w:val="7E910D37"/>
    <w:rsid w:val="7EA1645A"/>
    <w:rsid w:val="7EAA4280"/>
    <w:rsid w:val="7EAA77C7"/>
    <w:rsid w:val="7EC117EA"/>
    <w:rsid w:val="7EC30004"/>
    <w:rsid w:val="7ECB34D7"/>
    <w:rsid w:val="7ED14F91"/>
    <w:rsid w:val="7EE824FE"/>
    <w:rsid w:val="7EE9025F"/>
    <w:rsid w:val="7EEB5927"/>
    <w:rsid w:val="7EF96296"/>
    <w:rsid w:val="7F0330F0"/>
    <w:rsid w:val="7F076CC6"/>
    <w:rsid w:val="7F175B7C"/>
    <w:rsid w:val="7F2257ED"/>
    <w:rsid w:val="7F2F1CB8"/>
    <w:rsid w:val="7F357947"/>
    <w:rsid w:val="7F3B7E0D"/>
    <w:rsid w:val="7F3C426A"/>
    <w:rsid w:val="7F437511"/>
    <w:rsid w:val="7F482D79"/>
    <w:rsid w:val="7F4B6123"/>
    <w:rsid w:val="7F5423DD"/>
    <w:rsid w:val="7F563FC0"/>
    <w:rsid w:val="7F616CD8"/>
    <w:rsid w:val="7F620831"/>
    <w:rsid w:val="7F69764A"/>
    <w:rsid w:val="7F6E2EC8"/>
    <w:rsid w:val="7F736F05"/>
    <w:rsid w:val="7F7932F1"/>
    <w:rsid w:val="7F8535AB"/>
    <w:rsid w:val="7F876710"/>
    <w:rsid w:val="7F8D5D36"/>
    <w:rsid w:val="7F982460"/>
    <w:rsid w:val="7F9D7ADC"/>
    <w:rsid w:val="7FA2248A"/>
    <w:rsid w:val="7FA5333C"/>
    <w:rsid w:val="7FB73BB0"/>
    <w:rsid w:val="7FBD2C25"/>
    <w:rsid w:val="7FC325AB"/>
    <w:rsid w:val="7FD0317B"/>
    <w:rsid w:val="7FD60385"/>
    <w:rsid w:val="7FE501B6"/>
    <w:rsid w:val="7FEA39AA"/>
    <w:rsid w:val="7FF802A5"/>
    <w:rsid w:val="7FF867D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720" w:firstLineChars="200"/>
      <w:jc w:val="both"/>
    </w:pPr>
    <w:rPr>
      <w:rFonts w:ascii="minorBidi" w:hAnsi="minorBidi" w:eastAsia="Arial" w:cs="Cambria Math"/>
      <w:kern w:val="2"/>
      <w:sz w:val="24"/>
      <w:lang w:val="en-US" w:eastAsia="zh-CN" w:bidi="ar-SA"/>
    </w:rPr>
  </w:style>
  <w:style w:type="paragraph" w:styleId="3">
    <w:name w:val="heading 1"/>
    <w:basedOn w:val="1"/>
    <w:next w:val="1"/>
    <w:link w:val="39"/>
    <w:qFormat/>
    <w:uiPriority w:val="0"/>
    <w:pPr>
      <w:keepNext/>
      <w:tabs>
        <w:tab w:val="left" w:pos="3360"/>
      </w:tabs>
      <w:snapToGrid w:val="0"/>
      <w:spacing w:beforeLines="50" w:afterLines="50" w:line="800" w:lineRule="atLeast"/>
      <w:jc w:val="center"/>
      <w:outlineLvl w:val="0"/>
    </w:pPr>
    <w:rPr>
      <w:rFonts w:eastAsia="Calibri"/>
      <w:sz w:val="44"/>
    </w:rPr>
  </w:style>
  <w:style w:type="paragraph" w:styleId="4">
    <w:name w:val="heading 2"/>
    <w:basedOn w:val="1"/>
    <w:next w:val="1"/>
    <w:link w:val="53"/>
    <w:qFormat/>
    <w:uiPriority w:val="0"/>
    <w:pPr>
      <w:keepNext/>
      <w:keepLines/>
      <w:adjustRightInd w:val="0"/>
      <w:snapToGrid w:val="0"/>
      <w:spacing w:beforeLines="50" w:afterLines="50" w:line="240" w:lineRule="auto"/>
      <w:outlineLvl w:val="1"/>
    </w:pPr>
    <w:rPr>
      <w:rFonts w:ascii="黑体" w:hAnsi="黑体"/>
      <w:b/>
      <w:kern w:val="0"/>
      <w:sz w:val="28"/>
    </w:rPr>
  </w:style>
  <w:style w:type="paragraph" w:styleId="5">
    <w:name w:val="heading 3"/>
    <w:basedOn w:val="1"/>
    <w:next w:val="1"/>
    <w:qFormat/>
    <w:uiPriority w:val="0"/>
    <w:pPr>
      <w:keepNext/>
      <w:keepLines/>
      <w:spacing w:before="260" w:after="260" w:line="413" w:lineRule="auto"/>
      <w:jc w:val="center"/>
      <w:outlineLvl w:val="2"/>
    </w:pPr>
    <w:rPr>
      <w:b/>
      <w:sz w:val="44"/>
    </w:rPr>
  </w:style>
  <w:style w:type="paragraph" w:styleId="6">
    <w:name w:val="heading 4"/>
    <w:basedOn w:val="1"/>
    <w:next w:val="1"/>
    <w:qFormat/>
    <w:uiPriority w:val="0"/>
    <w:pPr>
      <w:keepNext/>
      <w:keepLines/>
      <w:spacing w:before="280" w:after="290" w:line="372" w:lineRule="auto"/>
      <w:outlineLvl w:val="3"/>
    </w:pPr>
    <w:rPr>
      <w:rFonts w:ascii="方正小标宋简体" w:hAnsi="方正小标宋简体"/>
      <w:b/>
      <w:sz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rPr>
  </w:style>
  <w:style w:type="paragraph" w:styleId="7">
    <w:name w:val="annotation subject"/>
    <w:next w:val="8"/>
    <w:link w:val="45"/>
    <w:qFormat/>
    <w:uiPriority w:val="0"/>
    <w:pPr>
      <w:widowControl w:val="0"/>
    </w:pPr>
    <w:rPr>
      <w:rFonts w:ascii="Cambria Math" w:hAnsi="Cambria Math" w:eastAsia="黑体" w:cs="Cambria Math"/>
      <w:b/>
      <w:sz w:val="21"/>
      <w:lang w:val="en-US" w:eastAsia="zh-CN" w:bidi="ar-SA"/>
    </w:rPr>
  </w:style>
  <w:style w:type="paragraph" w:styleId="8">
    <w:name w:val="annotation text"/>
    <w:basedOn w:val="1"/>
    <w:next w:val="7"/>
    <w:link w:val="44"/>
    <w:qFormat/>
    <w:uiPriority w:val="0"/>
    <w:pPr>
      <w:jc w:val="left"/>
    </w:pPr>
  </w:style>
  <w:style w:type="paragraph" w:styleId="9">
    <w:name w:val="Body Text First Indent"/>
    <w:basedOn w:val="10"/>
    <w:qFormat/>
    <w:uiPriority w:val="0"/>
    <w:pPr>
      <w:spacing w:line="360" w:lineRule="auto"/>
      <w:ind w:firstLine="420"/>
    </w:pPr>
    <w:rPr>
      <w:rFonts w:ascii="宋体" w:hAnsi="宋体"/>
    </w:rPr>
  </w:style>
  <w:style w:type="paragraph" w:styleId="10">
    <w:name w:val="Body Text"/>
    <w:basedOn w:val="1"/>
    <w:next w:val="1"/>
    <w:link w:val="43"/>
    <w:qFormat/>
    <w:uiPriority w:val="0"/>
    <w:pPr>
      <w:spacing w:after="120"/>
    </w:pPr>
  </w:style>
  <w:style w:type="paragraph" w:styleId="11">
    <w:name w:val="Document Map"/>
    <w:basedOn w:val="1"/>
    <w:link w:val="56"/>
    <w:qFormat/>
    <w:uiPriority w:val="0"/>
    <w:rPr>
      <w:rFonts w:ascii="宋体" w:eastAsia="宋体"/>
      <w:sz w:val="18"/>
      <w:szCs w:val="18"/>
    </w:rPr>
  </w:style>
  <w:style w:type="paragraph" w:styleId="12">
    <w:name w:val="Body Text Indent"/>
    <w:basedOn w:val="1"/>
    <w:next w:val="13"/>
    <w:qFormat/>
    <w:uiPriority w:val="0"/>
    <w:pPr>
      <w:spacing w:line="700" w:lineRule="exact"/>
      <w:ind w:left="960"/>
    </w:pPr>
    <w:rPr>
      <w:sz w:val="44"/>
    </w:rPr>
  </w:style>
  <w:style w:type="paragraph" w:styleId="13">
    <w:name w:val="Body Text Indent 2"/>
    <w:basedOn w:val="1"/>
    <w:qFormat/>
    <w:uiPriority w:val="0"/>
    <w:pPr>
      <w:spacing w:after="120" w:line="480" w:lineRule="auto"/>
      <w:ind w:left="420" w:leftChars="200"/>
    </w:pPr>
  </w:style>
  <w:style w:type="paragraph" w:styleId="14">
    <w:name w:val="toc 3"/>
    <w:basedOn w:val="1"/>
    <w:next w:val="1"/>
    <w:qFormat/>
    <w:uiPriority w:val="0"/>
    <w:pPr>
      <w:ind w:left="840" w:leftChars="400"/>
    </w:pPr>
  </w:style>
  <w:style w:type="paragraph" w:styleId="15">
    <w:name w:val="Plain Text"/>
    <w:basedOn w:val="1"/>
    <w:qFormat/>
    <w:uiPriority w:val="0"/>
    <w:pPr>
      <w:adjustRightInd w:val="0"/>
      <w:snapToGrid w:val="0"/>
      <w:spacing w:line="360" w:lineRule="auto"/>
    </w:pPr>
    <w:rPr>
      <w:rFonts w:ascii="宋体" w:hAnsi="Courier New"/>
      <w:sz w:val="21"/>
    </w:rPr>
  </w:style>
  <w:style w:type="paragraph" w:styleId="16">
    <w:name w:val="Date"/>
    <w:basedOn w:val="1"/>
    <w:next w:val="1"/>
    <w:link w:val="42"/>
    <w:qFormat/>
    <w:uiPriority w:val="0"/>
  </w:style>
  <w:style w:type="paragraph" w:styleId="17">
    <w:name w:val="Balloon Text"/>
    <w:basedOn w:val="1"/>
    <w:link w:val="52"/>
    <w:qFormat/>
    <w:uiPriority w:val="0"/>
    <w:pPr>
      <w:spacing w:line="240" w:lineRule="auto"/>
      <w:ind w:firstLine="1440"/>
    </w:pPr>
    <w:rPr>
      <w:rFonts w:eastAsia="黑体" w:cs="Times New Roman"/>
      <w:sz w:val="18"/>
      <w:szCs w:val="18"/>
    </w:rPr>
  </w:style>
  <w:style w:type="paragraph" w:styleId="18">
    <w:name w:val="footer"/>
    <w:basedOn w:val="1"/>
    <w:next w:val="1"/>
    <w:qFormat/>
    <w:uiPriority w:val="0"/>
    <w:pPr>
      <w:tabs>
        <w:tab w:val="center" w:pos="4153"/>
        <w:tab w:val="right" w:pos="8306"/>
      </w:tabs>
      <w:snapToGrid w:val="0"/>
      <w:jc w:val="left"/>
    </w:pPr>
    <w:rPr>
      <w:sz w:val="18"/>
    </w:rPr>
  </w:style>
  <w:style w:type="paragraph" w:styleId="19">
    <w:name w:val="Body Text First Indent 2"/>
    <w:basedOn w:val="12"/>
    <w:qFormat/>
    <w:uiPriority w:val="0"/>
    <w:pPr>
      <w:ind w:firstLine="420"/>
    </w:pPr>
  </w:style>
  <w:style w:type="paragraph" w:styleId="20">
    <w:name w:val="header"/>
    <w:basedOn w:val="1"/>
    <w:qFormat/>
    <w:uiPriority w:val="99"/>
    <w:pPr>
      <w:pBdr>
        <w:bottom w:val="single" w:color="auto" w:sz="6" w:space="1"/>
      </w:pBdr>
      <w:tabs>
        <w:tab w:val="center" w:pos="4153"/>
        <w:tab w:val="right" w:pos="8306"/>
      </w:tabs>
      <w:snapToGrid w:val="0"/>
      <w:jc w:val="center"/>
    </w:pPr>
    <w:rPr>
      <w:sz w:val="18"/>
    </w:rPr>
  </w:style>
  <w:style w:type="paragraph" w:styleId="21">
    <w:name w:val="footnote text"/>
    <w:basedOn w:val="1"/>
    <w:link w:val="36"/>
    <w:qFormat/>
    <w:uiPriority w:val="0"/>
    <w:pPr>
      <w:snapToGrid w:val="0"/>
      <w:jc w:val="left"/>
    </w:pPr>
    <w:rPr>
      <w:rFonts w:hint="eastAsia" w:ascii="黑体" w:hAnsi="黑体" w:eastAsia="黑体" w:cs="Times New Roman"/>
      <w:sz w:val="18"/>
      <w:szCs w:val="22"/>
    </w:rPr>
  </w:style>
  <w:style w:type="paragraph" w:styleId="22">
    <w:name w:val="toc 2"/>
    <w:basedOn w:val="1"/>
    <w:next w:val="1"/>
    <w:qFormat/>
    <w:uiPriority w:val="39"/>
    <w:pPr>
      <w:ind w:left="280"/>
      <w:jc w:val="left"/>
    </w:pPr>
    <w:rPr>
      <w:smallCaps/>
      <w:sz w:val="20"/>
    </w:rPr>
  </w:style>
  <w:style w:type="paragraph" w:styleId="23">
    <w:name w:val="HTML Preformatted"/>
    <w:qFormat/>
    <w:uiPriority w:val="0"/>
    <w:pPr>
      <w:widowControl w:val="0"/>
      <w:jc w:val="both"/>
    </w:pPr>
    <w:rPr>
      <w:rFonts w:ascii="Courier New" w:hAnsi="Courier New" w:eastAsia="宋体" w:cs="Times New Roman"/>
      <w:kern w:val="2"/>
      <w:szCs w:val="24"/>
      <w:lang w:val="en-US" w:eastAsia="zh-CN" w:bidi="ar-SA"/>
    </w:rPr>
  </w:style>
  <w:style w:type="paragraph" w:styleId="24">
    <w:name w:val="Normal (Web)"/>
    <w:basedOn w:val="1"/>
    <w:qFormat/>
    <w:uiPriority w:val="0"/>
    <w:rPr>
      <w:rFonts w:ascii="Cambria Math" w:hAnsi="Cambria Math"/>
      <w:szCs w:val="24"/>
    </w:rPr>
  </w:style>
  <w:style w:type="paragraph" w:styleId="25">
    <w:name w:val="Title"/>
    <w:basedOn w:val="1"/>
    <w:qFormat/>
    <w:uiPriority w:val="0"/>
    <w:pPr>
      <w:widowControl/>
      <w:spacing w:after="240" w:line="360" w:lineRule="auto"/>
      <w:jc w:val="center"/>
    </w:pPr>
    <w:rPr>
      <w:rFonts w:ascii="Arial" w:hAnsi="Arial"/>
      <w:b/>
      <w:smallCaps/>
      <w:kern w:val="28"/>
      <w:sz w:val="36"/>
      <w:lang w:eastAsia="en-US"/>
    </w:rPr>
  </w:style>
  <w:style w:type="character" w:styleId="27">
    <w:name w:val="page number"/>
    <w:basedOn w:val="26"/>
    <w:qFormat/>
    <w:uiPriority w:val="0"/>
    <w:rPr>
      <w:rFonts w:ascii="Cambria Math" w:hAnsi="Cambria Math" w:eastAsia="Arial"/>
    </w:rPr>
  </w:style>
  <w:style w:type="character" w:styleId="28">
    <w:name w:val="FollowedHyperlink"/>
    <w:qFormat/>
    <w:uiPriority w:val="0"/>
    <w:rPr>
      <w:color w:val="800080"/>
      <w:u w:val="single"/>
    </w:rPr>
  </w:style>
  <w:style w:type="character" w:styleId="29">
    <w:name w:val="Hyperlink"/>
    <w:qFormat/>
    <w:uiPriority w:val="99"/>
    <w:rPr>
      <w:color w:val="0563C1"/>
      <w:u w:val="single"/>
    </w:rPr>
  </w:style>
  <w:style w:type="character" w:styleId="30">
    <w:name w:val="annotation reference"/>
    <w:qFormat/>
    <w:uiPriority w:val="0"/>
    <w:rPr>
      <w:rFonts w:ascii="Cambria Math" w:hAnsi="Cambria Math" w:eastAsia="Arial"/>
      <w:sz w:val="21"/>
    </w:rPr>
  </w:style>
  <w:style w:type="character" w:styleId="31">
    <w:name w:val="footnote reference"/>
    <w:qFormat/>
    <w:uiPriority w:val="0"/>
    <w:rPr>
      <w:rFonts w:ascii="Cambria Math" w:hAnsi="Cambria Math" w:eastAsia="Arial"/>
      <w:vertAlign w:val="superscript"/>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35">
    <w:name w:val="BodyText"/>
    <w:basedOn w:val="1"/>
    <w:qFormat/>
    <w:uiPriority w:val="99"/>
    <w:pPr>
      <w:textAlignment w:val="baseline"/>
    </w:pPr>
    <w:rPr>
      <w:rFonts w:ascii="仿宋_GB2312" w:eastAsia="仿宋_GB2312"/>
      <w:sz w:val="32"/>
    </w:rPr>
  </w:style>
  <w:style w:type="character" w:customStyle="1" w:styleId="36">
    <w:name w:val="脚注文本 Char"/>
    <w:link w:val="21"/>
    <w:qFormat/>
    <w:uiPriority w:val="0"/>
    <w:rPr>
      <w:rFonts w:hint="eastAsia" w:ascii="黑体" w:hAnsi="黑体" w:eastAsia="黑体" w:cs="黑体"/>
      <w:kern w:val="2"/>
      <w:sz w:val="18"/>
      <w:szCs w:val="22"/>
    </w:rPr>
  </w:style>
  <w:style w:type="character" w:customStyle="1" w:styleId="37">
    <w:name w:val="标题 2 字符1"/>
    <w:link w:val="4"/>
    <w:qFormat/>
    <w:uiPriority w:val="0"/>
    <w:rPr>
      <w:rFonts w:hint="eastAsia" w:ascii="黑体" w:hAnsi="黑体" w:eastAsia="Arial" w:cs="黑体"/>
      <w:b/>
      <w:kern w:val="2"/>
      <w:sz w:val="28"/>
    </w:rPr>
  </w:style>
  <w:style w:type="character" w:customStyle="1" w:styleId="38">
    <w:name w:val="批注框文本 字符"/>
    <w:link w:val="17"/>
    <w:qFormat/>
    <w:uiPriority w:val="0"/>
    <w:rPr>
      <w:rFonts w:hint="default" w:ascii="minorBidi" w:hAnsi="minorBidi" w:cs="minorBidi"/>
      <w:kern w:val="2"/>
      <w:sz w:val="18"/>
      <w:szCs w:val="18"/>
    </w:rPr>
  </w:style>
  <w:style w:type="character" w:customStyle="1" w:styleId="39">
    <w:name w:val="标题 1 Char"/>
    <w:link w:val="3"/>
    <w:qFormat/>
    <w:uiPriority w:val="0"/>
    <w:rPr>
      <w:rFonts w:ascii="minorBidi" w:hAnsi="minorBidi" w:eastAsia="Calibri"/>
      <w:sz w:val="44"/>
      <w:lang w:val="en-US" w:eastAsia="zh-CN" w:bidi="ar-SA"/>
    </w:rPr>
  </w:style>
  <w:style w:type="character" w:customStyle="1" w:styleId="40">
    <w:name w:val="未处理的提及1"/>
    <w:unhideWhenUsed/>
    <w:qFormat/>
    <w:uiPriority w:val="99"/>
    <w:rPr>
      <w:color w:val="605E5C"/>
      <w:shd w:val="clear" w:color="auto" w:fill="E1DFDD"/>
    </w:rPr>
  </w:style>
  <w:style w:type="character" w:customStyle="1" w:styleId="41">
    <w:name w:val="标题 2 字符"/>
    <w:qFormat/>
    <w:uiPriority w:val="0"/>
    <w:rPr>
      <w:rFonts w:ascii="黑体" w:hAnsi="黑体" w:eastAsia="黑体"/>
      <w:b/>
      <w:sz w:val="28"/>
    </w:rPr>
  </w:style>
  <w:style w:type="character" w:customStyle="1" w:styleId="42">
    <w:name w:val="日期 Char"/>
    <w:link w:val="16"/>
    <w:qFormat/>
    <w:uiPriority w:val="0"/>
    <w:rPr>
      <w:rFonts w:ascii="minorBidi" w:hAnsi="minorBidi"/>
      <w:kern w:val="2"/>
      <w:sz w:val="24"/>
    </w:rPr>
  </w:style>
  <w:style w:type="character" w:customStyle="1" w:styleId="43">
    <w:name w:val="正文文本 Char"/>
    <w:link w:val="10"/>
    <w:qFormat/>
    <w:uiPriority w:val="0"/>
    <w:rPr>
      <w:rFonts w:hint="eastAsia" w:ascii="黑体" w:hAnsi="黑体" w:eastAsia="黑体" w:cs="黑体"/>
      <w:kern w:val="2"/>
      <w:sz w:val="21"/>
      <w:szCs w:val="22"/>
    </w:rPr>
  </w:style>
  <w:style w:type="character" w:customStyle="1" w:styleId="44">
    <w:name w:val="批注文字 Char"/>
    <w:link w:val="8"/>
    <w:qFormat/>
    <w:uiPriority w:val="0"/>
    <w:rPr>
      <w:rFonts w:ascii="minorBidi" w:hAnsi="minorBidi" w:eastAsia="Arial"/>
      <w:kern w:val="2"/>
      <w:sz w:val="24"/>
    </w:rPr>
  </w:style>
  <w:style w:type="character" w:customStyle="1" w:styleId="45">
    <w:name w:val="批注主题 Char"/>
    <w:link w:val="7"/>
    <w:qFormat/>
    <w:uiPriority w:val="0"/>
    <w:rPr>
      <w:b/>
      <w:sz w:val="21"/>
    </w:rPr>
  </w:style>
  <w:style w:type="paragraph" w:customStyle="1" w:styleId="46">
    <w:name w:val="目录 83"/>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47">
    <w:name w:val="Heading1"/>
    <w:basedOn w:val="1"/>
    <w:next w:val="1"/>
    <w:qFormat/>
    <w:uiPriority w:val="0"/>
    <w:pPr>
      <w:keepNext/>
      <w:tabs>
        <w:tab w:val="left" w:pos="3360"/>
      </w:tabs>
      <w:snapToGrid w:val="0"/>
      <w:spacing w:before="312" w:after="156" w:line="800" w:lineRule="atLeast"/>
      <w:jc w:val="center"/>
      <w:textAlignment w:val="baseline"/>
    </w:pPr>
    <w:rPr>
      <w:rFonts w:eastAsia="黑体"/>
      <w:sz w:val="44"/>
    </w:rPr>
  </w:style>
  <w:style w:type="paragraph" w:customStyle="1" w:styleId="48">
    <w:name w:val="列出段落1"/>
    <w:basedOn w:val="1"/>
    <w:qFormat/>
    <w:uiPriority w:val="99"/>
    <w:pPr>
      <w:ind w:firstLine="420"/>
    </w:pPr>
  </w:style>
  <w:style w:type="paragraph" w:customStyle="1" w:styleId="49">
    <w:name w:val="图例"/>
    <w:basedOn w:val="1"/>
    <w:qFormat/>
    <w:uiPriority w:val="0"/>
    <w:pPr>
      <w:spacing w:before="120" w:after="120" w:line="360" w:lineRule="auto"/>
      <w:jc w:val="center"/>
    </w:pPr>
    <w:rPr>
      <w:rFonts w:eastAsia="仿宋_GB2312"/>
      <w:b/>
    </w:rPr>
  </w:style>
  <w:style w:type="paragraph" w:customStyle="1" w:styleId="50">
    <w:name w:val="TOC1"/>
    <w:basedOn w:val="1"/>
    <w:next w:val="1"/>
    <w:qFormat/>
    <w:uiPriority w:val="0"/>
    <w:pPr>
      <w:tabs>
        <w:tab w:val="left" w:pos="1260"/>
        <w:tab w:val="left" w:pos="1685"/>
        <w:tab w:val="right" w:leader="dot" w:pos="8400"/>
      </w:tabs>
      <w:spacing w:line="320" w:lineRule="exact"/>
      <w:ind w:firstLine="280" w:firstLineChars="100"/>
    </w:pPr>
    <w:rPr>
      <w:rFonts w:ascii="Times New Roman" w:hAnsi="Times New Roman" w:eastAsia="宋体" w:cs="Times New Roman"/>
    </w:rPr>
  </w:style>
  <w:style w:type="character" w:customStyle="1" w:styleId="51">
    <w:name w:val="批注框文本 Char"/>
    <w:basedOn w:val="26"/>
    <w:link w:val="17"/>
    <w:qFormat/>
    <w:uiPriority w:val="0"/>
    <w:rPr>
      <w:rFonts w:hint="default" w:ascii="Calibri" w:hAnsi="Calibri" w:cs="Calibri"/>
      <w:kern w:val="2"/>
      <w:sz w:val="18"/>
      <w:szCs w:val="18"/>
    </w:rPr>
  </w:style>
  <w:style w:type="character" w:customStyle="1" w:styleId="52">
    <w:name w:val="批注框文本 Char1"/>
    <w:basedOn w:val="26"/>
    <w:link w:val="17"/>
    <w:qFormat/>
    <w:uiPriority w:val="0"/>
    <w:rPr>
      <w:kern w:val="2"/>
      <w:sz w:val="18"/>
      <w:szCs w:val="18"/>
    </w:rPr>
  </w:style>
  <w:style w:type="character" w:customStyle="1" w:styleId="53">
    <w:name w:val="标题 2 Char"/>
    <w:link w:val="4"/>
    <w:qFormat/>
    <w:uiPriority w:val="0"/>
    <w:rPr>
      <w:rFonts w:hint="eastAsia" w:ascii="黑体" w:hAnsi="黑体" w:eastAsia="Arial" w:cs="黑体"/>
      <w:b/>
      <w:kern w:val="2"/>
      <w:sz w:val="28"/>
    </w:rPr>
  </w:style>
  <w:style w:type="paragraph" w:customStyle="1" w:styleId="54">
    <w:name w:val="索引 51"/>
    <w:basedOn w:val="1"/>
    <w:next w:val="1"/>
    <w:qFormat/>
    <w:uiPriority w:val="99"/>
    <w:pPr>
      <w:ind w:left="1680"/>
    </w:pPr>
  </w:style>
  <w:style w:type="paragraph" w:customStyle="1" w:styleId="55">
    <w:name w:val="列出段落2"/>
    <w:basedOn w:val="1"/>
    <w:qFormat/>
    <w:uiPriority w:val="99"/>
    <w:pPr>
      <w:ind w:firstLine="420"/>
    </w:pPr>
  </w:style>
  <w:style w:type="character" w:customStyle="1" w:styleId="56">
    <w:name w:val="文档结构图 Char"/>
    <w:basedOn w:val="26"/>
    <w:link w:val="11"/>
    <w:qFormat/>
    <w:uiPriority w:val="0"/>
    <w:rPr>
      <w:rFonts w:ascii="宋体" w:hAnsi="minorBidi" w:cs="Cambria Math"/>
      <w:kern w:val="2"/>
      <w:sz w:val="18"/>
      <w:szCs w:val="18"/>
    </w:rPr>
  </w:style>
  <w:style w:type="character" w:customStyle="1" w:styleId="57">
    <w:name w:val="NormalCharacter"/>
    <w:qFormat/>
    <w:uiPriority w:val="0"/>
  </w:style>
  <w:style w:type="paragraph" w:customStyle="1" w:styleId="58">
    <w:name w:val="Table Paragraph"/>
    <w:basedOn w:val="1"/>
    <w:qFormat/>
    <w:uiPriority w:val="1"/>
    <w:rPr>
      <w:rFonts w:ascii="宋体" w:hAnsi="宋体" w:cs="宋体"/>
    </w:rPr>
  </w:style>
  <w:style w:type="paragraph" w:customStyle="1" w:styleId="59">
    <w:name w:val="列出段落3"/>
    <w:basedOn w:val="1"/>
    <w:unhideWhenUsed/>
    <w:qFormat/>
    <w:uiPriority w:val="99"/>
    <w:pPr>
      <w:ind w:firstLine="420"/>
    </w:pPr>
  </w:style>
  <w:style w:type="character" w:customStyle="1" w:styleId="60">
    <w:name w:val="trnone1"/>
    <w:basedOn w:val="26"/>
    <w:qFormat/>
    <w:uiPriority w:val="0"/>
  </w:style>
  <w:style w:type="paragraph" w:customStyle="1" w:styleId="61">
    <w:name w:val="正文1"/>
    <w:basedOn w:val="1"/>
    <w:next w:val="1"/>
    <w:qFormat/>
    <w:uiPriority w:val="0"/>
    <w:pPr>
      <w:spacing w:line="300" w:lineRule="auto"/>
      <w:ind w:firstLine="200" w:firstLineChars="200"/>
    </w:pPr>
    <w:rPr>
      <w:sz w:val="24"/>
    </w:rPr>
  </w:style>
  <w:style w:type="paragraph" w:customStyle="1" w:styleId="62">
    <w:name w:val="引用1"/>
    <w:basedOn w:val="1"/>
    <w:next w:val="1"/>
    <w:qFormat/>
    <w:uiPriority w:val="0"/>
    <w:pPr>
      <w:wordWrap w:val="0"/>
      <w:spacing w:before="200" w:beforeLines="0" w:after="160" w:afterLines="0"/>
      <w:ind w:left="864" w:right="864"/>
      <w:jc w:val="center"/>
    </w:pPr>
    <w:rPr>
      <w:rFonts w:ascii="Times New Roman" w:hAnsi="Times New Roman" w:cs="Times New Roman"/>
      <w:i/>
    </w:rPr>
  </w:style>
  <w:style w:type="paragraph" w:customStyle="1" w:styleId="6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6CC601-6B71-4C94-AA40-4DA12FADE66D}">
  <ds:schemaRefs/>
</ds:datastoreItem>
</file>

<file path=docProps/app.xml><?xml version="1.0" encoding="utf-8"?>
<Properties xmlns="http://schemas.openxmlformats.org/officeDocument/2006/extended-properties" xmlns:vt="http://schemas.openxmlformats.org/officeDocument/2006/docPropsVTypes">
  <Template>Normal</Template>
  <Company>巴南区行政服务中心</Company>
  <Pages>81</Pages>
  <Words>6168</Words>
  <Characters>6538</Characters>
  <Lines>267</Lines>
  <Paragraphs>75</Paragraphs>
  <TotalTime>1</TotalTime>
  <ScaleCrop>false</ScaleCrop>
  <LinksUpToDate>false</LinksUpToDate>
  <CharactersWithSpaces>6642</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2022-10-10T09:18:00Z</dcterms:created>
  <dc:creator>Administrator</dc:creator>
  <cp:lastModifiedBy>Administrator</cp:lastModifiedBy>
  <cp:lastPrinted>2025-02-26T02:44:00Z</cp:lastPrinted>
  <dcterms:modified xsi:type="dcterms:W3CDTF">2025-02-28T04:08:41Z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y fmtid="{D5CDD505-2E9C-101B-9397-08002B2CF9AE}" pid="3" name="ICV">
    <vt:lpwstr>C375B299167E469CBDBAA7D8BB7ADD74</vt:lpwstr>
  </property>
  <property fmtid="{D5CDD505-2E9C-101B-9397-08002B2CF9AE}" pid="4" name="KSOTemplateDocerSaveRecord">
    <vt:lpwstr>eyJoZGlkIjoiYTcwMTEzNWFiYmFlZmFiNzhmZTI3N2QwMjljNzllMjQiLCJ1c2VySWQiOiIyOTIzMTgxNDUifQ==</vt:lpwstr>
  </property>
</Properties>
</file>