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441900034-2026-00169</w:t>
      </w:r>
    </w:p>
    <w:p>
      <w:pPr>
        <w:pStyle w:val="null3"/>
        <w:jc w:val="center"/>
        <w:outlineLvl w:val="3"/>
      </w:pPr>
      <w:r>
        <w:rPr>
          <w:sz w:val="24"/>
          <w:b/>
        </w:rPr>
        <w:t>采购项目编号：</w:t>
      </w:r>
      <w:r>
        <w:rPr>
          <w:sz w:val="24"/>
          <w:b/>
        </w:rPr>
        <w:t>441900034-2026-00169</w:t>
      </w:r>
    </w:p>
    <w:p>
      <w:pPr>
        <w:pStyle w:val="null3"/>
        <w:jc w:val="center"/>
        <w:outlineLvl w:val="3"/>
      </w:pPr>
      <w:r>
        <w:rPr>
          <w:sz w:val="24"/>
          <w:b/>
        </w:rPr>
        <w:t>项目名称：</w:t>
      </w:r>
      <w:r>
        <w:rPr>
          <w:sz w:val="24"/>
          <w:b/>
        </w:rPr>
        <w:t>望牛墩镇智慧视频监控及电子警察新型基础设施建设项目</w:t>
      </w:r>
    </w:p>
    <w:p>
      <w:pPr>
        <w:pStyle w:val="null3"/>
        <w:jc w:val="center"/>
        <w:outlineLvl w:val="3"/>
      </w:pPr>
      <w:r>
        <w:rPr>
          <w:sz w:val="24"/>
          <w:b/>
        </w:rPr>
        <w:t>采购人：</w:t>
      </w:r>
      <w:r>
        <w:rPr>
          <w:sz w:val="24"/>
          <w:b/>
        </w:rPr>
        <w:t>东莞市公安局望牛墩分局</w:t>
      </w:r>
    </w:p>
    <w:p>
      <w:pPr>
        <w:pStyle w:val="null3"/>
        <w:jc w:val="center"/>
        <w:outlineLvl w:val="3"/>
      </w:pPr>
      <w:r>
        <w:rPr>
          <w:sz w:val="24"/>
          <w:b/>
        </w:rPr>
        <w:t>采购代理机构：</w:t>
      </w:r>
      <w:r>
        <w:rPr>
          <w:sz w:val="24"/>
          <w:b/>
        </w:rPr>
        <w:t>中天项目咨询（东莞）有限公司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中天项目咨询（东莞）有限公司</w:t>
      </w:r>
      <w:r>
        <w:rPr/>
        <w:t>受</w:t>
      </w:r>
      <w:r>
        <w:rPr/>
        <w:t>东莞市公安局望牛墩分局</w:t>
      </w:r>
      <w:r>
        <w:rPr/>
        <w:t>的委托，采用</w:t>
      </w:r>
      <w:r>
        <w:rPr/>
        <w:t>公开招标</w:t>
      </w:r>
      <w:r>
        <w:rPr/>
        <w:t>方式组织采购</w:t>
      </w:r>
      <w:r>
        <w:rPr/>
        <w:t>望牛墩镇智慧视频监控及电子警察新型基础设施建设项目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望牛墩镇智慧视频监控及电子警察新型基础设施建设项目</w:t>
      </w:r>
    </w:p>
    <w:p>
      <w:pPr>
        <w:pStyle w:val="null3"/>
        <w:ind w:firstLine="480"/>
      </w:pPr>
      <w:r>
        <w:rPr/>
        <w:t>采购计划编号：</w:t>
      </w:r>
      <w:r>
        <w:rPr/>
        <w:t>441900034-2026-00169</w:t>
      </w:r>
    </w:p>
    <w:p>
      <w:pPr>
        <w:pStyle w:val="null3"/>
        <w:ind w:firstLine="480"/>
      </w:pPr>
      <w:r>
        <w:rPr/>
        <w:t>采购项目编号：</w:t>
      </w:r>
      <w:r>
        <w:rPr/>
        <w:t>441900034-2026-00169</w:t>
      </w:r>
    </w:p>
    <w:p>
      <w:pPr>
        <w:pStyle w:val="null3"/>
        <w:ind w:firstLine="480"/>
      </w:pPr>
      <w:r>
        <w:rPr/>
        <w:t>采购方式：</w:t>
      </w:r>
      <w:r>
        <w:rPr/>
        <w:t>公开招标</w:t>
      </w:r>
    </w:p>
    <w:p>
      <w:pPr>
        <w:pStyle w:val="null3"/>
        <w:ind w:firstLine="480"/>
      </w:pPr>
      <w:r>
        <w:rPr/>
        <w:t>预算金额：</w:t>
      </w:r>
      <w:r>
        <w:rPr/>
        <w:t>46,502,706.33</w:t>
      </w:r>
      <w:r>
        <w:rPr/>
        <w:t>元</w:t>
      </w:r>
    </w:p>
    <w:p>
      <w:pPr>
        <w:pStyle w:val="null3"/>
        <w:outlineLvl w:val="3"/>
      </w:pPr>
      <w:r>
        <w:rPr>
          <w:sz w:val="24"/>
          <w:b/>
        </w:rPr>
        <w:t>2.项目内容及需求情况（采购项目技术规格、参数及要求）</w:t>
      </w:r>
    </w:p>
    <w:p>
      <w:pPr>
        <w:pStyle w:val="null3"/>
      </w:pPr>
      <w:r>
        <w:rPr/>
        <w:t>采购包1(望牛墩镇智慧视频监控及电子警察新型基础设施建设项目):</w:t>
      </w:r>
    </w:p>
    <w:p>
      <w:pPr>
        <w:pStyle w:val="null3"/>
      </w:pPr>
      <w:r>
        <w:rPr/>
        <w:t>采购包预算金额：46,502,706.33元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交通管理设备</w:t>
            </w:r>
          </w:p>
        </w:tc>
        <w:tc>
          <w:tcPr>
            <w:tcW w:type="dxa" w:w="2136"/>
          </w:tcPr>
          <w:p>
            <w:pPr>
              <w:pStyle w:val="null3"/>
            </w:pPr>
            <w:r>
              <w:rPr/>
              <w:t>望牛墩镇智慧视频监控及电子警察新型基础设施建设项目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合同分包：允许合同分包</w:t>
      </w:r>
    </w:p>
    <w:p>
      <w:pPr>
        <w:pStyle w:val="null3"/>
      </w:pPr>
      <w:r>
        <w:rPr/>
        <w:t>合同履行期限：详见“标的提供的时间”。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时提交有效的营业执照（或事业法人登记证或身份证等相关证明）复印件。分支机构投标的，须提供总公司和分公司营业执照复印件，总公司出具给分支机构的授权书。在参与项目评审时，投标人提供材料范围含其总公司及同一法人下的上级分公司。</w:t>
      </w:r>
    </w:p>
    <w:p>
      <w:pPr>
        <w:pStyle w:val="null3"/>
      </w:pPr>
      <w:r>
        <w:rPr/>
        <w:t>2）有依法缴纳税收和社会保障资金的良好记录：提供投标截止日前6个月内任意1个月依法缴纳税收和社会保障资金的相关材料。或提供《资格条件承诺函》。如依法免税或不需要缴纳社会保障资金的，须提供相应证明材料。</w:t>
      </w:r>
    </w:p>
    <w:p>
      <w:pPr>
        <w:pStyle w:val="null3"/>
      </w:pPr>
      <w:r>
        <w:rPr/>
        <w:t>3）具有良好的商业信誉和健全的财务会计制度：提供投标截止日前3年内任意1年的财务状况报告或提供基本开户行出具的资信证明。或提供《资格条件承诺函》。</w:t>
      </w:r>
    </w:p>
    <w:p>
      <w:pPr>
        <w:pStyle w:val="null3"/>
      </w:pPr>
      <w:r>
        <w:rPr/>
        <w:t>4）履行合同所必需的设备和专业技术能力：按投标文件格式填报设备及专业技术能力情况。或提供《资格条件承诺函》。</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采购包1（望牛墩镇智慧视频监控及电子警察新型基础设施建设项目）：</w:t>
      </w:r>
      <w:r>
        <w:rPr/>
        <w:t>本项目不专门面向中小企业采购。 本项目中小企业划型标准所属行业为：工业。</w:t>
      </w:r>
    </w:p>
    <w:p>
      <w:pPr>
        <w:pStyle w:val="null3"/>
        <w:outlineLvl w:val="3"/>
      </w:pPr>
      <w:r>
        <w:rPr>
          <w:sz w:val="24"/>
          <w:b/>
        </w:rPr>
        <w:t>3.本项目特定的资格要求：</w:t>
      </w:r>
    </w:p>
    <w:p>
      <w:pPr>
        <w:pStyle w:val="null3"/>
      </w:pPr>
      <w:r>
        <w:rPr/>
        <w:t>采购包1（望牛墩镇智慧视频监控及电子警察新型基础设施建设项目）：</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 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管理关系的不同供应商，不得同时参加本采购项目（或采购包）投标。为本项目提供整体设计、规范编制或者项目管理、监理、检测等服务的供应商，不得再参与本项目投标。投标函相关承诺要求内容。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东莞市公安局望牛墩分局</w:t>
      </w:r>
    </w:p>
    <w:p>
      <w:pPr>
        <w:pStyle w:val="null3"/>
        <w:ind w:firstLine="480"/>
      </w:pPr>
      <w:r>
        <w:rPr/>
        <w:t xml:space="preserve"> 地址：</w:t>
      </w:r>
      <w:r>
        <w:rPr/>
        <w:t>广东省东莞市望牛墩镇金牛路32号</w:t>
      </w:r>
    </w:p>
    <w:p>
      <w:pPr>
        <w:pStyle w:val="null3"/>
        <w:ind w:firstLine="480"/>
      </w:pPr>
      <w:r>
        <w:rPr/>
        <w:t xml:space="preserve"> 联系方式：</w:t>
      </w:r>
      <w:r>
        <w:rPr/>
        <w:t>0769-88558853</w:t>
      </w:r>
    </w:p>
    <w:p>
      <w:pPr>
        <w:pStyle w:val="null3"/>
        <w:outlineLvl w:val="3"/>
      </w:pPr>
      <w:r>
        <w:rPr>
          <w:sz w:val="24"/>
          <w:b/>
        </w:rPr>
        <w:t xml:space="preserve"> 2.采购代理机构信息</w:t>
      </w:r>
    </w:p>
    <w:p>
      <w:pPr>
        <w:pStyle w:val="null3"/>
        <w:ind w:firstLine="480"/>
      </w:pPr>
      <w:r>
        <w:rPr/>
        <w:t xml:space="preserve"> 名称：</w:t>
      </w:r>
      <w:r>
        <w:rPr/>
        <w:t>中天项目咨询（东莞）有限公司</w:t>
      </w:r>
    </w:p>
    <w:p>
      <w:pPr>
        <w:pStyle w:val="null3"/>
        <w:ind w:firstLine="480"/>
      </w:pPr>
      <w:r>
        <w:rPr/>
        <w:t xml:space="preserve"> 地址：</w:t>
      </w:r>
      <w:r>
        <w:rPr/>
        <w:t>广东省东莞市南城街道鸿福路102号汇成大厦1栋406室</w:t>
      </w:r>
    </w:p>
    <w:p>
      <w:pPr>
        <w:pStyle w:val="null3"/>
        <w:ind w:firstLine="480"/>
      </w:pPr>
      <w:r>
        <w:rPr/>
        <w:t xml:space="preserve"> 联系方式：</w:t>
      </w:r>
      <w:r>
        <w:rPr/>
        <w:t>0769-22086988</w:t>
      </w:r>
    </w:p>
    <w:p>
      <w:pPr>
        <w:pStyle w:val="null3"/>
        <w:outlineLvl w:val="3"/>
      </w:pPr>
      <w:r>
        <w:rPr>
          <w:sz w:val="24"/>
          <w:b/>
        </w:rPr>
        <w:t xml:space="preserve"> 3.项目联系方式</w:t>
      </w:r>
    </w:p>
    <w:p>
      <w:pPr>
        <w:pStyle w:val="null3"/>
        <w:ind w:firstLine="480"/>
      </w:pPr>
      <w:r>
        <w:rPr/>
        <w:t xml:space="preserve"> 项目联系人：</w:t>
      </w:r>
      <w:r>
        <w:rPr/>
        <w:t>刘先生</w:t>
      </w:r>
    </w:p>
    <w:p>
      <w:pPr>
        <w:pStyle w:val="null3"/>
        <w:ind w:firstLine="480"/>
      </w:pPr>
      <w:r>
        <w:rPr/>
        <w:t xml:space="preserve"> 电话：</w:t>
      </w:r>
      <w:r>
        <w:rPr/>
        <w:t>0769-22086988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中天项目咨询（东莞）有限公司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望牛墩镇位于东莞市西北部，东江下游。截至</w:t>
      </w:r>
      <w:r>
        <w:rPr>
          <w:sz w:val="22"/>
        </w:rPr>
        <w:t>2024年底，全镇总面积31.6平方公里，下辖21个村委会和1个社区居民委员会，常住人口约9万人，其中户籍人口5.8万人。经过</w:t>
      </w:r>
      <w:r>
        <w:rPr>
          <w:sz w:val="22"/>
        </w:rPr>
        <w:t>多期次信息化项目建设</w:t>
      </w:r>
      <w:r>
        <w:rPr>
          <w:sz w:val="22"/>
        </w:rPr>
        <w:t>，共</w:t>
      </w:r>
      <w:r>
        <w:rPr>
          <w:sz w:val="22"/>
        </w:rPr>
        <w:t>建成公安一类点视频</w:t>
      </w:r>
      <w:r>
        <w:rPr>
          <w:sz w:val="22"/>
        </w:rPr>
        <w:t>300余路、</w:t>
      </w:r>
      <w:r>
        <w:rPr>
          <w:sz w:val="22"/>
        </w:rPr>
        <w:t>前端感知视频</w:t>
      </w:r>
      <w:r>
        <w:rPr>
          <w:sz w:val="22"/>
        </w:rPr>
        <w:t>18套、车辆卡口（含电警）30余套，</w:t>
      </w:r>
      <w:r>
        <w:rPr>
          <w:sz w:val="22"/>
        </w:rPr>
        <w:t>主要覆盖辖区内各主次要干道、关键岔道口以及镇中心区的重点单位、重点区域、人流密集</w:t>
      </w:r>
      <w:r>
        <w:rPr>
          <w:sz w:val="22"/>
        </w:rPr>
        <w:t>等</w:t>
      </w:r>
      <w:r>
        <w:rPr>
          <w:sz w:val="22"/>
        </w:rPr>
        <w:t>区域</w:t>
      </w:r>
      <w:r>
        <w:rPr>
          <w:sz w:val="22"/>
        </w:rPr>
        <w:t>，</w:t>
      </w:r>
      <w:r>
        <w:rPr>
          <w:sz w:val="22"/>
        </w:rPr>
        <w:t>从点位布局、设备运行情况以及需求等方面的分析，</w:t>
      </w:r>
      <w:r>
        <w:rPr>
          <w:sz w:val="22"/>
        </w:rPr>
        <w:t>该镇</w:t>
      </w:r>
      <w:r>
        <w:rPr>
          <w:sz w:val="22"/>
        </w:rPr>
        <w:t>现有高清视频监控前端仍存在</w:t>
      </w:r>
      <w:r>
        <w:rPr>
          <w:sz w:val="22"/>
        </w:rPr>
        <w:t>点位分布不均、智能管控水平不高、设备性能低下等问题。经研究，本项目主要建设公安一类点高清视频</w:t>
      </w:r>
      <w:r>
        <w:rPr>
          <w:sz w:val="22"/>
        </w:rPr>
        <w:t>401路、</w:t>
      </w:r>
      <w:r>
        <w:rPr>
          <w:sz w:val="22"/>
        </w:rPr>
        <w:t>前端感知视频</w:t>
      </w:r>
      <w:r>
        <w:rPr>
          <w:sz w:val="22"/>
        </w:rPr>
        <w:t>411套、简易卡口80套；</w:t>
      </w:r>
      <w:r>
        <w:rPr>
          <w:sz w:val="22"/>
        </w:rPr>
        <w:t>升级改造一二期</w:t>
      </w:r>
      <w:r>
        <w:rPr>
          <w:sz w:val="22"/>
        </w:rPr>
        <w:t>80路球机、92路枪机和10路车辆卡口、升级改造三期18路感知设备；</w:t>
      </w:r>
      <w:r>
        <w:rPr>
          <w:sz w:val="22"/>
        </w:rPr>
        <w:t>新建</w:t>
      </w:r>
      <w:r>
        <w:rPr>
          <w:sz w:val="22"/>
        </w:rPr>
        <w:t>人脸取证闯红灯电子警察系统</w:t>
      </w:r>
      <w:r>
        <w:rPr>
          <w:sz w:val="22"/>
        </w:rPr>
        <w:t>13套，</w:t>
      </w:r>
      <w:r>
        <w:rPr>
          <w:sz w:val="22"/>
        </w:rPr>
        <w:t>测速抓拍系统</w:t>
      </w:r>
      <w:r>
        <w:rPr>
          <w:sz w:val="22"/>
        </w:rPr>
        <w:t>1</w:t>
      </w:r>
      <w:r>
        <w:rPr>
          <w:sz w:val="22"/>
        </w:rPr>
        <w:t>套，礼让行人</w:t>
      </w:r>
      <w:r>
        <w:rPr>
          <w:sz w:val="22"/>
        </w:rPr>
        <w:t>抓拍系统</w:t>
      </w:r>
      <w:r>
        <w:rPr>
          <w:sz w:val="22"/>
        </w:rPr>
        <w:t>2</w:t>
      </w:r>
      <w:r>
        <w:rPr>
          <w:sz w:val="22"/>
        </w:rPr>
        <w:t>套，</w:t>
      </w:r>
      <w:r>
        <w:rPr>
          <w:sz w:val="22"/>
        </w:rPr>
        <w:t>右转预警抓拍系统</w:t>
      </w:r>
      <w:r>
        <w:rPr>
          <w:sz w:val="22"/>
        </w:rPr>
        <w:t>2</w:t>
      </w:r>
      <w:r>
        <w:rPr>
          <w:sz w:val="22"/>
        </w:rPr>
        <w:t>套，非机动车抓拍电子警察</w:t>
      </w:r>
      <w:r>
        <w:rPr>
          <w:sz w:val="22"/>
        </w:rPr>
        <w:t>38套，非机动车道、中心护栏以及其他导流牌、指示牌、交通标线等道路交通设施一批。</w:t>
      </w:r>
    </w:p>
    <w:p>
      <w:pPr>
        <w:pStyle w:val="null3"/>
        <w:ind w:firstLine="440"/>
        <w:jc w:val="left"/>
        <w:outlineLvl w:val="0"/>
      </w:pPr>
      <w:r>
        <w:rPr>
          <w:sz w:val="22"/>
          <w:b/>
        </w:rPr>
        <w:t>二、项目目标</w:t>
      </w:r>
    </w:p>
    <w:p>
      <w:pPr>
        <w:pStyle w:val="null3"/>
        <w:ind w:firstLine="440"/>
        <w:jc w:val="both"/>
      </w:pPr>
      <w:r>
        <w:rPr>
          <w:sz w:val="22"/>
        </w:rPr>
        <w:t>遵循市</w:t>
      </w:r>
      <w:r>
        <w:rPr>
          <w:sz w:val="22"/>
        </w:rPr>
        <w:t>公安</w:t>
      </w:r>
      <w:r>
        <w:rPr>
          <w:sz w:val="22"/>
        </w:rPr>
        <w:t>局下发的高清视频点前端建设指引，基于前期建设的基础上延伸监控覆盖面，利用先进、科学、经济的技术手段，统一规划、统一设计、统一实施，建设一套符合望牛墩公安实战需求的高清立体防控治安视频监控</w:t>
      </w:r>
      <w:r>
        <w:rPr>
          <w:sz w:val="22"/>
        </w:rPr>
        <w:t>和电子警察</w:t>
      </w:r>
      <w:r>
        <w:rPr>
          <w:sz w:val="22"/>
        </w:rPr>
        <w:t>系统，</w:t>
      </w:r>
      <w:r>
        <w:rPr>
          <w:sz w:val="22"/>
        </w:rPr>
        <w:t>进一步</w:t>
      </w:r>
      <w:r>
        <w:rPr>
          <w:sz w:val="22"/>
        </w:rPr>
        <w:t>完善东莞市望牛墩镇重点区域、重点单位、</w:t>
      </w:r>
      <w:r>
        <w:rPr>
          <w:sz w:val="22"/>
        </w:rPr>
        <w:t>重点路段和</w:t>
      </w:r>
      <w:r>
        <w:rPr>
          <w:sz w:val="22"/>
        </w:rPr>
        <w:t>人流密集等区域的治安视频</w:t>
      </w:r>
      <w:r>
        <w:rPr>
          <w:sz w:val="22"/>
        </w:rPr>
        <w:t>和道路交通管控建设</w:t>
      </w:r>
      <w:r>
        <w:rPr>
          <w:sz w:val="22"/>
        </w:rPr>
        <w:t>，</w:t>
      </w:r>
      <w:r>
        <w:rPr>
          <w:sz w:val="22"/>
        </w:rPr>
        <w:t>提高望牛墩社会治安的安防水平</w:t>
      </w:r>
      <w:r>
        <w:rPr>
          <w:sz w:val="22"/>
        </w:rPr>
        <w:t>和道路交通安全</w:t>
      </w:r>
      <w:r>
        <w:rPr>
          <w:sz w:val="22"/>
        </w:rPr>
        <w:t>，提高居民的幸福感</w:t>
      </w:r>
      <w:r>
        <w:rPr>
          <w:sz w:val="22"/>
        </w:rPr>
        <w:t>，</w:t>
      </w:r>
      <w:r>
        <w:rPr>
          <w:sz w:val="22"/>
        </w:rPr>
        <w:t>推动平安望牛墩建设</w:t>
      </w:r>
      <w:r>
        <w:rPr>
          <w:sz w:val="22"/>
        </w:rPr>
        <w:t>。</w:t>
      </w:r>
    </w:p>
    <w:p>
      <w:pPr>
        <w:pStyle w:val="null3"/>
        <w:jc w:val="both"/>
        <w:outlineLvl w:val="0"/>
      </w:pPr>
      <w:r>
        <w:rPr>
          <w:sz w:val="22"/>
          <w:b/>
        </w:rPr>
        <w:t>三、实施内容</w:t>
      </w:r>
    </w:p>
    <w:p>
      <w:pPr>
        <w:pStyle w:val="null3"/>
        <w:ind w:firstLine="440"/>
        <w:jc w:val="both"/>
      </w:pPr>
      <w:r>
        <w:rPr>
          <w:sz w:val="22"/>
        </w:rPr>
        <w:t>本项目分为公安、交管建设内容，分别如下：</w:t>
      </w:r>
    </w:p>
    <w:p>
      <w:pPr>
        <w:pStyle w:val="null3"/>
        <w:ind w:firstLine="440"/>
        <w:jc w:val="both"/>
      </w:pPr>
      <w:r>
        <w:rPr>
          <w:sz w:val="22"/>
        </w:rPr>
        <w:t>公安部分：</w:t>
      </w:r>
    </w:p>
    <w:p>
      <w:pPr>
        <w:pStyle w:val="null3"/>
        <w:ind w:firstLine="440"/>
        <w:jc w:val="both"/>
      </w:pPr>
      <w:r>
        <w:rPr>
          <w:sz w:val="22"/>
        </w:rPr>
        <w:t>1.一类高清视频监控及平台建设：</w:t>
      </w:r>
    </w:p>
    <w:p>
      <w:pPr>
        <w:pStyle w:val="null3"/>
        <w:ind w:firstLine="440"/>
        <w:jc w:val="both"/>
      </w:pPr>
      <w:r>
        <w:rPr>
          <w:sz w:val="22"/>
        </w:rPr>
        <w:t>（</w:t>
      </w:r>
      <w:r>
        <w:rPr>
          <w:sz w:val="22"/>
        </w:rPr>
        <w:t>1）高清视频部分：新建公安一类高清视频前端点位190个，共401路视频（含195路球机与206路枪机）；</w:t>
      </w:r>
    </w:p>
    <w:p>
      <w:pPr>
        <w:pStyle w:val="null3"/>
        <w:ind w:firstLine="440"/>
        <w:jc w:val="both"/>
      </w:pPr>
      <w:r>
        <w:rPr>
          <w:sz w:val="22"/>
        </w:rPr>
        <w:t>（</w:t>
      </w:r>
      <w:r>
        <w:rPr>
          <w:sz w:val="22"/>
        </w:rPr>
        <w:t>2）指挥广播系统：前端建设13套指挥广播系统；</w:t>
      </w:r>
    </w:p>
    <w:p>
      <w:pPr>
        <w:pStyle w:val="null3"/>
        <w:ind w:firstLine="440"/>
        <w:jc w:val="both"/>
      </w:pPr>
      <w:r>
        <w:rPr>
          <w:sz w:val="22"/>
        </w:rPr>
        <w:t>（</w:t>
      </w:r>
      <w:r>
        <w:rPr>
          <w:sz w:val="22"/>
        </w:rPr>
        <w:t>3）前端感知视频部分：新建前端感知视频前端点位96个，共411路感知视频；</w:t>
      </w:r>
    </w:p>
    <w:p>
      <w:pPr>
        <w:pStyle w:val="null3"/>
        <w:ind w:firstLine="440"/>
        <w:jc w:val="both"/>
      </w:pPr>
      <w:r>
        <w:rPr>
          <w:sz w:val="22"/>
        </w:rPr>
        <w:t>（</w:t>
      </w:r>
      <w:r>
        <w:rPr>
          <w:sz w:val="22"/>
        </w:rPr>
        <w:t>4）简易卡口部分：新建简易卡口前端点位68个，共80路简易卡口视频；</w:t>
      </w:r>
    </w:p>
    <w:p>
      <w:pPr>
        <w:pStyle w:val="null3"/>
        <w:ind w:firstLine="440"/>
        <w:jc w:val="both"/>
      </w:pPr>
      <w:r>
        <w:rPr>
          <w:sz w:val="22"/>
        </w:rPr>
        <w:t>（</w:t>
      </w:r>
      <w:r>
        <w:rPr>
          <w:sz w:val="22"/>
        </w:rPr>
        <w:t>5）升级改造部分：升级改造一二期80路球机、92路枪机和10路车辆卡口、升级改造三期18路感知设备；</w:t>
      </w:r>
    </w:p>
    <w:p>
      <w:pPr>
        <w:pStyle w:val="null3"/>
        <w:ind w:firstLine="440"/>
        <w:jc w:val="both"/>
      </w:pPr>
      <w:r>
        <w:rPr>
          <w:sz w:val="22"/>
        </w:rPr>
        <w:t>（</w:t>
      </w:r>
      <w:r>
        <w:rPr>
          <w:sz w:val="22"/>
        </w:rPr>
        <w:t>6）后台建设部分：分局视频监控共享平台升级改造、分局视图数据接入节点建设及配套视频、图片存储建设。</w:t>
      </w:r>
    </w:p>
    <w:p>
      <w:pPr>
        <w:pStyle w:val="null3"/>
        <w:ind w:firstLine="440"/>
        <w:jc w:val="both"/>
      </w:pPr>
      <w:r>
        <w:rPr>
          <w:sz w:val="22"/>
        </w:rPr>
        <w:t>2.本期规划建设一套6载波固定基站。</w:t>
      </w:r>
    </w:p>
    <w:p>
      <w:pPr>
        <w:pStyle w:val="null3"/>
        <w:ind w:firstLine="440"/>
        <w:jc w:val="both"/>
      </w:pPr>
      <w:r>
        <w:rPr>
          <w:sz w:val="22"/>
        </w:rPr>
        <w:t>3.望牛墩分局指挥中心基础设施建设升级改造项目信息化配套设施内容分为：指挥中心</w:t>
      </w:r>
      <w:r>
        <w:rPr>
          <w:sz w:val="22"/>
        </w:rPr>
        <w:t>专用机房改造，</w:t>
      </w:r>
      <w:r>
        <w:rPr>
          <w:sz w:val="22"/>
        </w:rPr>
        <w:t>扩建装饰、网络及综合布线</w:t>
      </w:r>
      <w:r>
        <w:rPr>
          <w:sz w:val="22"/>
        </w:rPr>
        <w:t>等</w:t>
      </w:r>
      <w:r>
        <w:rPr>
          <w:sz w:val="22"/>
        </w:rPr>
        <w:t>。</w:t>
      </w:r>
    </w:p>
    <w:p>
      <w:pPr>
        <w:pStyle w:val="null3"/>
        <w:ind w:firstLine="440"/>
        <w:jc w:val="both"/>
      </w:pPr>
      <w:r>
        <w:rPr>
          <w:sz w:val="22"/>
        </w:rPr>
        <w:t>交管部分：</w:t>
      </w:r>
    </w:p>
    <w:p>
      <w:pPr>
        <w:pStyle w:val="null3"/>
        <w:ind w:firstLine="440"/>
        <w:jc w:val="both"/>
      </w:pPr>
      <w:r>
        <w:rPr>
          <w:sz w:val="22"/>
        </w:rPr>
        <w:t>1.</w:t>
      </w:r>
      <w:r>
        <w:rPr>
          <w:sz w:val="22"/>
        </w:rPr>
        <w:t>新建</w:t>
      </w:r>
      <w:r>
        <w:rPr>
          <w:sz w:val="22"/>
        </w:rPr>
        <w:t>13个路口的人脸取证闯红灯电子警察系统，建设电警抓拍单元，卡口抓拍单元，球型摄像机，非机抓拍设备，以及配套对应数量的补光设备及相关设施。</w:t>
      </w:r>
    </w:p>
    <w:p>
      <w:pPr>
        <w:pStyle w:val="null3"/>
        <w:ind w:firstLine="440"/>
        <w:jc w:val="both"/>
      </w:pPr>
      <w:r>
        <w:rPr>
          <w:sz w:val="22"/>
        </w:rPr>
        <w:t>2.</w:t>
      </w:r>
      <w:r>
        <w:rPr>
          <w:sz w:val="22"/>
        </w:rPr>
        <w:t>新建</w:t>
      </w:r>
      <w:r>
        <w:rPr>
          <w:sz w:val="22"/>
        </w:rPr>
        <w:t>1个点位的路段测速抓拍系统，建设测速电警抓拍单元，卡口抓拍单元（捕捉不带安全带、打手机等违法行为），球型摄像机，以及配套对应数量的补光设备及相关设施）。</w:t>
      </w:r>
    </w:p>
    <w:p>
      <w:pPr>
        <w:pStyle w:val="null3"/>
        <w:ind w:firstLine="440"/>
        <w:jc w:val="both"/>
      </w:pPr>
      <w:r>
        <w:rPr>
          <w:sz w:val="22"/>
        </w:rPr>
        <w:t>3.</w:t>
      </w:r>
      <w:r>
        <w:rPr>
          <w:sz w:val="22"/>
        </w:rPr>
        <w:t>新建</w:t>
      </w:r>
      <w:r>
        <w:rPr>
          <w:sz w:val="22"/>
        </w:rPr>
        <w:t>2个点位的不礼让行人抓拍系统，建设不礼让行人抓拍单元，卡口抓拍单元，球型摄像机，以及配套对应数量的补光设备及相关设施。</w:t>
      </w:r>
    </w:p>
    <w:p>
      <w:pPr>
        <w:pStyle w:val="null3"/>
        <w:ind w:firstLine="440"/>
        <w:jc w:val="both"/>
      </w:pPr>
      <w:r>
        <w:rPr>
          <w:sz w:val="22"/>
        </w:rPr>
        <w:t>4. 新建2个点位的货车右转预警抓拍系统，建设大车右转预警设备，以及配套相关设施。</w:t>
      </w:r>
    </w:p>
    <w:p>
      <w:pPr>
        <w:pStyle w:val="null3"/>
        <w:ind w:firstLine="440"/>
        <w:jc w:val="both"/>
      </w:pPr>
      <w:r>
        <w:rPr>
          <w:sz w:val="22"/>
        </w:rPr>
        <w:t>5.</w:t>
      </w:r>
      <w:r>
        <w:rPr>
          <w:sz w:val="22"/>
        </w:rPr>
        <w:t>新建</w:t>
      </w:r>
      <w:r>
        <w:rPr>
          <w:sz w:val="22"/>
        </w:rPr>
        <w:t>38个点位的非机动违法抓拍系统，建设非机抓拍设备，以及配套对应数量的补光设备及相关设施。</w:t>
      </w:r>
    </w:p>
    <w:p>
      <w:pPr>
        <w:pStyle w:val="null3"/>
        <w:ind w:firstLine="440"/>
        <w:jc w:val="both"/>
      </w:pPr>
      <w:r>
        <w:rPr>
          <w:sz w:val="22"/>
        </w:rPr>
        <w:t>6.</w:t>
      </w:r>
      <w:r>
        <w:rPr>
          <w:sz w:val="22"/>
        </w:rPr>
        <w:t>建设非机动车道。</w:t>
      </w:r>
    </w:p>
    <w:p>
      <w:pPr>
        <w:pStyle w:val="null3"/>
        <w:ind w:firstLine="440"/>
        <w:jc w:val="both"/>
      </w:pPr>
      <w:r>
        <w:rPr>
          <w:sz w:val="22"/>
        </w:rPr>
        <w:t>7.</w:t>
      </w:r>
      <w:r>
        <w:rPr>
          <w:sz w:val="22"/>
        </w:rPr>
        <w:t>翻新道路交通标志标线。</w:t>
      </w:r>
    </w:p>
    <w:p>
      <w:pPr>
        <w:pStyle w:val="null3"/>
        <w:ind w:firstLine="440"/>
        <w:jc w:val="both"/>
      </w:pPr>
      <w:r>
        <w:rPr>
          <w:sz w:val="22"/>
        </w:rPr>
        <w:t>8.</w:t>
      </w:r>
      <w:r>
        <w:rPr>
          <w:sz w:val="22"/>
        </w:rPr>
        <w:t>升级改造信控路口</w:t>
      </w:r>
      <w:r>
        <w:rPr>
          <w:sz w:val="22"/>
        </w:rPr>
        <w:t>13个、建设可联网信控主机、机动车信号灯、人行信号灯、雷视一体机，以及配套相关设施。</w:t>
      </w:r>
    </w:p>
    <w:p>
      <w:pPr>
        <w:pStyle w:val="null3"/>
        <w:ind w:firstLine="440"/>
        <w:jc w:val="both"/>
      </w:pPr>
      <w:r>
        <w:rPr>
          <w:sz w:val="22"/>
        </w:rPr>
        <w:t>9.望牛墩交管大队监控中心已经部署的电子警察管理平台和信号控制联网管理平台，本次对平台进行国产化适配以及进行平台升级扩容，及部署配套管理。</w:t>
      </w:r>
    </w:p>
    <w:p>
      <w:pPr>
        <w:pStyle w:val="null3"/>
        <w:ind w:firstLine="440"/>
        <w:jc w:val="both"/>
      </w:pPr>
      <w:r>
        <w:rPr>
          <w:sz w:val="22"/>
        </w:rPr>
        <w:t>10.网络传输部分：本期项目租用运营商VPN传输链路。</w:t>
      </w:r>
    </w:p>
    <w:p>
      <w:pPr>
        <w:pStyle w:val="null3"/>
        <w:ind w:firstLine="440"/>
        <w:jc w:val="both"/>
      </w:pPr>
      <w:r>
        <w:rPr>
          <w:sz w:val="22"/>
          <w:b/>
        </w:rPr>
        <w:t>四、</w:t>
      </w:r>
      <w:r>
        <w:rPr>
          <w:sz w:val="22"/>
          <w:b/>
        </w:rPr>
        <w:t>标准规范</w:t>
      </w:r>
    </w:p>
    <w:p>
      <w:pPr>
        <w:pStyle w:val="null3"/>
        <w:ind w:firstLine="440"/>
        <w:jc w:val="left"/>
      </w:pPr>
      <w:r>
        <w:rPr>
          <w:sz w:val="22"/>
        </w:rPr>
        <w:t>《关于加强社会治安防控体系建设的意见》；</w:t>
      </w:r>
    </w:p>
    <w:p>
      <w:pPr>
        <w:pStyle w:val="null3"/>
        <w:ind w:firstLine="440"/>
        <w:jc w:val="left"/>
      </w:pPr>
      <w:r>
        <w:rPr>
          <w:sz w:val="22"/>
        </w:rPr>
        <w:t>《广东省国民经济和社会发展第十四个五年规划和</w:t>
      </w:r>
      <w:r>
        <w:rPr>
          <w:sz w:val="22"/>
        </w:rPr>
        <w:t>2035年远景目标纲要》；</w:t>
      </w:r>
    </w:p>
    <w:p>
      <w:pPr>
        <w:pStyle w:val="null3"/>
        <w:ind w:firstLine="440"/>
        <w:jc w:val="left"/>
      </w:pPr>
      <w:r>
        <w:rPr>
          <w:sz w:val="22"/>
        </w:rPr>
        <w:t>《广东省智慧新警务总体规划》；</w:t>
      </w:r>
    </w:p>
    <w:p>
      <w:pPr>
        <w:pStyle w:val="null3"/>
        <w:ind w:firstLine="440"/>
        <w:jc w:val="left"/>
      </w:pPr>
      <w:r>
        <w:rPr>
          <w:sz w:val="22"/>
        </w:rPr>
        <w:t>《公共安全视频图像信息系统管理条例》</w:t>
      </w:r>
    </w:p>
    <w:p>
      <w:pPr>
        <w:pStyle w:val="null3"/>
        <w:ind w:firstLine="440"/>
        <w:jc w:val="left"/>
      </w:pPr>
      <w:r>
        <w:rPr>
          <w:sz w:val="22"/>
        </w:rPr>
        <w:t>《全国公安机关图像信息联网总体技术方案》；</w:t>
      </w:r>
    </w:p>
    <w:p>
      <w:pPr>
        <w:pStyle w:val="null3"/>
        <w:ind w:firstLine="440"/>
        <w:jc w:val="left"/>
      </w:pPr>
      <w:r>
        <w:rPr>
          <w:sz w:val="22"/>
        </w:rPr>
        <w:t>《安全防范工程技术标准》（</w:t>
      </w:r>
      <w:r>
        <w:rPr>
          <w:sz w:val="22"/>
        </w:rPr>
        <w:t>GB 50348-2018）；</w:t>
      </w:r>
    </w:p>
    <w:p>
      <w:pPr>
        <w:pStyle w:val="null3"/>
        <w:ind w:firstLine="440"/>
        <w:jc w:val="left"/>
      </w:pPr>
      <w:r>
        <w:rPr>
          <w:sz w:val="22"/>
        </w:rPr>
        <w:t>《安全防范系统验收规则》（</w:t>
      </w:r>
      <w:r>
        <w:rPr>
          <w:sz w:val="22"/>
        </w:rPr>
        <w:t>GA308-2001）；</w:t>
      </w:r>
    </w:p>
    <w:p>
      <w:pPr>
        <w:pStyle w:val="null3"/>
        <w:ind w:firstLine="440"/>
        <w:jc w:val="left"/>
      </w:pPr>
      <w:r>
        <w:rPr>
          <w:sz w:val="22"/>
        </w:rPr>
        <w:t>《视频安防监控系统技术要求》（</w:t>
      </w:r>
      <w:r>
        <w:rPr>
          <w:sz w:val="22"/>
        </w:rPr>
        <w:t>GA/T 367-2001）</w:t>
      </w:r>
    </w:p>
    <w:p>
      <w:pPr>
        <w:pStyle w:val="null3"/>
        <w:ind w:firstLine="440"/>
        <w:jc w:val="left"/>
      </w:pPr>
      <w:r>
        <w:rPr>
          <w:sz w:val="22"/>
        </w:rPr>
        <w:t>《视频图像文字标注规范》（</w:t>
      </w:r>
      <w:r>
        <w:rPr>
          <w:sz w:val="22"/>
        </w:rPr>
        <w:t>GA/T751-2008）；</w:t>
      </w:r>
    </w:p>
    <w:p>
      <w:pPr>
        <w:pStyle w:val="null3"/>
        <w:ind w:firstLine="440"/>
        <w:jc w:val="left"/>
      </w:pPr>
      <w:r>
        <w:rPr>
          <w:sz w:val="22"/>
        </w:rPr>
        <w:t>《</w:t>
      </w:r>
      <w:r>
        <w:rPr>
          <w:sz w:val="22"/>
        </w:rPr>
        <w:t>IP网络技术要求网络性能参数与指标》（YD/T 1171-2015）；</w:t>
      </w:r>
    </w:p>
    <w:p>
      <w:pPr>
        <w:pStyle w:val="null3"/>
        <w:ind w:firstLine="440"/>
        <w:jc w:val="left"/>
      </w:pPr>
      <w:r>
        <w:rPr>
          <w:sz w:val="22"/>
        </w:rPr>
        <w:t>《信息技术开放系统互连网络层安全协议》（</w:t>
      </w:r>
      <w:r>
        <w:rPr>
          <w:sz w:val="22"/>
        </w:rPr>
        <w:t>GB/T17963-2000）；</w:t>
      </w:r>
    </w:p>
    <w:p>
      <w:pPr>
        <w:pStyle w:val="null3"/>
        <w:ind w:firstLine="440"/>
        <w:jc w:val="left"/>
      </w:pPr>
      <w:r>
        <w:rPr>
          <w:sz w:val="22"/>
        </w:rPr>
        <w:t>《综合布线系统工程设计规范》（</w:t>
      </w:r>
      <w:r>
        <w:rPr>
          <w:sz w:val="22"/>
        </w:rPr>
        <w:t>GB 50311-2016）；</w:t>
      </w:r>
    </w:p>
    <w:p>
      <w:pPr>
        <w:pStyle w:val="null3"/>
        <w:ind w:firstLine="440"/>
        <w:jc w:val="left"/>
      </w:pPr>
      <w:r>
        <w:rPr>
          <w:sz w:val="22"/>
        </w:rPr>
        <w:t>《建筑物防雷设计规范》（</w:t>
      </w:r>
      <w:r>
        <w:rPr>
          <w:sz w:val="22"/>
        </w:rPr>
        <w:t>GB 50057-2010）；</w:t>
      </w:r>
    </w:p>
    <w:p>
      <w:pPr>
        <w:pStyle w:val="null3"/>
        <w:ind w:firstLine="440"/>
        <w:jc w:val="left"/>
      </w:pPr>
      <w:r>
        <w:rPr>
          <w:sz w:val="22"/>
        </w:rPr>
        <w:t>《建筑物电子信息系统防雷技术规范》（</w:t>
      </w:r>
      <w:r>
        <w:rPr>
          <w:sz w:val="22"/>
        </w:rPr>
        <w:t>GB 50343-2012）；</w:t>
      </w:r>
    </w:p>
    <w:p>
      <w:pPr>
        <w:pStyle w:val="null3"/>
        <w:ind w:firstLine="440"/>
        <w:jc w:val="left"/>
      </w:pPr>
      <w:r>
        <w:rPr>
          <w:sz w:val="22"/>
        </w:rPr>
        <w:t>《电气装置安装工程</w:t>
      </w:r>
      <w:r>
        <w:rPr>
          <w:sz w:val="22"/>
        </w:rPr>
        <w:t>接地装置施工及验收规范》（</w:t>
      </w:r>
      <w:r>
        <w:rPr>
          <w:sz w:val="22"/>
        </w:rPr>
        <w:t>GB 50169-2016）；</w:t>
      </w:r>
    </w:p>
    <w:p>
      <w:pPr>
        <w:pStyle w:val="null3"/>
        <w:ind w:firstLine="440"/>
        <w:jc w:val="left"/>
      </w:pPr>
      <w:r>
        <w:rPr>
          <w:sz w:val="22"/>
        </w:rPr>
        <w:t>《视频安防监控系统工程设计规范》（</w:t>
      </w:r>
      <w:r>
        <w:rPr>
          <w:sz w:val="22"/>
        </w:rPr>
        <w:t>GB 50395-2007）；</w:t>
      </w:r>
    </w:p>
    <w:p>
      <w:pPr>
        <w:pStyle w:val="null3"/>
        <w:ind w:firstLine="440"/>
        <w:jc w:val="left"/>
      </w:pPr>
      <w:r>
        <w:rPr>
          <w:sz w:val="22"/>
        </w:rPr>
        <w:t>《公共安全视频监控联网系统信息传输、交换、控制技术要求》（</w:t>
      </w:r>
      <w:r>
        <w:rPr>
          <w:sz w:val="22"/>
        </w:rPr>
        <w:t>GB/T 28181-2022）；</w:t>
      </w:r>
    </w:p>
    <w:p>
      <w:pPr>
        <w:pStyle w:val="null3"/>
        <w:ind w:firstLine="440"/>
        <w:jc w:val="left"/>
      </w:pPr>
      <w:r>
        <w:rPr>
          <w:sz w:val="22"/>
        </w:rPr>
        <w:t>《广东省公安机关视频专网建设规划》；</w:t>
      </w:r>
    </w:p>
    <w:p>
      <w:pPr>
        <w:pStyle w:val="null3"/>
        <w:ind w:firstLine="440"/>
        <w:jc w:val="left"/>
      </w:pPr>
      <w:r>
        <w:rPr>
          <w:sz w:val="22"/>
        </w:rPr>
        <w:t>《中华人民共和国网络安全法》；</w:t>
      </w:r>
    </w:p>
    <w:p>
      <w:pPr>
        <w:pStyle w:val="null3"/>
        <w:ind w:firstLine="440"/>
        <w:jc w:val="left"/>
      </w:pPr>
      <w:r>
        <w:rPr>
          <w:sz w:val="22"/>
        </w:rPr>
        <w:t>《信息安全技术网络安全等级保护基本要求》（</w:t>
      </w:r>
      <w:r>
        <w:rPr>
          <w:sz w:val="22"/>
        </w:rPr>
        <w:t>GB/T 22239-2019）；</w:t>
      </w:r>
    </w:p>
    <w:p>
      <w:pPr>
        <w:pStyle w:val="null3"/>
        <w:ind w:firstLine="440"/>
        <w:jc w:val="left"/>
      </w:pPr>
      <w:r>
        <w:rPr>
          <w:sz w:val="22"/>
        </w:rPr>
        <w:t>《信息安全技术网络安全等级保护测评要求》（</w:t>
      </w:r>
      <w:r>
        <w:rPr>
          <w:sz w:val="22"/>
        </w:rPr>
        <w:t>GB/T 28448-2019）；</w:t>
      </w:r>
    </w:p>
    <w:p>
      <w:pPr>
        <w:pStyle w:val="null3"/>
        <w:ind w:firstLine="440"/>
        <w:jc w:val="left"/>
      </w:pPr>
      <w:r>
        <w:rPr>
          <w:sz w:val="22"/>
        </w:rPr>
        <w:t>《信息安全技术网络安全等级保护定级指南》（</w:t>
      </w:r>
      <w:r>
        <w:rPr>
          <w:sz w:val="22"/>
        </w:rPr>
        <w:t>GB/T 22240-2020）；</w:t>
      </w:r>
    </w:p>
    <w:p>
      <w:pPr>
        <w:pStyle w:val="null3"/>
        <w:ind w:firstLine="440"/>
        <w:jc w:val="left"/>
      </w:pPr>
      <w:r>
        <w:rPr>
          <w:sz w:val="22"/>
        </w:rPr>
        <w:t>《计算机信息系统安全保护等级划分准则》（</w:t>
      </w:r>
      <w:r>
        <w:rPr>
          <w:sz w:val="22"/>
        </w:rPr>
        <w:t>GB 17859-1999）；</w:t>
      </w:r>
    </w:p>
    <w:p>
      <w:pPr>
        <w:pStyle w:val="null3"/>
        <w:ind w:firstLine="440"/>
        <w:jc w:val="left"/>
      </w:pPr>
      <w:r>
        <w:rPr>
          <w:sz w:val="22"/>
        </w:rPr>
        <w:t>《信息安全技术网络基础安全技术要求》（</w:t>
      </w:r>
      <w:r>
        <w:rPr>
          <w:sz w:val="22"/>
        </w:rPr>
        <w:t>GB/T 20270-2006）；</w:t>
      </w:r>
    </w:p>
    <w:p>
      <w:pPr>
        <w:pStyle w:val="null3"/>
        <w:ind w:firstLine="440"/>
        <w:jc w:val="left"/>
      </w:pPr>
      <w:r>
        <w:rPr>
          <w:sz w:val="22"/>
        </w:rPr>
        <w:t>《信息安全技术信息系统通用安全技术要求》（</w:t>
      </w:r>
      <w:r>
        <w:rPr>
          <w:sz w:val="22"/>
        </w:rPr>
        <w:t>GB/T 20271-2006）；</w:t>
      </w:r>
    </w:p>
    <w:p>
      <w:pPr>
        <w:pStyle w:val="null3"/>
        <w:ind w:firstLine="440"/>
        <w:jc w:val="left"/>
      </w:pPr>
      <w:r>
        <w:rPr>
          <w:sz w:val="22"/>
        </w:rPr>
        <w:t>《信息安全技术操作系统安全技术要求》（</w:t>
      </w:r>
      <w:r>
        <w:rPr>
          <w:sz w:val="22"/>
        </w:rPr>
        <w:t>GB/T 20272-2019）；</w:t>
      </w:r>
    </w:p>
    <w:p>
      <w:pPr>
        <w:pStyle w:val="null3"/>
        <w:ind w:firstLine="440"/>
        <w:jc w:val="left"/>
      </w:pPr>
      <w:r>
        <w:rPr>
          <w:sz w:val="22"/>
        </w:rPr>
        <w:t>《信息安全技术数据库管理系统安全技术要求》（</w:t>
      </w:r>
      <w:r>
        <w:rPr>
          <w:sz w:val="22"/>
        </w:rPr>
        <w:t>GB/T 20273-2019）；</w:t>
      </w:r>
    </w:p>
    <w:p>
      <w:pPr>
        <w:pStyle w:val="null3"/>
        <w:ind w:firstLine="440"/>
        <w:jc w:val="left"/>
      </w:pPr>
      <w:r>
        <w:rPr>
          <w:sz w:val="22"/>
        </w:rPr>
        <w:t>《信息安全技术</w:t>
      </w:r>
      <w:r>
        <w:rPr>
          <w:sz w:val="22"/>
        </w:rPr>
        <w:t>信息安全风险评估方法》（</w:t>
      </w:r>
      <w:r>
        <w:rPr>
          <w:sz w:val="22"/>
        </w:rPr>
        <w:t>GB/T 20984-2022）；</w:t>
      </w:r>
    </w:p>
    <w:p>
      <w:pPr>
        <w:pStyle w:val="null3"/>
        <w:ind w:firstLine="440"/>
        <w:jc w:val="left"/>
      </w:pPr>
      <w:r>
        <w:rPr>
          <w:sz w:val="22"/>
        </w:rPr>
        <w:t>《广东省治安卡口缉查布控系统卡口备案规范》；</w:t>
      </w:r>
    </w:p>
    <w:p>
      <w:pPr>
        <w:pStyle w:val="null3"/>
        <w:ind w:firstLine="440"/>
        <w:jc w:val="left"/>
      </w:pPr>
      <w:r>
        <w:rPr>
          <w:sz w:val="22"/>
        </w:rPr>
        <w:t>《公安交通管理外场设备基础施工通用要求》（</w:t>
      </w:r>
      <w:r>
        <w:rPr>
          <w:sz w:val="22"/>
        </w:rPr>
        <w:t>GA/T652-2017）；</w:t>
      </w:r>
    </w:p>
    <w:p>
      <w:pPr>
        <w:pStyle w:val="null3"/>
        <w:ind w:firstLine="440"/>
        <w:jc w:val="left"/>
      </w:pPr>
      <w:r>
        <w:rPr>
          <w:sz w:val="22"/>
        </w:rPr>
        <w:t>《安全防范系统雷电浪涌防护技术要求》（</w:t>
      </w:r>
      <w:r>
        <w:rPr>
          <w:sz w:val="22"/>
        </w:rPr>
        <w:t>GA/T 670-2006）；</w:t>
      </w:r>
    </w:p>
    <w:p>
      <w:pPr>
        <w:pStyle w:val="null3"/>
        <w:ind w:firstLine="440"/>
        <w:jc w:val="left"/>
      </w:pPr>
      <w:r>
        <w:rPr>
          <w:sz w:val="22"/>
        </w:rPr>
        <w:t>《公共安全视频监控联网信息安全技术要求》（</w:t>
      </w:r>
      <w:r>
        <w:rPr>
          <w:sz w:val="22"/>
        </w:rPr>
        <w:t>GB 35114-2017）；</w:t>
      </w:r>
    </w:p>
    <w:p>
      <w:pPr>
        <w:pStyle w:val="null3"/>
        <w:ind w:firstLine="440"/>
        <w:jc w:val="left"/>
      </w:pPr>
      <w:r>
        <w:rPr>
          <w:sz w:val="22"/>
        </w:rPr>
        <w:t>《交通技术监控成像补光装置通用技术条件》（</w:t>
      </w:r>
      <w:r>
        <w:rPr>
          <w:sz w:val="22"/>
        </w:rPr>
        <w:t>GA/T 1202-2022）；</w:t>
      </w:r>
    </w:p>
    <w:p>
      <w:pPr>
        <w:pStyle w:val="null3"/>
        <w:ind w:firstLine="440"/>
        <w:jc w:val="left"/>
      </w:pPr>
      <w:r>
        <w:rPr>
          <w:sz w:val="22"/>
        </w:rPr>
        <w:t>《公共安全视频监控数字视音频编解码技术要求》（</w:t>
      </w:r>
      <w:r>
        <w:rPr>
          <w:sz w:val="22"/>
        </w:rPr>
        <w:t>GB/T 25724-2017）</w:t>
      </w:r>
      <w:r>
        <w:rPr>
          <w:sz w:val="22"/>
        </w:rPr>
        <w:t>；</w:t>
      </w:r>
    </w:p>
    <w:p>
      <w:pPr>
        <w:pStyle w:val="null3"/>
        <w:ind w:firstLine="440"/>
        <w:jc w:val="left"/>
      </w:pPr>
      <w:r>
        <w:rPr>
          <w:sz w:val="22"/>
        </w:rPr>
        <w:t>《道路交通安全违法行为图像取证技术规范》（</w:t>
      </w:r>
      <w:r>
        <w:rPr>
          <w:sz w:val="22"/>
        </w:rPr>
        <w:t>GA/T 832-2014）</w:t>
      </w:r>
      <w:r>
        <w:rPr>
          <w:sz w:val="22"/>
        </w:rPr>
        <w:t>；</w:t>
      </w:r>
    </w:p>
    <w:p>
      <w:pPr>
        <w:pStyle w:val="null3"/>
        <w:ind w:firstLine="440"/>
        <w:jc w:val="left"/>
      </w:pPr>
      <w:r>
        <w:rPr>
          <w:sz w:val="22"/>
        </w:rPr>
        <w:t>《道路车辆智能监测记录系统通用技术条件》（</w:t>
      </w:r>
      <w:r>
        <w:rPr>
          <w:sz w:val="22"/>
        </w:rPr>
        <w:t>GA/T 497-2016）</w:t>
      </w:r>
      <w:r>
        <w:rPr>
          <w:sz w:val="22"/>
        </w:rPr>
        <w:t>；</w:t>
      </w:r>
    </w:p>
    <w:p>
      <w:pPr>
        <w:pStyle w:val="null3"/>
        <w:ind w:firstLine="440"/>
        <w:jc w:val="left"/>
      </w:pPr>
      <w:r>
        <w:rPr>
          <w:sz w:val="22"/>
        </w:rPr>
        <w:t>《道路交通信号控制机》（</w:t>
      </w:r>
      <w:r>
        <w:rPr>
          <w:sz w:val="22"/>
        </w:rPr>
        <w:t>GB 25280-2016）</w:t>
      </w:r>
      <w:r>
        <w:rPr>
          <w:sz w:val="22"/>
        </w:rPr>
        <w:t>；</w:t>
      </w:r>
    </w:p>
    <w:p>
      <w:pPr>
        <w:pStyle w:val="null3"/>
        <w:ind w:firstLine="440"/>
        <w:jc w:val="left"/>
      </w:pPr>
      <w:r>
        <w:rPr>
          <w:sz w:val="22"/>
        </w:rPr>
        <w:t>《交通信号控制机与上位机间的数据通信协议》（</w:t>
      </w:r>
      <w:r>
        <w:rPr>
          <w:sz w:val="22"/>
        </w:rPr>
        <w:t>GB/T 20999-2017）</w:t>
      </w:r>
      <w:r>
        <w:rPr>
          <w:sz w:val="22"/>
        </w:rPr>
        <w:t>；</w:t>
      </w:r>
    </w:p>
    <w:p>
      <w:pPr>
        <w:pStyle w:val="null3"/>
        <w:ind w:firstLine="440"/>
        <w:jc w:val="left"/>
      </w:pPr>
      <w:r>
        <w:rPr>
          <w:sz w:val="22"/>
        </w:rPr>
        <w:t>《道路交通信号灯设置与安装规范》（</w:t>
      </w:r>
      <w:r>
        <w:rPr>
          <w:sz w:val="22"/>
        </w:rPr>
        <w:t>GB 14886-2016）</w:t>
      </w:r>
      <w:r>
        <w:rPr>
          <w:sz w:val="22"/>
        </w:rPr>
        <w:t>；</w:t>
      </w:r>
    </w:p>
    <w:p>
      <w:pPr>
        <w:pStyle w:val="null3"/>
        <w:ind w:firstLine="440"/>
        <w:jc w:val="left"/>
      </w:pPr>
      <w:r>
        <w:rPr>
          <w:sz w:val="22"/>
        </w:rPr>
        <w:t>《道路交通信号灯》（</w:t>
      </w:r>
      <w:r>
        <w:rPr>
          <w:sz w:val="22"/>
        </w:rPr>
        <w:t>GB 14887-2016）</w:t>
      </w:r>
      <w:r>
        <w:rPr>
          <w:sz w:val="22"/>
        </w:rPr>
        <w:t>；</w:t>
      </w:r>
    </w:p>
    <w:p>
      <w:pPr>
        <w:pStyle w:val="null3"/>
        <w:ind w:firstLine="442"/>
        <w:jc w:val="both"/>
      </w:pPr>
      <w:r>
        <w:rPr>
          <w:sz w:val="22"/>
          <w:b/>
        </w:rPr>
        <w:t>注：除上述所列规范文件外，投标人还须遵守相关地方规范、标准以及国家、省、市及相关行业现行有效的技术规范与管理要求。本项目所引用标准若有新修订、新发布版本，一律按照最新有效版本执行。</w:t>
      </w:r>
    </w:p>
    <w:p>
      <w:pPr>
        <w:pStyle w:val="null3"/>
        <w:ind w:firstLine="442"/>
        <w:jc w:val="both"/>
      </w:pPr>
      <w:r>
        <w:rPr>
          <w:sz w:val="22"/>
          <w:b/>
        </w:rPr>
        <w:t>五、</w:t>
      </w:r>
      <w:r>
        <w:rPr>
          <w:sz w:val="22"/>
          <w:b/>
        </w:rPr>
        <w:t>采购清单及参数要求</w:t>
      </w:r>
    </w:p>
    <w:p>
      <w:pPr>
        <w:pStyle w:val="null3"/>
        <w:ind w:firstLine="440"/>
        <w:jc w:val="both"/>
      </w:pPr>
      <w:r>
        <w:rPr>
          <w:sz w:val="22"/>
        </w:rPr>
        <w:t>详见招标公告附件《采购清单及参数要求》</w:t>
      </w:r>
    </w:p>
    <w:p>
      <w:pPr>
        <w:pStyle w:val="null3"/>
        <w:jc w:val="both"/>
      </w:pPr>
      <w:r>
        <w:rPr/>
        <w:t xml:space="preserve"> </w:t>
      </w:r>
    </w:p>
    <w:p>
      <w:pPr>
        <w:pStyle w:val="null3"/>
        <w:jc w:val="both"/>
      </w:pPr>
      <w:r>
        <w:rPr>
          <w:sz w:val="24"/>
          <w:b/>
        </w:rPr>
        <w:t>注：</w:t>
      </w:r>
    </w:p>
    <w:p>
      <w:pPr>
        <w:pStyle w:val="null3"/>
        <w:jc w:val="both"/>
      </w:pPr>
      <w:r>
        <w:rPr>
          <w:sz w:val="24"/>
          <w:b/>
        </w:rPr>
        <w:t>附件</w:t>
      </w:r>
      <w:r>
        <w:rPr>
          <w:sz w:val="24"/>
          <w:b/>
        </w:rPr>
        <w:t>1</w:t>
      </w:r>
      <w:r>
        <w:rPr>
          <w:sz w:val="24"/>
          <w:b/>
        </w:rPr>
        <w:t>：</w:t>
      </w:r>
      <w:r>
        <w:rPr>
          <w:sz w:val="24"/>
          <w:b/>
        </w:rPr>
        <w:t>资格条件承诺函</w:t>
      </w:r>
    </w:p>
    <w:p>
      <w:pPr>
        <w:pStyle w:val="null3"/>
        <w:jc w:val="center"/>
      </w:pPr>
      <w:r>
        <w:rPr>
          <w:sz w:val="24"/>
          <w:b/>
        </w:rPr>
        <w:t>资格条件承诺函</w:t>
      </w:r>
    </w:p>
    <w:p>
      <w:pPr>
        <w:pStyle w:val="null3"/>
        <w:jc w:val="center"/>
      </w:pPr>
      <w:r>
        <w:rPr>
          <w:sz w:val="24"/>
        </w:rPr>
        <w:t>（样张）</w:t>
      </w:r>
    </w:p>
    <w:p>
      <w:pPr>
        <w:pStyle w:val="null3"/>
        <w:ind w:firstLine="480"/>
        <w:jc w:val="both"/>
      </w:pPr>
      <w:r>
        <w:rPr>
          <w:sz w:val="24"/>
        </w:rPr>
        <w:t>我方</w:t>
      </w:r>
      <w:r>
        <w:rPr>
          <w:sz w:val="24"/>
          <w:u w:val="single"/>
        </w:rPr>
        <w:t>（供应商名称）</w:t>
      </w:r>
      <w:r>
        <w:rPr>
          <w:sz w:val="24"/>
        </w:rPr>
        <w:t>符合《中华人民共和国政府采购法》第二十二条第一款第（二）项、第（三）项、第（四）项、第（五）项规定条件，具体包括：</w:t>
      </w:r>
    </w:p>
    <w:p>
      <w:pPr>
        <w:pStyle w:val="null3"/>
        <w:ind w:firstLine="480"/>
        <w:jc w:val="both"/>
      </w:pPr>
      <w:r>
        <w:rPr>
          <w:sz w:val="24"/>
        </w:rPr>
        <w:t>1.</w:t>
      </w:r>
      <w:r>
        <w:rPr>
          <w:sz w:val="24"/>
        </w:rPr>
        <w:t>具有良好的商业信誉和健全的财务会计制度；</w:t>
      </w:r>
    </w:p>
    <w:p>
      <w:pPr>
        <w:pStyle w:val="null3"/>
        <w:ind w:firstLine="480"/>
        <w:jc w:val="both"/>
      </w:pPr>
      <w:r>
        <w:rPr>
          <w:sz w:val="24"/>
        </w:rPr>
        <w:t>2.</w:t>
      </w:r>
      <w:r>
        <w:rPr>
          <w:sz w:val="24"/>
        </w:rPr>
        <w:t>具有履行合同所必需的设备和专业技术能力；</w:t>
      </w:r>
    </w:p>
    <w:p>
      <w:pPr>
        <w:pStyle w:val="null3"/>
        <w:ind w:firstLine="480"/>
        <w:jc w:val="both"/>
      </w:pPr>
      <w:r>
        <w:rPr>
          <w:sz w:val="24"/>
        </w:rPr>
        <w:t>3.</w:t>
      </w:r>
      <w:r>
        <w:rPr>
          <w:sz w:val="24"/>
        </w:rPr>
        <w:t>具有依法缴纳税收和社会保障资金的良好记录；</w:t>
      </w:r>
    </w:p>
    <w:p>
      <w:pPr>
        <w:pStyle w:val="null3"/>
        <w:ind w:firstLine="480"/>
        <w:jc w:val="both"/>
      </w:pPr>
      <w:r>
        <w:rPr>
          <w:sz w:val="24"/>
        </w:rPr>
        <w:t>4.</w:t>
      </w:r>
      <w:r>
        <w:rPr>
          <w:sz w:val="24"/>
        </w:rPr>
        <w:t>参加政府采购活动前三年内，在经营活动中没有重大违法记录。</w:t>
      </w:r>
    </w:p>
    <w:p>
      <w:pPr>
        <w:pStyle w:val="null3"/>
        <w:ind w:firstLine="480"/>
        <w:jc w:val="both"/>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jc w:val="both"/>
      </w:pPr>
      <w:r>
        <w:rPr>
          <w:sz w:val="24"/>
        </w:rPr>
        <w:t>特此承诺。</w:t>
      </w:r>
    </w:p>
    <w:p>
      <w:pPr>
        <w:pStyle w:val="null3"/>
        <w:ind w:firstLine="480"/>
        <w:jc w:val="right"/>
      </w:pPr>
      <w:r>
        <w:rPr>
          <w:sz w:val="24"/>
        </w:rPr>
        <w:t>供应商名称（公章）：</w:t>
      </w:r>
      <w:r>
        <w:rPr>
          <w:sz w:val="21"/>
          <w:u w:val="single"/>
        </w:rPr>
        <w:t xml:space="preserve">                 </w:t>
      </w:r>
    </w:p>
    <w:p>
      <w:pPr>
        <w:pStyle w:val="null3"/>
        <w:ind w:firstLine="480"/>
        <w:jc w:val="right"/>
      </w:pPr>
      <w:r>
        <w:rPr>
          <w:sz w:val="24"/>
        </w:rPr>
        <w:t>日期：</w:t>
      </w:r>
      <w:r>
        <w:rPr>
          <w:sz w:val="21"/>
          <w:u w:val="single"/>
        </w:rPr>
        <w:t xml:space="preserve">                 </w:t>
      </w:r>
    </w:p>
    <w:p>
      <w:pPr>
        <w:pStyle w:val="null3"/>
        <w:jc w:val="both"/>
      </w:pPr>
      <w:r>
        <w:rPr/>
        <w:t xml:space="preserve"> </w:t>
      </w:r>
    </w:p>
    <w:p>
      <w:pPr>
        <w:pStyle w:val="null3"/>
      </w:pPr>
      <w:r>
        <w:rPr/>
        <w:t>采购包1（望牛墩镇智慧视频监控及电子警察新型基础设施建设项目）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自合同签订生效之日起120个日历日内完成货物的供货、安装、调试、试运行及验收。其中： 1、合同签订生效之日起90日内应完成所有货物到货、安装、调试以及相关系统设备上线等工作。 2、完成前项工作后，开展为期不少于30天的试运行。 3、试运行结束且验收测评、等保测评等工作完成后组织验收。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1期：支付比例10%,合同签订并中标人按要求办理等额的预付款保函后在15个工作日内向中标人支付合同总价的10%作为预付款；中标人要提供相应的预付款保函，待二期进度款支付后退还；</w:t>
            </w:r>
          </w:p>
          <w:p>
            <w:pPr>
              <w:pStyle w:val="null3"/>
            </w:pPr>
            <w:r>
              <w:rPr/>
              <w:t>2期：支付比例30%,50%以上主设备到场，并完成总体项目进度的50%后，在15个工作日内向中标人支付至合同总价的40%；</w:t>
            </w:r>
          </w:p>
          <w:p>
            <w:pPr>
              <w:pStyle w:val="null3"/>
            </w:pPr>
            <w:r>
              <w:rPr/>
              <w:t>3期：支付比例40%,90%以上主设备到场，并完成总体项目进度的80%后，在15个工作日内向中标人支付至合同总价的80%；</w:t>
            </w:r>
          </w:p>
          <w:p>
            <w:pPr>
              <w:pStyle w:val="null3"/>
            </w:pPr>
            <w:r>
              <w:rPr/>
              <w:t>4期：支付比例20%,货物全部安装、调试完毕，经采购人及监理单位验收合格、办理完全部验收手续及财政结算后，在15个工作日内向中标人支付至结算总价的100%。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1期：1.投标人应给出设备详细的验收方案，包括验收项目、验收标准，验收实施办法等。 2.安装设备开始前，中标人按照采购人的书面通知，共同开箱检验，主要检验设备的外观质量，设备的原产地、品牌型号及数量。 3.国内生产的部件须有国家有关部门的认证合格证。强制认证产品须有国家强制性认证证书。 4.验收由采购人与中标人及相关人员依国家有关标准、合同、设计图纸及有关附件（包括但不限于招标文件、投标文件等）要求进行。招标文件、投标文件等视为合同的一部分。 5.货物安装调试完毕，中标人向采购人递交货物安装调试记录和竣工通知书，经认可后委托法定质检部门检测。 6.系统安装和调试完成之后，经采购人及监理单位确认，项目进行初验，合格后系统开始进入试运行。 7.货物调试合格交采购人试用15天后再检测，如各项功能性能均达到要求，采购人再与中标人签署《设备验收合格书》，如未达要求，中标人应重新检测和调试直至合格，不得拖延。 8.系统试运行30天后，项目进行终验。终验合格后才算验收合格，如终验不合格，中标人应重新检测和调试直至合格。</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账号：中标后提供</w:t>
            </w:r>
          </w:p>
          <w:p>
            <w:pPr>
              <w:pStyle w:val="null3"/>
            </w:pPr>
            <w:r>
              <w:rPr/>
              <w:t>户名：中标后提供</w:t>
            </w:r>
          </w:p>
          <w:p>
            <w:pPr>
              <w:pStyle w:val="null3"/>
            </w:pPr>
            <w:r>
              <w:rPr/>
              <w:t>开户行：中标后提供</w:t>
            </w:r>
          </w:p>
          <w:p>
            <w:pPr>
              <w:pStyle w:val="null3"/>
            </w:pPr>
            <w:r>
              <w:rPr/>
              <w:t>说明：1.中标人在签订合同前已通过（银行转帐、电汇或履约保函）方式递交履约保证金，履约保证金或履约保函担保金额为中标价的5%。该履约保证金收取期限至质保期结束。 2.履约保证金可以采用以下任何一种形式： 2.1.采用保证金（银行转帐、电汇等）方式：中标人必须保证资金在签订合同前到帐，到期后无息退还。账户信息如下：（中标后提供） 2.2.履约保函：履约保函开具应选择商业银行或专业担保机构。保函应为不可撤销、见索即赔。如中标人未能按招标文件要求、投标文件响应和采购合同约定提供货物和售后服务，采购人向出具保函的商业银行或担保公司提出保函担保金额全额支付。 3.履约保函的续期：履约保函有效期须至质保期结束。如在合同签订前提交的保函有效期未能覆盖项目使用验收合格后中标人和采购人双方确认的质保期截止时间，则中标人应在使用验收合格后两个月内无条件办理续保手续。如中标人未能按要求进行续保，则采购人在履约保函有效期届满前90个日历日内，向出具保函的商业银行或担保公司提出保函担保金额全额支付。 4.履约保证金退回（若采用保证金（银行转帐、电汇等）方式适用）： 4.1.使用验收合格后，中标人和采购人双方须确认质保期截止时间。在质保期内，中标人按招标文件要求、投标文件响应和采购合同约定提供货物和售后服务的，在质保期期满后，中标人向采购人提交退回履约保证金的申请、履约保证金汇款凭证复印件、采购项目验收报告、中标通知书复印件，采购人在收齐以上资料28天内办理履约保证金退还手续。 4.2. 在质保期内，中标人未能按招标文件要求、投标文件响应和采购合同约定提供货物和售后服务的，采购人按合同约定向中标人收取违约金。违约金由采购人在中标人办理履约保证金退还时相应扣除。 5.发生下列情况之一的，履约保证金将不予退还： 5.1.中标人将本项目转让给他人，或者在投标文件中未说明，且未经采购人同意，将中标项目分包给他人的，采购人可依法不予退还其履约保证金；涉及违法行为的，移交相关部门处理，涉及的经济和法律责任由中标人承担。 5.2.中标人履行采购合同期间，违反有关法律法规的规定及合同约定的条款，损害了采购人的利益的，采购人可依法不予退还其履约保证金； 5.3.履约保函有效期须至质保期结束。如在合同签订前提交的保函有效期未能覆盖项目使用验收合格后采购人和中标人双方确认的质保期截止时间，则中标人应在使用验收合格后两个月内无条件办理续保手续。如中标人未能按要求进行续保，则采购人在履约保函有效期届满前90个日历日内，向出具保函的商业银行或担保公司提出保函担保金额全额支付。</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1.中标人负责本项目的安装调试。 2.安装所需工具设施物料由中标人自备、自费运到现场，完工后自费搬走并清理安装现场。 3.调试：按国家相关验收规范进行，分阶段进行调试。 4.货物的拆箱、安装、调试等项工作由中标人负责，但须在采购人的指定人员的参与下进行。响应投标文件中给出的具体安装和测试方法，在实际实施前须先经采购人同意方可进行。调试的原始记录须经各方签字后作为验收的文件之一。 5.中标人需在交货安装前完成图纸深化设计，图纸经采购人审核通过后方可实施。</w:t>
            </w:r>
          </w:p>
        </w:tc>
        <w:tc>
          <w:tcPr>
            <w:tcW w:type="dxa" w:w="2076"/>
          </w:tcPr>
          <w:p>
            <w:pPr>
              <w:pStyle w:val="null3"/>
              <w:jc w:val="left"/>
            </w:pPr>
            <w:r>
              <w:rPr/>
              <w:t>交货要求</w:t>
            </w:r>
          </w:p>
        </w:tc>
      </w:tr>
      <w:tr>
        <w:tc>
          <w:tcPr>
            <w:tcW w:type="dxa" w:w="2076"/>
          </w:tcPr>
          <w:p/>
        </w:tc>
        <w:tc>
          <w:tcPr>
            <w:tcW w:type="dxa" w:w="2076"/>
          </w:tcPr>
          <w:p>
            <w:pPr>
              <w:pStyle w:val="null3"/>
              <w:jc w:val="center"/>
            </w:pPr>
            <w:r>
              <w:rPr/>
              <w:t>2</w:t>
            </w:r>
          </w:p>
        </w:tc>
        <w:tc>
          <w:tcPr>
            <w:tcW w:type="dxa" w:w="2076"/>
          </w:tcPr>
          <w:p>
            <w:pPr>
              <w:pStyle w:val="null3"/>
              <w:jc w:val="left"/>
            </w:pPr>
            <w:r>
              <w:rPr/>
              <w:t>★1.质保期：自项目验收合格之日起两年。 2.售后服务： （1）中标人应严格依据《中华人民共和国消费者权益保护法》、《中华人民共和国产品质量法》实行售后三包服务。 （2）质保期内：设备及系统非人为及不可抗力造成的损坏或质量问题，中标人必须免费予以技术服务、维修及配件更换。 （3）响应速度：中标人接报后30分钟内电话服务响应，1小时内到达现场维护，24小时内解除故障。特殊情况无法修复的，质保期内中标人应无条件更换新设备或提供同等质量的替代品；或采取使设备可正常运转的措施。 （4）应急响应速度：中标人接报后应急情况下3小时内消除安全隐患。 （5）因中标人未及时回应，采购人基于维护交通安全等因素考虑，可另聘有资质的第三方维修，由此产生的费用由中标人承担。 3.中标人在质保期内，要保障本项目范围内的各系统正常运行，对设备质保维护（含设备自然损坏、非人为及不可抗力造成的损坏或质量问题）、保养、保管，信号灯杆承重超重或横臂过短而更换等行为所产生的人工费、材料费、安装费、交通费、管理费等其他相关费用均由中标人负责。因第三方人为损坏、交通事故、偷盗破坏、道路施工等造成损坏的维护，由中标人先行垫付相关费用，再向第三方追偿。 4.质保维护过程中的安全问题由中标人负责。</w:t>
            </w:r>
          </w:p>
        </w:tc>
        <w:tc>
          <w:tcPr>
            <w:tcW w:type="dxa" w:w="2076"/>
          </w:tcPr>
          <w:p>
            <w:pPr>
              <w:pStyle w:val="null3"/>
              <w:jc w:val="left"/>
            </w:pPr>
            <w:r>
              <w:rPr/>
              <w:t>质保期及售后服务</w:t>
            </w:r>
          </w:p>
        </w:tc>
      </w:tr>
      <w:tr>
        <w:tc>
          <w:tcPr>
            <w:tcW w:type="dxa" w:w="2076"/>
          </w:tcPr>
          <w:p/>
        </w:tc>
        <w:tc>
          <w:tcPr>
            <w:tcW w:type="dxa" w:w="2076"/>
          </w:tcPr>
          <w:p>
            <w:pPr>
              <w:pStyle w:val="null3"/>
              <w:jc w:val="center"/>
            </w:pPr>
            <w:r>
              <w:rPr/>
              <w:t>3</w:t>
            </w:r>
          </w:p>
        </w:tc>
        <w:tc>
          <w:tcPr>
            <w:tcW w:type="dxa" w:w="2076"/>
          </w:tcPr>
          <w:p>
            <w:pPr>
              <w:pStyle w:val="null3"/>
              <w:jc w:val="left"/>
            </w:pPr>
            <w:r>
              <w:rPr/>
              <w:t>投标人需针对本项目提供应急响应措施（包括但不限于红绿灯大面积失控、监控大面积掉线、网络大面积中断等）。</w:t>
            </w:r>
          </w:p>
        </w:tc>
        <w:tc>
          <w:tcPr>
            <w:tcW w:type="dxa" w:w="2076"/>
          </w:tcPr>
          <w:p>
            <w:pPr>
              <w:pStyle w:val="null3"/>
              <w:jc w:val="left"/>
            </w:pPr>
            <w:r>
              <w:rPr/>
              <w:t>应急要求</w:t>
            </w:r>
          </w:p>
        </w:tc>
      </w:tr>
      <w:tr>
        <w:tc>
          <w:tcPr>
            <w:tcW w:type="dxa" w:w="2076"/>
          </w:tcPr>
          <w:p/>
        </w:tc>
        <w:tc>
          <w:tcPr>
            <w:tcW w:type="dxa" w:w="2076"/>
          </w:tcPr>
          <w:p>
            <w:pPr>
              <w:pStyle w:val="null3"/>
              <w:jc w:val="center"/>
            </w:pPr>
            <w:r>
              <w:rPr/>
              <w:t>4</w:t>
            </w:r>
          </w:p>
        </w:tc>
        <w:tc>
          <w:tcPr>
            <w:tcW w:type="dxa" w:w="2076"/>
          </w:tcPr>
          <w:p>
            <w:pPr>
              <w:pStyle w:val="null3"/>
              <w:jc w:val="left"/>
            </w:pPr>
            <w:r>
              <w:rPr/>
              <w:t>1.报价应包含货物的设计、制造、包装、仓储、运输、保险以及投标人进行的安装、调试、试运行、验收、培训、技术服务（包括技术资料、图纸、说明书的提供）、质保期保障服务、招标需求中列明所需的备品备件、所有应支付的对专利权和版权、设计或其他知识产权而需要向其他方支付的版税等的全部含税费用。 2.本项目采用总价报价形式，同时需将需求清单中设备或材料名称分项报价。</w:t>
            </w:r>
          </w:p>
        </w:tc>
        <w:tc>
          <w:tcPr>
            <w:tcW w:type="dxa" w:w="2076"/>
          </w:tcPr>
          <w:p>
            <w:pPr>
              <w:pStyle w:val="null3"/>
              <w:jc w:val="left"/>
            </w:pPr>
            <w:r>
              <w:rPr/>
              <w:t>报价内容</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本合同的金额为财政性资金，严格遵守财政资金支付程序规范。如因执行该程序而使拨款未能及时到位，中标人不得以此为由而不履行本合同规定的义务，也不得以此追究采购人逾期付款的责任。</w:t>
            </w:r>
          </w:p>
        </w:tc>
        <w:tc>
          <w:tcPr>
            <w:tcW w:type="dxa" w:w="2076"/>
          </w:tcPr>
          <w:p>
            <w:pPr>
              <w:pStyle w:val="null3"/>
              <w:jc w:val="left"/>
            </w:pPr>
            <w:r>
              <w:rPr/>
              <w:t>付款说明</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投标人实质响应合同各条款。</w:t>
            </w:r>
          </w:p>
        </w:tc>
        <w:tc>
          <w:tcPr>
            <w:tcW w:type="dxa" w:w="2076"/>
          </w:tcPr>
          <w:p>
            <w:pPr>
              <w:pStyle w:val="null3"/>
              <w:jc w:val="left"/>
            </w:pPr>
            <w:r>
              <w:rPr/>
              <w:t>合同条款</w:t>
            </w:r>
          </w:p>
        </w:tc>
      </w:tr>
      <w:tr>
        <w:tc>
          <w:tcPr>
            <w:tcW w:type="dxa" w:w="2076"/>
          </w:tcPr>
          <w:p/>
        </w:tc>
        <w:tc>
          <w:tcPr>
            <w:tcW w:type="dxa" w:w="2076"/>
          </w:tcPr>
          <w:p>
            <w:pPr>
              <w:pStyle w:val="null3"/>
              <w:jc w:val="center"/>
            </w:pPr>
            <w:r>
              <w:rPr/>
              <w:t>7</w:t>
            </w:r>
          </w:p>
        </w:tc>
        <w:tc>
          <w:tcPr>
            <w:tcW w:type="dxa" w:w="2076"/>
          </w:tcPr>
          <w:p>
            <w:pPr>
              <w:pStyle w:val="null3"/>
              <w:jc w:val="left"/>
            </w:pPr>
            <w:r>
              <w:rPr/>
              <w:t>1.投标人应在报价表中清晰列明所有产品的“标的名称、品牌型号、数量、单价”等信息。本项目核心产品（采购标的）为：枪球一体机 。 2.投标人应具备完善的管理体系和保证能力。 3.投标人须根据本项目制定详细的工作方案，包括但不限于：项目理解及重点难点分析、技术方案、实施方案、售后服务方案、应急服务方案等相关内容。 4.人员配备要求： （1）投入的项目经理（仅一人）具有信息系统项目管理师证书、通信专业技术人员职业资格证书以及注册信息安全工程师证书（CISP-CISE）等。 （2）投入的技术负责人（仅一人，项目经理除外）具有网络规划设计师证书、信息安全工程师证书以及中级或以上通信专业技术人员资格证书等。 （3）拟投入的技术人员（项目经理、技术负责人除外）具有通信类或网络类或电子类工程师证书。 5.本项目允许合同分包，需经采购人书面同意（分包内容不包括主体、关键性工作），分包商具备专业资质和技术能力，且不得再次转包。</w:t>
            </w:r>
          </w:p>
        </w:tc>
        <w:tc>
          <w:tcPr>
            <w:tcW w:type="dxa" w:w="2076"/>
          </w:tcPr>
          <w:p>
            <w:pPr>
              <w:pStyle w:val="null3"/>
              <w:jc w:val="left"/>
            </w:pPr>
            <w:r>
              <w:rPr/>
              <w:t>其他</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交通管理设备</w:t>
            </w:r>
          </w:p>
        </w:tc>
        <w:tc>
          <w:tcPr>
            <w:tcW w:type="dxa" w:w="831"/>
          </w:tcPr>
          <w:p>
            <w:pPr>
              <w:pStyle w:val="null3"/>
              <w:jc w:val="left"/>
            </w:pPr>
            <w:r>
              <w:rPr/>
              <w:t>望牛墩镇智慧视频监控及电子警察新型基础设施建设项目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46,502,706.33</w:t>
            </w:r>
          </w:p>
        </w:tc>
        <w:tc>
          <w:tcPr>
            <w:tcW w:type="dxa" w:w="831"/>
          </w:tcPr>
          <w:p>
            <w:pPr>
              <w:pStyle w:val="null3"/>
              <w:jc w:val="right"/>
            </w:pPr>
            <w:r>
              <w:rPr/>
              <w:t>46,502,706.33</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望牛墩镇智慧视频监控及电子警察新型基础设施建设项目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42"/>
              <w:jc w:val="both"/>
            </w:pPr>
            <w:r>
              <w:rPr>
                <w:sz w:val="22"/>
                <w:b/>
              </w:rPr>
              <w:t>主要参数要求</w:t>
            </w:r>
          </w:p>
          <w:p>
            <w:pPr>
              <w:pStyle w:val="null3"/>
              <w:ind w:firstLine="442"/>
              <w:jc w:val="both"/>
            </w:pPr>
            <w:r>
              <w:rPr>
                <w:sz w:val="22"/>
                <w:b/>
              </w:rPr>
              <w:t>（</w:t>
            </w:r>
            <w:r>
              <w:rPr>
                <w:sz w:val="22"/>
                <w:b/>
              </w:rPr>
              <w:t>一</w:t>
            </w:r>
            <w:r>
              <w:rPr>
                <w:sz w:val="22"/>
                <w:b/>
              </w:rPr>
              <w:t>）</w:t>
            </w:r>
            <w:r>
              <w:rPr>
                <w:sz w:val="22"/>
                <w:b/>
              </w:rPr>
              <w:t>环视一体机</w:t>
            </w:r>
          </w:p>
          <w:p>
            <w:pPr>
              <w:pStyle w:val="null3"/>
              <w:ind w:firstLine="440"/>
              <w:jc w:val="both"/>
            </w:pPr>
            <w:r>
              <w:rPr>
                <w:sz w:val="22"/>
              </w:rPr>
              <w:t>1</w:t>
            </w:r>
            <w:r>
              <w:rPr>
                <w:sz w:val="22"/>
              </w:rPr>
              <w:t>.</w:t>
            </w:r>
            <w:r>
              <w:rPr>
                <w:sz w:val="22"/>
              </w:rPr>
              <w:t>内置</w:t>
            </w:r>
            <w:r>
              <w:rPr>
                <w:sz w:val="22"/>
              </w:rPr>
              <w:t>≥3镜头，每个镜头分辨率≥2560*1440；</w:t>
            </w:r>
          </w:p>
          <w:p>
            <w:pPr>
              <w:pStyle w:val="null3"/>
              <w:ind w:firstLine="440"/>
              <w:jc w:val="both"/>
            </w:pPr>
            <w:r>
              <w:rPr>
                <w:sz w:val="22"/>
              </w:rPr>
              <w:t>2</w:t>
            </w:r>
            <w:r>
              <w:rPr>
                <w:sz w:val="22"/>
              </w:rPr>
              <w:t>.</w:t>
            </w:r>
            <w:r>
              <w:rPr>
                <w:sz w:val="22"/>
              </w:rPr>
              <w:t>每个镜头均支持全结构化、智能事件识别等算法切换；</w:t>
            </w:r>
          </w:p>
          <w:p>
            <w:pPr>
              <w:pStyle w:val="null3"/>
              <w:ind w:firstLine="440"/>
              <w:jc w:val="both"/>
            </w:pPr>
            <w:r>
              <w:rPr>
                <w:sz w:val="22"/>
              </w:rPr>
              <w:t>3</w:t>
            </w:r>
            <w:r>
              <w:rPr>
                <w:sz w:val="22"/>
              </w:rPr>
              <w:t>.</w:t>
            </w:r>
            <w:r>
              <w:rPr>
                <w:sz w:val="22"/>
              </w:rPr>
              <w:t>传感器尺寸：全景</w:t>
            </w:r>
            <w:r>
              <w:rPr>
                <w:sz w:val="22"/>
              </w:rPr>
              <w:t>≥1/1.8＂CMOS,细节≥1/2.8＂CMOS</w:t>
            </w:r>
          </w:p>
          <w:p>
            <w:pPr>
              <w:pStyle w:val="null3"/>
              <w:ind w:firstLine="440"/>
              <w:jc w:val="both"/>
            </w:pPr>
            <w:r>
              <w:rPr>
                <w:sz w:val="22"/>
              </w:rPr>
              <w:t>4</w:t>
            </w:r>
            <w:r>
              <w:rPr>
                <w:sz w:val="22"/>
              </w:rPr>
              <w:t>.</w:t>
            </w:r>
            <w:r>
              <w:rPr>
                <w:sz w:val="22"/>
              </w:rPr>
              <w:t>最低照度：全景彩色</w:t>
            </w:r>
            <w:r>
              <w:rPr>
                <w:sz w:val="22"/>
              </w:rPr>
              <w:t>≤ 0.0005Lux，黑白≤ 0.0001ux；细节彩色 ≤ 0.005Lux ，黑白≤ 0.001Lux；</w:t>
            </w:r>
          </w:p>
          <w:p>
            <w:pPr>
              <w:pStyle w:val="null3"/>
              <w:ind w:firstLine="440"/>
              <w:jc w:val="both"/>
            </w:pPr>
            <w:r>
              <w:rPr>
                <w:sz w:val="22"/>
              </w:rPr>
              <w:t>5</w:t>
            </w:r>
            <w:r>
              <w:rPr>
                <w:sz w:val="22"/>
              </w:rPr>
              <w:t>.</w:t>
            </w:r>
            <w:r>
              <w:rPr>
                <w:sz w:val="22"/>
              </w:rPr>
              <w:t>光学变倍：全景</w:t>
            </w:r>
            <w:r>
              <w:rPr>
                <w:sz w:val="22"/>
              </w:rPr>
              <w:t>≥4倍，细节≥12倍 ；</w:t>
            </w:r>
          </w:p>
          <w:p>
            <w:pPr>
              <w:pStyle w:val="null3"/>
              <w:ind w:firstLine="440"/>
              <w:jc w:val="both"/>
            </w:pPr>
            <w:r>
              <w:rPr>
                <w:sz w:val="22"/>
              </w:rPr>
              <w:t>6</w:t>
            </w:r>
            <w:r>
              <w:rPr>
                <w:sz w:val="22"/>
              </w:rPr>
              <w:t>.</w:t>
            </w:r>
            <w:r>
              <w:rPr>
                <w:sz w:val="22"/>
              </w:rPr>
              <w:t>焦距：全景</w:t>
            </w:r>
            <w:r>
              <w:rPr>
                <w:sz w:val="22"/>
              </w:rPr>
              <w:t>8-32mm；细节10-120mm；</w:t>
            </w:r>
          </w:p>
          <w:p>
            <w:pPr>
              <w:pStyle w:val="null3"/>
              <w:ind w:firstLine="440"/>
              <w:jc w:val="both"/>
            </w:pPr>
            <w:r>
              <w:rPr>
                <w:sz w:val="22"/>
              </w:rPr>
              <w:t>7</w:t>
            </w:r>
            <w:r>
              <w:rPr>
                <w:sz w:val="22"/>
              </w:rPr>
              <w:t>.</w:t>
            </w:r>
            <w:r>
              <w:rPr>
                <w:sz w:val="22"/>
              </w:rPr>
              <w:t>▲全景通道1、2：支持水平:0°-190°，垂直-5°-30°，细节通道:水平:0°-360°，垂直:-10°-90°（</w:t>
            </w:r>
            <w:r>
              <w:rPr>
                <w:sz w:val="22"/>
              </w:rPr>
              <w:t>提供所投产品制造商的公开网址链接，或制造商针对本产品所作的技术参数说明，或第三方检测机构出具的检测报告，须提供对应证明材料复印件加盖投标人公章</w:t>
            </w:r>
            <w:r>
              <w:rPr>
                <w:sz w:val="22"/>
              </w:rPr>
              <w:t>）；</w:t>
            </w:r>
          </w:p>
          <w:p>
            <w:pPr>
              <w:pStyle w:val="null3"/>
              <w:ind w:firstLine="440"/>
              <w:jc w:val="both"/>
            </w:pPr>
            <w:r>
              <w:rPr>
                <w:sz w:val="22"/>
              </w:rPr>
              <w:t>8</w:t>
            </w:r>
            <w:r>
              <w:rPr>
                <w:sz w:val="22"/>
              </w:rPr>
              <w:t>.</w:t>
            </w:r>
            <w:r>
              <w:rPr>
                <w:sz w:val="22"/>
              </w:rPr>
              <w:t>细节镜头水平最大调节范围</w:t>
            </w:r>
            <w:r>
              <w:rPr>
                <w:sz w:val="22"/>
              </w:rPr>
              <w:t>0°~360°，垂直最大调节范围-10°~90°；</w:t>
            </w:r>
          </w:p>
          <w:p>
            <w:pPr>
              <w:pStyle w:val="null3"/>
              <w:ind w:firstLine="440"/>
              <w:jc w:val="both"/>
            </w:pPr>
            <w:r>
              <w:rPr>
                <w:sz w:val="22"/>
              </w:rPr>
              <w:t>9</w:t>
            </w:r>
            <w:r>
              <w:rPr>
                <w:sz w:val="22"/>
              </w:rPr>
              <w:t>.</w:t>
            </w:r>
            <w:r>
              <w:rPr>
                <w:sz w:val="22"/>
              </w:rPr>
              <w:t>补光灯距离：全景：混合补光，白光</w:t>
            </w:r>
            <w:r>
              <w:rPr>
                <w:sz w:val="22"/>
              </w:rPr>
              <w:t>≥15m，红外补光≥80m；细节：混合补光，白光≥30m，红外补光≥200m；</w:t>
            </w:r>
          </w:p>
          <w:p>
            <w:pPr>
              <w:pStyle w:val="null3"/>
              <w:ind w:firstLine="440"/>
              <w:jc w:val="both"/>
            </w:pPr>
            <w:r>
              <w:rPr>
                <w:sz w:val="22"/>
              </w:rPr>
              <w:t>10</w:t>
            </w:r>
            <w:r>
              <w:rPr>
                <w:sz w:val="22"/>
              </w:rPr>
              <w:t>.</w:t>
            </w:r>
            <w:r>
              <w:rPr>
                <w:sz w:val="22"/>
              </w:rPr>
              <w:t>符合</w:t>
            </w:r>
            <w:r>
              <w:rPr>
                <w:sz w:val="22"/>
              </w:rPr>
              <w:t>GB 35114 公共安全视频监控联网信息安全技术要求中A级安全加密；</w:t>
            </w:r>
          </w:p>
          <w:p>
            <w:pPr>
              <w:pStyle w:val="null3"/>
              <w:ind w:firstLine="440"/>
              <w:jc w:val="both"/>
            </w:pPr>
            <w:r>
              <w:rPr>
                <w:sz w:val="22"/>
              </w:rPr>
              <w:t>11</w:t>
            </w:r>
            <w:r>
              <w:rPr>
                <w:sz w:val="22"/>
              </w:rPr>
              <w:t>.</w:t>
            </w:r>
            <w:r>
              <w:rPr>
                <w:sz w:val="22"/>
              </w:rPr>
              <w:t>报警：</w:t>
            </w:r>
            <w:r>
              <w:rPr>
                <w:sz w:val="22"/>
              </w:rPr>
              <w:t>≥7路报警输入，≥2路报警输出</w:t>
            </w:r>
          </w:p>
          <w:p>
            <w:pPr>
              <w:pStyle w:val="null3"/>
              <w:ind w:firstLine="440"/>
              <w:jc w:val="both"/>
            </w:pPr>
            <w:r>
              <w:rPr>
                <w:sz w:val="22"/>
              </w:rPr>
              <w:t>12</w:t>
            </w:r>
            <w:r>
              <w:rPr>
                <w:sz w:val="22"/>
              </w:rPr>
              <w:t>.</w:t>
            </w:r>
            <w:r>
              <w:rPr>
                <w:sz w:val="22"/>
              </w:rPr>
              <w:t>音频：</w:t>
            </w:r>
            <w:r>
              <w:rPr>
                <w:sz w:val="22"/>
              </w:rPr>
              <w:t>≥1路音频输入，≥1路音频输出</w:t>
            </w:r>
          </w:p>
          <w:p>
            <w:pPr>
              <w:pStyle w:val="null3"/>
              <w:ind w:firstLine="440"/>
              <w:jc w:val="both"/>
            </w:pPr>
            <w:r>
              <w:rPr>
                <w:sz w:val="22"/>
              </w:rPr>
              <w:t>13</w:t>
            </w:r>
            <w:r>
              <w:rPr>
                <w:sz w:val="22"/>
              </w:rPr>
              <w:t>.</w:t>
            </w:r>
            <w:r>
              <w:rPr>
                <w:sz w:val="22"/>
              </w:rPr>
              <w:t>防护：</w:t>
            </w:r>
            <w:r>
              <w:rPr>
                <w:sz w:val="22"/>
              </w:rPr>
              <w:t>≥IP67</w:t>
            </w:r>
          </w:p>
          <w:p>
            <w:pPr>
              <w:pStyle w:val="null3"/>
              <w:ind w:firstLine="440"/>
              <w:jc w:val="both"/>
            </w:pPr>
            <w:r>
              <w:rPr>
                <w:sz w:val="22"/>
              </w:rPr>
              <w:t>14</w:t>
            </w:r>
            <w:r>
              <w:rPr>
                <w:sz w:val="22"/>
              </w:rPr>
              <w:t>.</w:t>
            </w:r>
            <w:r>
              <w:rPr>
                <w:sz w:val="22"/>
              </w:rPr>
              <w:t>支持全景摄像机对设定区域进行布防，当检测到目标时联动细节摄像机对目标进行跟随及报警，实现周界布防，支持跟随抓拍或接管跟随；</w:t>
            </w:r>
          </w:p>
          <w:p>
            <w:pPr>
              <w:pStyle w:val="null3"/>
              <w:ind w:firstLine="440"/>
              <w:jc w:val="both"/>
            </w:pPr>
            <w:r>
              <w:rPr>
                <w:sz w:val="22"/>
              </w:rPr>
              <w:t>15</w:t>
            </w:r>
            <w:r>
              <w:rPr>
                <w:sz w:val="22"/>
              </w:rPr>
              <w:t>.</w:t>
            </w:r>
            <w:r>
              <w:rPr>
                <w:sz w:val="22"/>
              </w:rPr>
              <w:t>细节通道和全景通道均支持车流量、车道平均速度、车头时距、车头间距、车道时间、车道空间信息采集；</w:t>
            </w:r>
          </w:p>
          <w:p>
            <w:pPr>
              <w:pStyle w:val="null3"/>
              <w:ind w:firstLine="440"/>
              <w:jc w:val="both"/>
            </w:pPr>
            <w:r>
              <w:rPr>
                <w:sz w:val="22"/>
              </w:rPr>
              <w:t>16</w:t>
            </w:r>
            <w:r>
              <w:rPr>
                <w:sz w:val="22"/>
              </w:rPr>
              <w:t>.</w:t>
            </w:r>
            <w:r>
              <w:rPr>
                <w:sz w:val="22"/>
              </w:rPr>
              <w:t>内嵌多套枪机视场角参数和畸变参数，枪机在任意角度，任意焦距位置，均可以进行自动标定；</w:t>
            </w:r>
          </w:p>
          <w:p>
            <w:pPr>
              <w:pStyle w:val="null3"/>
              <w:ind w:firstLine="440"/>
              <w:jc w:val="both"/>
            </w:pPr>
            <w:r>
              <w:rPr>
                <w:sz w:val="22"/>
              </w:rPr>
              <w:t>17</w:t>
            </w:r>
            <w:r>
              <w:rPr>
                <w:sz w:val="22"/>
              </w:rPr>
              <w:t>.</w:t>
            </w:r>
            <w:r>
              <w:rPr>
                <w:sz w:val="22"/>
              </w:rPr>
              <w:t>▲全景通道的2个镜头前方出现机动车补光、非机动车补光、手机补光或手电筒补光时，视频画面基本保持清晰，全景通道的2个镜头玻璃均采用倾斜安装，可改变射向镜头光束反射光的方向（</w:t>
            </w:r>
            <w:r>
              <w:rPr>
                <w:sz w:val="22"/>
              </w:rPr>
              <w:t>提供所投产品制造商的公开网址链接，或制造商针对本产品所作的技术参数说明，或第三方检测机构出具的检测报告，须提供对应证明材料复印件加盖投标人公章</w:t>
            </w:r>
            <w:r>
              <w:rPr>
                <w:sz w:val="22"/>
              </w:rPr>
              <w:t>）</w:t>
            </w:r>
            <w:r>
              <w:rPr>
                <w:sz w:val="22"/>
              </w:rPr>
              <w:t>。</w:t>
            </w:r>
          </w:p>
          <w:p>
            <w:pPr>
              <w:pStyle w:val="null3"/>
              <w:ind w:firstLine="440"/>
              <w:jc w:val="both"/>
            </w:pPr>
            <w:r>
              <w:rPr>
                <w:sz w:val="22"/>
                <w:b/>
              </w:rPr>
              <w:t>（</w:t>
            </w:r>
            <w:r>
              <w:rPr>
                <w:sz w:val="22"/>
                <w:b/>
              </w:rPr>
              <w:t>二</w:t>
            </w:r>
            <w:r>
              <w:rPr>
                <w:sz w:val="22"/>
                <w:b/>
              </w:rPr>
              <w:t>）</w:t>
            </w:r>
            <w:r>
              <w:rPr>
                <w:sz w:val="22"/>
                <w:b/>
              </w:rPr>
              <w:t>双目网络摄像机</w:t>
            </w:r>
          </w:p>
          <w:p>
            <w:pPr>
              <w:pStyle w:val="null3"/>
              <w:ind w:firstLine="440"/>
              <w:jc w:val="both"/>
            </w:pPr>
            <w:r>
              <w:rPr>
                <w:sz w:val="22"/>
              </w:rPr>
              <w:t>1</w:t>
            </w:r>
            <w:r>
              <w:rPr>
                <w:sz w:val="22"/>
              </w:rPr>
              <w:t>.</w:t>
            </w:r>
            <w:r>
              <w:rPr>
                <w:sz w:val="22"/>
              </w:rPr>
              <w:t>▲内置≥2镜头，每个镜头像素≥400万，每个镜头分辨率≥2688 × 1520，均支持水平方向、垂直方向、绕镜头光轴方向调节镜头朝向，实现半球形空间内视场场景的图像采集；两个独立的采集模组可通过角度调节实现半球形空间内的任意位置的图像采集（含视轴夹角同向0°、90°、180°）（</w:t>
            </w:r>
            <w:r>
              <w:rPr>
                <w:sz w:val="22"/>
              </w:rPr>
              <w:t>提供所投产品制造商的公开网址链接，或制造商针对本产品所作的技术参数说明，或第三方检测机构出具的检测报告，须提供对应证明材料复印件加盖投标人公章</w:t>
            </w:r>
            <w:r>
              <w:rPr>
                <w:sz w:val="22"/>
              </w:rPr>
              <w:t>）</w:t>
            </w:r>
          </w:p>
          <w:p>
            <w:pPr>
              <w:pStyle w:val="null3"/>
              <w:ind w:firstLine="440"/>
              <w:jc w:val="both"/>
            </w:pPr>
            <w:r>
              <w:rPr>
                <w:sz w:val="22"/>
              </w:rPr>
              <w:t>2</w:t>
            </w:r>
            <w:r>
              <w:rPr>
                <w:sz w:val="22"/>
              </w:rPr>
              <w:t>.</w:t>
            </w:r>
            <w:r>
              <w:rPr>
                <w:sz w:val="22"/>
              </w:rPr>
              <w:t>系统功能：开放型网络视频接口，</w:t>
            </w:r>
            <w:r>
              <w:rPr>
                <w:sz w:val="22"/>
              </w:rPr>
              <w:t>GB/T 28181公共安全视频监控联网系统信息传输、交换、控制技术要求以及视图库协议，符合GB 35114 公共安全视频监控联网信息安全技术要求中A级安全加密； 传感器类型：通道1：≥1/1.8 CMOS 通道2：≥1/1.8 CMOS</w:t>
            </w:r>
          </w:p>
          <w:p>
            <w:pPr>
              <w:pStyle w:val="null3"/>
              <w:ind w:firstLine="440"/>
              <w:jc w:val="both"/>
            </w:pPr>
            <w:r>
              <w:rPr>
                <w:sz w:val="22"/>
              </w:rPr>
              <w:t>3</w:t>
            </w:r>
            <w:r>
              <w:rPr>
                <w:sz w:val="22"/>
              </w:rPr>
              <w:t>.</w:t>
            </w:r>
            <w:r>
              <w:rPr>
                <w:sz w:val="22"/>
              </w:rPr>
              <w:t>内置</w:t>
            </w:r>
            <w:r>
              <w:rPr>
                <w:sz w:val="22"/>
              </w:rPr>
              <w:t>≥2颗智能芯片</w:t>
            </w:r>
          </w:p>
          <w:p>
            <w:pPr>
              <w:pStyle w:val="null3"/>
              <w:ind w:firstLine="440"/>
              <w:jc w:val="both"/>
            </w:pPr>
            <w:r>
              <w:rPr>
                <w:sz w:val="22"/>
              </w:rPr>
              <w:t>4</w:t>
            </w:r>
            <w:r>
              <w:rPr>
                <w:sz w:val="22"/>
              </w:rPr>
              <w:t>.</w:t>
            </w:r>
            <w:r>
              <w:rPr>
                <w:sz w:val="22"/>
              </w:rPr>
              <w:t>传感器尺寸：两镜头均</w:t>
            </w:r>
            <w:r>
              <w:rPr>
                <w:sz w:val="22"/>
              </w:rPr>
              <w:t>≥1/1.8＂CMOS</w:t>
            </w:r>
          </w:p>
          <w:p>
            <w:pPr>
              <w:pStyle w:val="null3"/>
              <w:ind w:firstLine="440"/>
              <w:jc w:val="both"/>
            </w:pPr>
            <w:r>
              <w:rPr>
                <w:sz w:val="22"/>
              </w:rPr>
              <w:t>5</w:t>
            </w:r>
            <w:r>
              <w:rPr>
                <w:sz w:val="22"/>
              </w:rPr>
              <w:t>.</w:t>
            </w:r>
            <w:r>
              <w:rPr>
                <w:sz w:val="22"/>
              </w:rPr>
              <w:t>最低照度：全景、细节两镜头均彩色</w:t>
            </w:r>
            <w:r>
              <w:rPr>
                <w:sz w:val="22"/>
              </w:rPr>
              <w:t>≤ 0.002Lux，黑白≤ 0.0002ux；</w:t>
            </w:r>
          </w:p>
          <w:p>
            <w:pPr>
              <w:pStyle w:val="null3"/>
              <w:ind w:firstLine="440"/>
              <w:jc w:val="both"/>
            </w:pPr>
            <w:r>
              <w:rPr>
                <w:sz w:val="22"/>
              </w:rPr>
              <w:t>6</w:t>
            </w:r>
            <w:r>
              <w:rPr>
                <w:sz w:val="22"/>
              </w:rPr>
              <w:t>.</w:t>
            </w:r>
            <w:r>
              <w:rPr>
                <w:sz w:val="22"/>
              </w:rPr>
              <w:t>焦距：</w:t>
            </w:r>
            <w:r>
              <w:rPr>
                <w:sz w:val="22"/>
              </w:rPr>
              <w:t>4-6 mm或6-9 mm；</w:t>
            </w:r>
          </w:p>
          <w:p>
            <w:pPr>
              <w:pStyle w:val="null3"/>
              <w:ind w:firstLine="440"/>
              <w:jc w:val="both"/>
            </w:pPr>
            <w:r>
              <w:rPr>
                <w:sz w:val="22"/>
              </w:rPr>
              <w:t>7</w:t>
            </w:r>
            <w:r>
              <w:rPr>
                <w:sz w:val="22"/>
              </w:rPr>
              <w:t>.</w:t>
            </w:r>
            <w:r>
              <w:rPr>
                <w:sz w:val="22"/>
              </w:rPr>
              <w:t>支持手动调节，水平最大调节范围</w:t>
            </w:r>
            <w:r>
              <w:rPr>
                <w:sz w:val="22"/>
              </w:rPr>
              <w:t>-10°~190°，垂直最大调节范围0°~90°；</w:t>
            </w:r>
          </w:p>
          <w:p>
            <w:pPr>
              <w:pStyle w:val="null3"/>
              <w:ind w:firstLine="440"/>
              <w:jc w:val="both"/>
            </w:pPr>
            <w:r>
              <w:rPr>
                <w:sz w:val="22"/>
              </w:rPr>
              <w:t>8</w:t>
            </w:r>
            <w:r>
              <w:rPr>
                <w:sz w:val="22"/>
              </w:rPr>
              <w:t>.</w:t>
            </w:r>
            <w:r>
              <w:rPr>
                <w:sz w:val="22"/>
              </w:rPr>
              <w:t>▲补光灯距离：≥30米，补光灯表面为六边形阵列组成，采用多层透镜结构。双通道各具有2颗混合补光灯，补光灯开启后，灯光应均匀无波纹、圆环状、麻点状、条纹状和不规则亮斑（</w:t>
            </w:r>
            <w:r>
              <w:rPr>
                <w:sz w:val="22"/>
              </w:rPr>
              <w:t>提供所投产品制造商的公开网址链接，或制造商针对本产品所作的技术参数说明，或第三方检测机构出具的检测报告，须提供对应证明材料复印件加盖投标人公章</w:t>
            </w:r>
            <w:r>
              <w:rPr>
                <w:sz w:val="22"/>
              </w:rPr>
              <w:t>）；</w:t>
            </w:r>
          </w:p>
          <w:p>
            <w:pPr>
              <w:pStyle w:val="null3"/>
              <w:ind w:firstLine="440"/>
              <w:jc w:val="both"/>
            </w:pPr>
            <w:r>
              <w:rPr>
                <w:sz w:val="22"/>
              </w:rPr>
              <w:t>9</w:t>
            </w:r>
            <w:r>
              <w:rPr>
                <w:sz w:val="22"/>
              </w:rPr>
              <w:t>.</w:t>
            </w:r>
            <w:r>
              <w:rPr>
                <w:sz w:val="22"/>
              </w:rPr>
              <w:t>符合</w:t>
            </w:r>
            <w:r>
              <w:rPr>
                <w:sz w:val="22"/>
              </w:rPr>
              <w:t>GB 35114 公共安全视频监控联网信息安全技术要求中A级安全加密；</w:t>
            </w:r>
          </w:p>
          <w:p>
            <w:pPr>
              <w:pStyle w:val="null3"/>
              <w:ind w:firstLine="440"/>
              <w:jc w:val="both"/>
            </w:pPr>
            <w:r>
              <w:rPr>
                <w:sz w:val="22"/>
              </w:rPr>
              <w:t>10</w:t>
            </w:r>
            <w:r>
              <w:rPr>
                <w:sz w:val="22"/>
              </w:rPr>
              <w:t>.</w:t>
            </w:r>
            <w:r>
              <w:rPr>
                <w:sz w:val="22"/>
              </w:rPr>
              <w:t>支持</w:t>
            </w:r>
            <w:r>
              <w:rPr>
                <w:sz w:val="22"/>
              </w:rPr>
              <w:t>GB/T 28181公共安全视频监控联网系统信息传输、交换、控制技术要求以及视图库协议；</w:t>
            </w:r>
          </w:p>
          <w:p>
            <w:pPr>
              <w:pStyle w:val="null3"/>
              <w:ind w:firstLine="440"/>
              <w:jc w:val="both"/>
            </w:pPr>
            <w:r>
              <w:rPr>
                <w:sz w:val="22"/>
              </w:rPr>
              <w:t>11</w:t>
            </w:r>
            <w:r>
              <w:rPr>
                <w:sz w:val="22"/>
              </w:rPr>
              <w:t>.</w:t>
            </w:r>
            <w:r>
              <w:rPr>
                <w:sz w:val="22"/>
              </w:rPr>
              <w:t>视频压缩标准：</w:t>
            </w:r>
            <w:r>
              <w:rPr>
                <w:sz w:val="22"/>
              </w:rPr>
              <w:t>H.265/H.264/MJPEG ；</w:t>
            </w:r>
          </w:p>
          <w:p>
            <w:pPr>
              <w:pStyle w:val="null3"/>
              <w:ind w:firstLine="440"/>
              <w:jc w:val="both"/>
            </w:pPr>
            <w:r>
              <w:rPr>
                <w:sz w:val="22"/>
              </w:rPr>
              <w:t>12</w:t>
            </w:r>
            <w:r>
              <w:rPr>
                <w:sz w:val="22"/>
              </w:rPr>
              <w:t>.</w:t>
            </w:r>
            <w:r>
              <w:rPr>
                <w:sz w:val="22"/>
              </w:rPr>
              <w:t>网络：</w:t>
            </w:r>
            <w:r>
              <w:rPr>
                <w:sz w:val="22"/>
              </w:rPr>
              <w:t>≥1个RJ45 10 M/100 M 自适应以太网口；</w:t>
            </w:r>
          </w:p>
          <w:p>
            <w:pPr>
              <w:pStyle w:val="null3"/>
              <w:ind w:firstLine="440"/>
              <w:jc w:val="both"/>
            </w:pPr>
            <w:r>
              <w:rPr>
                <w:sz w:val="22"/>
              </w:rPr>
              <w:t>13</w:t>
            </w:r>
            <w:r>
              <w:rPr>
                <w:sz w:val="22"/>
              </w:rPr>
              <w:t>.</w:t>
            </w:r>
            <w:r>
              <w:rPr>
                <w:sz w:val="22"/>
              </w:rPr>
              <w:t>报警：</w:t>
            </w:r>
            <w:r>
              <w:rPr>
                <w:sz w:val="22"/>
              </w:rPr>
              <w:t>≥1路报警输入，≥1路报警输出</w:t>
            </w:r>
          </w:p>
          <w:p>
            <w:pPr>
              <w:pStyle w:val="null3"/>
              <w:ind w:firstLine="440"/>
              <w:jc w:val="both"/>
            </w:pPr>
            <w:r>
              <w:rPr>
                <w:sz w:val="22"/>
              </w:rPr>
              <w:t>14</w:t>
            </w:r>
            <w:r>
              <w:rPr>
                <w:sz w:val="22"/>
              </w:rPr>
              <w:t>.</w:t>
            </w:r>
            <w:r>
              <w:rPr>
                <w:sz w:val="22"/>
              </w:rPr>
              <w:t>音频：</w:t>
            </w:r>
            <w:r>
              <w:rPr>
                <w:sz w:val="22"/>
              </w:rPr>
              <w:t>≥1路音频输入，≥1路音频输出</w:t>
            </w:r>
          </w:p>
          <w:p>
            <w:pPr>
              <w:pStyle w:val="null3"/>
              <w:ind w:firstLine="440"/>
              <w:jc w:val="both"/>
            </w:pPr>
            <w:r>
              <w:rPr>
                <w:sz w:val="22"/>
              </w:rPr>
              <w:t>15</w:t>
            </w:r>
            <w:r>
              <w:rPr>
                <w:sz w:val="22"/>
              </w:rPr>
              <w:t>.</w:t>
            </w:r>
            <w:r>
              <w:rPr>
                <w:sz w:val="22"/>
              </w:rPr>
              <w:t>防护：</w:t>
            </w:r>
            <w:r>
              <w:rPr>
                <w:sz w:val="22"/>
              </w:rPr>
              <w:t>≥IP67</w:t>
            </w:r>
          </w:p>
          <w:p>
            <w:pPr>
              <w:pStyle w:val="null3"/>
              <w:ind w:firstLine="440"/>
              <w:jc w:val="both"/>
            </w:pPr>
            <w:r>
              <w:rPr>
                <w:sz w:val="22"/>
              </w:rPr>
              <w:t>16</w:t>
            </w:r>
            <w:r>
              <w:rPr>
                <w:sz w:val="22"/>
              </w:rPr>
              <w:t>.</w:t>
            </w:r>
            <w:r>
              <w:rPr>
                <w:sz w:val="22"/>
              </w:rPr>
              <w:t>每个镜头均支持混合目标、人脸抓拍、人数统计、道路监控、智能事件识别等算法切换；</w:t>
            </w:r>
          </w:p>
          <w:p>
            <w:pPr>
              <w:pStyle w:val="null3"/>
              <w:ind w:firstLine="440"/>
              <w:jc w:val="both"/>
            </w:pPr>
            <w:r>
              <w:rPr>
                <w:sz w:val="22"/>
              </w:rPr>
              <w:t>17</w:t>
            </w:r>
            <w:r>
              <w:rPr>
                <w:sz w:val="22"/>
              </w:rPr>
              <w:t>.</w:t>
            </w:r>
            <w:r>
              <w:rPr>
                <w:sz w:val="22"/>
              </w:rPr>
              <w:t>监控画面支持显示行人属性信息，支持人脸</w:t>
            </w:r>
            <w:r>
              <w:rPr>
                <w:sz w:val="22"/>
              </w:rPr>
              <w:t>+人体+属性同时提取</w:t>
            </w:r>
          </w:p>
          <w:p>
            <w:pPr>
              <w:pStyle w:val="null3"/>
              <w:ind w:firstLine="440"/>
              <w:jc w:val="both"/>
            </w:pPr>
            <w:r>
              <w:rPr>
                <w:sz w:val="22"/>
              </w:rPr>
              <w:t>18</w:t>
            </w:r>
            <w:r>
              <w:rPr>
                <w:sz w:val="22"/>
              </w:rPr>
              <w:t>.</w:t>
            </w:r>
            <w:r>
              <w:rPr>
                <w:sz w:val="22"/>
              </w:rPr>
              <w:t>支持对运动人脸进行检测、抓拍，支持快速抓拍模式和优选抓拍模式</w:t>
            </w:r>
          </w:p>
          <w:p>
            <w:pPr>
              <w:pStyle w:val="null3"/>
              <w:ind w:firstLine="440"/>
              <w:jc w:val="both"/>
            </w:pPr>
            <w:r>
              <w:rPr>
                <w:sz w:val="22"/>
              </w:rPr>
              <w:t>19</w:t>
            </w:r>
            <w:r>
              <w:rPr>
                <w:sz w:val="22"/>
              </w:rPr>
              <w:t>.</w:t>
            </w:r>
            <w:r>
              <w:rPr>
                <w:sz w:val="22"/>
              </w:rPr>
              <w:t>支持检测正向或逆向行驶的车辆以及行人和非机动车，自动对车辆牌照进行识别，可以抓拍无车牌的车辆图片</w:t>
            </w:r>
          </w:p>
          <w:p>
            <w:pPr>
              <w:pStyle w:val="null3"/>
              <w:ind w:firstLine="440"/>
              <w:jc w:val="both"/>
            </w:pPr>
            <w:r>
              <w:rPr>
                <w:sz w:val="22"/>
              </w:rPr>
              <w:t>20</w:t>
            </w:r>
            <w:r>
              <w:rPr>
                <w:sz w:val="22"/>
              </w:rPr>
              <w:t>.</w:t>
            </w:r>
            <w:r>
              <w:rPr>
                <w:sz w:val="22"/>
              </w:rPr>
              <w:t>支持区域人数检测、停留时长检测、实时数据上传，并支持区域人数分析和队列状态分析展示；</w:t>
            </w:r>
          </w:p>
          <w:p>
            <w:pPr>
              <w:pStyle w:val="null3"/>
              <w:ind w:firstLine="440"/>
              <w:jc w:val="both"/>
            </w:pPr>
            <w:r>
              <w:rPr>
                <w:sz w:val="22"/>
              </w:rPr>
              <w:t>21</w:t>
            </w:r>
            <w:r>
              <w:rPr>
                <w:sz w:val="22"/>
              </w:rPr>
              <w:t>.</w:t>
            </w:r>
            <w:r>
              <w:rPr>
                <w:sz w:val="22"/>
              </w:rPr>
              <w:t>支持实时报警，人数变化报警和拥堵等级变化报警，并支持人数异常和停留时间异常报警</w:t>
            </w:r>
            <w:r>
              <w:rPr>
                <w:sz w:val="22"/>
              </w:rPr>
              <w:t>。</w:t>
            </w:r>
          </w:p>
          <w:p>
            <w:pPr>
              <w:pStyle w:val="null3"/>
              <w:ind w:firstLine="442"/>
              <w:jc w:val="both"/>
            </w:pPr>
            <w:r>
              <w:rPr>
                <w:sz w:val="22"/>
                <w:b/>
              </w:rPr>
              <w:t>（</w:t>
            </w:r>
            <w:r>
              <w:rPr>
                <w:sz w:val="22"/>
                <w:b/>
              </w:rPr>
              <w:t>三</w:t>
            </w:r>
            <w:r>
              <w:rPr>
                <w:sz w:val="22"/>
                <w:b/>
              </w:rPr>
              <w:t>）</w:t>
            </w:r>
            <w:r>
              <w:rPr>
                <w:sz w:val="22"/>
                <w:b/>
              </w:rPr>
              <w:t>多目网络摄像机</w:t>
            </w:r>
          </w:p>
          <w:p>
            <w:pPr>
              <w:pStyle w:val="null3"/>
              <w:ind w:firstLine="440"/>
              <w:jc w:val="both"/>
            </w:pPr>
            <w:r>
              <w:rPr>
                <w:sz w:val="22"/>
              </w:rPr>
              <w:t>1.全景通道和细节通道分辨: ≥400万+≥400万；</w:t>
            </w:r>
          </w:p>
          <w:p>
            <w:pPr>
              <w:pStyle w:val="null3"/>
              <w:ind w:firstLine="440"/>
              <w:jc w:val="both"/>
            </w:pPr>
            <w:r>
              <w:rPr>
                <w:sz w:val="22"/>
              </w:rPr>
              <w:t>3.全景和细节通道支持分辨率设置为2560x1440，帧率设置为25fps。</w:t>
            </w:r>
          </w:p>
          <w:p>
            <w:pPr>
              <w:pStyle w:val="null3"/>
              <w:ind w:firstLine="440"/>
              <w:jc w:val="both"/>
            </w:pPr>
            <w:r>
              <w:rPr>
                <w:sz w:val="22"/>
              </w:rPr>
              <w:t>4.传感器类型：【细节】≥1/1.8＂ CMOS,【全景】≥1/1.8＂  CMOS；</w:t>
            </w:r>
          </w:p>
          <w:p>
            <w:pPr>
              <w:pStyle w:val="null3"/>
              <w:ind w:firstLine="440"/>
              <w:jc w:val="both"/>
            </w:pPr>
            <w:r>
              <w:rPr>
                <w:sz w:val="22"/>
              </w:rPr>
              <w:t>5.最低照度：【全景】彩色：≤0.0005 Lux @(F1.0，AGC ON)，0 Lux with light，黑白：≤0.0001Lux @(F1.0，AGC ON)【细节】彩色：≤0.001Lux @ (F1.6，AGC ON)，0 Lux with light，黑白：≤0.0005Lux @(F1.6,AGC ON) ；</w:t>
            </w:r>
          </w:p>
          <w:p>
            <w:pPr>
              <w:pStyle w:val="null3"/>
              <w:ind w:firstLine="440"/>
              <w:jc w:val="both"/>
            </w:pPr>
            <w:r>
              <w:rPr>
                <w:sz w:val="22"/>
              </w:rPr>
              <w:t>6.焦距：【全景】定焦6 mm；</w:t>
            </w:r>
          </w:p>
          <w:p>
            <w:pPr>
              <w:pStyle w:val="null3"/>
              <w:ind w:firstLine="440"/>
              <w:jc w:val="both"/>
            </w:pPr>
            <w:r>
              <w:rPr>
                <w:sz w:val="22"/>
              </w:rPr>
              <w:t>7.【细节】变焦16~32 mm，2x光学变倍；</w:t>
            </w:r>
          </w:p>
          <w:p>
            <w:pPr>
              <w:pStyle w:val="null3"/>
              <w:ind w:firstLine="440"/>
              <w:jc w:val="both"/>
            </w:pPr>
            <w:r>
              <w:rPr>
                <w:sz w:val="22"/>
              </w:rPr>
              <w:t>8.全景通道、细节通道均支持人脸人体抓拍、非机动车识别、机动车车牌识别等全结构化功能；</w:t>
            </w:r>
          </w:p>
          <w:p>
            <w:pPr>
              <w:pStyle w:val="null3"/>
              <w:ind w:firstLine="440"/>
              <w:jc w:val="both"/>
            </w:pPr>
            <w:r>
              <w:rPr>
                <w:sz w:val="22"/>
              </w:rPr>
              <w:t>9.人体最远检测距离≥25 m，人脸最远检测距离≥18 m，车辆最远检测距离≥15 m；</w:t>
            </w:r>
          </w:p>
          <w:p>
            <w:pPr>
              <w:pStyle w:val="null3"/>
              <w:ind w:firstLine="440"/>
              <w:jc w:val="both"/>
            </w:pPr>
            <w:r>
              <w:rPr>
                <w:sz w:val="22"/>
              </w:rPr>
              <w:t>10.全景镜头人、车检测宽度≥15 m；</w:t>
            </w:r>
          </w:p>
          <w:p>
            <w:pPr>
              <w:pStyle w:val="null3"/>
              <w:ind w:firstLine="440"/>
              <w:jc w:val="both"/>
            </w:pPr>
            <w:r>
              <w:rPr>
                <w:sz w:val="22"/>
              </w:rPr>
              <w:t>11.▲全景通道检测到移动目标后，可联动细节通道进行人脸，人体的抓拍和属性分析，细节通道转动时间≤0.2s，距离设备20m处的全景检测宽度≥15m（</w:t>
            </w:r>
            <w:r>
              <w:rPr>
                <w:sz w:val="22"/>
              </w:rPr>
              <w:t>提供所投产品制造商的公开网址链接，或制造商针对本产品所作的技术参数说明，或第三方检测机构出具的检测报告，须提供对应证明材料复印件加盖投标人公章</w:t>
            </w:r>
            <w:r>
              <w:rPr>
                <w:sz w:val="22"/>
              </w:rPr>
              <w:t>）；</w:t>
            </w:r>
          </w:p>
          <w:p>
            <w:pPr>
              <w:pStyle w:val="null3"/>
              <w:ind w:firstLine="440"/>
              <w:jc w:val="both"/>
            </w:pPr>
            <w:r>
              <w:rPr>
                <w:sz w:val="22"/>
              </w:rPr>
              <w:t>12.全景通道、细节通道监控画面支持支持人体、车辆轨迹叠加；</w:t>
            </w:r>
          </w:p>
          <w:p>
            <w:pPr>
              <w:pStyle w:val="null3"/>
              <w:ind w:firstLine="440"/>
              <w:jc w:val="both"/>
            </w:pPr>
            <w:r>
              <w:rPr>
                <w:sz w:val="22"/>
              </w:rPr>
              <w:t>13.▲细节通道旋转范围：水平范围：≥-22~22°，垂直范围： ≥-5°~5°，内置水平和垂直旋转电机，细节通道采用电机直驱转动，无同步轮和同步带。（</w:t>
            </w:r>
            <w:r>
              <w:rPr>
                <w:sz w:val="22"/>
              </w:rPr>
              <w:t>提供所投产品制造商的公开网址链接，或制造商针对本产品所作的技术参数说明，或第三方检测机构出具的检测报告，须提供对应证明材料复印件加盖投标人公章</w:t>
            </w:r>
            <w:r>
              <w:rPr>
                <w:sz w:val="22"/>
              </w:rPr>
              <w:t>）；</w:t>
            </w:r>
          </w:p>
          <w:p>
            <w:pPr>
              <w:pStyle w:val="null3"/>
              <w:ind w:firstLine="440"/>
              <w:jc w:val="both"/>
            </w:pPr>
            <w:r>
              <w:rPr>
                <w:sz w:val="22"/>
              </w:rPr>
              <w:t>14.采用去噪卷积神经网络将深度结构、学习算法用于图像去噪，使画面成像更新清晰，噪点更小，图像更干净；</w:t>
            </w:r>
          </w:p>
          <w:p>
            <w:pPr>
              <w:pStyle w:val="null3"/>
              <w:ind w:firstLine="440"/>
              <w:jc w:val="both"/>
            </w:pPr>
            <w:r>
              <w:rPr>
                <w:sz w:val="22"/>
              </w:rPr>
              <w:t>15.定点相机内置≥2颗高效暖白光全彩阵列灯，夜间能正常进行人体车辆抓拍；</w:t>
            </w:r>
          </w:p>
          <w:p>
            <w:pPr>
              <w:pStyle w:val="null3"/>
              <w:ind w:firstLine="440"/>
              <w:jc w:val="both"/>
            </w:pPr>
            <w:r>
              <w:rPr>
                <w:sz w:val="22"/>
              </w:rPr>
              <w:t>16.动点相机内置≥6颗高效暖白光全彩阵列灯，夜间能正常进行人脸人体抓拍；</w:t>
            </w:r>
          </w:p>
          <w:p>
            <w:pPr>
              <w:pStyle w:val="null3"/>
              <w:ind w:firstLine="440"/>
              <w:jc w:val="both"/>
            </w:pPr>
            <w:r>
              <w:rPr>
                <w:sz w:val="22"/>
              </w:rPr>
              <w:t>17.支持算法比对机制，降低人脸抓拍重复率；</w:t>
            </w:r>
          </w:p>
          <w:p>
            <w:pPr>
              <w:pStyle w:val="null3"/>
              <w:ind w:firstLine="440"/>
              <w:jc w:val="both"/>
            </w:pPr>
            <w:r>
              <w:rPr>
                <w:sz w:val="22"/>
              </w:rPr>
              <w:t>18.具有人脸马赛克设置选项，启用后可对人脸抓拍小图和对应背景图原图进行人脸马赛克叠加；叠加位置为人脸的眼睛部位；</w:t>
            </w:r>
          </w:p>
          <w:p>
            <w:pPr>
              <w:pStyle w:val="null3"/>
              <w:ind w:firstLine="440"/>
              <w:jc w:val="both"/>
            </w:pPr>
            <w:r>
              <w:rPr>
                <w:sz w:val="22"/>
              </w:rPr>
              <w:t>19.具有人像增强功能</w:t>
            </w:r>
          </w:p>
          <w:p>
            <w:pPr>
              <w:pStyle w:val="null3"/>
              <w:ind w:firstLine="440"/>
              <w:jc w:val="both"/>
            </w:pPr>
            <w:r>
              <w:rPr>
                <w:sz w:val="22"/>
              </w:rPr>
              <w:t>20.具有车牌增强功能，车牌增强等级在0~100范围内可设。</w:t>
            </w:r>
          </w:p>
          <w:p>
            <w:pPr>
              <w:pStyle w:val="null3"/>
              <w:jc w:val="both"/>
            </w:pPr>
            <w:r>
              <w:rPr>
                <w:sz w:val="22"/>
                <w:b/>
              </w:rPr>
              <w:t>（</w:t>
            </w:r>
            <w:r>
              <w:rPr>
                <w:sz w:val="22"/>
                <w:b/>
              </w:rPr>
              <w:t>四</w:t>
            </w:r>
            <w:r>
              <w:rPr>
                <w:sz w:val="22"/>
                <w:b/>
              </w:rPr>
              <w:t>）</w:t>
            </w:r>
            <w:r>
              <w:rPr>
                <w:sz w:val="22"/>
                <w:b/>
              </w:rPr>
              <w:t>图片云存储节点</w:t>
            </w:r>
          </w:p>
          <w:p>
            <w:pPr>
              <w:pStyle w:val="null3"/>
              <w:ind w:firstLine="440"/>
              <w:jc w:val="both"/>
            </w:pPr>
            <w:r>
              <w:rPr>
                <w:sz w:val="22"/>
              </w:rPr>
              <w:t>1.4U机架式≥24盘位网络存储设备，搭载≥2颗64位8核处理器，1+1冗余电源、冗余风扇，实现7×24小时稳定运行;</w:t>
            </w:r>
          </w:p>
          <w:p>
            <w:pPr>
              <w:pStyle w:val="null3"/>
              <w:ind w:firstLine="440"/>
              <w:jc w:val="both"/>
            </w:pPr>
            <w:r>
              <w:rPr>
                <w:sz w:val="22"/>
              </w:rPr>
              <w:t>2.支持存储实时视频、视频片段、图片及伴生的智能结构化数据，支持根据结构化数据的类型检索视频；</w:t>
            </w:r>
          </w:p>
          <w:p>
            <w:pPr>
              <w:pStyle w:val="null3"/>
              <w:ind w:firstLine="440"/>
              <w:jc w:val="both"/>
            </w:pPr>
            <w:r>
              <w:rPr>
                <w:sz w:val="22"/>
              </w:rPr>
              <w:t>3.支持对不同规格图片分级加速存储，支持系统内存和SSD双级加速机制；</w:t>
            </w:r>
          </w:p>
          <w:p>
            <w:pPr>
              <w:pStyle w:val="null3"/>
              <w:ind w:firstLine="440"/>
              <w:jc w:val="both"/>
            </w:pPr>
            <w:r>
              <w:rPr>
                <w:sz w:val="22"/>
              </w:rPr>
              <w:t>4.支持云系统间视频业务和图片业务的故障容灾，系统间容灾策略包含主备、互备、一主多备模式；</w:t>
            </w:r>
          </w:p>
          <w:p>
            <w:pPr>
              <w:pStyle w:val="null3"/>
              <w:ind w:firstLine="440"/>
              <w:jc w:val="both"/>
            </w:pPr>
            <w:r>
              <w:rPr>
                <w:sz w:val="22"/>
              </w:rPr>
              <w:t>5.▲实时视频流、抓拍图片无需经过任何转发服务器/虚拟机即可实现数据流直存，支持设置资源池自动分流策略，策略包含按图片大小、图片类型(类型包含人脸、人体、车辆、电动车等)。支持将同一点位产生的多种不同大小、不同类型的图片数据按策略自动分池存储到不同存储资源池中（</w:t>
            </w:r>
            <w:r>
              <w:rPr>
                <w:sz w:val="22"/>
              </w:rPr>
              <w:t>提供所投产品制造商的公开网址链接，或制造商针对本产品所作的技术参数说明，或第三方检测机构出具的检测报告，须提供对应证明材料复印件加盖投标人公章</w:t>
            </w:r>
            <w:r>
              <w:rPr>
                <w:sz w:val="22"/>
              </w:rPr>
              <w:t>）；</w:t>
            </w:r>
          </w:p>
          <w:p>
            <w:pPr>
              <w:pStyle w:val="null3"/>
              <w:ind w:firstLine="440"/>
              <w:jc w:val="both"/>
            </w:pPr>
            <w:r>
              <w:rPr>
                <w:sz w:val="22"/>
              </w:rPr>
              <w:t>6.完全自主产品，采用linux存储专用操作系统，不接受OEM或联合品牌产品；</w:t>
            </w:r>
          </w:p>
          <w:p>
            <w:pPr>
              <w:pStyle w:val="null3"/>
              <w:ind w:firstLine="440"/>
              <w:jc w:val="both"/>
            </w:pPr>
            <w:r>
              <w:rPr>
                <w:sz w:val="22"/>
              </w:rPr>
              <w:t>7.单设备应配置≥两颗64位8核处理器，≥8GB内存，需配置冗余金牌电源</w:t>
            </w:r>
          </w:p>
          <w:p>
            <w:pPr>
              <w:pStyle w:val="null3"/>
              <w:ind w:firstLine="440"/>
              <w:jc w:val="both"/>
            </w:pPr>
            <w:r>
              <w:rPr>
                <w:sz w:val="22"/>
              </w:rPr>
              <w:t>8.单设备应标配≥4个千兆网口；</w:t>
            </w:r>
          </w:p>
          <w:p>
            <w:pPr>
              <w:pStyle w:val="null3"/>
              <w:ind w:firstLine="440"/>
              <w:jc w:val="both"/>
            </w:pPr>
            <w:r>
              <w:rPr>
                <w:sz w:val="22"/>
              </w:rPr>
              <w:t>9.可接入硬盘≥24块SATA/SAS硬盘；</w:t>
            </w:r>
          </w:p>
          <w:p>
            <w:pPr>
              <w:pStyle w:val="null3"/>
              <w:ind w:firstLine="440"/>
              <w:jc w:val="both"/>
            </w:pPr>
            <w:r>
              <w:rPr>
                <w:sz w:val="22"/>
              </w:rPr>
              <w:t>10.支持RAID0、1、3、5、6保护，支持坏盘自动重构；</w:t>
            </w:r>
          </w:p>
          <w:p>
            <w:pPr>
              <w:pStyle w:val="null3"/>
              <w:ind w:firstLine="440"/>
              <w:jc w:val="both"/>
            </w:pPr>
            <w:r>
              <w:rPr>
                <w:sz w:val="22"/>
              </w:rPr>
              <w:t>11.能对视音频、图片、智能分析录像的混合直存，无需存储网关和图片网关参与；</w:t>
            </w:r>
          </w:p>
          <w:p>
            <w:pPr>
              <w:pStyle w:val="null3"/>
              <w:ind w:firstLine="440"/>
              <w:jc w:val="both"/>
            </w:pPr>
            <w:r>
              <w:rPr>
                <w:sz w:val="22"/>
              </w:rPr>
              <w:t>12.可根据数据对象的重要性、访问频率等属性对数据进行自动分层存储；</w:t>
            </w:r>
          </w:p>
          <w:p>
            <w:pPr>
              <w:pStyle w:val="null3"/>
              <w:ind w:firstLine="440"/>
              <w:jc w:val="both"/>
            </w:pPr>
            <w:r>
              <w:rPr>
                <w:sz w:val="22"/>
              </w:rPr>
              <w:t>13.可接入鱼眼、双目等摄像机的图像以多画面分割方式显示</w:t>
            </w:r>
          </w:p>
          <w:p>
            <w:pPr>
              <w:pStyle w:val="null3"/>
              <w:ind w:firstLine="440"/>
              <w:jc w:val="both"/>
            </w:pPr>
            <w:r>
              <w:rPr>
                <w:sz w:val="22"/>
              </w:rPr>
              <w:t>14.采用全对称分布式架构，集群化部署，对外提供唯一IP的存储服务；</w:t>
            </w:r>
          </w:p>
          <w:p>
            <w:pPr>
              <w:pStyle w:val="null3"/>
              <w:ind w:firstLine="440"/>
              <w:jc w:val="both"/>
            </w:pPr>
            <w:r>
              <w:rPr>
                <w:sz w:val="22"/>
              </w:rPr>
              <w:t>15.支持底层数据块Erasure Code技术容错，数据恢复以数据块为单位，无需全硬盘恢复；具备数据自愈功能；</w:t>
            </w:r>
          </w:p>
          <w:p>
            <w:pPr>
              <w:pStyle w:val="null3"/>
              <w:ind w:firstLine="440"/>
              <w:jc w:val="both"/>
            </w:pPr>
            <w:r>
              <w:rPr>
                <w:sz w:val="22"/>
              </w:rPr>
              <w:t>16.支持按照接入任务数实现自动负载均衡，支持前端设备自动分配到存储节点。各节点间读写任务数差距±1。</w:t>
            </w:r>
          </w:p>
          <w:p>
            <w:pPr>
              <w:pStyle w:val="null3"/>
              <w:ind w:firstLine="440"/>
              <w:jc w:val="both"/>
            </w:pPr>
            <w:r>
              <w:rPr>
                <w:sz w:val="22"/>
                <w:b/>
              </w:rPr>
              <w:t>（</w:t>
            </w:r>
            <w:r>
              <w:rPr>
                <w:sz w:val="22"/>
                <w:b/>
              </w:rPr>
              <w:t>五</w:t>
            </w:r>
            <w:r>
              <w:rPr>
                <w:sz w:val="22"/>
                <w:b/>
              </w:rPr>
              <w:t>）</w:t>
            </w:r>
            <w:r>
              <w:rPr>
                <w:sz w:val="22"/>
                <w:b/>
              </w:rPr>
              <w:t>视频云存储节点</w:t>
            </w:r>
          </w:p>
          <w:p>
            <w:pPr>
              <w:pStyle w:val="null3"/>
              <w:ind w:firstLine="440"/>
              <w:jc w:val="both"/>
            </w:pPr>
            <w:r>
              <w:rPr>
                <w:sz w:val="22"/>
              </w:rPr>
              <w:t>1.8U机架式≥48盘位网络存储设备;</w:t>
            </w:r>
          </w:p>
          <w:p>
            <w:pPr>
              <w:pStyle w:val="null3"/>
              <w:ind w:firstLine="440"/>
              <w:jc w:val="both"/>
            </w:pPr>
            <w:r>
              <w:rPr>
                <w:sz w:val="22"/>
              </w:rPr>
              <w:t>2.支持全对称架构，无独立的元数据管理节点，集群支持在线无缝扩容，系统性能线性增长；</w:t>
            </w:r>
          </w:p>
          <w:p>
            <w:pPr>
              <w:pStyle w:val="null3"/>
              <w:ind w:firstLine="440"/>
              <w:jc w:val="both"/>
            </w:pPr>
            <w:r>
              <w:rPr>
                <w:sz w:val="22"/>
              </w:rPr>
              <w:t>3.支持手动、自动对智能事件关联的多个录像片段设置录像标签；</w:t>
            </w:r>
          </w:p>
          <w:p>
            <w:pPr>
              <w:pStyle w:val="null3"/>
              <w:ind w:firstLine="440"/>
              <w:jc w:val="both"/>
            </w:pPr>
            <w:r>
              <w:rPr>
                <w:sz w:val="22"/>
              </w:rPr>
              <w:t>4.支持通过按标签内容查询、回放、下载录像片段数据；支持对标签关联的录像片段进行锁定、备份；</w:t>
            </w:r>
          </w:p>
          <w:p>
            <w:pPr>
              <w:pStyle w:val="null3"/>
              <w:ind w:firstLine="440"/>
              <w:jc w:val="both"/>
            </w:pPr>
            <w:r>
              <w:rPr>
                <w:sz w:val="22"/>
              </w:rPr>
              <w:t>5.支持智能EC，并支持根据存储资源池设置智能EC策略，包括优先安全性保障和优先空间利用率保障两种策略；</w:t>
            </w:r>
          </w:p>
          <w:p>
            <w:pPr>
              <w:pStyle w:val="null3"/>
              <w:ind w:firstLine="440"/>
              <w:jc w:val="both"/>
            </w:pPr>
            <w:r>
              <w:rPr>
                <w:sz w:val="22"/>
              </w:rPr>
              <w:t>6.支持集群管理功能，包括集群单元弹性扩容、负载均衡、故障迁移等；支持集群节点生命周期管理，支持集群节点服务组建、扩展、删除。</w:t>
            </w:r>
          </w:p>
          <w:p>
            <w:pPr>
              <w:pStyle w:val="null3"/>
              <w:ind w:firstLine="440"/>
              <w:jc w:val="both"/>
            </w:pPr>
            <w:r>
              <w:rPr>
                <w:sz w:val="22"/>
              </w:rPr>
              <w:t>7.处理器：≥2颗64位，核心数≥8;</w:t>
            </w:r>
          </w:p>
          <w:p>
            <w:pPr>
              <w:pStyle w:val="null3"/>
              <w:ind w:firstLine="440"/>
              <w:jc w:val="both"/>
            </w:pPr>
            <w:r>
              <w:rPr>
                <w:sz w:val="22"/>
              </w:rPr>
              <w:t>8.系统盘：≥480GBSSD</w:t>
            </w:r>
          </w:p>
          <w:p>
            <w:pPr>
              <w:pStyle w:val="null3"/>
              <w:ind w:firstLine="440"/>
              <w:jc w:val="both"/>
            </w:pPr>
            <w:r>
              <w:rPr>
                <w:sz w:val="22"/>
              </w:rPr>
              <w:t>9.系统内存：≥64GBDDR4ECC;</w:t>
            </w:r>
          </w:p>
          <w:p>
            <w:pPr>
              <w:pStyle w:val="null3"/>
              <w:ind w:firstLine="440"/>
              <w:jc w:val="both"/>
            </w:pPr>
            <w:r>
              <w:rPr>
                <w:sz w:val="22"/>
              </w:rPr>
              <w:t>10.存储接口：≥48个SATA接口，支持硬盘热插拔，可满配4TB/6TB/8TB/10TB/16TB/20TB/25TB硬盘 ;</w:t>
            </w:r>
          </w:p>
          <w:p>
            <w:pPr>
              <w:pStyle w:val="null3"/>
              <w:ind w:firstLine="440"/>
              <w:jc w:val="both"/>
            </w:pPr>
            <w:r>
              <w:rPr>
                <w:sz w:val="22"/>
              </w:rPr>
              <w:t>11.网络接口：≥2个千兆数据网口，≥2个万兆光口，≥1个千兆管理口;</w:t>
            </w:r>
          </w:p>
          <w:p>
            <w:pPr>
              <w:pStyle w:val="null3"/>
              <w:ind w:firstLine="440"/>
              <w:jc w:val="both"/>
            </w:pPr>
            <w:r>
              <w:rPr>
                <w:sz w:val="22"/>
              </w:rPr>
              <w:t>12.其他接口：≥1×COM，4×USB3.0，1×VGA，1×IPMI;</w:t>
            </w:r>
          </w:p>
          <w:p>
            <w:pPr>
              <w:pStyle w:val="null3"/>
              <w:ind w:firstLine="440"/>
              <w:jc w:val="both"/>
            </w:pPr>
            <w:r>
              <w:rPr>
                <w:sz w:val="22"/>
              </w:rPr>
              <w:t>13.整机电源：1200W，1+1冗余电源;</w:t>
            </w:r>
          </w:p>
          <w:p>
            <w:pPr>
              <w:pStyle w:val="null3"/>
              <w:ind w:firstLine="440"/>
              <w:jc w:val="both"/>
            </w:pPr>
            <w:r>
              <w:rPr>
                <w:sz w:val="22"/>
              </w:rPr>
              <w:t>14.视频性能：最大接入路数1200路2Mbps;</w:t>
            </w:r>
          </w:p>
          <w:p>
            <w:pPr>
              <w:pStyle w:val="null3"/>
              <w:ind w:firstLine="440"/>
              <w:jc w:val="both"/>
            </w:pPr>
            <w:r>
              <w:rPr>
                <w:sz w:val="22"/>
              </w:rPr>
              <w:t>15.▲支持按照资源池为单位进行点位的生命周期批量管理策略和单独对每个点位通道设置生命周期管理策略，支持两种策略之间互相切换，支持周期策略调整后历史数据也即时生效（</w:t>
            </w:r>
            <w:r>
              <w:rPr>
                <w:sz w:val="22"/>
              </w:rPr>
              <w:t>提供所投产品制造商的公开网址链接，或制造商针对本产品所作的技术参数说明，或第三方检测机构出具的检测报告，须提供对应证明材料复印件加盖投标人公章</w:t>
            </w:r>
            <w:r>
              <w:rPr>
                <w:sz w:val="22"/>
              </w:rPr>
              <w:t>）；</w:t>
            </w:r>
          </w:p>
          <w:p>
            <w:pPr>
              <w:pStyle w:val="null3"/>
              <w:ind w:firstLine="440"/>
              <w:jc w:val="both"/>
            </w:pPr>
            <w:r>
              <w:rPr>
                <w:sz w:val="22"/>
              </w:rPr>
              <w:t>16.系统以流直存模式进行录像、图片数据存储。系统中的实时视频流、抓拍图片无需经过任何转发服务器/虚拟机即可实现数据流直存，视频与图片数据直存后可即存即取；</w:t>
            </w:r>
          </w:p>
          <w:p>
            <w:pPr>
              <w:pStyle w:val="null3"/>
              <w:ind w:firstLine="440"/>
              <w:jc w:val="both"/>
            </w:pPr>
            <w:r>
              <w:rPr>
                <w:sz w:val="22"/>
              </w:rPr>
              <w:t>17.支持硬盘热插拔设备在读写数据时，热插拔设备内的任意块硬盘，设备正常运行不宕机，硬盘不损坏，数据不丢失，业务不中断。</w:t>
            </w:r>
          </w:p>
          <w:p>
            <w:pPr>
              <w:pStyle w:val="null3"/>
              <w:ind w:firstLine="440"/>
              <w:jc w:val="both"/>
            </w:pPr>
            <w:r>
              <w:rPr>
                <w:sz w:val="22"/>
                <w:b/>
              </w:rPr>
              <w:t>（</w:t>
            </w:r>
            <w:r>
              <w:rPr>
                <w:sz w:val="22"/>
                <w:b/>
              </w:rPr>
              <w:t>六</w:t>
            </w:r>
            <w:r>
              <w:rPr>
                <w:sz w:val="22"/>
                <w:b/>
              </w:rPr>
              <w:t>）</w:t>
            </w:r>
            <w:r>
              <w:rPr>
                <w:sz w:val="22"/>
                <w:b/>
              </w:rPr>
              <w:t>云存储系统存储节点</w:t>
            </w:r>
          </w:p>
          <w:p>
            <w:pPr>
              <w:pStyle w:val="null3"/>
              <w:ind w:firstLine="440"/>
            </w:pPr>
            <w:r>
              <w:rPr>
                <w:sz w:val="22"/>
              </w:rPr>
              <w:t>1</w:t>
            </w:r>
            <w:r>
              <w:rPr>
                <w:sz w:val="22"/>
              </w:rPr>
              <w:t>.视频设备接入模块：支持国标、Onvif等接入各类型的前端设备；卡口设备接入模块：支持人脸、车辆卡口设备接入以及结构化数据接入</w:t>
            </w:r>
          </w:p>
          <w:p>
            <w:pPr>
              <w:pStyle w:val="null3"/>
              <w:ind w:firstLine="440"/>
            </w:pPr>
            <w:r>
              <w:rPr>
                <w:sz w:val="22"/>
              </w:rPr>
              <w:t>2</w:t>
            </w:r>
            <w:r>
              <w:rPr>
                <w:sz w:val="22"/>
              </w:rPr>
              <w:t>.▲支持图片流直存，抓拍图片无需经过任何转发服务器/虚拟机即可实现前端数据直接存储至云存储系统；支持设置资源池自动分流策略，策略包含按图片大小、图片类型(类型包含人脸、人体、车辆、电动车等)。支持将同一点位产生的多种不同大小、不同类型的图片数据按策略自动分池存储到不同存储资源池中。（</w:t>
            </w:r>
            <w:r>
              <w:rPr>
                <w:sz w:val="22"/>
              </w:rPr>
              <w:t>提供所投产品制造商的公开网址链接，或制造商针对本产品所作的技术参数说明，或第三方检测机构出具的检测报告，须提供对应证明材料复印件加盖投标人公章</w:t>
            </w:r>
            <w:r>
              <w:rPr>
                <w:sz w:val="22"/>
              </w:rPr>
              <w:t>）</w:t>
            </w:r>
          </w:p>
          <w:p>
            <w:pPr>
              <w:pStyle w:val="null3"/>
              <w:ind w:firstLine="440"/>
            </w:pPr>
            <w:r>
              <w:rPr>
                <w:sz w:val="22"/>
              </w:rPr>
              <w:t>3</w:t>
            </w:r>
            <w:r>
              <w:rPr>
                <w:sz w:val="22"/>
              </w:rPr>
              <w:t>.▲云存储系统同时支持按照资源池为单位进行点位的生命周期批量管理策略和单独对每个点位通道设置生命周期管理策略，支持两种策略之间互相切换，支持周期策略调整后历史数据也即时生效。（</w:t>
            </w:r>
            <w:r>
              <w:rPr>
                <w:sz w:val="22"/>
              </w:rPr>
              <w:t>提供所投产品制造商的公开网址链接，或制造商针对本产品所作的技术参数说明，或第三方检测机构出具的检测报告，须提供对应证明材料复印件加盖投标人公章</w:t>
            </w:r>
            <w:r>
              <w:rPr>
                <w:sz w:val="22"/>
              </w:rPr>
              <w:t>）</w:t>
            </w:r>
          </w:p>
          <w:p>
            <w:pPr>
              <w:pStyle w:val="null3"/>
              <w:ind w:firstLine="440"/>
            </w:pPr>
            <w:r>
              <w:rPr>
                <w:sz w:val="22"/>
              </w:rPr>
              <w:t>4</w:t>
            </w:r>
            <w:r>
              <w:rPr>
                <w:sz w:val="22"/>
              </w:rPr>
              <w:t>.主处理器:双颗多核处理器</w:t>
            </w:r>
          </w:p>
          <w:p>
            <w:pPr>
              <w:pStyle w:val="null3"/>
              <w:ind w:firstLine="440"/>
            </w:pPr>
            <w:r>
              <w:rPr>
                <w:sz w:val="22"/>
              </w:rPr>
              <w:t>5</w:t>
            </w:r>
            <w:r>
              <w:rPr>
                <w:sz w:val="22"/>
              </w:rPr>
              <w:t>.高速缓存:≥64GB DDR4 ECC内存，并可扩展至256GB；</w:t>
            </w:r>
          </w:p>
          <w:p>
            <w:pPr>
              <w:pStyle w:val="null3"/>
              <w:ind w:firstLine="440"/>
            </w:pPr>
            <w:r>
              <w:rPr>
                <w:sz w:val="22"/>
              </w:rPr>
              <w:t>6</w:t>
            </w:r>
            <w:r>
              <w:rPr>
                <w:sz w:val="22"/>
              </w:rPr>
              <w:t>.电源冗余:1+1冗余电源；可支持≥3个风扇，风扇支持热插拔并可冗余温控调速；</w:t>
            </w:r>
          </w:p>
          <w:p>
            <w:pPr>
              <w:pStyle w:val="null3"/>
              <w:ind w:firstLine="440"/>
            </w:pPr>
            <w:r>
              <w:rPr>
                <w:sz w:val="22"/>
              </w:rPr>
              <w:t>7</w:t>
            </w:r>
            <w:r>
              <w:rPr>
                <w:sz w:val="22"/>
              </w:rPr>
              <w:t>.网络接口:≥2个千兆数据电口，≥2个万兆数据光口（含多模光模块）</w:t>
            </w:r>
          </w:p>
          <w:p>
            <w:pPr>
              <w:pStyle w:val="null3"/>
              <w:ind w:firstLine="440"/>
            </w:pPr>
            <w:r>
              <w:rPr>
                <w:sz w:val="22"/>
              </w:rPr>
              <w:t>8</w:t>
            </w:r>
            <w:r>
              <w:rPr>
                <w:sz w:val="22"/>
              </w:rPr>
              <w:t>.硬盘个数:最大支持36个2.5"或3.5"的SATA硬盘或者SAS硬盘；内置SSD固态硬盘（可扩展至≥4个SSD作为缓存盘）</w:t>
            </w:r>
            <w:r>
              <w:rPr>
                <w:sz w:val="22"/>
              </w:rPr>
              <w:t>。</w:t>
            </w:r>
          </w:p>
          <w:p>
            <w:pPr>
              <w:pStyle w:val="null3"/>
              <w:ind w:firstLine="440"/>
            </w:pPr>
            <w:r>
              <w:rPr/>
              <w:t xml:space="preserve"> </w:t>
            </w:r>
          </w:p>
          <w:p>
            <w:pPr>
              <w:pStyle w:val="null3"/>
              <w:ind w:firstLine="440"/>
            </w:pPr>
            <w:r>
              <w:rPr/>
              <w:t xml:space="preserve"> </w:t>
            </w:r>
          </w:p>
          <w:p>
            <w:pPr>
              <w:pStyle w:val="null3"/>
              <w:ind w:firstLine="482"/>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1.采购代理机构：本项目是指中天项目咨询（东莞）有限公司，负责整个采购活动的组织，依法负责编制和发布招标文件，对招标文件拥有最终的解释权，不以任何身份出任评标委员会成员。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东莞市公安局望牛墩分局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采购机构代理服务收费标准：中标服务费参照国家计委[计价格[2002]1980号]文和国家发改委[发改价格[2011]534号]文及相关规定收取，按差额定率累进法计算，以中标金额作为计算依据。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中小企业划分标准所属行业：工业，中小企业划分要求详见《关于印发中小企业划型标准规定的通知》（工信部联企业〔2011〕300号）。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解密时限为主持人开启远程解密起30分钟内完成，投标/报价人不按要求进行解密，视为无效投标/报价。因技术问题导致在规定的时间内无法解密的，可以通过特殊通道上传备用的电子投标/报价文件，投标/报价人需保证上传的备用电子投标/报价文件与加密的电子投标/报价文件版本一致（即两份文件为投标客户端同时生成）。</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中天项目咨询（东莞）有限公司</w:t>
      </w:r>
      <w:r>
        <w:rPr/>
        <w:t>代收。具体操作要求详见</w:t>
      </w:r>
      <w:r>
        <w:rPr/>
        <w:t>中天项目咨询（东莞）有限公司</w:t>
      </w:r>
      <w:r>
        <w:rPr/>
        <w:t>有关指引，递交事宜请自行咨询</w:t>
      </w:r>
      <w:r>
        <w:rPr/>
        <w:t>中天项目咨询（东莞）有限公司</w:t>
      </w:r>
      <w:r>
        <w:rPr/>
        <w:t>；请各投标人在投标文件递交截止时间前按须知前附表规定的金额递交至</w:t>
      </w:r>
      <w:r>
        <w:rPr/>
        <w:t>中天项目咨询（东莞）有限公司</w:t>
      </w:r>
      <w:r>
        <w:rPr/>
        <w:t>，到账情况以开标时</w:t>
      </w:r>
      <w:r>
        <w:rPr/>
        <w:t>中天项目咨询（东莞）有限公司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刘先生</w:t>
      </w:r>
    </w:p>
    <w:p>
      <w:pPr>
        <w:pStyle w:val="null3"/>
        <w:ind w:firstLine="480"/>
      </w:pPr>
      <w:r>
        <w:rPr/>
        <w:t>电话：</w:t>
      </w:r>
      <w:r>
        <w:rPr/>
        <w:t>0769-22086988</w:t>
      </w:r>
    </w:p>
    <w:p>
      <w:pPr>
        <w:pStyle w:val="null3"/>
        <w:ind w:firstLine="480"/>
      </w:pPr>
      <w:r>
        <w:rPr/>
        <w:t>传真：</w:t>
      </w:r>
      <w:r>
        <w:rPr/>
        <w:t>/</w:t>
      </w:r>
    </w:p>
    <w:p>
      <w:pPr>
        <w:pStyle w:val="null3"/>
        <w:ind w:firstLine="480"/>
      </w:pPr>
      <w:r>
        <w:rPr/>
        <w:t>邮箱：</w:t>
      </w:r>
      <w:r>
        <w:rPr/>
        <w:t>ztxmzx@126.com</w:t>
      </w:r>
    </w:p>
    <w:p>
      <w:pPr>
        <w:pStyle w:val="null3"/>
        <w:ind w:firstLine="480"/>
      </w:pPr>
      <w:r>
        <w:rPr/>
        <w:t>地址：</w:t>
      </w:r>
      <w:r>
        <w:rPr/>
        <w:t>广东省东莞市南城街道鸿福路102号汇成大厦1栋406室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望牛墩镇智慧视频监控及电子警察新型基础设施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中天项目咨询（东莞）有限公司</w:t>
      </w:r>
      <w:r>
        <w:rPr/>
        <w:t>统一对外发布。</w:t>
      </w:r>
    </w:p>
    <w:p>
      <w:pPr>
        <w:pStyle w:val="null3"/>
        <w:ind w:firstLine="480"/>
      </w:pPr>
      <w:r>
        <w:rPr/>
        <w:t>（2）对</w:t>
      </w:r>
      <w:r>
        <w:rPr/>
        <w:t>中天项目咨询（东莞）有限公司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采购包1（望牛墩镇智慧视频监控及电子警察新型基础设施建设项目）：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581"/>
          </w:tcPr>
          <w:p>
            <w:pPr>
              <w:pStyle w:val="null3"/>
            </w:pPr>
            <w:r>
              <w:rPr/>
              <w:t>3</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采购包1（望牛墩镇智慧视频监控及电子警察新型基础设施建设项目）：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时提交有效的营业执照（或事业法人登记证或身份证等相关证明）复印件。分支机构投标的，须提供总公司和分公司营业执照复印件，总公司出具给分支机构的授权书。在参与项目评审时，投标人提供材料范围含其总公司及同一法人下的上级分公司。</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提供投标截止日前6个月内任意1个月依法缴纳税收和社会保障资金的相关材料。或提供《资格条件承诺函》。如依法免税或不需要缴纳社会保障资金的，须提供相应证明材料。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提供投标截止日前3年内任意1年的财务状况报告或提供基本开户行出具的资信证明。或提供《资格条件承诺函》。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 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管理关系的不同供应商，不得同时参加本采购项目（或采购包）投标。为本项目提供整体设计、规范编制或者项目管理、监理、检测等服务的供应商，不得再参与本项目投标。投标函相关承诺要求内容。</w:t>
            </w:r>
          </w:p>
        </w:tc>
      </w:tr>
      <w:tr>
        <w:tc>
          <w:tcPr>
            <w:tcW w:type="dxa" w:w="890"/>
          </w:tcPr>
          <w:p>
            <w:pPr>
              <w:pStyle w:val="null3"/>
            </w:pPr>
            <w:r>
              <w:rPr/>
              <w:t>8</w:t>
            </w:r>
          </w:p>
        </w:tc>
        <w:tc>
          <w:tcPr>
            <w:tcW w:type="dxa" w:w="3178"/>
          </w:tcPr>
          <w:p>
            <w:pPr>
              <w:pStyle w:val="null3"/>
            </w:pPr>
            <w:r>
              <w:rPr/>
              <w:t>本项目不专门面向中小企业采购</w:t>
            </w:r>
          </w:p>
        </w:tc>
        <w:tc>
          <w:tcPr>
            <w:tcW w:type="dxa" w:w="4238"/>
          </w:tcPr>
          <w:p>
            <w:pPr>
              <w:pStyle w:val="null3"/>
            </w:pPr>
            <w:r>
              <w:rPr/>
              <w:t>本项目不专门面向中小企业采购。 本项目中小企业划型标准所属行业为：工业。</w:t>
            </w:r>
          </w:p>
        </w:tc>
      </w:tr>
    </w:tbl>
    <w:p>
      <w:pPr>
        <w:pStyle w:val="null3"/>
        <w:ind w:firstLine="480"/>
      </w:pPr>
      <w:r>
        <w:rPr/>
        <w:t>表二符合性审查表：</w:t>
      </w:r>
    </w:p>
    <w:p>
      <w:pPr>
        <w:pStyle w:val="null3"/>
      </w:pPr>
      <w:r>
        <w:rPr/>
        <w:t>采购包1（望牛墩镇智慧视频监控及电子警察新型基础设施建设项目）：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报价未按招标文件要求报价、超过项目预算或超过项目限价的，为投标无效情况</w:t>
            </w:r>
          </w:p>
        </w:tc>
      </w:tr>
      <w:tr>
        <w:tc>
          <w:tcPr>
            <w:tcW w:type="dxa" w:w="890"/>
          </w:tcPr>
          <w:p>
            <w:pPr>
              <w:pStyle w:val="null3"/>
            </w:pPr>
            <w:r>
              <w:rPr/>
              <w:t>2</w:t>
            </w:r>
          </w:p>
        </w:tc>
        <w:tc>
          <w:tcPr>
            <w:tcW w:type="dxa" w:w="3178"/>
          </w:tcPr>
          <w:p>
            <w:pPr>
              <w:pStyle w:val="null3"/>
            </w:pPr>
            <w:r>
              <w:rPr/>
              <w:t>制作、签署及盖章</w:t>
            </w:r>
          </w:p>
        </w:tc>
        <w:tc>
          <w:tcPr>
            <w:tcW w:type="dxa" w:w="4238"/>
          </w:tcPr>
          <w:p>
            <w:pPr>
              <w:pStyle w:val="null3"/>
            </w:pPr>
            <w:r>
              <w:rPr/>
              <w:t>未按照招标文件规定要求制作、签署、盖章的，为投标无效情况</w:t>
            </w:r>
          </w:p>
        </w:tc>
      </w:tr>
      <w:tr>
        <w:tc>
          <w:tcPr>
            <w:tcW w:type="dxa" w:w="890"/>
          </w:tcPr>
          <w:p>
            <w:pPr>
              <w:pStyle w:val="null3"/>
            </w:pPr>
            <w:r>
              <w:rPr/>
              <w:t>3</w:t>
            </w:r>
          </w:p>
        </w:tc>
        <w:tc>
          <w:tcPr>
            <w:tcW w:type="dxa" w:w="3178"/>
          </w:tcPr>
          <w:p>
            <w:pPr>
              <w:pStyle w:val="null3"/>
            </w:pPr>
            <w:r>
              <w:rPr/>
              <w:t>投标有效期及标的提供的时间</w:t>
            </w:r>
          </w:p>
        </w:tc>
        <w:tc>
          <w:tcPr>
            <w:tcW w:type="dxa" w:w="4238"/>
          </w:tcPr>
          <w:p>
            <w:pPr>
              <w:pStyle w:val="null3"/>
            </w:pPr>
            <w:r>
              <w:rPr/>
              <w:t>投标有效期及标的提供的时间不符合要求的，为投标无效情况</w:t>
            </w:r>
          </w:p>
        </w:tc>
      </w:tr>
      <w:tr>
        <w:tc>
          <w:tcPr>
            <w:tcW w:type="dxa" w:w="890"/>
          </w:tcPr>
          <w:p>
            <w:pPr>
              <w:pStyle w:val="null3"/>
            </w:pPr>
            <w:r>
              <w:rPr/>
              <w:t>4</w:t>
            </w:r>
          </w:p>
        </w:tc>
        <w:tc>
          <w:tcPr>
            <w:tcW w:type="dxa" w:w="3178"/>
          </w:tcPr>
          <w:p>
            <w:pPr>
              <w:pStyle w:val="null3"/>
            </w:pPr>
            <w:r>
              <w:rPr/>
              <w:t>实质性响应条款</w:t>
            </w:r>
          </w:p>
        </w:tc>
        <w:tc>
          <w:tcPr>
            <w:tcW w:type="dxa" w:w="4238"/>
          </w:tcPr>
          <w:p>
            <w:pPr>
              <w:pStyle w:val="null3"/>
            </w:pPr>
            <w:r>
              <w:rPr/>
              <w:t>不满足招标文件用户需求中带“★”要求的，为投标无效情况</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投标文件含有采购人不能接受的附加条件的，为投标无效情况</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（一）在评审中出现下列情形之一的，评审委员会应当启动异常低价投标审查程序：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4.评审委员会基于专业判断，认为供应商报价过低，有可能影响产品质量或者不能诚信履约的其他情形。 （二）评审委员会启动异常低价投标审查后，应当要求相关供应商在评审现场合理的时间内（30分钟内）提供书面说明及必要的证明材料，对投标价格作出解释。其中，属于第3项情形，供应商已随投标文件一并提交相关书面说明及必要的证明材料的，在评审现场可不再重复提交。 提供项目具体成本测算等与报价合理性相关的书面说明及必要的证明材料，包括但不限于原材料成本、人工成本、制造费用等。投标供应商不能提供书面说明、证明材料，或者提供的书面说明、证明材料不能证明其报价合理性的，评审委员会应当将其作为无效投标处理。 如果投标供应商提供的书面说明、证明材料能证明其报价合理性的，评审结果为通过。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属于法律、法规及招标文件规定的其他无效情形的，为投标无效情况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采购包1(望牛墩镇智慧视频监控及电子警察新型基础设施建设项目):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对主要设备技术参数的响应情况 (10.0分)</w:t>
            </w:r>
          </w:p>
        </w:tc>
        <w:tc>
          <w:tcPr>
            <w:tcW w:type="dxa" w:w="5076"/>
          </w:tcPr>
          <w:p>
            <w:pPr>
              <w:pStyle w:val="null3"/>
              <w:jc w:val="left"/>
            </w:pPr>
            <w:r>
              <w:rPr/>
              <w:t>根据投标人对采购需求中重要技术参数（带“▲”条款）响应情况进行评价，重要技术参数全部满足或优于得10分，重要技术参数每有一项负偏离或未响应的扣1分，本项最低得0分。（投标人必须按照“技术和服务要求响应表”要求逐条响应，并按以下要求提供证明材料：①单项条款中有要求的按要求提供证明材料；②未要求提供证明材料的需在投标文件中提供所投产品彩页或制造商的公开网址链接【及参数截图】或制造商对所投设备技术参数出具的证明）。</w:t>
            </w:r>
          </w:p>
        </w:tc>
      </w:tr>
      <w:tr>
        <w:tc>
          <w:tcPr>
            <w:tcW w:type="dxa" w:w="922"/>
            <w:gridSpan w:val="2"/>
            <w:vMerge/>
          </w:tcPr>
          <w:p/>
        </w:tc>
        <w:tc>
          <w:tcPr>
            <w:tcW w:type="dxa" w:w="2307"/>
          </w:tcPr>
          <w:p>
            <w:pPr>
              <w:pStyle w:val="null3"/>
              <w:jc w:val="left"/>
            </w:pPr>
            <w:r>
              <w:rPr/>
              <w:t>项目理解及重点难点分析 (10.0分)</w:t>
            </w:r>
          </w:p>
        </w:tc>
        <w:tc>
          <w:tcPr>
            <w:tcW w:type="dxa" w:w="5076"/>
          </w:tcPr>
          <w:p>
            <w:pPr>
              <w:pStyle w:val="null3"/>
              <w:jc w:val="left"/>
            </w:pPr>
            <w:r>
              <w:rPr/>
              <w:t>根据投标人对采购需求“一、项目概况”、“二、项目目标” 和“三、实施内容”（含高清视频监控、人脸识别卡口、电子警察、路口信控升级、道路交通配套设施建设、全面识别项目点位分散、新旧设备兼容、多系统联动、交通通行保障等建设等核心建设内容）提供的项目理解及重点难点分析进行评审： 1、深刻理解本项目建设内容，完整掌握项目，精准掌握各系统功能需求；重难点，重难点分析贴合项目建设实际、分析全面精准，配套的实施组织、技术保障、安全管控应对措施科学合规、针对性突出，完全匹配项目建设要求，得10分； 2、基本了解本项目核心建设内容、公安安防及交通管控业务需求、系统功能需求，能够梳理项目主要建设重难点，但分析深度有限、细节存在缺失，应对措施基本合规，可满足项目基础建设标准，得6分； 3、对本项目建设内容、业务及功能需求理解存在偏差及缺漏，重难点分析片面、与项目实际建设场景不符，应对措施合理性、落地性不足，得2分； 4、未提供本项目项目理解及重点难点分析相关内容的，不得分。</w:t>
            </w:r>
          </w:p>
        </w:tc>
      </w:tr>
      <w:tr>
        <w:tc>
          <w:tcPr>
            <w:tcW w:type="dxa" w:w="922"/>
            <w:gridSpan w:val="2"/>
            <w:vMerge/>
          </w:tcPr>
          <w:p/>
        </w:tc>
        <w:tc>
          <w:tcPr>
            <w:tcW w:type="dxa" w:w="2307"/>
          </w:tcPr>
          <w:p>
            <w:pPr>
              <w:pStyle w:val="null3"/>
              <w:jc w:val="left"/>
            </w:pPr>
            <w:r>
              <w:rPr/>
              <w:t>技术方案 (10.0分)</w:t>
            </w:r>
          </w:p>
        </w:tc>
        <w:tc>
          <w:tcPr>
            <w:tcW w:type="dxa" w:w="5076"/>
          </w:tcPr>
          <w:p>
            <w:pPr>
              <w:pStyle w:val="null3"/>
              <w:jc w:val="left"/>
            </w:pPr>
            <w:r>
              <w:rPr/>
              <w:t>根据投标人针对本项目采购需求技术参数及实施要求，提交的整体技术方案（含高清视频系统、电警信控系统等）进行评审： 1、完整、详实阐述项目现状、需求分析、核心建设任务、硬件部署规划、软件系统架构等全部核心内容，对各业务系统功能、技术架构、部署逻辑、参数适配等内容进行全面细致说明；技术方案规范完整，所有技术参数完全响应采购需求，系统设计科学合理，完全满足项目建设标准，得10分； 2、能够针对项目现状、建设需求、建设任务、硬件部署、软件架构等内容进行完整表述，基本覆盖各核心系统建设内容，整体响应采购技术参数要求，系统描述完整性一般，无实质性偏差，得6分； 3、项目现状、需求分析、建设任务、硬件部署、软件架构等核心内容表述模糊、逻辑混乱，各核心系统功能、技术参数、部署方案阐述不清晰，多项内容未响应采购需求，得2分； 4、未提供本项目专项技术方案的，不得分。</w:t>
            </w:r>
          </w:p>
        </w:tc>
      </w:tr>
      <w:tr>
        <w:tc>
          <w:tcPr>
            <w:tcW w:type="dxa" w:w="922"/>
            <w:gridSpan w:val="2"/>
            <w:vMerge/>
          </w:tcPr>
          <w:p/>
        </w:tc>
        <w:tc>
          <w:tcPr>
            <w:tcW w:type="dxa" w:w="2307"/>
          </w:tcPr>
          <w:p>
            <w:pPr>
              <w:pStyle w:val="null3"/>
              <w:jc w:val="left"/>
            </w:pPr>
            <w:r>
              <w:rPr/>
              <w:t>实施方案 (10.0分)</w:t>
            </w:r>
          </w:p>
        </w:tc>
        <w:tc>
          <w:tcPr>
            <w:tcW w:type="dxa" w:w="5076"/>
          </w:tcPr>
          <w:p>
            <w:pPr>
              <w:pStyle w:val="null3"/>
              <w:jc w:val="left"/>
            </w:pPr>
            <w:r>
              <w:rPr/>
              <w:t>投标人提交的项目实施方案，且项目组织架构完整，各岗位人员配置、岗位职责划分匹配项目建设规模；严格按照合同120日历天总工期内编制分系统、分阶段细化实施进度计划；图纸深化、现场勘查、设备开箱检验、分阶段安装调试、项目初验、15天试运行、30天终验全流程管控措施完备（含项目组织人员配置、图纸深化、进度管控、现场安装调试、操作培训、履约保障承诺等内容）进行评审： 1、项目实施方案内容全面完整、体系完善，项目人员配置齐全、岗位职责划分清晰明确；整体实施进度计划科学合理、细化到位，项目实施、质量管控、安全保障、现场管理等实施措施规范完善；培训计划针对性强、切实可行，各项服务承诺合规落地，可全方位保障项目高效落地实施，得10分； 2、项目实施方案框架基本完整，人员岗位安排基本明确，进度计划及实施保障措施内容较为简略、细化程度不足；培训计划与服务承诺具备基础针对性，整体方案合理合规，可基本满足项目建设，得6分； 3、项目实施方案内容不完善、关键模块缺失，人员配置不清晰、岗位架构不健全；进度计划及实施保障措施合理性差、落地性不足；培训计划无针对性、流于形式，服务承诺空洞，无法满足项目建设基本要求，得2分； 4、未提供本项目实施方案及相关配套内容的，不得分。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根据投标人针对本项目提交的售后服务方案（含售后服务体系、响应机制、故障处置、运行保障、服务承诺等）进行评审： 1、售后服务方案体系完善、内容全面详实，售后服务响应机制、分级故障处置流程、运行保障、巡检保障等内容细化明确；服务流程规范、响应标准清晰，各项服务承诺针对性强、切实可行，可充分保障项目系统及设备长期稳定运行，得5分； 2、售后服务方案框架基本完备，故障响应、运行保障、服务承诺等核心内容齐全，整体合规性良好，可满足项目常规售后服务需求，仅内容细化度与针对性一般，得3分； 3、售后服务方案内容简略、核心服务内容缺失，故障响应机制与处置流程表述模糊，无专项运行保障措施，服务承诺空洞无实质内容，不具备落地可行性，得1分； 4、未提供本项目售后服务方案的，不得分。</w:t>
            </w:r>
          </w:p>
        </w:tc>
      </w:tr>
      <w:tr>
        <w:tc>
          <w:tcPr>
            <w:tcW w:type="dxa" w:w="922"/>
            <w:gridSpan w:val="2"/>
            <w:vMerge/>
          </w:tcPr>
          <w:p/>
        </w:tc>
        <w:tc>
          <w:tcPr>
            <w:tcW w:type="dxa" w:w="2307"/>
          </w:tcPr>
          <w:p>
            <w:pPr>
              <w:pStyle w:val="null3"/>
              <w:jc w:val="left"/>
            </w:pPr>
            <w:r>
              <w:rPr/>
              <w:t>应急服务方案 (5.0分)</w:t>
            </w:r>
          </w:p>
        </w:tc>
        <w:tc>
          <w:tcPr>
            <w:tcW w:type="dxa" w:w="5076"/>
          </w:tcPr>
          <w:p>
            <w:pPr>
              <w:pStyle w:val="null3"/>
              <w:jc w:val="left"/>
            </w:pPr>
            <w:r>
              <w:rPr/>
              <w:t>根据投标人针对本项目建设及运行保障需求提交的应急服务方案进行评审： 1、应急服务方案体系完整、内容详实，全面覆盖项目各类突发应急场景；应急组织架构、处置流程、响应时限、应急预案等内容清晰规范，应急保障措施完善，服务承诺针对性强、科学可行，可有效处置各类突发状况，保障项目系统稳定运行，得5分； 2、应急服务方案内容基本完备，可覆盖项目主要应急场景，具备基础应急处置流程与服务承诺，整体可行性一般，能够应对项目常规突发问题，内容细化度与针对性存在不足，得3分； 3、应急服务方案表述模糊、应急场景覆盖不全，无标准化应急处置流程及专项保障措施，应急服务承诺空洞、无针对性，不具备落地条件，无法满足项目应急保障需求，得1分； 4、未提供本项目应急服务方案的，不得分。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 (10.0分)</w:t>
            </w:r>
          </w:p>
        </w:tc>
        <w:tc>
          <w:tcPr>
            <w:tcW w:type="dxa" w:w="5076"/>
          </w:tcPr>
          <w:p>
            <w:pPr>
              <w:pStyle w:val="null3"/>
              <w:jc w:val="left"/>
            </w:pPr>
            <w:r>
              <w:rPr/>
              <w:t>投标人具有国家认证认可监督管理部门批准设立的认证机构颁发的： ①质量管理体系认证证书； ②环境管理体系认证证书； ③职业健康安全管理体系认证证书； ④风险管理体系认证证书； ⑤应急预案管理能力评价体系认证证书； 以上每证得2分，最高得10分。 注：以上须提供有效证书复印件及中国国家认证认可监督管理委员会官方网站（http://www.cnca.gov.cn/）查询的信息截图，加盖投标人公章。若为联合体投标的，联合体任意一方的证明材料均予以认可，计入得分。</w:t>
            </w:r>
          </w:p>
        </w:tc>
      </w:tr>
      <w:tr>
        <w:tc>
          <w:tcPr>
            <w:tcW w:type="dxa" w:w="922"/>
            <w:gridSpan w:val="2"/>
            <w:vMerge/>
          </w:tcPr>
          <w:p/>
        </w:tc>
        <w:tc>
          <w:tcPr>
            <w:tcW w:type="dxa" w:w="2307"/>
          </w:tcPr>
          <w:p>
            <w:pPr>
              <w:pStyle w:val="null3"/>
              <w:jc w:val="left"/>
            </w:pPr>
            <w:r>
              <w:rPr/>
              <w:t>业绩 (5.0分)</w:t>
            </w:r>
          </w:p>
        </w:tc>
        <w:tc>
          <w:tcPr>
            <w:tcW w:type="dxa" w:w="5076"/>
          </w:tcPr>
          <w:p>
            <w:pPr>
              <w:pStyle w:val="null3"/>
              <w:jc w:val="left"/>
            </w:pPr>
            <w:r>
              <w:rPr/>
              <w:t>投标人（含其分支机构）2020年1月1日以来（以合同签订时间为准）承接的视频监控类项目业绩，每个得1分，最高5分。注：须提供合同复印件关键页并加盖投标人公章。 若为联合体投标的，联合体中任意一方具有即可得分。</w:t>
            </w:r>
          </w:p>
        </w:tc>
      </w:tr>
      <w:tr>
        <w:tc>
          <w:tcPr>
            <w:tcW w:type="dxa" w:w="922"/>
            <w:gridSpan w:val="2"/>
            <w:vMerge/>
          </w:tcPr>
          <w:p/>
        </w:tc>
        <w:tc>
          <w:tcPr>
            <w:tcW w:type="dxa" w:w="2307"/>
          </w:tcPr>
          <w:p>
            <w:pPr>
              <w:pStyle w:val="null3"/>
              <w:jc w:val="left"/>
            </w:pPr>
            <w:r>
              <w:rPr/>
              <w:t>拟投入本项目人员情况 (5.0分)</w:t>
            </w:r>
          </w:p>
        </w:tc>
        <w:tc>
          <w:tcPr>
            <w:tcW w:type="dxa" w:w="5076"/>
          </w:tcPr>
          <w:p>
            <w:pPr>
              <w:pStyle w:val="null3"/>
              <w:jc w:val="left"/>
            </w:pPr>
            <w:r>
              <w:rPr/>
              <w:t>（1）投标人拟投入的项目经理（仅一人）具有： ①信息系统项目管理师证书的得0.5分； ②通信专业技术人员职业资格证书的得0.5分； ③注册信息安全工程师证书（CISP-CISE）的得0.5分； 本小项最高得1.5分。 （2）投标人拟投入的技术负责人（仅一人，项目经理除外）具有： ①网络规划设计师证书的得0.5分； ②信息安全工程师证书的得0.5分； ③中级或以上通信专业技术人员资格证书的得0.5分； 本小项最高得1.5分。 （3）拟投入的技术人员（项目经理、技术负责人除外）具有通信类或网络类或电子类工程师证书，每提供1人得0.1分，本小项最高得2分。 注：以上人员不重复计分，须提供以上人员证书及开标前3个月,任意一个月投标人为其缴纳的社保证明复印件(加盖投标人公章)；若为联合体投标的，联合体中任意一方具有即可得分。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60"/>
        </w:rPr>
        <w:t>广东省政府采购</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100"/>
        </w:rPr>
        <w:t>合同书</w:t>
      </w:r>
    </w:p>
    <w:p>
      <w:pPr>
        <w:pStyle w:val="null3"/>
        <w:jc w:val="both"/>
      </w:pPr>
      <w:r>
        <w:rPr>
          <w:sz w:val="21"/>
        </w:rPr>
        <w:t xml:space="preserve"> </w:t>
      </w:r>
    </w:p>
    <w:p>
      <w:pPr>
        <w:pStyle w:val="null3"/>
        <w:jc w:val="both"/>
      </w:pP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190"/>
        <w:gridCol w:w="5355"/>
      </w:tblGrid>
      <w:tr>
        <w:tc>
          <w:tcPr>
            <w:tcW w:type="dxa" w:w="2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项目编号：</w:t>
            </w:r>
          </w:p>
        </w:tc>
        <w:tc>
          <w:tcPr>
            <w:tcW w:type="dxa" w:w="53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r>
      <w:tr>
        <w:tc>
          <w:tcPr>
            <w:tcW w:type="dxa" w:w="2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项目名称：</w:t>
            </w:r>
          </w:p>
        </w:tc>
        <w:tc>
          <w:tcPr>
            <w:tcW w:type="dxa" w:w="53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u w:val="single"/>
              </w:rPr>
              <w:t>望牛墩镇智慧视频监控及电子警察新型基础设施建设项目</w:t>
            </w:r>
          </w:p>
        </w:tc>
      </w:tr>
      <w:tr>
        <w:tc>
          <w:tcPr>
            <w:tcW w:type="dxa" w:w="2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甲方：</w:t>
            </w:r>
          </w:p>
        </w:tc>
        <w:tc>
          <w:tcPr>
            <w:tcW w:type="dxa" w:w="53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u w:val="single"/>
              </w:rPr>
              <w:t>东莞市公安局望牛墩分局</w:t>
            </w:r>
          </w:p>
        </w:tc>
      </w:tr>
      <w:tr>
        <w:tc>
          <w:tcPr>
            <w:tcW w:type="dxa" w:w="2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乙方：</w:t>
            </w:r>
          </w:p>
        </w:tc>
        <w:tc>
          <w:tcPr>
            <w:tcW w:type="dxa" w:w="53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r>
      <w:tr>
        <w:tc>
          <w:tcPr>
            <w:tcW w:type="dxa" w:w="2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签订时间：</w:t>
            </w:r>
          </w:p>
        </w:tc>
        <w:tc>
          <w:tcPr>
            <w:tcW w:type="dxa" w:w="53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r>
    </w:tbl>
    <w:p>
      <w:pPr>
        <w:pStyle w:val="null3"/>
        <w:jc w:val="both"/>
      </w:pPr>
      <w:r>
        <w:rPr/>
        <w:t xml:space="preserve"> </w:t>
      </w:r>
    </w:p>
    <w:p>
      <w:pPr>
        <w:pStyle w:val="null3"/>
        <w:spacing w:before="315" w:after="315"/>
        <w:jc w:val="center"/>
      </w:pPr>
      <w:r>
        <w:rPr>
          <w:sz w:val="44"/>
          <w:b/>
        </w:rPr>
        <w:t>望牛墩镇智慧视频监控及电子警察新型基础设施建设项目</w:t>
      </w:r>
      <w:r>
        <w:rPr>
          <w:sz w:val="44"/>
          <w:b/>
        </w:rPr>
        <w:t>合同</w:t>
      </w:r>
    </w:p>
    <w:p>
      <w:pPr>
        <w:pStyle w:val="null3"/>
        <w:jc w:val="both"/>
      </w:pPr>
      <w:r>
        <w:rPr>
          <w:sz w:val="24"/>
        </w:rPr>
        <w:t>甲方</w:t>
      </w:r>
      <w:r>
        <w:rPr>
          <w:sz w:val="24"/>
        </w:rPr>
        <w:t>：</w:t>
      </w:r>
      <w:r>
        <w:rPr>
          <w:u w:val="single"/>
        </w:rPr>
        <w:t xml:space="preserve">           </w:t>
      </w:r>
    </w:p>
    <w:p>
      <w:pPr>
        <w:pStyle w:val="null3"/>
        <w:jc w:val="both"/>
      </w:pPr>
      <w:r>
        <w:rPr>
          <w:sz w:val="24"/>
        </w:rPr>
        <w:t>乙方</w:t>
      </w:r>
      <w:r>
        <w:rPr>
          <w:sz w:val="24"/>
        </w:rPr>
        <w:t>：</w:t>
      </w:r>
      <w:r>
        <w:rPr>
          <w:u w:val="single"/>
        </w:rPr>
        <w:t xml:space="preserve">           </w:t>
      </w:r>
    </w:p>
    <w:p>
      <w:pPr>
        <w:pStyle w:val="null3"/>
        <w:ind w:firstLine="480"/>
        <w:jc w:val="both"/>
      </w:pPr>
      <w:r>
        <w:rPr>
          <w:sz w:val="24"/>
        </w:rPr>
        <w:t>根据</w:t>
      </w:r>
      <w:r>
        <w:rPr>
          <w:sz w:val="24"/>
          <w:u w:val="single"/>
        </w:rPr>
        <w:t xml:space="preserve">             </w:t>
      </w:r>
      <w:r>
        <w:rPr>
          <w:sz w:val="24"/>
          <w:u w:val="single"/>
        </w:rPr>
        <w:t>项目</w:t>
      </w:r>
      <w:r>
        <w:rPr>
          <w:sz w:val="24"/>
        </w:rPr>
        <w:t>的采购结果，按照《中华人民共和国政府采购法》、《中华人民共和国民法典》及相关法律法规的规定，经双方协商，本着平等互利和诚实信用的原则，一致同意签订本合同如下。</w:t>
      </w:r>
    </w:p>
    <w:p>
      <w:pPr>
        <w:pStyle w:val="null3"/>
        <w:ind w:firstLine="482"/>
        <w:jc w:val="both"/>
      </w:pPr>
      <w:r>
        <w:rPr>
          <w:sz w:val="24"/>
          <w:b/>
        </w:rPr>
        <w:t>一、货物</w:t>
      </w:r>
      <w:r>
        <w:rPr>
          <w:sz w:val="24"/>
          <w:b/>
        </w:rPr>
        <w:t>清单</w:t>
      </w:r>
    </w:p>
    <w:tbl>
      <w:tblPr>
        <w:tblW w:w="0" w:type="auto"/>
        <w:tblBorders>
          <w:top w:val="none" w:color="000000" w:sz="4"/>
          <w:left w:val="none" w:color="000000" w:sz="4"/>
          <w:bottom w:val="none" w:color="000000" w:sz="4"/>
          <w:right w:val="none" w:color="000000" w:sz="4"/>
          <w:insideH w:val="none"/>
          <w:insideV w:val="none"/>
        </w:tblBorders>
      </w:tblPr>
      <w:tblGrid>
        <w:gridCol w:w="693"/>
        <w:gridCol w:w="3573"/>
        <w:gridCol w:w="693"/>
        <w:gridCol w:w="693"/>
        <w:gridCol w:w="479"/>
        <w:gridCol w:w="479"/>
        <w:gridCol w:w="826"/>
        <w:gridCol w:w="826"/>
      </w:tblGrid>
      <w:tr>
        <w:tc>
          <w:tcPr>
            <w:tcW w:type="dxa" w:w="693"/>
            <w:tcBorders>
              <w:top w:val="single" w:color="CCCCCC" w:sz="4"/>
              <w:left w:val="single" w:color="CCCCCC" w:sz="4"/>
              <w:bottom w:val="single" w:color="CCCCCC" w:sz="4"/>
              <w:right w:val="single" w:color="CCCCCC" w:sz="4"/>
            </w:tcBorders>
            <w:tcMar>
              <w:top w:type="dxa" w:w="0"/>
              <w:left w:type="dxa" w:w="105"/>
              <w:bottom w:type="dxa" w:w="0"/>
              <w:right w:type="dxa" w:w="105"/>
            </w:tcMar>
            <w:vAlign w:val="top"/>
          </w:tcPr>
          <w:p>
            <w:pPr>
              <w:pStyle w:val="null3"/>
              <w:jc w:val="both"/>
            </w:pPr>
            <w:r>
              <w:rPr>
                <w:sz w:val="24"/>
              </w:rPr>
              <w:t>名称</w:t>
            </w:r>
          </w:p>
        </w:tc>
        <w:tc>
          <w:tcPr>
            <w:tcW w:type="dxa" w:w="3573"/>
            <w:tcBorders>
              <w:top w:val="single" w:color="CCCCCC"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品牌、</w:t>
            </w:r>
            <w:r>
              <w:rPr>
                <w:sz w:val="24"/>
              </w:rPr>
              <w:t>型号、</w:t>
            </w:r>
            <w:r>
              <w:rPr>
                <w:sz w:val="24"/>
              </w:rPr>
              <w:t>规格、标准</w:t>
            </w:r>
            <w:r>
              <w:rPr>
                <w:sz w:val="24"/>
              </w:rPr>
              <w:t>/主要服务内容</w:t>
            </w:r>
          </w:p>
        </w:tc>
        <w:tc>
          <w:tcPr>
            <w:tcW w:type="dxa" w:w="693"/>
            <w:tcBorders>
              <w:top w:val="single" w:color="CCCCCC" w:sz="4"/>
              <w:left w:val="none" w:color="000000" w:sz="4"/>
              <w:bottom w:val="single" w:color="CCCCCC" w:sz="4"/>
              <w:right w:val="single" w:color="CCCCCC" w:sz="4"/>
            </w:tcBorders>
            <w:tcMar>
              <w:top w:type="dxa" w:w="0"/>
              <w:left w:type="dxa" w:w="105"/>
              <w:bottom w:type="dxa" w:w="0"/>
              <w:right w:type="dxa" w:w="105"/>
            </w:tcMar>
            <w:vAlign w:val="top"/>
          </w:tcPr>
          <w:p>
            <w:pPr>
              <w:pStyle w:val="null3"/>
              <w:jc w:val="both"/>
            </w:pPr>
            <w:r>
              <w:rPr>
                <w:sz w:val="24"/>
              </w:rPr>
              <w:t>参数</w:t>
            </w:r>
          </w:p>
        </w:tc>
        <w:tc>
          <w:tcPr>
            <w:tcW w:type="dxa" w:w="693"/>
            <w:tcBorders>
              <w:top w:val="single" w:color="CCCCCC" w:sz="4"/>
              <w:left w:val="none" w:color="000000" w:sz="4"/>
              <w:bottom w:val="single" w:color="CCCCCC" w:sz="4"/>
              <w:right w:val="single" w:color="CCCCCC" w:sz="4"/>
            </w:tcBorders>
            <w:tcMar>
              <w:top w:type="dxa" w:w="0"/>
              <w:left w:type="dxa" w:w="105"/>
              <w:bottom w:type="dxa" w:w="0"/>
              <w:right w:type="dxa" w:w="105"/>
            </w:tcMar>
            <w:vAlign w:val="top"/>
          </w:tcPr>
          <w:p>
            <w:pPr>
              <w:pStyle w:val="null3"/>
              <w:jc w:val="both"/>
            </w:pPr>
            <w:r>
              <w:rPr>
                <w:sz w:val="24"/>
              </w:rPr>
              <w:t>产地</w:t>
            </w:r>
          </w:p>
        </w:tc>
        <w:tc>
          <w:tcPr>
            <w:tcW w:type="dxa" w:w="479"/>
            <w:tcBorders>
              <w:top w:val="single" w:color="CCCCCC"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数量</w:t>
            </w:r>
          </w:p>
        </w:tc>
        <w:tc>
          <w:tcPr>
            <w:tcW w:type="dxa" w:w="479"/>
            <w:tcBorders>
              <w:top w:val="single" w:color="CCCCCC"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单位</w:t>
            </w:r>
          </w:p>
        </w:tc>
        <w:tc>
          <w:tcPr>
            <w:tcW w:type="dxa" w:w="826"/>
            <w:tcBorders>
              <w:top w:val="single" w:color="CCCCCC"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单价</w:t>
            </w:r>
          </w:p>
          <w:p>
            <w:pPr>
              <w:pStyle w:val="null3"/>
              <w:jc w:val="center"/>
            </w:pPr>
            <w:r>
              <w:rPr>
                <w:sz w:val="24"/>
              </w:rPr>
              <w:t>（元）</w:t>
            </w:r>
          </w:p>
        </w:tc>
        <w:tc>
          <w:tcPr>
            <w:tcW w:type="dxa" w:w="826"/>
            <w:tcBorders>
              <w:top w:val="single" w:color="CCCCCC"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单项合计</w:t>
            </w:r>
            <w:r>
              <w:rPr>
                <w:sz w:val="24"/>
              </w:rPr>
              <w:t>金额</w:t>
            </w:r>
          </w:p>
          <w:p>
            <w:pPr>
              <w:pStyle w:val="null3"/>
              <w:jc w:val="center"/>
            </w:pPr>
            <w:r>
              <w:rPr>
                <w:sz w:val="24"/>
              </w:rPr>
              <w:t>（元）</w:t>
            </w:r>
          </w:p>
        </w:tc>
      </w:tr>
      <w:tr>
        <w:tc>
          <w:tcPr>
            <w:tcW w:type="dxa" w:w="693"/>
            <w:tcBorders>
              <w:top w:val="non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 xml:space="preserve"> </w:t>
            </w:r>
            <w:r>
              <w:rPr>
                <w:sz w:val="24"/>
              </w:rPr>
              <w:t>**</w:t>
            </w:r>
          </w:p>
        </w:tc>
        <w:tc>
          <w:tcPr>
            <w:tcW w:type="dxa" w:w="3573"/>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w:t>
            </w:r>
          </w:p>
        </w:tc>
        <w:tc>
          <w:tcPr>
            <w:tcW w:type="dxa" w:w="693"/>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p>
        </w:tc>
        <w:tc>
          <w:tcPr>
            <w:tcW w:type="dxa" w:w="693"/>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w:t>
            </w:r>
          </w:p>
        </w:tc>
        <w:tc>
          <w:tcPr>
            <w:tcW w:type="dxa" w:w="479"/>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w:t>
            </w:r>
          </w:p>
        </w:tc>
        <w:tc>
          <w:tcPr>
            <w:tcW w:type="dxa" w:w="479"/>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w:t>
            </w:r>
          </w:p>
        </w:tc>
        <w:tc>
          <w:tcPr>
            <w:tcW w:type="dxa" w:w="826"/>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 xml:space="preserve"> </w:t>
            </w:r>
            <w:r>
              <w:rPr>
                <w:sz w:val="24"/>
              </w:rPr>
              <w:t>**</w:t>
            </w:r>
          </w:p>
        </w:tc>
        <w:tc>
          <w:tcPr>
            <w:tcW w:type="dxa" w:w="826"/>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w:t>
            </w:r>
          </w:p>
        </w:tc>
      </w:tr>
      <w:tr>
        <w:tc>
          <w:tcPr>
            <w:tcW w:type="dxa" w:w="693"/>
            <w:tcBorders>
              <w:top w:val="non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3573"/>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693"/>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p>
        </w:tc>
        <w:tc>
          <w:tcPr>
            <w:tcW w:type="dxa" w:w="693"/>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479"/>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479"/>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826"/>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826"/>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r>
      <w:tr>
        <w:tc>
          <w:tcPr>
            <w:tcW w:type="dxa" w:w="693"/>
            <w:tcBorders>
              <w:top w:val="non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3573"/>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693"/>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p>
        </w:tc>
        <w:tc>
          <w:tcPr>
            <w:tcW w:type="dxa" w:w="693"/>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479"/>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479"/>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826"/>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826"/>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r>
      <w:tr>
        <w:tc>
          <w:tcPr>
            <w:tcW w:type="dxa" w:w="693"/>
            <w:tcBorders>
              <w:top w:val="non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3573"/>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693"/>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p>
        </w:tc>
        <w:tc>
          <w:tcPr>
            <w:tcW w:type="dxa" w:w="693"/>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479"/>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479"/>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826"/>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826"/>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r>
      <w:tr>
        <w:tc>
          <w:tcPr>
            <w:tcW w:type="dxa" w:w="693"/>
            <w:tcBorders>
              <w:top w:val="non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3573"/>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693"/>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p>
        </w:tc>
        <w:tc>
          <w:tcPr>
            <w:tcW w:type="dxa" w:w="693"/>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479"/>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479"/>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826"/>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c>
          <w:tcPr>
            <w:tcW w:type="dxa" w:w="826"/>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19"/>
              </w:rPr>
              <w:t xml:space="preserve"> </w:t>
            </w:r>
          </w:p>
        </w:tc>
      </w:tr>
      <w:tr>
        <w:tc>
          <w:tcPr>
            <w:tcW w:type="dxa" w:w="693"/>
            <w:tcBorders>
              <w:top w:val="non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p>
        </w:tc>
        <w:tc>
          <w:tcPr>
            <w:tcW w:type="dxa" w:w="6743"/>
            <w:gridSpan w:val="6"/>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合计：人民币大写：</w:t>
            </w:r>
            <w:r>
              <w:rPr>
                <w:sz w:val="24"/>
              </w:rPr>
              <w:t>**元整</w:t>
            </w:r>
          </w:p>
        </w:tc>
        <w:tc>
          <w:tcPr>
            <w:tcW w:type="dxa" w:w="826"/>
            <w:tcBorders>
              <w:top w:val="none" w:color="000000" w:sz="4"/>
              <w:left w:val="non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w:t>
            </w:r>
            <w:r>
              <w:rPr>
                <w:sz w:val="24"/>
              </w:rPr>
              <w:t>**</w:t>
            </w:r>
          </w:p>
        </w:tc>
      </w:tr>
    </w:tbl>
    <w:p>
      <w:pPr>
        <w:pStyle w:val="null3"/>
        <w:ind w:firstLine="480"/>
        <w:jc w:val="both"/>
      </w:pPr>
      <w:r>
        <w:rPr>
          <w:sz w:val="24"/>
        </w:rPr>
        <w:t>注：</w:t>
      </w:r>
    </w:p>
    <w:p>
      <w:pPr>
        <w:pStyle w:val="null3"/>
        <w:ind w:firstLine="480"/>
        <w:jc w:val="both"/>
      </w:pPr>
      <w:r>
        <w:rPr>
          <w:sz w:val="24"/>
        </w:rPr>
        <w:t>1、乙方须根据投标文件完善上述货物清单内容，包括但不限于</w:t>
      </w:r>
      <w:r>
        <w:rPr>
          <w:sz w:val="24"/>
        </w:rPr>
        <w:t>品牌、规格、标准</w:t>
      </w:r>
      <w:r>
        <w:rPr>
          <w:sz w:val="24"/>
        </w:rPr>
        <w:t>/主要服务内容</w:t>
      </w:r>
      <w:r>
        <w:rPr>
          <w:sz w:val="24"/>
        </w:rPr>
        <w:t>、参数、</w:t>
      </w:r>
      <w:r>
        <w:rPr>
          <w:sz w:val="24"/>
        </w:rPr>
        <w:t>产地</w:t>
      </w:r>
      <w:r>
        <w:rPr>
          <w:sz w:val="24"/>
        </w:rPr>
        <w:t>、</w:t>
      </w:r>
      <w:r>
        <w:rPr>
          <w:sz w:val="24"/>
        </w:rPr>
        <w:t>数量</w:t>
      </w:r>
      <w:r>
        <w:rPr>
          <w:sz w:val="24"/>
        </w:rPr>
        <w:t>、</w:t>
      </w:r>
      <w:r>
        <w:rPr>
          <w:sz w:val="24"/>
        </w:rPr>
        <w:t>单位</w:t>
      </w:r>
      <w:r>
        <w:rPr>
          <w:sz w:val="24"/>
        </w:rPr>
        <w:t>、单项合计</w:t>
      </w:r>
      <w:r>
        <w:rPr>
          <w:sz w:val="24"/>
        </w:rPr>
        <w:t>金额</w:t>
      </w:r>
      <w:r>
        <w:rPr>
          <w:sz w:val="24"/>
        </w:rPr>
        <w:t>等相关内容。</w:t>
      </w:r>
    </w:p>
    <w:p>
      <w:pPr>
        <w:pStyle w:val="null3"/>
        <w:ind w:firstLine="480"/>
        <w:jc w:val="both"/>
      </w:pPr>
      <w:r>
        <w:rPr>
          <w:sz w:val="24"/>
        </w:rPr>
        <w:t>2.</w:t>
      </w:r>
      <w:r>
        <w:rPr>
          <w:sz w:val="24"/>
        </w:rPr>
        <w:t>合同总额包含货物的设计、制造、包装、仓储、运输、保险以及</w:t>
      </w:r>
      <w:r>
        <w:rPr>
          <w:sz w:val="24"/>
        </w:rPr>
        <w:t>乙方</w:t>
      </w:r>
      <w:r>
        <w:rPr>
          <w:sz w:val="24"/>
        </w:rPr>
        <w:t>进行的安装、调试、试运行、验收、培训、技术服务（包括技术资料、图纸、说明书的提供）、质保期保障服务、招标需求中列明所需的备品备件、所有应支付的对专利权和版权、设计或其他知识产权而需要向其他方支付的版税等的全部含税费用。</w:t>
      </w:r>
    </w:p>
    <w:p>
      <w:pPr>
        <w:pStyle w:val="null3"/>
        <w:ind w:firstLine="482"/>
        <w:jc w:val="both"/>
      </w:pPr>
      <w:r>
        <w:rPr>
          <w:sz w:val="24"/>
          <w:b/>
        </w:rPr>
        <w:t>二、合同金额</w:t>
      </w:r>
    </w:p>
    <w:p>
      <w:pPr>
        <w:pStyle w:val="null3"/>
        <w:ind w:firstLine="480"/>
        <w:jc w:val="both"/>
      </w:pPr>
      <w:r>
        <w:rPr>
          <w:sz w:val="24"/>
        </w:rPr>
        <w:t>合同金额为（大写）：</w:t>
      </w:r>
      <w:r>
        <w:rPr>
          <w:sz w:val="24"/>
        </w:rPr>
        <w:t>_________________元（￥_______________元）人民币。</w:t>
      </w:r>
    </w:p>
    <w:p>
      <w:pPr>
        <w:pStyle w:val="null3"/>
        <w:ind w:firstLine="482"/>
        <w:jc w:val="both"/>
      </w:pPr>
      <w:r>
        <w:rPr>
          <w:sz w:val="24"/>
          <w:b/>
        </w:rPr>
        <w:t>三、交货期及交货地点</w:t>
      </w:r>
    </w:p>
    <w:p>
      <w:pPr>
        <w:pStyle w:val="null3"/>
        <w:ind w:firstLine="480"/>
        <w:jc w:val="both"/>
      </w:pPr>
      <w:r>
        <w:rPr>
          <w:sz w:val="24"/>
        </w:rPr>
        <w:t>1、交货期：</w:t>
      </w:r>
      <w:r>
        <w:rPr>
          <w:sz w:val="24"/>
        </w:rPr>
        <w:t>自合同签订生效之日起</w:t>
      </w:r>
      <w:r>
        <w:rPr>
          <w:sz w:val="24"/>
        </w:rPr>
        <w:t>120个日历日内完成货物的供货、安装、调试</w:t>
      </w:r>
      <w:r>
        <w:rPr>
          <w:sz w:val="24"/>
        </w:rPr>
        <w:t>、</w:t>
      </w:r>
      <w:r>
        <w:rPr>
          <w:sz w:val="24"/>
        </w:rPr>
        <w:t>试运行</w:t>
      </w:r>
      <w:r>
        <w:rPr>
          <w:sz w:val="24"/>
        </w:rPr>
        <w:t>及验收。其中：</w:t>
      </w:r>
    </w:p>
    <w:p>
      <w:pPr>
        <w:pStyle w:val="null3"/>
        <w:ind w:firstLine="480"/>
        <w:jc w:val="both"/>
      </w:pPr>
      <w:r>
        <w:rPr>
          <w:sz w:val="24"/>
        </w:rPr>
        <w:t>（</w:t>
      </w:r>
      <w:r>
        <w:rPr>
          <w:sz w:val="24"/>
        </w:rPr>
        <w:t>1</w:t>
      </w:r>
      <w:r>
        <w:rPr>
          <w:sz w:val="24"/>
        </w:rPr>
        <w:t>）</w:t>
      </w:r>
      <w:r>
        <w:rPr>
          <w:sz w:val="24"/>
        </w:rPr>
        <w:t>合同签订生效之日起</w:t>
      </w:r>
      <w:r>
        <w:rPr>
          <w:sz w:val="24"/>
        </w:rPr>
        <w:t>90日内应完成所有货物到货、安装、调试以及相关系统设备上线等工作。</w:t>
      </w:r>
    </w:p>
    <w:p>
      <w:pPr>
        <w:pStyle w:val="null3"/>
        <w:ind w:firstLine="480"/>
        <w:jc w:val="both"/>
      </w:pPr>
      <w:r>
        <w:rPr>
          <w:sz w:val="24"/>
        </w:rPr>
        <w:t>（</w:t>
      </w:r>
      <w:r>
        <w:rPr>
          <w:sz w:val="24"/>
        </w:rPr>
        <w:t>2</w:t>
      </w:r>
      <w:r>
        <w:rPr>
          <w:sz w:val="24"/>
        </w:rPr>
        <w:t>）</w:t>
      </w:r>
      <w:r>
        <w:rPr>
          <w:sz w:val="24"/>
        </w:rPr>
        <w:t>完成前项工作后，开展为期不少于</w:t>
      </w:r>
      <w:r>
        <w:rPr>
          <w:sz w:val="24"/>
        </w:rPr>
        <w:t>30天的试运行。</w:t>
      </w:r>
    </w:p>
    <w:p>
      <w:pPr>
        <w:pStyle w:val="null3"/>
        <w:ind w:firstLine="480"/>
        <w:jc w:val="both"/>
      </w:pPr>
      <w:r>
        <w:rPr>
          <w:sz w:val="24"/>
        </w:rPr>
        <w:t>（</w:t>
      </w:r>
      <w:r>
        <w:rPr>
          <w:sz w:val="24"/>
        </w:rPr>
        <w:t>3</w:t>
      </w:r>
      <w:r>
        <w:rPr>
          <w:sz w:val="24"/>
        </w:rPr>
        <w:t>）</w:t>
      </w:r>
      <w:r>
        <w:rPr>
          <w:sz w:val="24"/>
        </w:rPr>
        <w:t>试运行结束且验收测评、等保测评等工作完成后组织验收。</w:t>
      </w:r>
    </w:p>
    <w:p>
      <w:pPr>
        <w:pStyle w:val="null3"/>
        <w:ind w:firstLine="480"/>
        <w:jc w:val="both"/>
      </w:pPr>
      <w:r>
        <w:rPr>
          <w:sz w:val="24"/>
        </w:rPr>
        <w:t>2、交货地点：</w:t>
      </w:r>
      <w:r>
        <w:rPr>
          <w:sz w:val="24"/>
        </w:rPr>
        <w:t>甲方</w:t>
      </w:r>
      <w:r>
        <w:rPr>
          <w:sz w:val="24"/>
        </w:rPr>
        <w:t>指定地点。</w:t>
      </w:r>
    </w:p>
    <w:p>
      <w:pPr>
        <w:pStyle w:val="null3"/>
        <w:ind w:firstLine="482"/>
        <w:jc w:val="both"/>
      </w:pPr>
      <w:r>
        <w:rPr>
          <w:sz w:val="24"/>
          <w:b/>
        </w:rPr>
        <w:t>四、付款方式</w:t>
      </w:r>
    </w:p>
    <w:p>
      <w:pPr>
        <w:pStyle w:val="null3"/>
        <w:ind w:firstLine="480"/>
      </w:pPr>
      <w:r>
        <w:rPr>
          <w:sz w:val="24"/>
        </w:rPr>
        <w:t>1期（预付款）：支付比例</w:t>
      </w:r>
      <w:r>
        <w:rPr>
          <w:sz w:val="24"/>
        </w:rPr>
        <w:t>1</w:t>
      </w:r>
      <w:r>
        <w:rPr>
          <w:sz w:val="24"/>
        </w:rPr>
        <w:t>0%</w:t>
      </w:r>
      <w:r>
        <w:rPr>
          <w:sz w:val="24"/>
        </w:rPr>
        <w:t>，</w:t>
      </w:r>
      <w:r>
        <w:rPr>
          <w:sz w:val="24"/>
        </w:rPr>
        <w:t>合同签订并</w:t>
      </w:r>
      <w:r>
        <w:rPr>
          <w:sz w:val="24"/>
        </w:rPr>
        <w:t>乙方</w:t>
      </w:r>
      <w:r>
        <w:rPr>
          <w:sz w:val="24"/>
        </w:rPr>
        <w:t>按要求办理等额的预付款保函后在</w:t>
      </w:r>
      <w:r>
        <w:rPr>
          <w:sz w:val="24"/>
        </w:rPr>
        <w:t>15个工作日内向</w:t>
      </w:r>
      <w:r>
        <w:rPr>
          <w:sz w:val="24"/>
        </w:rPr>
        <w:t>乙方</w:t>
      </w:r>
      <w:r>
        <w:rPr>
          <w:sz w:val="24"/>
        </w:rPr>
        <w:t>支付合同总价的</w:t>
      </w:r>
      <w:r>
        <w:rPr>
          <w:sz w:val="24"/>
        </w:rPr>
        <w:t>1</w:t>
      </w:r>
      <w:r>
        <w:rPr>
          <w:sz w:val="24"/>
        </w:rPr>
        <w:t>0%作为预付款；</w:t>
      </w:r>
      <w:r>
        <w:rPr>
          <w:sz w:val="24"/>
        </w:rPr>
        <w:t>乙方</w:t>
      </w:r>
      <w:r>
        <w:rPr>
          <w:sz w:val="24"/>
        </w:rPr>
        <w:t>要提供相应的预付款保函，待</w:t>
      </w:r>
      <w:r>
        <w:rPr>
          <w:sz w:val="24"/>
        </w:rPr>
        <w:t>二</w:t>
      </w:r>
      <w:r>
        <w:rPr>
          <w:sz w:val="24"/>
        </w:rPr>
        <w:t>期进度款支付后退还</w:t>
      </w:r>
      <w:r>
        <w:rPr>
          <w:sz w:val="24"/>
        </w:rPr>
        <w:t>；</w:t>
      </w:r>
    </w:p>
    <w:p>
      <w:pPr>
        <w:pStyle w:val="null3"/>
        <w:ind w:firstLine="480"/>
      </w:pPr>
      <w:r>
        <w:rPr>
          <w:sz w:val="24"/>
        </w:rPr>
        <w:t>2期（</w:t>
      </w:r>
      <w:r>
        <w:rPr>
          <w:sz w:val="24"/>
        </w:rPr>
        <w:t>一期</w:t>
      </w:r>
      <w:r>
        <w:rPr>
          <w:sz w:val="24"/>
        </w:rPr>
        <w:t>进度款）：支付比例</w:t>
      </w:r>
      <w:r>
        <w:rPr>
          <w:sz w:val="24"/>
        </w:rPr>
        <w:t>3</w:t>
      </w:r>
      <w:r>
        <w:rPr>
          <w:sz w:val="24"/>
        </w:rPr>
        <w:t>0%</w:t>
      </w:r>
      <w:r>
        <w:rPr>
          <w:sz w:val="24"/>
        </w:rPr>
        <w:t>，</w:t>
      </w:r>
      <w:r>
        <w:rPr>
          <w:sz w:val="24"/>
        </w:rPr>
        <w:t>50%以上</w:t>
      </w:r>
      <w:r>
        <w:rPr>
          <w:sz w:val="24"/>
        </w:rPr>
        <w:t>主设备到场，并完成总体项目进度的</w:t>
      </w:r>
      <w:r>
        <w:rPr>
          <w:sz w:val="24"/>
        </w:rPr>
        <w:t>5</w:t>
      </w:r>
      <w:r>
        <w:rPr>
          <w:sz w:val="24"/>
        </w:rPr>
        <w:t>0%后，在15个工作日内向</w:t>
      </w:r>
      <w:r>
        <w:rPr>
          <w:sz w:val="24"/>
        </w:rPr>
        <w:t>乙方</w:t>
      </w:r>
      <w:r>
        <w:rPr>
          <w:sz w:val="24"/>
        </w:rPr>
        <w:t>支付至合同总价的</w:t>
      </w:r>
      <w:r>
        <w:rPr>
          <w:sz w:val="24"/>
        </w:rPr>
        <w:t>40</w:t>
      </w:r>
      <w:r>
        <w:rPr>
          <w:sz w:val="24"/>
        </w:rPr>
        <w:t>%；</w:t>
      </w:r>
    </w:p>
    <w:p>
      <w:pPr>
        <w:pStyle w:val="null3"/>
        <w:ind w:firstLine="480"/>
      </w:pPr>
      <w:r>
        <w:rPr>
          <w:sz w:val="24"/>
        </w:rPr>
        <w:t>3</w:t>
      </w:r>
      <w:r>
        <w:rPr>
          <w:sz w:val="24"/>
        </w:rPr>
        <w:t>期（</w:t>
      </w:r>
      <w:r>
        <w:rPr>
          <w:sz w:val="24"/>
        </w:rPr>
        <w:t>二期</w:t>
      </w:r>
      <w:r>
        <w:rPr>
          <w:sz w:val="24"/>
        </w:rPr>
        <w:t>进度款）：支付比例</w:t>
      </w:r>
      <w:r>
        <w:rPr>
          <w:sz w:val="24"/>
        </w:rPr>
        <w:t>40</w:t>
      </w:r>
      <w:r>
        <w:rPr>
          <w:sz w:val="24"/>
        </w:rPr>
        <w:t>%</w:t>
      </w:r>
      <w:r>
        <w:rPr>
          <w:sz w:val="24"/>
        </w:rPr>
        <w:t>，</w:t>
      </w:r>
      <w:r>
        <w:rPr>
          <w:sz w:val="24"/>
        </w:rPr>
        <w:t>90%以上</w:t>
      </w:r>
      <w:r>
        <w:rPr>
          <w:sz w:val="24"/>
        </w:rPr>
        <w:t>主设备到场，并完成总体项目进度的</w:t>
      </w:r>
      <w:r>
        <w:rPr>
          <w:sz w:val="24"/>
        </w:rPr>
        <w:t>8</w:t>
      </w:r>
      <w:r>
        <w:rPr>
          <w:sz w:val="24"/>
        </w:rPr>
        <w:t>0%后，在15个工作日内向</w:t>
      </w:r>
      <w:r>
        <w:rPr>
          <w:sz w:val="24"/>
        </w:rPr>
        <w:t>乙方</w:t>
      </w:r>
      <w:r>
        <w:rPr>
          <w:sz w:val="24"/>
        </w:rPr>
        <w:t>支付至合同总价的</w:t>
      </w:r>
      <w:r>
        <w:rPr>
          <w:sz w:val="24"/>
        </w:rPr>
        <w:t>80%；</w:t>
      </w:r>
    </w:p>
    <w:p>
      <w:pPr>
        <w:pStyle w:val="null3"/>
        <w:ind w:firstLine="480"/>
        <w:jc w:val="both"/>
      </w:pPr>
      <w:r>
        <w:rPr>
          <w:sz w:val="24"/>
        </w:rPr>
        <w:t>4</w:t>
      </w:r>
      <w:r>
        <w:rPr>
          <w:sz w:val="24"/>
        </w:rPr>
        <w:t>期（验收款）：支付比例</w:t>
      </w:r>
      <w:r>
        <w:rPr>
          <w:sz w:val="24"/>
        </w:rPr>
        <w:t>2</w:t>
      </w:r>
      <w:r>
        <w:rPr>
          <w:sz w:val="24"/>
        </w:rPr>
        <w:t>0%</w:t>
      </w:r>
      <w:r>
        <w:rPr>
          <w:sz w:val="24"/>
        </w:rPr>
        <w:t>，</w:t>
      </w:r>
      <w:r>
        <w:rPr>
          <w:sz w:val="24"/>
        </w:rPr>
        <w:t>货物全部安装、调试完毕，经</w:t>
      </w:r>
      <w:r>
        <w:rPr>
          <w:sz w:val="24"/>
        </w:rPr>
        <w:t>甲方</w:t>
      </w:r>
      <w:r>
        <w:rPr>
          <w:sz w:val="24"/>
        </w:rPr>
        <w:t>及监理单位验收合格、办理完全部验收手续及财政结算后，在</w:t>
      </w:r>
      <w:r>
        <w:rPr>
          <w:sz w:val="24"/>
        </w:rPr>
        <w:t>15个工作日内向</w:t>
      </w:r>
      <w:r>
        <w:rPr>
          <w:sz w:val="24"/>
        </w:rPr>
        <w:t>乙方</w:t>
      </w:r>
      <w:r>
        <w:rPr>
          <w:sz w:val="24"/>
        </w:rPr>
        <w:t>支付至结算总价的</w:t>
      </w:r>
      <w:r>
        <w:rPr>
          <w:sz w:val="24"/>
        </w:rPr>
        <w:t>100%。</w:t>
      </w:r>
    </w:p>
    <w:p>
      <w:pPr>
        <w:pStyle w:val="null3"/>
        <w:ind w:firstLine="480"/>
        <w:jc w:val="both"/>
      </w:pPr>
      <w:r>
        <w:rPr>
          <w:sz w:val="24"/>
        </w:rPr>
        <w:t>注：</w:t>
      </w:r>
      <w:r>
        <w:rPr>
          <w:sz w:val="24"/>
        </w:rPr>
        <w:t>1、本项目款项采用人民币转账方式支付，</w:t>
      </w:r>
      <w:r>
        <w:rPr>
          <w:sz w:val="24"/>
        </w:rPr>
        <w:t>甲方</w:t>
      </w:r>
      <w:r>
        <w:rPr>
          <w:sz w:val="24"/>
        </w:rPr>
        <w:t>支付每笔款项前，</w:t>
      </w:r>
      <w:r>
        <w:rPr>
          <w:sz w:val="24"/>
        </w:rPr>
        <w:t>乙方</w:t>
      </w:r>
      <w:r>
        <w:rPr>
          <w:sz w:val="24"/>
        </w:rPr>
        <w:t>须向</w:t>
      </w:r>
      <w:r>
        <w:rPr>
          <w:sz w:val="24"/>
        </w:rPr>
        <w:t>甲方</w:t>
      </w:r>
      <w:r>
        <w:rPr>
          <w:sz w:val="24"/>
        </w:rPr>
        <w:t>提供等额</w:t>
      </w:r>
      <w:r>
        <w:rPr>
          <w:sz w:val="24"/>
        </w:rPr>
        <w:t>增值税</w:t>
      </w:r>
      <w:r>
        <w:rPr>
          <w:sz w:val="24"/>
        </w:rPr>
        <w:t>发票</w:t>
      </w:r>
      <w:r>
        <w:rPr>
          <w:sz w:val="24"/>
        </w:rPr>
        <w:t>，因乙方未提供发票导致甲方未能通过财政程序审批的，所造成的一切责任及损失由乙方自行承担</w:t>
      </w:r>
      <w:r>
        <w:rPr>
          <w:sz w:val="24"/>
        </w:rPr>
        <w:t>。</w:t>
      </w:r>
    </w:p>
    <w:p>
      <w:pPr>
        <w:pStyle w:val="null3"/>
        <w:ind w:firstLine="480"/>
        <w:jc w:val="both"/>
      </w:pPr>
      <w:r>
        <w:rPr>
          <w:sz w:val="24"/>
        </w:rPr>
        <w:t>2、本合同的金额为财政性资金，严格遵守财政资金支付程序规范。如因执行该程序而使拨款未能及时到位，乙方不得以此为由而不履行本合同规定的义务，也不得以此追究甲方逾期付款的责任。</w:t>
      </w:r>
    </w:p>
    <w:p>
      <w:pPr>
        <w:pStyle w:val="null3"/>
        <w:ind w:firstLine="482"/>
        <w:jc w:val="both"/>
      </w:pPr>
      <w:r>
        <w:rPr>
          <w:sz w:val="24"/>
          <w:b/>
        </w:rPr>
        <w:t>五、</w:t>
      </w:r>
      <w:r>
        <w:rPr>
          <w:sz w:val="24"/>
          <w:b/>
        </w:rPr>
        <w:t>履约保证金</w:t>
      </w:r>
      <w:r>
        <w:rPr>
          <w:sz w:val="24"/>
          <w:b/>
        </w:rPr>
        <w:t>。</w:t>
      </w:r>
    </w:p>
    <w:p>
      <w:pPr>
        <w:pStyle w:val="null3"/>
        <w:ind w:firstLine="480"/>
        <w:jc w:val="both"/>
      </w:pPr>
      <w:r>
        <w:rPr>
          <w:sz w:val="24"/>
        </w:rPr>
        <w:t>收取比例：</w:t>
      </w:r>
      <w:r>
        <w:rPr>
          <w:sz w:val="24"/>
        </w:rPr>
        <w:t>5%,说明：</w:t>
      </w:r>
    </w:p>
    <w:p>
      <w:pPr>
        <w:pStyle w:val="null3"/>
        <w:ind w:firstLine="480"/>
        <w:jc w:val="both"/>
      </w:pPr>
      <w:r>
        <w:rPr>
          <w:sz w:val="24"/>
        </w:rPr>
        <w:t>1.乙方在签订合同前已通过（银行转帐、电汇或履约保函）方式递交履约保证金，履约保证金或履约保函担保金额为中标价的5%（即人民币         元）。该履约保证金收取期限至项目</w:t>
      </w:r>
      <w:r>
        <w:rPr>
          <w:sz w:val="24"/>
        </w:rPr>
        <w:t>质保期</w:t>
      </w:r>
      <w:r>
        <w:rPr>
          <w:sz w:val="24"/>
        </w:rPr>
        <w:t>结束。</w:t>
      </w:r>
    </w:p>
    <w:p>
      <w:pPr>
        <w:pStyle w:val="null3"/>
        <w:ind w:firstLine="480"/>
        <w:jc w:val="both"/>
      </w:pPr>
      <w:r>
        <w:rPr>
          <w:sz w:val="24"/>
        </w:rPr>
        <w:t>2.履约保证金可以采用以下任何一种形式：</w:t>
      </w:r>
    </w:p>
    <w:p>
      <w:pPr>
        <w:pStyle w:val="null3"/>
        <w:ind w:firstLine="480"/>
        <w:jc w:val="both"/>
      </w:pPr>
      <w:r>
        <w:rPr>
          <w:sz w:val="24"/>
        </w:rPr>
        <w:t>2.1.采用保证金（银行转帐、电汇等）方式：乙方必须保证资金在签订合同前到帐，到期后无息退还。账户信息如下：（中标后提供）</w:t>
      </w:r>
    </w:p>
    <w:p>
      <w:pPr>
        <w:pStyle w:val="null3"/>
        <w:ind w:firstLine="480"/>
        <w:jc w:val="both"/>
      </w:pPr>
      <w:r>
        <w:rPr>
          <w:sz w:val="24"/>
        </w:rPr>
        <w:t>2.2.履约保函：履约保函开具应选择商业银行或专业担保机构。保函应为不可撤销、见索即赔。如乙方未能按招标文件要求、投标文件响应和采购合同约定提供货物和售后服务，甲方向出具保函的商业银行或担保公司提出保函担保金额全额支付。</w:t>
      </w:r>
    </w:p>
    <w:p>
      <w:pPr>
        <w:pStyle w:val="null3"/>
        <w:ind w:firstLine="480"/>
        <w:jc w:val="both"/>
      </w:pPr>
      <w:r>
        <w:rPr>
          <w:sz w:val="24"/>
        </w:rPr>
        <w:t>3.履约保函的续期：履约保函有效期须至项目</w:t>
      </w:r>
      <w:r>
        <w:rPr>
          <w:sz w:val="24"/>
        </w:rPr>
        <w:t>质保期</w:t>
      </w:r>
      <w:r>
        <w:rPr>
          <w:sz w:val="24"/>
        </w:rPr>
        <w:t>结束。如在合同签订前提交的保函有效期未能覆盖项目使用验收合格后乙方和甲方双方确认的质保期截止时间，则乙方应在使用验收合格后两个月内无条件办理续保手续。如乙方未能按要求进行续保，则甲方在履约保函有效期届满前</w:t>
      </w:r>
      <w:r>
        <w:rPr>
          <w:sz w:val="24"/>
        </w:rPr>
        <w:t>90个日历日内，向出具保函的商业银行或担保公司提出保函担保金额全额支付。</w:t>
      </w:r>
    </w:p>
    <w:p>
      <w:pPr>
        <w:pStyle w:val="null3"/>
        <w:ind w:firstLine="480"/>
        <w:jc w:val="both"/>
      </w:pPr>
      <w:r>
        <w:rPr>
          <w:sz w:val="24"/>
        </w:rPr>
        <w:t>4.履约保证金退回（若采用保证金（银行转帐、电汇等）方式适用）：</w:t>
      </w:r>
    </w:p>
    <w:p>
      <w:pPr>
        <w:pStyle w:val="null3"/>
        <w:ind w:firstLine="480"/>
        <w:jc w:val="both"/>
      </w:pPr>
      <w:r>
        <w:rPr>
          <w:sz w:val="24"/>
        </w:rPr>
        <w:t>4.1.使用验收合格后，乙方和甲方双方须确认项目</w:t>
      </w:r>
      <w:r>
        <w:rPr>
          <w:sz w:val="24"/>
        </w:rPr>
        <w:t>质保期</w:t>
      </w:r>
      <w:r>
        <w:rPr>
          <w:sz w:val="24"/>
        </w:rPr>
        <w:t>截止时间。在质保期内，乙方按招标文件要求、投标文件响应和采购合同约定提供货物和售后服务的，在项目</w:t>
      </w:r>
      <w:r>
        <w:rPr>
          <w:sz w:val="24"/>
        </w:rPr>
        <w:t>质保期</w:t>
      </w:r>
      <w:r>
        <w:rPr>
          <w:sz w:val="24"/>
        </w:rPr>
        <w:t>期满后，乙方向甲方提交退回履约保证金的申请、履约保证金汇款凭证复印件、采购项目验收报告、中标通知书复印件，甲方在收齐以上资料</w:t>
      </w:r>
      <w:r>
        <w:rPr>
          <w:sz w:val="24"/>
        </w:rPr>
        <w:t>28天内办理履约保证金退还手续。</w:t>
      </w:r>
    </w:p>
    <w:p>
      <w:pPr>
        <w:pStyle w:val="null3"/>
        <w:ind w:firstLine="480"/>
        <w:jc w:val="both"/>
      </w:pPr>
      <w:r>
        <w:rPr>
          <w:sz w:val="24"/>
        </w:rPr>
        <w:t>4.2. 在质保期内，乙方未能按招标文件要求、投标文件响应和采购合同约定提供货物和售后服务的，甲方按合同约定向乙方收取违约金。违约金由甲方在乙方办理履约保证金退还时相应扣除。</w:t>
      </w:r>
    </w:p>
    <w:p>
      <w:pPr>
        <w:pStyle w:val="null3"/>
        <w:ind w:firstLine="480"/>
        <w:jc w:val="both"/>
      </w:pPr>
      <w:r>
        <w:rPr>
          <w:sz w:val="24"/>
        </w:rPr>
        <w:t>5.发生下列情况之一的，履约保证金将不予退还：</w:t>
      </w:r>
    </w:p>
    <w:p>
      <w:pPr>
        <w:pStyle w:val="null3"/>
        <w:ind w:firstLine="480"/>
        <w:jc w:val="both"/>
      </w:pPr>
      <w:r>
        <w:rPr>
          <w:sz w:val="24"/>
        </w:rPr>
        <w:t>5.1.乙方将本项目转让给他人，或者在投标文件中未说明，且未经甲方同意，将中标项目分包给他人的，甲方可依法不予退还其履约保证金；涉及违法行为的，移交相关部门处理，涉及的经济和法律责任由中标人承担。</w:t>
      </w:r>
    </w:p>
    <w:p>
      <w:pPr>
        <w:pStyle w:val="null3"/>
        <w:ind w:firstLine="480"/>
        <w:jc w:val="both"/>
      </w:pPr>
      <w:r>
        <w:rPr>
          <w:sz w:val="24"/>
        </w:rPr>
        <w:t>5.2.乙方履行采购合同期间，违反有关法律法规的规定及合同约定的条款，损害了甲方的利益的，甲方可依法不予退还其履约保证金；</w:t>
      </w:r>
    </w:p>
    <w:p>
      <w:pPr>
        <w:pStyle w:val="null3"/>
        <w:ind w:firstLine="480"/>
        <w:jc w:val="both"/>
      </w:pPr>
      <w:r>
        <w:rPr>
          <w:sz w:val="24"/>
        </w:rPr>
        <w:t>5.3.履约保函有效期须至</w:t>
      </w:r>
      <w:r>
        <w:rPr>
          <w:sz w:val="24"/>
        </w:rPr>
        <w:t>项目</w:t>
      </w:r>
      <w:r>
        <w:rPr>
          <w:sz w:val="24"/>
        </w:rPr>
        <w:t>质保期</w:t>
      </w:r>
      <w:r>
        <w:rPr>
          <w:sz w:val="24"/>
        </w:rPr>
        <w:t>结束。如在合同签订前提交的保函有效期未能覆盖项目使用验收合格后</w:t>
      </w:r>
      <w:r>
        <w:rPr>
          <w:sz w:val="24"/>
        </w:rPr>
        <w:t>甲方</w:t>
      </w:r>
      <w:r>
        <w:rPr>
          <w:sz w:val="24"/>
        </w:rPr>
        <w:t>和</w:t>
      </w:r>
      <w:r>
        <w:rPr>
          <w:sz w:val="24"/>
        </w:rPr>
        <w:t>乙方</w:t>
      </w:r>
      <w:r>
        <w:rPr>
          <w:sz w:val="24"/>
        </w:rPr>
        <w:t>双方确认的</w:t>
      </w:r>
      <w:r>
        <w:rPr>
          <w:sz w:val="24"/>
        </w:rPr>
        <w:t>质保期</w:t>
      </w:r>
      <w:r>
        <w:rPr>
          <w:sz w:val="24"/>
        </w:rPr>
        <w:t>截止时间，则</w:t>
      </w:r>
      <w:r>
        <w:rPr>
          <w:sz w:val="24"/>
        </w:rPr>
        <w:t>乙方</w:t>
      </w:r>
      <w:r>
        <w:rPr>
          <w:sz w:val="24"/>
        </w:rPr>
        <w:t>应在使用验收合格后两个月内无条件办理续保手续。如</w:t>
      </w:r>
      <w:r>
        <w:rPr>
          <w:sz w:val="24"/>
        </w:rPr>
        <w:t>乙方</w:t>
      </w:r>
      <w:r>
        <w:rPr>
          <w:sz w:val="24"/>
        </w:rPr>
        <w:t>未能按要求进行续保，则</w:t>
      </w:r>
      <w:r>
        <w:rPr>
          <w:sz w:val="24"/>
        </w:rPr>
        <w:t>甲方</w:t>
      </w:r>
      <w:r>
        <w:rPr>
          <w:sz w:val="24"/>
        </w:rPr>
        <w:t>在履约保函有效期届满前</w:t>
      </w:r>
      <w:r>
        <w:rPr>
          <w:sz w:val="24"/>
        </w:rPr>
        <w:t>90个日历日内，向出具保函的商业银行或担保公司提出保函担保金额全额支付。</w:t>
      </w:r>
    </w:p>
    <w:p>
      <w:pPr>
        <w:pStyle w:val="null3"/>
        <w:ind w:firstLine="482"/>
        <w:jc w:val="both"/>
      </w:pPr>
      <w:r>
        <w:rPr>
          <w:sz w:val="24"/>
          <w:b/>
        </w:rPr>
        <w:t>六</w:t>
      </w:r>
      <w:r>
        <w:rPr>
          <w:sz w:val="24"/>
          <w:b/>
        </w:rPr>
        <w:t>、质保期及售后服务</w:t>
      </w:r>
    </w:p>
    <w:p>
      <w:pPr>
        <w:pStyle w:val="null3"/>
        <w:ind w:firstLine="480"/>
        <w:jc w:val="both"/>
      </w:pPr>
      <w:r>
        <w:rPr>
          <w:sz w:val="24"/>
        </w:rPr>
        <w:t>1.</w:t>
      </w:r>
      <w:r>
        <w:rPr>
          <w:sz w:val="24"/>
        </w:rPr>
        <w:t>质保期：自项目验收合格之日起</w:t>
      </w:r>
      <w:r>
        <w:rPr>
          <w:sz w:val="24"/>
        </w:rPr>
        <w:t>两</w:t>
      </w:r>
      <w:r>
        <w:rPr>
          <w:sz w:val="24"/>
        </w:rPr>
        <w:t>年。</w:t>
      </w:r>
    </w:p>
    <w:p>
      <w:pPr>
        <w:pStyle w:val="null3"/>
        <w:ind w:firstLine="480"/>
        <w:jc w:val="both"/>
      </w:pPr>
      <w:r>
        <w:rPr>
          <w:sz w:val="24"/>
        </w:rPr>
        <w:t>2</w:t>
      </w:r>
      <w:r>
        <w:rPr>
          <w:sz w:val="24"/>
        </w:rPr>
        <w:t>.</w:t>
      </w:r>
      <w:r>
        <w:rPr>
          <w:sz w:val="24"/>
        </w:rPr>
        <w:t>售后服务：</w:t>
      </w:r>
    </w:p>
    <w:p>
      <w:pPr>
        <w:pStyle w:val="null3"/>
        <w:ind w:firstLine="480"/>
        <w:jc w:val="both"/>
      </w:pPr>
      <w:r>
        <w:rPr>
          <w:sz w:val="24"/>
        </w:rPr>
        <w:t>（</w:t>
      </w:r>
      <w:r>
        <w:rPr>
          <w:sz w:val="24"/>
        </w:rPr>
        <w:t>1）</w:t>
      </w:r>
      <w:r>
        <w:rPr>
          <w:sz w:val="24"/>
        </w:rPr>
        <w:t>乙方</w:t>
      </w:r>
      <w:r>
        <w:rPr>
          <w:sz w:val="24"/>
        </w:rPr>
        <w:t>应严格依据《中华人民共和国消费者权益保护法》、《中华人民共和国产品质量法》实行售后三包服务。</w:t>
      </w:r>
    </w:p>
    <w:p>
      <w:pPr>
        <w:pStyle w:val="null3"/>
        <w:ind w:firstLine="480"/>
        <w:jc w:val="both"/>
      </w:pPr>
      <w:r>
        <w:rPr>
          <w:sz w:val="24"/>
        </w:rPr>
        <w:t>（</w:t>
      </w:r>
      <w:r>
        <w:rPr>
          <w:sz w:val="24"/>
        </w:rPr>
        <w:t>2）质保期内：设备及系统非人为及不可抗力造成的损坏或质量问题</w:t>
      </w:r>
      <w:r>
        <w:rPr>
          <w:sz w:val="24"/>
        </w:rPr>
        <w:t>均属于乙方的质保范围</w:t>
      </w:r>
      <w:r>
        <w:rPr>
          <w:sz w:val="24"/>
        </w:rPr>
        <w:t>，</w:t>
      </w:r>
      <w:r>
        <w:rPr>
          <w:sz w:val="24"/>
        </w:rPr>
        <w:t>乙方</w:t>
      </w:r>
      <w:r>
        <w:rPr>
          <w:sz w:val="24"/>
        </w:rPr>
        <w:t>必须免费予以技术服务、维修及配件更换。</w:t>
      </w:r>
    </w:p>
    <w:p>
      <w:pPr>
        <w:pStyle w:val="null3"/>
        <w:ind w:firstLine="480"/>
        <w:jc w:val="both"/>
      </w:pPr>
      <w:r>
        <w:rPr>
          <w:sz w:val="24"/>
        </w:rPr>
        <w:t>（</w:t>
      </w:r>
      <w:r>
        <w:rPr>
          <w:sz w:val="24"/>
        </w:rPr>
        <w:t>3）维修响应速度：</w:t>
      </w:r>
      <w:r>
        <w:rPr>
          <w:sz w:val="24"/>
        </w:rPr>
        <w:t>乙方</w:t>
      </w:r>
      <w:r>
        <w:rPr>
          <w:sz w:val="24"/>
        </w:rPr>
        <w:t>接报后</w:t>
      </w:r>
      <w:r>
        <w:rPr>
          <w:sz w:val="24"/>
        </w:rPr>
        <w:t>30分钟内电话服务响应，1小时内到达现场维护，24小时内解除故障。特殊情况无法修复的，质保期内</w:t>
      </w:r>
      <w:r>
        <w:rPr>
          <w:sz w:val="24"/>
        </w:rPr>
        <w:t>乙方</w:t>
      </w:r>
      <w:r>
        <w:rPr>
          <w:sz w:val="24"/>
        </w:rPr>
        <w:t>应无条件更换新设备或提供同等质量的替代品；或采取使设备可正常运转的措施。</w:t>
      </w:r>
    </w:p>
    <w:p>
      <w:pPr>
        <w:pStyle w:val="null3"/>
        <w:ind w:firstLine="480"/>
        <w:jc w:val="both"/>
      </w:pPr>
      <w:r>
        <w:rPr>
          <w:sz w:val="24"/>
        </w:rPr>
        <w:t>（</w:t>
      </w:r>
      <w:r>
        <w:rPr>
          <w:sz w:val="24"/>
        </w:rPr>
        <w:t>4）应急响应速度：</w:t>
      </w:r>
      <w:r>
        <w:rPr>
          <w:sz w:val="24"/>
        </w:rPr>
        <w:t>乙方</w:t>
      </w:r>
      <w:r>
        <w:rPr>
          <w:sz w:val="24"/>
        </w:rPr>
        <w:t>接报后应急情况下</w:t>
      </w:r>
      <w:r>
        <w:rPr>
          <w:sz w:val="24"/>
        </w:rPr>
        <w:t>3小时内消除安全隐患</w:t>
      </w:r>
      <w:r>
        <w:rPr>
          <w:sz w:val="24"/>
        </w:rPr>
        <w:t>。</w:t>
      </w:r>
    </w:p>
    <w:p>
      <w:pPr>
        <w:pStyle w:val="null3"/>
        <w:ind w:firstLine="480"/>
        <w:jc w:val="both"/>
      </w:pPr>
      <w:r>
        <w:rPr>
          <w:sz w:val="24"/>
        </w:rPr>
        <w:t>（</w:t>
      </w:r>
      <w:r>
        <w:rPr>
          <w:sz w:val="24"/>
        </w:rPr>
        <w:t>5）因乙方未及时回应，甲方基于维护交通安全等因素考虑，可另聘有资质的第三方维修，由此产生的费用由乙方承担。</w:t>
      </w:r>
    </w:p>
    <w:p>
      <w:pPr>
        <w:pStyle w:val="null3"/>
        <w:ind w:firstLine="480"/>
        <w:jc w:val="both"/>
      </w:pPr>
      <w:r>
        <w:rPr>
          <w:sz w:val="24"/>
        </w:rPr>
        <w:t>3.</w:t>
      </w:r>
      <w:r>
        <w:rPr>
          <w:sz w:val="24"/>
        </w:rPr>
        <w:t>乙方</w:t>
      </w:r>
      <w:r>
        <w:rPr>
          <w:sz w:val="24"/>
        </w:rPr>
        <w:t>在</w:t>
      </w:r>
      <w:r>
        <w:rPr>
          <w:sz w:val="24"/>
        </w:rPr>
        <w:t>质保期</w:t>
      </w:r>
      <w:r>
        <w:rPr>
          <w:sz w:val="24"/>
        </w:rPr>
        <w:t>内，要保障本项目范围内的各系统正常运行，对设备质保维护（含设备自然损坏、非人为及不可抗力造成的损坏或质量问题）、保养、保管，信号灯杆承重超重或横臂过短而更换等行为所产生的人工费、材料费、</w:t>
      </w:r>
      <w:r>
        <w:rPr>
          <w:sz w:val="24"/>
        </w:rPr>
        <w:t>安装</w:t>
      </w:r>
      <w:r>
        <w:rPr>
          <w:sz w:val="24"/>
        </w:rPr>
        <w:t>费、交通费、管理费等其他相关费用均由</w:t>
      </w:r>
      <w:r>
        <w:rPr>
          <w:sz w:val="24"/>
        </w:rPr>
        <w:t>乙方</w:t>
      </w:r>
      <w:r>
        <w:rPr>
          <w:sz w:val="24"/>
        </w:rPr>
        <w:t>负责。</w:t>
      </w:r>
      <w:r>
        <w:rPr>
          <w:sz w:val="24"/>
        </w:rPr>
        <w:t>因第三方</w:t>
      </w:r>
      <w:r>
        <w:rPr>
          <w:sz w:val="24"/>
        </w:rPr>
        <w:t>人为损坏、交通事故、偷盗破坏、道路施工等造成损坏的维护</w:t>
      </w:r>
      <w:r>
        <w:rPr>
          <w:sz w:val="24"/>
        </w:rPr>
        <w:t>，由乙方先行垫付相关费用，再向第三方追偿。</w:t>
      </w:r>
    </w:p>
    <w:p>
      <w:pPr>
        <w:pStyle w:val="null3"/>
        <w:ind w:firstLine="480"/>
        <w:jc w:val="both"/>
      </w:pPr>
      <w:r>
        <w:rPr>
          <w:sz w:val="24"/>
        </w:rPr>
        <w:t>4</w:t>
      </w:r>
      <w:r>
        <w:rPr>
          <w:sz w:val="24"/>
        </w:rPr>
        <w:t>.质保维护过程中的安全问题由</w:t>
      </w:r>
      <w:r>
        <w:rPr>
          <w:sz w:val="24"/>
        </w:rPr>
        <w:t>乙方</w:t>
      </w:r>
      <w:r>
        <w:rPr>
          <w:sz w:val="24"/>
        </w:rPr>
        <w:t>负责。</w:t>
      </w:r>
    </w:p>
    <w:p>
      <w:pPr>
        <w:pStyle w:val="null3"/>
        <w:ind w:firstLine="480"/>
        <w:jc w:val="both"/>
      </w:pPr>
      <w:r>
        <w:rPr>
          <w:sz w:val="24"/>
        </w:rPr>
        <w:t>5.</w:t>
      </w:r>
      <w:r>
        <w:rPr>
          <w:sz w:val="24"/>
        </w:rPr>
        <w:t>乙方的接报联系方式：</w:t>
      </w:r>
    </w:p>
    <w:p>
      <w:pPr>
        <w:pStyle w:val="null3"/>
        <w:ind w:firstLine="480"/>
        <w:jc w:val="both"/>
      </w:pPr>
      <w:r>
        <w:rPr>
          <w:sz w:val="24"/>
          <w:b/>
        </w:rPr>
        <w:t>七</w:t>
      </w:r>
      <w:r>
        <w:rPr>
          <w:sz w:val="24"/>
          <w:b/>
        </w:rPr>
        <w:t>、交货要求：</w:t>
      </w:r>
    </w:p>
    <w:p>
      <w:pPr>
        <w:pStyle w:val="null3"/>
        <w:ind w:firstLine="480"/>
        <w:jc w:val="both"/>
      </w:pPr>
      <w:r>
        <w:rPr>
          <w:sz w:val="24"/>
        </w:rPr>
        <w:t>1.</w:t>
      </w:r>
      <w:r>
        <w:rPr>
          <w:sz w:val="24"/>
        </w:rPr>
        <w:t>乙方</w:t>
      </w:r>
      <w:r>
        <w:rPr>
          <w:sz w:val="24"/>
        </w:rPr>
        <w:t>负责本项目的安装调试。</w:t>
      </w:r>
    </w:p>
    <w:p>
      <w:pPr>
        <w:pStyle w:val="null3"/>
        <w:ind w:firstLine="480"/>
        <w:jc w:val="both"/>
      </w:pPr>
      <w:r>
        <w:rPr>
          <w:sz w:val="24"/>
        </w:rPr>
        <w:t>2.安装所需工具设施物料由</w:t>
      </w:r>
      <w:r>
        <w:rPr>
          <w:sz w:val="24"/>
        </w:rPr>
        <w:t>乙方</w:t>
      </w:r>
      <w:r>
        <w:rPr>
          <w:sz w:val="24"/>
        </w:rPr>
        <w:t>自备、自费运到现场，完工后自费搬走</w:t>
      </w:r>
      <w:r>
        <w:rPr>
          <w:sz w:val="24"/>
        </w:rPr>
        <w:t>并清理安装现场</w:t>
      </w:r>
      <w:r>
        <w:rPr>
          <w:sz w:val="24"/>
        </w:rPr>
        <w:t>。</w:t>
      </w:r>
    </w:p>
    <w:p>
      <w:pPr>
        <w:pStyle w:val="null3"/>
        <w:ind w:firstLine="480"/>
        <w:jc w:val="both"/>
      </w:pPr>
      <w:r>
        <w:rPr>
          <w:sz w:val="24"/>
        </w:rPr>
        <w:t>3.调试：按国家相关验收规范进行，分阶段进行调试。</w:t>
      </w:r>
    </w:p>
    <w:p>
      <w:pPr>
        <w:pStyle w:val="null3"/>
        <w:ind w:firstLine="480"/>
        <w:jc w:val="both"/>
      </w:pPr>
      <w:r>
        <w:rPr>
          <w:sz w:val="24"/>
        </w:rPr>
        <w:t>4.货物的拆箱、安装、调试等项工作由</w:t>
      </w:r>
      <w:r>
        <w:rPr>
          <w:sz w:val="24"/>
        </w:rPr>
        <w:t>乙方</w:t>
      </w:r>
      <w:r>
        <w:rPr>
          <w:sz w:val="24"/>
        </w:rPr>
        <w:t>负责，但须在</w:t>
      </w:r>
      <w:r>
        <w:rPr>
          <w:sz w:val="24"/>
        </w:rPr>
        <w:t>甲方</w:t>
      </w:r>
      <w:r>
        <w:rPr>
          <w:sz w:val="24"/>
        </w:rPr>
        <w:t>的指定人员的参与下进行。响应投标文件中给出的具体安装和测试方法，在实际实施前须先经</w:t>
      </w:r>
      <w:r>
        <w:rPr>
          <w:sz w:val="24"/>
        </w:rPr>
        <w:t>甲方</w:t>
      </w:r>
      <w:r>
        <w:rPr>
          <w:sz w:val="24"/>
        </w:rPr>
        <w:t>同意方可进行。调试的原始记录须经各方签字后作为验收的文件之一。</w:t>
      </w:r>
    </w:p>
    <w:p>
      <w:pPr>
        <w:pStyle w:val="null3"/>
        <w:ind w:firstLine="480"/>
        <w:jc w:val="both"/>
      </w:pPr>
      <w:r>
        <w:rPr>
          <w:sz w:val="24"/>
        </w:rPr>
        <w:t>5.</w:t>
      </w:r>
      <w:r>
        <w:rPr>
          <w:sz w:val="24"/>
        </w:rPr>
        <w:t>乙方</w:t>
      </w:r>
      <w:r>
        <w:rPr>
          <w:sz w:val="24"/>
        </w:rPr>
        <w:t>需在</w:t>
      </w:r>
      <w:r>
        <w:rPr>
          <w:sz w:val="24"/>
        </w:rPr>
        <w:t>交货安装</w:t>
      </w:r>
      <w:r>
        <w:rPr>
          <w:sz w:val="24"/>
        </w:rPr>
        <w:t>前完成图纸深化设计，</w:t>
      </w:r>
      <w:r>
        <w:rPr>
          <w:sz w:val="24"/>
        </w:rPr>
        <w:t>图纸</w:t>
      </w:r>
      <w:r>
        <w:rPr>
          <w:sz w:val="24"/>
        </w:rPr>
        <w:t>经</w:t>
      </w:r>
      <w:r>
        <w:rPr>
          <w:sz w:val="24"/>
        </w:rPr>
        <w:t>甲方</w:t>
      </w:r>
      <w:r>
        <w:rPr>
          <w:sz w:val="24"/>
        </w:rPr>
        <w:t>审核通过</w:t>
      </w:r>
      <w:r>
        <w:rPr>
          <w:sz w:val="24"/>
        </w:rPr>
        <w:t>后方可</w:t>
      </w:r>
      <w:r>
        <w:rPr>
          <w:sz w:val="24"/>
        </w:rPr>
        <w:t>实施</w:t>
      </w:r>
      <w:r>
        <w:rPr>
          <w:sz w:val="24"/>
        </w:rPr>
        <w:t>。</w:t>
      </w:r>
    </w:p>
    <w:p>
      <w:pPr>
        <w:pStyle w:val="null3"/>
        <w:ind w:firstLine="480"/>
        <w:jc w:val="both"/>
      </w:pPr>
      <w:r>
        <w:rPr>
          <w:sz w:val="24"/>
          <w:b/>
        </w:rPr>
        <w:t>八</w:t>
      </w:r>
      <w:r>
        <w:rPr>
          <w:sz w:val="24"/>
          <w:b/>
        </w:rPr>
        <w:t>、验收：</w:t>
      </w:r>
    </w:p>
    <w:p>
      <w:pPr>
        <w:pStyle w:val="null3"/>
        <w:ind w:firstLine="480"/>
        <w:jc w:val="both"/>
      </w:pPr>
      <w:r>
        <w:rPr>
          <w:sz w:val="24"/>
        </w:rPr>
        <w:t>1.</w:t>
      </w:r>
      <w:r>
        <w:rPr>
          <w:sz w:val="24"/>
        </w:rPr>
        <w:t>乙方</w:t>
      </w:r>
      <w:r>
        <w:rPr>
          <w:sz w:val="24"/>
        </w:rPr>
        <w:t>应给出设备详细的验收方案，包括验收项目、验收标准，验收实施办法等。</w:t>
      </w:r>
    </w:p>
    <w:p>
      <w:pPr>
        <w:pStyle w:val="null3"/>
        <w:ind w:firstLine="480"/>
        <w:jc w:val="both"/>
      </w:pPr>
      <w:r>
        <w:rPr>
          <w:sz w:val="24"/>
        </w:rPr>
        <w:t>2.安装</w:t>
      </w:r>
      <w:r>
        <w:rPr>
          <w:sz w:val="24"/>
        </w:rPr>
        <w:t>设备</w:t>
      </w:r>
      <w:r>
        <w:rPr>
          <w:sz w:val="24"/>
        </w:rPr>
        <w:t>开始前，</w:t>
      </w:r>
      <w:r>
        <w:rPr>
          <w:sz w:val="24"/>
        </w:rPr>
        <w:t>乙方</w:t>
      </w:r>
      <w:r>
        <w:rPr>
          <w:sz w:val="24"/>
        </w:rPr>
        <w:t>按照</w:t>
      </w:r>
      <w:r>
        <w:rPr>
          <w:sz w:val="24"/>
        </w:rPr>
        <w:t>甲方</w:t>
      </w:r>
      <w:r>
        <w:rPr>
          <w:sz w:val="24"/>
        </w:rPr>
        <w:t>的书面通知，共同开箱检验，主要检验设备的外观质量，设备的原产地</w:t>
      </w:r>
      <w:r>
        <w:rPr>
          <w:sz w:val="24"/>
        </w:rPr>
        <w:t>、品牌型号</w:t>
      </w:r>
      <w:r>
        <w:rPr>
          <w:sz w:val="24"/>
        </w:rPr>
        <w:t>及数量。</w:t>
      </w:r>
    </w:p>
    <w:p>
      <w:pPr>
        <w:pStyle w:val="null3"/>
        <w:ind w:firstLine="480"/>
        <w:jc w:val="both"/>
      </w:pPr>
      <w:r>
        <w:rPr>
          <w:sz w:val="24"/>
        </w:rPr>
        <w:t>3.国内生产的部件须有国家有关部门的认证合格证。强制认证产品须有国家强制性认证证书。</w:t>
      </w:r>
    </w:p>
    <w:p>
      <w:pPr>
        <w:pStyle w:val="null3"/>
        <w:ind w:firstLine="480"/>
        <w:jc w:val="both"/>
      </w:pPr>
      <w:r>
        <w:rPr>
          <w:sz w:val="24"/>
        </w:rPr>
        <w:t>4.验收由</w:t>
      </w:r>
      <w:r>
        <w:rPr>
          <w:sz w:val="24"/>
        </w:rPr>
        <w:t>甲方</w:t>
      </w:r>
      <w:r>
        <w:rPr>
          <w:sz w:val="24"/>
        </w:rPr>
        <w:t>与</w:t>
      </w:r>
      <w:r>
        <w:rPr>
          <w:sz w:val="24"/>
        </w:rPr>
        <w:t>乙方</w:t>
      </w:r>
      <w:r>
        <w:rPr>
          <w:sz w:val="24"/>
        </w:rPr>
        <w:t>及相关人员依国家有关标准、合同、设计图纸及有关附件</w:t>
      </w:r>
      <w:r>
        <w:rPr>
          <w:sz w:val="24"/>
        </w:rPr>
        <w:t>（包括但不限于招标文件、投标文件等）</w:t>
      </w:r>
      <w:r>
        <w:rPr>
          <w:sz w:val="24"/>
        </w:rPr>
        <w:t>要求进行。</w:t>
      </w:r>
      <w:r>
        <w:rPr/>
        <w:t>招标文件、投标文件等视为合同的一部分。</w:t>
      </w:r>
    </w:p>
    <w:p>
      <w:pPr>
        <w:pStyle w:val="null3"/>
        <w:ind w:firstLine="480"/>
        <w:jc w:val="both"/>
      </w:pPr>
      <w:r>
        <w:rPr>
          <w:sz w:val="24"/>
        </w:rPr>
        <w:t>5.货物安装调试完毕，</w:t>
      </w:r>
      <w:r>
        <w:rPr>
          <w:sz w:val="24"/>
        </w:rPr>
        <w:t>乙方</w:t>
      </w:r>
      <w:r>
        <w:rPr>
          <w:sz w:val="24"/>
        </w:rPr>
        <w:t>向</w:t>
      </w:r>
      <w:r>
        <w:rPr>
          <w:sz w:val="24"/>
        </w:rPr>
        <w:t>甲方</w:t>
      </w:r>
      <w:r>
        <w:rPr>
          <w:sz w:val="24"/>
        </w:rPr>
        <w:t>递交货物安装调试记录和竣工通知书，经认可后委托法定质检部门检测。</w:t>
      </w:r>
    </w:p>
    <w:p>
      <w:pPr>
        <w:pStyle w:val="null3"/>
        <w:ind w:firstLine="480"/>
        <w:jc w:val="both"/>
      </w:pPr>
      <w:r>
        <w:rPr>
          <w:sz w:val="24"/>
        </w:rPr>
        <w:t>6.系统安装和调试完成之后</w:t>
      </w:r>
      <w:r>
        <w:rPr>
          <w:sz w:val="24"/>
        </w:rPr>
        <w:t>，经甲方及监理单位确认，项目进行初验，合格后</w:t>
      </w:r>
      <w:r>
        <w:rPr>
          <w:sz w:val="24"/>
        </w:rPr>
        <w:t>系统开始进入试运行</w:t>
      </w:r>
      <w:r>
        <w:rPr>
          <w:sz w:val="24"/>
        </w:rPr>
        <w:t>。</w:t>
      </w:r>
    </w:p>
    <w:p>
      <w:pPr>
        <w:pStyle w:val="null3"/>
        <w:ind w:firstLine="480"/>
        <w:jc w:val="both"/>
      </w:pPr>
      <w:r>
        <w:rPr>
          <w:sz w:val="24"/>
        </w:rPr>
        <w:t>7.</w:t>
      </w:r>
      <w:r>
        <w:rPr>
          <w:sz w:val="24"/>
        </w:rPr>
        <w:t>货物调试合格交</w:t>
      </w:r>
      <w:r>
        <w:rPr>
          <w:sz w:val="24"/>
        </w:rPr>
        <w:t>甲方</w:t>
      </w:r>
      <w:r>
        <w:rPr>
          <w:sz w:val="24"/>
        </w:rPr>
        <w:t>试用</w:t>
      </w:r>
      <w:r>
        <w:rPr>
          <w:sz w:val="24"/>
        </w:rPr>
        <w:t>15天后再检测，如各项功能性能均达到要求，</w:t>
      </w:r>
      <w:r>
        <w:rPr>
          <w:sz w:val="24"/>
        </w:rPr>
        <w:t>甲方</w:t>
      </w:r>
      <w:r>
        <w:rPr>
          <w:sz w:val="24"/>
        </w:rPr>
        <w:t>再与</w:t>
      </w:r>
      <w:r>
        <w:rPr>
          <w:sz w:val="24"/>
        </w:rPr>
        <w:t>乙方</w:t>
      </w:r>
      <w:r>
        <w:rPr>
          <w:sz w:val="24"/>
        </w:rPr>
        <w:t>签署《设备验收合格书》，如未达要求，</w:t>
      </w:r>
      <w:r>
        <w:rPr>
          <w:sz w:val="24"/>
        </w:rPr>
        <w:t>乙方</w:t>
      </w:r>
      <w:r>
        <w:rPr>
          <w:sz w:val="24"/>
        </w:rPr>
        <w:t>应重新检测和调试</w:t>
      </w:r>
      <w:r>
        <w:rPr>
          <w:sz w:val="24"/>
        </w:rPr>
        <w:t>直至合格</w:t>
      </w:r>
      <w:r>
        <w:rPr>
          <w:sz w:val="24"/>
        </w:rPr>
        <w:t>，不得拖延。</w:t>
      </w:r>
    </w:p>
    <w:p>
      <w:pPr>
        <w:pStyle w:val="null3"/>
        <w:ind w:firstLine="480"/>
        <w:jc w:val="both"/>
      </w:pPr>
      <w:r>
        <w:rPr>
          <w:sz w:val="24"/>
        </w:rPr>
        <w:t>8.系统试运行30天后，项目进行终验。终验合格后才算验收合格，如终验不合格，乙方应重新检测和调试直至合格。</w:t>
      </w:r>
    </w:p>
    <w:p>
      <w:pPr>
        <w:pStyle w:val="null3"/>
        <w:ind w:firstLine="482"/>
        <w:jc w:val="both"/>
      </w:pPr>
      <w:r>
        <w:rPr>
          <w:sz w:val="24"/>
          <w:b/>
        </w:rPr>
        <w:t>九</w:t>
      </w:r>
      <w:r>
        <w:rPr>
          <w:sz w:val="24"/>
          <w:b/>
        </w:rPr>
        <w:t>、违约责任与赔偿损失</w:t>
      </w:r>
    </w:p>
    <w:p>
      <w:pPr>
        <w:pStyle w:val="null3"/>
        <w:ind w:firstLine="480"/>
        <w:jc w:val="both"/>
      </w:pPr>
      <w:r>
        <w:rPr>
          <w:sz w:val="24"/>
        </w:rPr>
        <w:t>1、</w:t>
      </w:r>
      <w:r>
        <w:rPr>
          <w:sz w:val="24"/>
        </w:rPr>
        <w:t>乙方</w:t>
      </w:r>
      <w:r>
        <w:rPr>
          <w:sz w:val="24"/>
        </w:rPr>
        <w:t>提供的货物及服务不符合</w:t>
      </w:r>
      <w:r>
        <w:rPr>
          <w:sz w:val="24"/>
        </w:rPr>
        <w:t>本合同及</w:t>
      </w:r>
      <w:r>
        <w:rPr>
          <w:sz w:val="24"/>
        </w:rPr>
        <w:t>招标文件、投标文件</w:t>
      </w:r>
      <w:r>
        <w:rPr>
          <w:sz w:val="24"/>
        </w:rPr>
        <w:t>等附件</w:t>
      </w:r>
      <w:r>
        <w:rPr>
          <w:sz w:val="24"/>
        </w:rPr>
        <w:t>的，</w:t>
      </w:r>
      <w:r>
        <w:rPr>
          <w:sz w:val="24"/>
        </w:rPr>
        <w:t>甲方</w:t>
      </w:r>
      <w:r>
        <w:rPr>
          <w:sz w:val="24"/>
        </w:rPr>
        <w:t>有权拒收，并且每发生一次</w:t>
      </w:r>
      <w:r>
        <w:rPr>
          <w:sz w:val="24"/>
        </w:rPr>
        <w:t>乙方</w:t>
      </w:r>
      <w:r>
        <w:rPr>
          <w:sz w:val="24"/>
        </w:rPr>
        <w:t>须向</w:t>
      </w:r>
      <w:r>
        <w:rPr>
          <w:sz w:val="24"/>
        </w:rPr>
        <w:t>甲方</w:t>
      </w:r>
      <w:r>
        <w:rPr>
          <w:sz w:val="24"/>
        </w:rPr>
        <w:t>支付本项目合同总价</w:t>
      </w:r>
      <w:r>
        <w:rPr>
          <w:sz w:val="24"/>
        </w:rPr>
        <w:t>5%的违约金，</w:t>
      </w:r>
      <w:r>
        <w:rPr>
          <w:sz w:val="24"/>
        </w:rPr>
        <w:t>甲方</w:t>
      </w:r>
      <w:r>
        <w:rPr>
          <w:sz w:val="24"/>
        </w:rPr>
        <w:t>有权在未付结算款中扣除。超过三次不符合约定的，</w:t>
      </w:r>
      <w:r>
        <w:rPr>
          <w:sz w:val="24"/>
        </w:rPr>
        <w:t>甲方</w:t>
      </w:r>
      <w:r>
        <w:rPr>
          <w:sz w:val="24"/>
        </w:rPr>
        <w:t>有权解除合同并追究</w:t>
      </w:r>
      <w:r>
        <w:rPr>
          <w:sz w:val="24"/>
        </w:rPr>
        <w:t>乙方</w:t>
      </w:r>
      <w:r>
        <w:rPr>
          <w:sz w:val="24"/>
        </w:rPr>
        <w:t>违约责任。</w:t>
      </w:r>
    </w:p>
    <w:p>
      <w:pPr>
        <w:pStyle w:val="null3"/>
        <w:ind w:firstLine="480"/>
        <w:jc w:val="both"/>
      </w:pPr>
      <w:r>
        <w:rPr>
          <w:sz w:val="24"/>
        </w:rPr>
        <w:t>2、</w:t>
      </w:r>
      <w:r>
        <w:rPr>
          <w:sz w:val="24"/>
        </w:rPr>
        <w:t>乙方</w:t>
      </w:r>
      <w:r>
        <w:rPr>
          <w:sz w:val="24"/>
        </w:rPr>
        <w:t>未能按</w:t>
      </w:r>
      <w:r>
        <w:rPr>
          <w:sz w:val="24"/>
        </w:rPr>
        <w:t>本合同及</w:t>
      </w:r>
      <w:r>
        <w:rPr>
          <w:sz w:val="24"/>
        </w:rPr>
        <w:t>招标文件规定的交货时间提供货物及服务，</w:t>
      </w:r>
      <w:r>
        <w:rPr>
          <w:sz w:val="24"/>
        </w:rPr>
        <w:t>有期限限制的，乙方</w:t>
      </w:r>
      <w:r>
        <w:rPr>
          <w:sz w:val="24"/>
        </w:rPr>
        <w:t>从逾期之日起每日按合同总金额的</w:t>
      </w:r>
      <w:r>
        <w:rPr>
          <w:sz w:val="24"/>
        </w:rPr>
        <w:t>5‰向</w:t>
      </w:r>
      <w:r>
        <w:rPr>
          <w:sz w:val="24"/>
        </w:rPr>
        <w:t>甲方</w:t>
      </w:r>
      <w:r>
        <w:rPr>
          <w:sz w:val="24"/>
        </w:rPr>
        <w:t>支付违约金；逾期半个月以上的，</w:t>
      </w:r>
      <w:r>
        <w:rPr>
          <w:sz w:val="24"/>
        </w:rPr>
        <w:t>甲方</w:t>
      </w:r>
      <w:r>
        <w:rPr>
          <w:sz w:val="24"/>
        </w:rPr>
        <w:t>有权</w:t>
      </w:r>
      <w:r>
        <w:rPr>
          <w:sz w:val="24"/>
        </w:rPr>
        <w:t>解除</w:t>
      </w:r>
      <w:r>
        <w:rPr>
          <w:sz w:val="24"/>
        </w:rPr>
        <w:t>合同，由此造成的</w:t>
      </w:r>
      <w:r>
        <w:rPr>
          <w:sz w:val="24"/>
        </w:rPr>
        <w:t>甲方</w:t>
      </w:r>
      <w:r>
        <w:rPr>
          <w:sz w:val="24"/>
        </w:rPr>
        <w:t>经济损失由</w:t>
      </w:r>
      <w:r>
        <w:rPr>
          <w:sz w:val="24"/>
        </w:rPr>
        <w:t>乙方</w:t>
      </w:r>
      <w:r>
        <w:rPr>
          <w:sz w:val="24"/>
        </w:rPr>
        <w:t>承担。</w:t>
      </w:r>
      <w:r>
        <w:rPr>
          <w:sz w:val="24"/>
        </w:rPr>
        <w:t>无期限限制的，乙方应按甲方要求在限期内履行或改正，限期内未履行或改正的，甲方</w:t>
      </w:r>
      <w:r>
        <w:rPr>
          <w:sz w:val="24"/>
        </w:rPr>
        <w:t>有权</w:t>
      </w:r>
      <w:r>
        <w:rPr>
          <w:sz w:val="24"/>
        </w:rPr>
        <w:t>解除</w:t>
      </w:r>
      <w:r>
        <w:rPr>
          <w:sz w:val="24"/>
        </w:rPr>
        <w:t>合同并追究</w:t>
      </w:r>
      <w:r>
        <w:rPr>
          <w:sz w:val="24"/>
        </w:rPr>
        <w:t>乙方</w:t>
      </w:r>
      <w:r>
        <w:rPr>
          <w:sz w:val="24"/>
        </w:rPr>
        <w:t>违约责任。</w:t>
      </w:r>
    </w:p>
    <w:p>
      <w:pPr>
        <w:pStyle w:val="null3"/>
        <w:ind w:firstLine="480"/>
        <w:jc w:val="both"/>
      </w:pPr>
      <w:r>
        <w:rPr>
          <w:sz w:val="24"/>
        </w:rPr>
        <w:t>3、</w:t>
      </w:r>
      <w:r>
        <w:rPr>
          <w:sz w:val="24"/>
        </w:rPr>
        <w:t>除合同另有约定外，</w:t>
      </w:r>
      <w:r>
        <w:rPr>
          <w:sz w:val="24"/>
        </w:rPr>
        <w:t>由于</w:t>
      </w:r>
      <w:r>
        <w:rPr>
          <w:sz w:val="24"/>
        </w:rPr>
        <w:t>乙方</w:t>
      </w:r>
      <w:r>
        <w:rPr>
          <w:sz w:val="24"/>
        </w:rPr>
        <w:t>违约造成本合同不能履行或不能完全履行，</w:t>
      </w:r>
      <w:r>
        <w:rPr>
          <w:sz w:val="24"/>
        </w:rPr>
        <w:t>或甲方</w:t>
      </w:r>
      <w:r>
        <w:rPr>
          <w:sz w:val="24"/>
        </w:rPr>
        <w:t>认为本合同已无必要继续履行</w:t>
      </w:r>
      <w:r>
        <w:rPr>
          <w:sz w:val="24"/>
        </w:rPr>
        <w:t>的</w:t>
      </w:r>
      <w:r>
        <w:rPr>
          <w:sz w:val="24"/>
        </w:rPr>
        <w:t>，则</w:t>
      </w:r>
      <w:r>
        <w:rPr>
          <w:sz w:val="24"/>
        </w:rPr>
        <w:t>甲方</w:t>
      </w:r>
      <w:r>
        <w:rPr>
          <w:sz w:val="24"/>
        </w:rPr>
        <w:t>有权解除本合同并追究</w:t>
      </w:r>
      <w:r>
        <w:rPr>
          <w:sz w:val="24"/>
        </w:rPr>
        <w:t>乙方</w:t>
      </w:r>
      <w:r>
        <w:rPr>
          <w:sz w:val="24"/>
        </w:rPr>
        <w:t>违约责任</w:t>
      </w:r>
      <w:r>
        <w:rPr>
          <w:sz w:val="24"/>
        </w:rPr>
        <w:t>。</w:t>
      </w:r>
    </w:p>
    <w:p>
      <w:pPr>
        <w:pStyle w:val="null3"/>
        <w:ind w:firstLine="480"/>
        <w:jc w:val="both"/>
      </w:pPr>
      <w:r>
        <w:rPr>
          <w:sz w:val="24"/>
        </w:rPr>
        <w:t>4、除甲方事先书面同意外，乙方不得部分或全部转让其应履行的合同项下的义务，否则甲方</w:t>
      </w:r>
      <w:r>
        <w:rPr>
          <w:sz w:val="24"/>
        </w:rPr>
        <w:t>有权解除本合同并追究</w:t>
      </w:r>
      <w:r>
        <w:rPr>
          <w:sz w:val="24"/>
        </w:rPr>
        <w:t>乙方</w:t>
      </w:r>
      <w:r>
        <w:rPr>
          <w:sz w:val="24"/>
        </w:rPr>
        <w:t>违约责任</w:t>
      </w:r>
      <w:r>
        <w:rPr>
          <w:sz w:val="24"/>
        </w:rPr>
        <w:t>。</w:t>
      </w:r>
    </w:p>
    <w:p>
      <w:pPr>
        <w:pStyle w:val="null3"/>
        <w:ind w:firstLine="480"/>
        <w:jc w:val="both"/>
      </w:pPr>
      <w:r>
        <w:rPr>
          <w:sz w:val="24"/>
        </w:rPr>
        <w:t>5、</w:t>
      </w:r>
      <w:r>
        <w:rPr>
          <w:sz w:val="24"/>
        </w:rPr>
        <w:t>因</w:t>
      </w:r>
      <w:r>
        <w:rPr>
          <w:sz w:val="24"/>
        </w:rPr>
        <w:t>乙方</w:t>
      </w:r>
      <w:r>
        <w:rPr>
          <w:sz w:val="24"/>
        </w:rPr>
        <w:t>的违约行为导致</w:t>
      </w:r>
      <w:r>
        <w:rPr>
          <w:sz w:val="24"/>
        </w:rPr>
        <w:t>甲方</w:t>
      </w:r>
      <w:r>
        <w:rPr>
          <w:sz w:val="24"/>
        </w:rPr>
        <w:t>解除</w:t>
      </w:r>
      <w:r>
        <w:rPr>
          <w:sz w:val="24"/>
        </w:rPr>
        <w:t>/终止本合同的，</w:t>
      </w:r>
      <w:r>
        <w:rPr>
          <w:sz w:val="24"/>
        </w:rPr>
        <w:t>乙方</w:t>
      </w:r>
      <w:r>
        <w:rPr>
          <w:sz w:val="24"/>
        </w:rPr>
        <w:t>应向</w:t>
      </w:r>
      <w:r>
        <w:rPr>
          <w:sz w:val="24"/>
        </w:rPr>
        <w:t>甲方</w:t>
      </w:r>
      <w:r>
        <w:rPr>
          <w:sz w:val="24"/>
        </w:rPr>
        <w:t>支付相当于合同总价的</w:t>
      </w:r>
      <w:r>
        <w:rPr>
          <w:sz w:val="24"/>
        </w:rPr>
        <w:t>30%作为违约金。违约金不足以弥补</w:t>
      </w:r>
      <w:r>
        <w:rPr>
          <w:sz w:val="24"/>
        </w:rPr>
        <w:t>甲方</w:t>
      </w:r>
      <w:r>
        <w:rPr>
          <w:sz w:val="24"/>
        </w:rPr>
        <w:t>损失的，</w:t>
      </w:r>
      <w:r>
        <w:rPr>
          <w:sz w:val="24"/>
        </w:rPr>
        <w:t>乙方</w:t>
      </w:r>
      <w:r>
        <w:rPr>
          <w:sz w:val="24"/>
        </w:rPr>
        <w:t>应当负责赔偿。</w:t>
      </w:r>
    </w:p>
    <w:p>
      <w:pPr>
        <w:pStyle w:val="null3"/>
        <w:ind w:firstLine="480"/>
        <w:jc w:val="both"/>
      </w:pPr>
      <w:r>
        <w:rPr>
          <w:sz w:val="24"/>
        </w:rPr>
        <w:t>6、甲方可因</w:t>
      </w:r>
      <w:r>
        <w:rPr>
          <w:sz w:val="24"/>
        </w:rPr>
        <w:t>不可抗力或政策原因（含</w:t>
      </w:r>
      <w:r>
        <w:rPr>
          <w:sz w:val="24"/>
        </w:rPr>
        <w:t>望牛墩</w:t>
      </w:r>
      <w:r>
        <w:rPr>
          <w:sz w:val="24"/>
        </w:rPr>
        <w:t>镇相关公共服务的实际需要调整、相关公共服务的经费调整等）</w:t>
      </w:r>
      <w:r>
        <w:rPr>
          <w:sz w:val="24"/>
        </w:rPr>
        <w:t>单方面解除合同。</w:t>
      </w:r>
    </w:p>
    <w:p>
      <w:pPr>
        <w:pStyle w:val="null3"/>
        <w:ind w:firstLine="480"/>
        <w:jc w:val="both"/>
      </w:pPr>
      <w:r>
        <w:rPr>
          <w:sz w:val="24"/>
        </w:rPr>
        <w:t>甲方</w:t>
      </w:r>
      <w:r>
        <w:rPr>
          <w:sz w:val="24"/>
        </w:rPr>
        <w:t>决定单方解除合同的，</w:t>
      </w:r>
      <w:r>
        <w:rPr>
          <w:sz w:val="24"/>
        </w:rPr>
        <w:t>甲方</w:t>
      </w:r>
      <w:r>
        <w:rPr>
          <w:sz w:val="24"/>
        </w:rPr>
        <w:t>可提前</w:t>
      </w:r>
      <w:r>
        <w:rPr>
          <w:sz w:val="24"/>
        </w:rPr>
        <w:t>7日书面通知</w:t>
      </w:r>
      <w:r>
        <w:rPr>
          <w:sz w:val="24"/>
        </w:rPr>
        <w:t>乙方，乙方接受提前终止合同关系且不要求甲方承担违约责任，甲方据实结算合同价款，除此之外无需承担其他责任</w:t>
      </w:r>
      <w:r>
        <w:rPr>
          <w:sz w:val="24"/>
        </w:rPr>
        <w:t>。</w:t>
      </w:r>
    </w:p>
    <w:p>
      <w:pPr>
        <w:pStyle w:val="null3"/>
        <w:ind w:firstLine="480"/>
        <w:jc w:val="both"/>
      </w:pPr>
      <w:r>
        <w:rPr>
          <w:sz w:val="24"/>
        </w:rPr>
        <w:t>7</w:t>
      </w:r>
      <w:r>
        <w:rPr>
          <w:sz w:val="24"/>
        </w:rPr>
        <w:t>、</w:t>
      </w:r>
      <w:r>
        <w:rPr>
          <w:sz w:val="24"/>
        </w:rPr>
        <w:t>甲方</w:t>
      </w:r>
      <w:r>
        <w:rPr>
          <w:sz w:val="24"/>
        </w:rPr>
        <w:t>损失包括但不限于为处理纠纷、主张和实现权利发生的诉讼费、仲裁费、担保费、公告费、公证费、鉴定费、律师费、差旅费等；向第三方、行政机关等第三方支付的赔偿金、违约金、补偿金、罚款、罚金等；预期利益损失；商誉、声誉损失；修复费用、采取补救措施费用等损失。</w:t>
      </w:r>
    </w:p>
    <w:p>
      <w:pPr>
        <w:pStyle w:val="null3"/>
        <w:ind w:firstLine="480"/>
        <w:jc w:val="both"/>
      </w:pPr>
      <w:r>
        <w:rPr>
          <w:sz w:val="24"/>
        </w:rPr>
        <w:t>8、乙方</w:t>
      </w:r>
      <w:r>
        <w:rPr>
          <w:sz w:val="24"/>
        </w:rPr>
        <w:t>应支付的违约金、损失赔偿等，</w:t>
      </w:r>
      <w:r>
        <w:rPr>
          <w:sz w:val="24"/>
        </w:rPr>
        <w:t>甲方</w:t>
      </w:r>
      <w:r>
        <w:rPr>
          <w:sz w:val="24"/>
        </w:rPr>
        <w:t>有权在未结款项中直接扣除，未结款项不足以付清违约金的，</w:t>
      </w:r>
      <w:r>
        <w:rPr>
          <w:sz w:val="24"/>
        </w:rPr>
        <w:t>乙方</w:t>
      </w:r>
      <w:r>
        <w:rPr>
          <w:sz w:val="24"/>
        </w:rPr>
        <w:t>须补足。</w:t>
      </w:r>
    </w:p>
    <w:p>
      <w:pPr>
        <w:pStyle w:val="null3"/>
        <w:ind w:firstLine="482"/>
        <w:jc w:val="both"/>
      </w:pPr>
      <w:r>
        <w:rPr>
          <w:sz w:val="24"/>
          <w:b/>
        </w:rPr>
        <w:t>十、其他要求</w:t>
      </w:r>
    </w:p>
    <w:p>
      <w:pPr>
        <w:pStyle w:val="null3"/>
        <w:ind w:firstLine="480"/>
        <w:jc w:val="both"/>
      </w:pPr>
      <w:r>
        <w:rPr>
          <w:sz w:val="24"/>
        </w:rPr>
        <w:t>1、</w:t>
      </w:r>
      <w:r>
        <w:rPr>
          <w:sz w:val="24"/>
        </w:rPr>
        <w:t>甲方</w:t>
      </w:r>
      <w:r>
        <w:rPr>
          <w:sz w:val="24"/>
        </w:rPr>
        <w:t>向</w:t>
      </w:r>
      <w:r>
        <w:rPr>
          <w:sz w:val="24"/>
        </w:rPr>
        <w:t>乙方</w:t>
      </w:r>
      <w:r>
        <w:rPr>
          <w:sz w:val="24"/>
        </w:rPr>
        <w:t>提供的有关资料和数据，是</w:t>
      </w:r>
      <w:r>
        <w:rPr>
          <w:sz w:val="24"/>
        </w:rPr>
        <w:t>甲方根据提供当时的实际情况供乙方</w:t>
      </w:r>
      <w:r>
        <w:rPr>
          <w:sz w:val="24"/>
        </w:rPr>
        <w:t>利用的资料，</w:t>
      </w:r>
      <w:r>
        <w:rPr>
          <w:sz w:val="24"/>
        </w:rPr>
        <w:t>甲方</w:t>
      </w:r>
      <w:r>
        <w:rPr>
          <w:sz w:val="24"/>
        </w:rPr>
        <w:t>对</w:t>
      </w:r>
      <w:r>
        <w:rPr>
          <w:sz w:val="24"/>
        </w:rPr>
        <w:t>乙方</w:t>
      </w:r>
      <w:r>
        <w:rPr>
          <w:sz w:val="24"/>
        </w:rPr>
        <w:t>由此而做出的推论、理解和结论概不负责。因法律、法规、标准和政策等相关规定</w:t>
      </w:r>
      <w:r>
        <w:rPr>
          <w:sz w:val="24"/>
        </w:rPr>
        <w:t>或因实际情况发生</w:t>
      </w:r>
      <w:r>
        <w:rPr>
          <w:sz w:val="24"/>
        </w:rPr>
        <w:t>动态变化，不能保证</w:t>
      </w:r>
      <w:r>
        <w:rPr>
          <w:sz w:val="24"/>
        </w:rPr>
        <w:t>提供当时</w:t>
      </w:r>
      <w:r>
        <w:rPr>
          <w:sz w:val="24"/>
        </w:rPr>
        <w:t>与现有情况、要求完全一致，如有变动将以</w:t>
      </w:r>
      <w:r>
        <w:rPr>
          <w:sz w:val="24"/>
        </w:rPr>
        <w:t>实际资料和数据</w:t>
      </w:r>
      <w:r>
        <w:rPr>
          <w:sz w:val="24"/>
        </w:rPr>
        <w:t>为准。如实际情况为非根本性的重大实质影响，</w:t>
      </w:r>
      <w:r>
        <w:rPr>
          <w:sz w:val="24"/>
        </w:rPr>
        <w:t>甲方</w:t>
      </w:r>
      <w:r>
        <w:rPr>
          <w:sz w:val="24"/>
        </w:rPr>
        <w:t>将不对此承担任何责任和费用。</w:t>
      </w:r>
    </w:p>
    <w:p>
      <w:pPr>
        <w:pStyle w:val="null3"/>
        <w:ind w:firstLine="480"/>
        <w:jc w:val="both"/>
      </w:pPr>
      <w:r>
        <w:rPr>
          <w:sz w:val="24"/>
        </w:rPr>
        <w:t>2、</w:t>
      </w:r>
      <w:r>
        <w:rPr>
          <w:sz w:val="24"/>
        </w:rPr>
        <w:t>甲方</w:t>
      </w:r>
      <w:r>
        <w:rPr>
          <w:sz w:val="24"/>
        </w:rPr>
        <w:t>有权核实</w:t>
      </w:r>
      <w:r>
        <w:rPr>
          <w:sz w:val="24"/>
        </w:rPr>
        <w:t>乙方</w:t>
      </w:r>
      <w:r>
        <w:rPr>
          <w:sz w:val="24"/>
        </w:rPr>
        <w:t>所有产品参数与功能情况（</w:t>
      </w:r>
      <w:r>
        <w:rPr>
          <w:sz w:val="24"/>
        </w:rPr>
        <w:t>乙方</w:t>
      </w:r>
      <w:r>
        <w:rPr>
          <w:sz w:val="24"/>
        </w:rPr>
        <w:t>需提供相应证明由</w:t>
      </w:r>
      <w:r>
        <w:rPr>
          <w:sz w:val="24"/>
        </w:rPr>
        <w:t>甲方</w:t>
      </w:r>
      <w:r>
        <w:rPr>
          <w:sz w:val="24"/>
        </w:rPr>
        <w:t>进行核实），如存在与投标文件响应存在差异的情况，</w:t>
      </w:r>
      <w:r>
        <w:rPr>
          <w:sz w:val="24"/>
        </w:rPr>
        <w:t>甲方</w:t>
      </w:r>
      <w:r>
        <w:rPr>
          <w:sz w:val="24"/>
        </w:rPr>
        <w:t>有权要求</w:t>
      </w:r>
      <w:r>
        <w:rPr>
          <w:sz w:val="24"/>
        </w:rPr>
        <w:t>乙方</w:t>
      </w:r>
      <w:r>
        <w:rPr>
          <w:sz w:val="24"/>
        </w:rPr>
        <w:t>按投标文件响应的情况进行重新供货，如未按期重新供货的，</w:t>
      </w:r>
      <w:r>
        <w:rPr>
          <w:sz w:val="24"/>
        </w:rPr>
        <w:t>乙方应按第九条第</w:t>
      </w:r>
      <w:r>
        <w:rPr>
          <w:sz w:val="24"/>
        </w:rPr>
        <w:t>2款承担违约责任，同时甲方</w:t>
      </w:r>
      <w:r>
        <w:rPr>
          <w:sz w:val="24"/>
        </w:rPr>
        <w:t>有权上报监督部门进行处理，而且会导致项目中整批货物被拒收和索赔，由此引发的所有损失由</w:t>
      </w:r>
      <w:r>
        <w:rPr>
          <w:sz w:val="24"/>
        </w:rPr>
        <w:t>乙方</w:t>
      </w:r>
      <w:r>
        <w:rPr>
          <w:sz w:val="24"/>
        </w:rPr>
        <w:t>负责。</w:t>
      </w:r>
    </w:p>
    <w:p>
      <w:pPr>
        <w:pStyle w:val="null3"/>
        <w:ind w:firstLine="482"/>
        <w:jc w:val="both"/>
      </w:pPr>
      <w:r>
        <w:rPr>
          <w:sz w:val="24"/>
          <w:b/>
        </w:rPr>
        <w:t>十</w:t>
      </w:r>
      <w:r>
        <w:rPr>
          <w:sz w:val="24"/>
          <w:b/>
        </w:rPr>
        <w:t>一</w:t>
      </w:r>
      <w:r>
        <w:rPr>
          <w:sz w:val="24"/>
          <w:b/>
        </w:rPr>
        <w:t>、争议的解决</w:t>
      </w:r>
    </w:p>
    <w:p>
      <w:pPr>
        <w:pStyle w:val="null3"/>
        <w:ind w:firstLine="480"/>
        <w:jc w:val="both"/>
      </w:pPr>
      <w:r>
        <w:rPr>
          <w:sz w:val="24"/>
        </w:rPr>
        <w:t>合同执行过程中发生的任何争议，如双方不能通过友好协商解决，向</w:t>
      </w:r>
      <w:r>
        <w:rPr>
          <w:sz w:val="24"/>
        </w:rPr>
        <w:t>甲方</w:t>
      </w:r>
      <w:r>
        <w:rPr>
          <w:sz w:val="24"/>
        </w:rPr>
        <w:t>所在地有管辖权的法院提起诉讼解决。</w:t>
      </w:r>
    </w:p>
    <w:p>
      <w:pPr>
        <w:pStyle w:val="null3"/>
        <w:ind w:firstLine="482"/>
        <w:jc w:val="both"/>
      </w:pPr>
      <w:r>
        <w:rPr>
          <w:sz w:val="24"/>
          <w:b/>
        </w:rPr>
        <w:t>十</w:t>
      </w:r>
      <w:r>
        <w:rPr>
          <w:sz w:val="24"/>
          <w:b/>
        </w:rPr>
        <w:t>二</w:t>
      </w:r>
      <w:r>
        <w:rPr>
          <w:sz w:val="24"/>
          <w:b/>
        </w:rPr>
        <w:t>、不可抗力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1日内向对方通报，以减轻可能给对方造成的损失，在取得有关机构的不可抗力证明或双方谅解确认后，允许延期履行或修订合同，并根据情况免于承担违约责任。</w:t>
      </w:r>
    </w:p>
    <w:p>
      <w:pPr>
        <w:pStyle w:val="null3"/>
        <w:ind w:firstLine="482"/>
        <w:jc w:val="both"/>
      </w:pPr>
      <w:r>
        <w:rPr>
          <w:sz w:val="24"/>
          <w:b/>
        </w:rPr>
        <w:t>十</w:t>
      </w:r>
      <w:r>
        <w:rPr>
          <w:sz w:val="24"/>
          <w:b/>
        </w:rPr>
        <w:t>三</w:t>
      </w:r>
      <w:r>
        <w:rPr>
          <w:sz w:val="24"/>
          <w:b/>
        </w:rPr>
        <w:t>、税费</w:t>
      </w:r>
    </w:p>
    <w:p>
      <w:pPr>
        <w:pStyle w:val="null3"/>
        <w:ind w:firstLine="480"/>
        <w:jc w:val="both"/>
      </w:pPr>
      <w:r>
        <w:rPr>
          <w:sz w:val="24"/>
        </w:rPr>
        <w:t>1、在中国境内、外发生的与本合同执行有关的一切税费均由</w:t>
      </w:r>
      <w:r>
        <w:rPr>
          <w:sz w:val="24"/>
        </w:rPr>
        <w:t>乙方</w:t>
      </w:r>
      <w:r>
        <w:rPr>
          <w:sz w:val="24"/>
        </w:rPr>
        <w:t>负担。</w:t>
      </w:r>
    </w:p>
    <w:p>
      <w:pPr>
        <w:pStyle w:val="null3"/>
        <w:ind w:firstLine="482"/>
        <w:jc w:val="both"/>
      </w:pPr>
      <w:r>
        <w:rPr>
          <w:sz w:val="24"/>
          <w:b/>
        </w:rPr>
        <w:t>十</w:t>
      </w:r>
      <w:r>
        <w:rPr>
          <w:sz w:val="24"/>
          <w:b/>
        </w:rPr>
        <w:t>四</w:t>
      </w:r>
      <w:r>
        <w:rPr>
          <w:sz w:val="24"/>
          <w:b/>
        </w:rPr>
        <w:t>、其它</w:t>
      </w:r>
    </w:p>
    <w:p>
      <w:pPr>
        <w:pStyle w:val="null3"/>
        <w:ind w:firstLine="480"/>
        <w:jc w:val="both"/>
      </w:pPr>
      <w:r>
        <w:rPr>
          <w:sz w:val="24"/>
        </w:rPr>
        <w:t>1、本合同所有附件、招标文件、投标文件、中标通知书均为合同的有效组成部分，与本合同具有同等法律效力。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甲乙双方因履行本合同而相互发出或者提供的所有通知、文件、资料，可通过本合同约定的联系地址、电话、传真号码发出。如一方地址、电话、传真号码有变更，应在变更当日内书面通知对方，否则，仍按原地址、电话、传真号码为有效送达地址，</w:t>
      </w:r>
      <w:r>
        <w:rPr>
          <w:sz w:val="24"/>
        </w:rPr>
        <w:t>由未通知变更方自行</w:t>
      </w:r>
      <w:r>
        <w:rPr>
          <w:sz w:val="24"/>
        </w:rPr>
        <w:t>应承担相应责任</w:t>
      </w:r>
      <w:r>
        <w:rPr>
          <w:sz w:val="24"/>
        </w:rPr>
        <w:t>及损失</w:t>
      </w:r>
      <w:r>
        <w:rPr>
          <w:sz w:val="24"/>
        </w:rPr>
        <w:t>。</w:t>
      </w:r>
    </w:p>
    <w:p>
      <w:pPr>
        <w:pStyle w:val="null3"/>
        <w:ind w:firstLine="482"/>
        <w:jc w:val="both"/>
      </w:pPr>
      <w:r>
        <w:rPr>
          <w:sz w:val="24"/>
          <w:b/>
        </w:rPr>
        <w:t>十</w:t>
      </w:r>
      <w:r>
        <w:rPr>
          <w:sz w:val="24"/>
          <w:b/>
        </w:rPr>
        <w:t>五</w:t>
      </w:r>
      <w:r>
        <w:rPr>
          <w:sz w:val="24"/>
          <w:b/>
        </w:rPr>
        <w:t>、合同生效</w:t>
      </w:r>
    </w:p>
    <w:p>
      <w:pPr>
        <w:pStyle w:val="null3"/>
        <w:ind w:firstLine="480"/>
        <w:jc w:val="both"/>
      </w:pPr>
      <w:r>
        <w:rPr>
          <w:sz w:val="24"/>
        </w:rPr>
        <w:t>1、本合同在甲乙双方法人代表或其授权代表签字</w:t>
      </w:r>
      <w:r>
        <w:rPr>
          <w:sz w:val="24"/>
        </w:rPr>
        <w:t>并加</w:t>
      </w:r>
      <w:r>
        <w:rPr>
          <w:sz w:val="24"/>
        </w:rPr>
        <w:t>盖</w:t>
      </w:r>
      <w:r>
        <w:rPr>
          <w:sz w:val="24"/>
        </w:rPr>
        <w:t>公</w:t>
      </w:r>
      <w:r>
        <w:rPr>
          <w:sz w:val="24"/>
        </w:rPr>
        <w:t>章后生效。</w:t>
      </w:r>
    </w:p>
    <w:p>
      <w:pPr>
        <w:pStyle w:val="null3"/>
        <w:ind w:firstLine="480"/>
        <w:jc w:val="both"/>
      </w:pPr>
      <w:r>
        <w:rPr>
          <w:sz w:val="24"/>
        </w:rPr>
        <w:t>2、合同一式</w:t>
      </w:r>
      <w:r>
        <w:rPr>
          <w:u w:val="single"/>
        </w:rPr>
        <w:t xml:space="preserve">   </w:t>
      </w:r>
      <w:r>
        <w:rPr>
          <w:sz w:val="24"/>
        </w:rPr>
        <w:t>份，其中</w:t>
      </w:r>
      <w:r>
        <w:rPr>
          <w:sz w:val="24"/>
        </w:rPr>
        <w:t>甲方</w:t>
      </w:r>
      <w:r>
        <w:rPr>
          <w:u w:val="single"/>
        </w:rPr>
        <w:t xml:space="preserve">   </w:t>
      </w:r>
      <w:r>
        <w:rPr>
          <w:sz w:val="24"/>
        </w:rPr>
        <w:t>份、</w:t>
      </w:r>
      <w:r>
        <w:rPr>
          <w:sz w:val="24"/>
        </w:rPr>
        <w:t>乙方</w:t>
      </w:r>
      <w:r>
        <w:rPr>
          <w:u w:val="single"/>
        </w:rPr>
        <w:t xml:space="preserve">   </w:t>
      </w:r>
      <w:r>
        <w:rPr>
          <w:sz w:val="24"/>
        </w:rPr>
        <w:t>份，采购代理机构</w:t>
      </w:r>
      <w:r>
        <w:rPr>
          <w:sz w:val="24"/>
          <w:u w:val="single"/>
        </w:rPr>
        <w:t>壹</w:t>
      </w:r>
      <w:r>
        <w:rPr>
          <w:sz w:val="24"/>
        </w:rPr>
        <w:t>份，具有同等法律效力。</w:t>
      </w:r>
    </w:p>
    <w:p>
      <w:pPr>
        <w:pStyle w:val="null3"/>
        <w:jc w:val="center"/>
      </w:pPr>
      <w:r>
        <w:rPr>
          <w:sz w:val="24"/>
        </w:rPr>
        <w:t>（以下无正文，为合同签署页）</w:t>
      </w:r>
    </w:p>
    <w:p>
      <w:pPr>
        <w:pStyle w:val="null3"/>
        <w:ind w:firstLine="520"/>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法定代表人签字：或</w:t>
            </w:r>
          </w:p>
          <w:p>
            <w:pPr>
              <w:pStyle w:val="null3"/>
              <w:jc w:val="both"/>
            </w:pPr>
            <w:r>
              <w:rPr>
                <w:sz w:val="24"/>
              </w:rPr>
              <w:t>授权代理人签字：</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法定代表人签字：或</w:t>
            </w:r>
          </w:p>
          <w:p>
            <w:pPr>
              <w:pStyle w:val="null3"/>
              <w:jc w:val="both"/>
            </w:pPr>
            <w:r>
              <w:rPr>
                <w:sz w:val="24"/>
              </w:rPr>
              <w:t>授权代理人签字：</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签约时间：</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441900034-2026-00169</w:t>
      </w:r>
    </w:p>
    <w:p>
      <w:pPr>
        <w:pStyle w:val="null3"/>
        <w:jc w:val="center"/>
        <w:outlineLvl w:val="3"/>
      </w:pPr>
      <w:r>
        <w:rPr>
          <w:sz w:val="24"/>
          <w:b/>
        </w:rPr>
        <w:t>采购项目编号：</w:t>
      </w:r>
      <w:r>
        <w:rPr>
          <w:sz w:val="24"/>
          <w:b/>
        </w:rPr>
        <w:t>441900034-2026-00169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中天项目咨询（东莞）有限公司</w:t>
      </w:r>
    </w:p>
    <w:p>
      <w:pPr>
        <w:pStyle w:val="null3"/>
        <w:ind w:firstLine="480"/>
      </w:pPr>
      <w:r>
        <w:rPr/>
        <w:t xml:space="preserve"> 你方组织的</w:t>
      </w:r>
      <w:r>
        <w:rPr>
          <w:u w:val="single"/>
        </w:rPr>
        <w:t>“</w:t>
      </w:r>
      <w:r>
        <w:rPr>
          <w:u w:val="single"/>
        </w:rPr>
        <w:t>望牛墩镇智慧视频监控及电子警察新型基础设施建设项目</w:t>
      </w:r>
      <w:r>
        <w:rPr>
          <w:u w:val="single"/>
        </w:rPr>
        <w:t>”</w:t>
      </w:r>
      <w:r>
        <w:rPr/>
        <w:t>项目的招标[采购项目编号为：</w:t>
      </w:r>
      <w:r>
        <w:rPr>
          <w:u w:val="single"/>
        </w:rPr>
        <w:t>441900034-2026-00169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望牛墩镇智慧视频监控及电子警察新型基础设施建设项目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中天项目咨询（东莞）有限公司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望牛墩镇智慧视频监控及电子警察新型基础设施建设项目</w:t>
      </w:r>
      <w:r>
        <w:rPr/>
        <w:t>”项目采购[采购项目编号为</w:t>
      </w:r>
      <w:r>
        <w:rPr/>
        <w:t>441900034-2026-00169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东莞市公安局望牛墩分局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中天项目咨询（东莞）有限公司</w:t>
      </w:r>
    </w:p>
    <w:p>
      <w:pPr>
        <w:pStyle w:val="null3"/>
        <w:ind w:firstLine="480"/>
      </w:pPr>
      <w:r>
        <w:rPr/>
        <w:t xml:space="preserve"> 如果我方在贵采购代理机构组织的</w:t>
      </w:r>
      <w:r>
        <w:rPr/>
        <w:t>望牛墩镇智慧视频监控及电子警察新型基础设施建设项目</w:t>
      </w:r>
      <w:r>
        <w:rPr/>
        <w:t>招标中获中标（采购项目编号：</w:t>
      </w:r>
      <w:r>
        <w:rPr/>
        <w:t>441900034-2026-00169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中天项目咨询（东莞）有限公司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中天项目咨询（东莞）有限公司</w:t>
      </w:r>
    </w:p>
    <w:p>
      <w:pPr>
        <w:pStyle w:val="null3"/>
        <w:ind w:firstLine="480"/>
      </w:pPr>
      <w:r>
        <w:rPr/>
        <w:t>我单位已登记并准备参与“</w:t>
      </w:r>
      <w:r>
        <w:rPr/>
        <w:t>望牛墩镇智慧视频监控及电子警察新型基础设施建设项目</w:t>
      </w:r>
      <w:r>
        <w:rPr/>
        <w:t>”项目（采购项目编号：</w:t>
      </w:r>
      <w:r>
        <w:rPr/>
        <w:t>441900034-2026-00169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