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E1FAC1">
      <w:pPr>
        <w:pStyle w:val="4"/>
        <w:jc w:val="center"/>
        <w:outlineLvl w:val="1"/>
      </w:pPr>
      <w:r>
        <w:rPr>
          <w:rFonts w:ascii="仿宋_GB2312" w:hAnsi="仿宋_GB2312" w:eastAsia="仿宋_GB2312" w:cs="仿宋_GB2312"/>
          <w:b/>
          <w:sz w:val="36"/>
        </w:rPr>
        <w:t>第三章 技术、服务及其他要求</w:t>
      </w:r>
    </w:p>
    <w:p w14:paraId="4C6EBDF5">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E7E87D6">
      <w:pPr>
        <w:pStyle w:val="4"/>
        <w:jc w:val="left"/>
        <w:outlineLvl w:val="2"/>
      </w:pPr>
      <w:r>
        <w:rPr>
          <w:rFonts w:ascii="仿宋_GB2312" w:hAnsi="仿宋_GB2312" w:eastAsia="仿宋_GB2312" w:cs="仿宋_GB2312"/>
          <w:b/>
          <w:sz w:val="28"/>
        </w:rPr>
        <w:t>3.1.采购内容</w:t>
      </w:r>
    </w:p>
    <w:p w14:paraId="398FF8C9">
      <w:pPr>
        <w:pStyle w:val="4"/>
        <w:jc w:val="left"/>
      </w:pPr>
      <w:r>
        <w:rPr>
          <w:rFonts w:ascii="仿宋_GB2312" w:hAnsi="仿宋_GB2312" w:eastAsia="仿宋_GB2312" w:cs="仿宋_GB2312"/>
        </w:rPr>
        <w:t>采购包1：</w:t>
      </w:r>
    </w:p>
    <w:p w14:paraId="5C98D6A3">
      <w:pPr>
        <w:pStyle w:val="4"/>
        <w:jc w:val="left"/>
      </w:pPr>
      <w:r>
        <w:rPr>
          <w:rFonts w:ascii="仿宋_GB2312" w:hAnsi="仿宋_GB2312" w:eastAsia="仿宋_GB2312" w:cs="仿宋_GB2312"/>
        </w:rPr>
        <w:t>采购包预算金额（元）: 1,393,000.00</w:t>
      </w:r>
    </w:p>
    <w:p w14:paraId="159C2C6A">
      <w:pPr>
        <w:pStyle w:val="4"/>
        <w:jc w:val="left"/>
      </w:pPr>
      <w:r>
        <w:rPr>
          <w:rFonts w:ascii="仿宋_GB2312" w:hAnsi="仿宋_GB2312" w:eastAsia="仿宋_GB2312" w:cs="仿宋_GB2312"/>
        </w:rPr>
        <w:t>采购包最高限价（元）: 1,393,000.00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17F399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FD61C95">
            <w:pPr>
              <w:pStyle w:val="4"/>
              <w:jc w:val="center"/>
            </w:pPr>
            <w:r>
              <w:rPr>
                <w:rFonts w:ascii="仿宋_GB2312" w:hAnsi="仿宋_GB2312" w:eastAsia="仿宋_GB2312" w:cs="仿宋_GB2312"/>
              </w:rPr>
              <w:t>序号</w:t>
            </w:r>
          </w:p>
        </w:tc>
        <w:tc>
          <w:tcPr>
            <w:tcW w:w="821" w:type="dxa"/>
          </w:tcPr>
          <w:p w14:paraId="1EA602DC">
            <w:pPr>
              <w:pStyle w:val="4"/>
              <w:jc w:val="center"/>
            </w:pPr>
            <w:r>
              <w:rPr>
                <w:rFonts w:ascii="仿宋_GB2312" w:hAnsi="仿宋_GB2312" w:eastAsia="仿宋_GB2312" w:cs="仿宋_GB2312"/>
              </w:rPr>
              <w:t>采购品目名称</w:t>
            </w:r>
          </w:p>
        </w:tc>
        <w:tc>
          <w:tcPr>
            <w:tcW w:w="821" w:type="dxa"/>
          </w:tcPr>
          <w:p w14:paraId="0D846878">
            <w:pPr>
              <w:pStyle w:val="4"/>
              <w:jc w:val="center"/>
            </w:pPr>
            <w:r>
              <w:rPr>
                <w:rFonts w:ascii="仿宋_GB2312" w:hAnsi="仿宋_GB2312" w:eastAsia="仿宋_GB2312" w:cs="仿宋_GB2312"/>
              </w:rPr>
              <w:t>标的名称</w:t>
            </w:r>
          </w:p>
        </w:tc>
        <w:tc>
          <w:tcPr>
            <w:tcW w:w="821" w:type="dxa"/>
          </w:tcPr>
          <w:p w14:paraId="03E616A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F784F0A">
            <w:pPr>
              <w:pStyle w:val="4"/>
              <w:jc w:val="center"/>
            </w:pPr>
            <w:r>
              <w:rPr>
                <w:rFonts w:ascii="仿宋_GB2312" w:hAnsi="仿宋_GB2312" w:eastAsia="仿宋_GB2312" w:cs="仿宋_GB2312"/>
              </w:rPr>
              <w:t>标的金额 （元）</w:t>
            </w:r>
          </w:p>
        </w:tc>
        <w:tc>
          <w:tcPr>
            <w:tcW w:w="821" w:type="dxa"/>
          </w:tcPr>
          <w:p w14:paraId="6DBF7FB2">
            <w:pPr>
              <w:pStyle w:val="4"/>
              <w:jc w:val="center"/>
            </w:pPr>
            <w:r>
              <w:rPr>
                <w:rFonts w:ascii="仿宋_GB2312" w:hAnsi="仿宋_GB2312" w:eastAsia="仿宋_GB2312" w:cs="仿宋_GB2312"/>
              </w:rPr>
              <w:t>所属行业</w:t>
            </w:r>
          </w:p>
        </w:tc>
        <w:tc>
          <w:tcPr>
            <w:tcW w:w="821" w:type="dxa"/>
          </w:tcPr>
          <w:p w14:paraId="0597E3EA">
            <w:pPr>
              <w:pStyle w:val="4"/>
              <w:jc w:val="center"/>
            </w:pPr>
            <w:r>
              <w:rPr>
                <w:rFonts w:ascii="仿宋_GB2312" w:hAnsi="仿宋_GB2312" w:eastAsia="仿宋_GB2312" w:cs="仿宋_GB2312"/>
              </w:rPr>
              <w:t>是否涉及核心产品</w:t>
            </w:r>
          </w:p>
        </w:tc>
        <w:tc>
          <w:tcPr>
            <w:tcW w:w="821" w:type="dxa"/>
          </w:tcPr>
          <w:p w14:paraId="7CCC3664">
            <w:pPr>
              <w:pStyle w:val="4"/>
              <w:jc w:val="center"/>
            </w:pPr>
            <w:r>
              <w:rPr>
                <w:rFonts w:ascii="仿宋_GB2312" w:hAnsi="仿宋_GB2312" w:eastAsia="仿宋_GB2312" w:cs="仿宋_GB2312"/>
              </w:rPr>
              <w:t>是否涉及采购进口产品</w:t>
            </w:r>
          </w:p>
        </w:tc>
        <w:tc>
          <w:tcPr>
            <w:tcW w:w="821" w:type="dxa"/>
          </w:tcPr>
          <w:p w14:paraId="23D4932B">
            <w:pPr>
              <w:pStyle w:val="4"/>
              <w:jc w:val="center"/>
            </w:pPr>
            <w:r>
              <w:rPr>
                <w:rFonts w:ascii="仿宋_GB2312" w:hAnsi="仿宋_GB2312" w:eastAsia="仿宋_GB2312" w:cs="仿宋_GB2312"/>
              </w:rPr>
              <w:t>是否涉及强制采购节能产品</w:t>
            </w:r>
          </w:p>
        </w:tc>
        <w:tc>
          <w:tcPr>
            <w:tcW w:w="639" w:type="dxa"/>
          </w:tcPr>
          <w:p w14:paraId="0A06BBCB">
            <w:pPr>
              <w:pStyle w:val="4"/>
              <w:jc w:val="center"/>
            </w:pPr>
            <w:r>
              <w:rPr>
                <w:rFonts w:ascii="仿宋_GB2312" w:hAnsi="仿宋_GB2312" w:eastAsia="仿宋_GB2312" w:cs="仿宋_GB2312"/>
              </w:rPr>
              <w:t>是否涉及优先采购节能产品</w:t>
            </w:r>
          </w:p>
        </w:tc>
        <w:tc>
          <w:tcPr>
            <w:tcW w:w="639" w:type="dxa"/>
          </w:tcPr>
          <w:p w14:paraId="465FFD2E">
            <w:pPr>
              <w:pStyle w:val="4"/>
              <w:jc w:val="center"/>
            </w:pPr>
            <w:r>
              <w:rPr>
                <w:rFonts w:ascii="仿宋_GB2312" w:hAnsi="仿宋_GB2312" w:eastAsia="仿宋_GB2312" w:cs="仿宋_GB2312"/>
              </w:rPr>
              <w:t>是否涉及优先采购环境标志产品</w:t>
            </w:r>
          </w:p>
        </w:tc>
      </w:tr>
      <w:tr w14:paraId="11F79D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7F4EFF">
            <w:pPr>
              <w:pStyle w:val="4"/>
              <w:jc w:val="left"/>
            </w:pPr>
            <w:r>
              <w:rPr>
                <w:rFonts w:ascii="仿宋_GB2312" w:hAnsi="仿宋_GB2312" w:eastAsia="仿宋_GB2312" w:cs="仿宋_GB2312"/>
              </w:rPr>
              <w:t>1</w:t>
            </w:r>
          </w:p>
        </w:tc>
        <w:tc>
          <w:tcPr>
            <w:tcW w:w="821" w:type="dxa"/>
          </w:tcPr>
          <w:p w14:paraId="0CEDFF84">
            <w:pPr>
              <w:pStyle w:val="4"/>
              <w:jc w:val="left"/>
            </w:pPr>
            <w:r>
              <w:rPr>
                <w:rFonts w:ascii="仿宋_GB2312" w:hAnsi="仿宋_GB2312" w:eastAsia="仿宋_GB2312" w:cs="仿宋_GB2312"/>
              </w:rPr>
              <w:t>C05039900 其他灾害防治和应急管理服务</w:t>
            </w:r>
          </w:p>
        </w:tc>
        <w:tc>
          <w:tcPr>
            <w:tcW w:w="821" w:type="dxa"/>
          </w:tcPr>
          <w:p w14:paraId="7633BE89">
            <w:pPr>
              <w:pStyle w:val="4"/>
              <w:jc w:val="left"/>
            </w:pPr>
            <w:r>
              <w:rPr>
                <w:rFonts w:ascii="仿宋_GB2312" w:hAnsi="仿宋_GB2312" w:eastAsia="仿宋_GB2312" w:cs="仿宋_GB2312"/>
              </w:rPr>
              <w:t>应急管理综合保障服务</w:t>
            </w:r>
          </w:p>
        </w:tc>
        <w:tc>
          <w:tcPr>
            <w:tcW w:w="821" w:type="dxa"/>
          </w:tcPr>
          <w:p w14:paraId="65FF6BF1">
            <w:pPr>
              <w:pStyle w:val="4"/>
              <w:jc w:val="right"/>
            </w:pPr>
            <w:r>
              <w:rPr>
                <w:rFonts w:ascii="仿宋_GB2312" w:hAnsi="仿宋_GB2312" w:eastAsia="仿宋_GB2312" w:cs="仿宋_GB2312"/>
              </w:rPr>
              <w:t>1.00（项）</w:t>
            </w:r>
          </w:p>
        </w:tc>
        <w:tc>
          <w:tcPr>
            <w:tcW w:w="821" w:type="dxa"/>
          </w:tcPr>
          <w:p w14:paraId="44A506C0">
            <w:pPr>
              <w:pStyle w:val="4"/>
              <w:jc w:val="right"/>
            </w:pPr>
            <w:r>
              <w:rPr>
                <w:rFonts w:ascii="仿宋_GB2312" w:hAnsi="仿宋_GB2312" w:eastAsia="仿宋_GB2312" w:cs="仿宋_GB2312"/>
              </w:rPr>
              <w:t>1,393,000.00</w:t>
            </w:r>
          </w:p>
        </w:tc>
        <w:tc>
          <w:tcPr>
            <w:tcW w:w="821" w:type="dxa"/>
          </w:tcPr>
          <w:p w14:paraId="798ABE74">
            <w:pPr>
              <w:pStyle w:val="4"/>
              <w:jc w:val="left"/>
            </w:pPr>
            <w:r>
              <w:rPr>
                <w:rFonts w:ascii="仿宋_GB2312" w:hAnsi="仿宋_GB2312" w:eastAsia="仿宋_GB2312" w:cs="仿宋_GB2312"/>
              </w:rPr>
              <w:t>其他未列明行业</w:t>
            </w:r>
          </w:p>
        </w:tc>
        <w:tc>
          <w:tcPr>
            <w:tcW w:w="821" w:type="dxa"/>
          </w:tcPr>
          <w:p w14:paraId="34A3C35A">
            <w:pPr>
              <w:pStyle w:val="4"/>
              <w:jc w:val="left"/>
            </w:pPr>
            <w:r>
              <w:rPr>
                <w:rFonts w:ascii="仿宋_GB2312" w:hAnsi="仿宋_GB2312" w:eastAsia="仿宋_GB2312" w:cs="仿宋_GB2312"/>
              </w:rPr>
              <w:t>否</w:t>
            </w:r>
          </w:p>
        </w:tc>
        <w:tc>
          <w:tcPr>
            <w:tcW w:w="821" w:type="dxa"/>
          </w:tcPr>
          <w:p w14:paraId="72F50163">
            <w:pPr>
              <w:pStyle w:val="4"/>
              <w:jc w:val="left"/>
            </w:pPr>
            <w:r>
              <w:rPr>
                <w:rFonts w:ascii="仿宋_GB2312" w:hAnsi="仿宋_GB2312" w:eastAsia="仿宋_GB2312" w:cs="仿宋_GB2312"/>
              </w:rPr>
              <w:t>否</w:t>
            </w:r>
          </w:p>
        </w:tc>
        <w:tc>
          <w:tcPr>
            <w:tcW w:w="821" w:type="dxa"/>
          </w:tcPr>
          <w:p w14:paraId="1D0759A0">
            <w:pPr>
              <w:pStyle w:val="4"/>
              <w:jc w:val="left"/>
            </w:pPr>
            <w:r>
              <w:rPr>
                <w:rFonts w:ascii="仿宋_GB2312" w:hAnsi="仿宋_GB2312" w:eastAsia="仿宋_GB2312" w:cs="仿宋_GB2312"/>
              </w:rPr>
              <w:t>否</w:t>
            </w:r>
          </w:p>
        </w:tc>
        <w:tc>
          <w:tcPr>
            <w:tcW w:w="639" w:type="dxa"/>
          </w:tcPr>
          <w:p w14:paraId="0DD44345">
            <w:pPr>
              <w:pStyle w:val="4"/>
              <w:jc w:val="left"/>
            </w:pPr>
            <w:r>
              <w:rPr>
                <w:rFonts w:ascii="仿宋_GB2312" w:hAnsi="仿宋_GB2312" w:eastAsia="仿宋_GB2312" w:cs="仿宋_GB2312"/>
              </w:rPr>
              <w:t>否</w:t>
            </w:r>
          </w:p>
        </w:tc>
        <w:tc>
          <w:tcPr>
            <w:tcW w:w="639" w:type="dxa"/>
          </w:tcPr>
          <w:p w14:paraId="0B34044E">
            <w:pPr>
              <w:pStyle w:val="4"/>
              <w:jc w:val="left"/>
            </w:pPr>
            <w:r>
              <w:rPr>
                <w:rFonts w:ascii="仿宋_GB2312" w:hAnsi="仿宋_GB2312" w:eastAsia="仿宋_GB2312" w:cs="仿宋_GB2312"/>
              </w:rPr>
              <w:t>否</w:t>
            </w:r>
          </w:p>
        </w:tc>
      </w:tr>
    </w:tbl>
    <w:p w14:paraId="42215D59">
      <w:pPr>
        <w:pStyle w:val="4"/>
        <w:jc w:val="left"/>
      </w:pPr>
      <w:r>
        <w:rPr>
          <w:rFonts w:ascii="仿宋_GB2312" w:hAnsi="仿宋_GB2312" w:eastAsia="仿宋_GB2312" w:cs="仿宋_GB2312"/>
        </w:rPr>
        <w:t>是否适用本国产品标准：否</w:t>
      </w:r>
    </w:p>
    <w:p w14:paraId="6E064F64">
      <w:pPr>
        <w:pStyle w:val="4"/>
        <w:jc w:val="left"/>
        <w:outlineLvl w:val="3"/>
      </w:pPr>
      <w:r>
        <w:rPr>
          <w:rFonts w:ascii="仿宋_GB2312" w:hAnsi="仿宋_GB2312" w:eastAsia="仿宋_GB2312" w:cs="仿宋_GB2312"/>
          <w:b/>
          <w:sz w:val="24"/>
        </w:rPr>
        <w:t>报价要求</w:t>
      </w:r>
    </w:p>
    <w:p w14:paraId="71B2BD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486DDE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4559CCB8">
            <w:pPr>
              <w:pStyle w:val="4"/>
              <w:jc w:val="center"/>
            </w:pPr>
            <w:r>
              <w:rPr>
                <w:rFonts w:ascii="仿宋_GB2312" w:hAnsi="仿宋_GB2312" w:eastAsia="仿宋_GB2312" w:cs="仿宋_GB2312"/>
              </w:rPr>
              <w:t>序号</w:t>
            </w:r>
          </w:p>
        </w:tc>
        <w:tc>
          <w:tcPr>
            <w:tcW w:w="1707" w:type="dxa"/>
          </w:tcPr>
          <w:p w14:paraId="092E25D1">
            <w:pPr>
              <w:pStyle w:val="4"/>
              <w:jc w:val="center"/>
            </w:pPr>
            <w:r>
              <w:rPr>
                <w:rFonts w:ascii="仿宋_GB2312" w:hAnsi="仿宋_GB2312" w:eastAsia="仿宋_GB2312" w:cs="仿宋_GB2312"/>
              </w:rPr>
              <w:t>报价内容</w:t>
            </w:r>
          </w:p>
        </w:tc>
        <w:tc>
          <w:tcPr>
            <w:tcW w:w="1138" w:type="dxa"/>
          </w:tcPr>
          <w:p w14:paraId="4A3EC7FB">
            <w:pPr>
              <w:pStyle w:val="4"/>
              <w:jc w:val="center"/>
            </w:pPr>
            <w:r>
              <w:rPr>
                <w:rFonts w:ascii="仿宋_GB2312" w:hAnsi="仿宋_GB2312" w:eastAsia="仿宋_GB2312" w:cs="仿宋_GB2312"/>
              </w:rPr>
              <w:t>数量（计量单位）</w:t>
            </w:r>
          </w:p>
        </w:tc>
        <w:tc>
          <w:tcPr>
            <w:tcW w:w="1365" w:type="dxa"/>
          </w:tcPr>
          <w:p w14:paraId="41612EC4">
            <w:pPr>
              <w:pStyle w:val="4"/>
              <w:jc w:val="center"/>
            </w:pPr>
            <w:r>
              <w:rPr>
                <w:rFonts w:ascii="仿宋_GB2312" w:hAnsi="仿宋_GB2312" w:eastAsia="仿宋_GB2312" w:cs="仿宋_GB2312"/>
              </w:rPr>
              <w:t>最高限价</w:t>
            </w:r>
          </w:p>
        </w:tc>
        <w:tc>
          <w:tcPr>
            <w:tcW w:w="1138" w:type="dxa"/>
          </w:tcPr>
          <w:p w14:paraId="1BDA6F09">
            <w:pPr>
              <w:pStyle w:val="4"/>
              <w:jc w:val="center"/>
            </w:pPr>
            <w:r>
              <w:rPr>
                <w:rFonts w:ascii="仿宋_GB2312" w:hAnsi="仿宋_GB2312" w:eastAsia="仿宋_GB2312" w:cs="仿宋_GB2312"/>
              </w:rPr>
              <w:t>价款形式</w:t>
            </w:r>
          </w:p>
        </w:tc>
        <w:tc>
          <w:tcPr>
            <w:tcW w:w="1934" w:type="dxa"/>
          </w:tcPr>
          <w:p w14:paraId="655A893D">
            <w:pPr>
              <w:pStyle w:val="4"/>
              <w:jc w:val="center"/>
            </w:pPr>
            <w:r>
              <w:rPr>
                <w:rFonts w:ascii="仿宋_GB2312" w:hAnsi="仿宋_GB2312" w:eastAsia="仿宋_GB2312" w:cs="仿宋_GB2312"/>
              </w:rPr>
              <w:t>报价说明</w:t>
            </w:r>
          </w:p>
        </w:tc>
      </w:tr>
      <w:tr w14:paraId="661D4A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DAB4A9">
            <w:pPr>
              <w:pStyle w:val="4"/>
              <w:jc w:val="center"/>
            </w:pPr>
            <w:r>
              <w:rPr>
                <w:rFonts w:ascii="仿宋_GB2312" w:hAnsi="仿宋_GB2312" w:eastAsia="仿宋_GB2312" w:cs="仿宋_GB2312"/>
              </w:rPr>
              <w:t>1</w:t>
            </w:r>
          </w:p>
        </w:tc>
        <w:tc>
          <w:tcPr>
            <w:tcW w:w="1707" w:type="dxa"/>
          </w:tcPr>
          <w:p w14:paraId="58A6ADAA">
            <w:pPr>
              <w:pStyle w:val="4"/>
              <w:jc w:val="center"/>
            </w:pPr>
            <w:r>
              <w:rPr>
                <w:rFonts w:ascii="仿宋_GB2312" w:hAnsi="仿宋_GB2312" w:eastAsia="仿宋_GB2312" w:cs="仿宋_GB2312"/>
              </w:rPr>
              <w:t>应急管理综合保障服务</w:t>
            </w:r>
          </w:p>
        </w:tc>
        <w:tc>
          <w:tcPr>
            <w:tcW w:w="1138" w:type="dxa"/>
          </w:tcPr>
          <w:p w14:paraId="127A9CBB">
            <w:pPr>
              <w:pStyle w:val="4"/>
              <w:jc w:val="center"/>
            </w:pPr>
            <w:r>
              <w:rPr>
                <w:rFonts w:ascii="仿宋_GB2312" w:hAnsi="仿宋_GB2312" w:eastAsia="仿宋_GB2312" w:cs="仿宋_GB2312"/>
              </w:rPr>
              <w:t>1.00（项）</w:t>
            </w:r>
          </w:p>
        </w:tc>
        <w:tc>
          <w:tcPr>
            <w:tcW w:w="1365" w:type="dxa"/>
          </w:tcPr>
          <w:p w14:paraId="75DF73A8">
            <w:pPr>
              <w:pStyle w:val="4"/>
              <w:jc w:val="center"/>
            </w:pPr>
            <w:r>
              <w:rPr>
                <w:rFonts w:ascii="仿宋_GB2312" w:hAnsi="仿宋_GB2312" w:eastAsia="仿宋_GB2312" w:cs="仿宋_GB2312"/>
              </w:rPr>
              <w:t>1,393,000.00</w:t>
            </w:r>
          </w:p>
        </w:tc>
        <w:tc>
          <w:tcPr>
            <w:tcW w:w="1138" w:type="dxa"/>
          </w:tcPr>
          <w:p w14:paraId="318E90E4">
            <w:pPr>
              <w:pStyle w:val="4"/>
              <w:jc w:val="center"/>
            </w:pPr>
            <w:r>
              <w:rPr>
                <w:rFonts w:ascii="仿宋_GB2312" w:hAnsi="仿宋_GB2312" w:eastAsia="仿宋_GB2312" w:cs="仿宋_GB2312"/>
              </w:rPr>
              <w:t>总价</w:t>
            </w:r>
          </w:p>
        </w:tc>
        <w:tc>
          <w:tcPr>
            <w:tcW w:w="1934" w:type="dxa"/>
          </w:tcPr>
          <w:p w14:paraId="71D18AFE">
            <w:pPr>
              <w:pStyle w:val="4"/>
              <w:jc w:val="left"/>
            </w:pPr>
            <w:r>
              <w:rPr>
                <w:rFonts w:ascii="仿宋_GB2312" w:hAnsi="仿宋_GB2312" w:eastAsia="仿宋_GB2312" w:cs="仿宋_GB2312"/>
              </w:rPr>
              <w:t>无</w:t>
            </w:r>
          </w:p>
        </w:tc>
      </w:tr>
    </w:tbl>
    <w:p w14:paraId="41BE5ED6">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683F4127">
      <w:pPr>
        <w:pStyle w:val="4"/>
        <w:jc w:val="left"/>
        <w:outlineLvl w:val="3"/>
      </w:pPr>
      <w:r>
        <w:rPr>
          <w:rFonts w:ascii="仿宋_GB2312" w:hAnsi="仿宋_GB2312" w:eastAsia="仿宋_GB2312" w:cs="仿宋_GB2312"/>
          <w:b/>
          <w:sz w:val="24"/>
        </w:rPr>
        <w:t>本项目涉及核心产品：</w:t>
      </w:r>
    </w:p>
    <w:p w14:paraId="745CF85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066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2A66B2">
            <w:pPr>
              <w:pStyle w:val="4"/>
              <w:jc w:val="center"/>
            </w:pPr>
            <w:r>
              <w:rPr>
                <w:rFonts w:ascii="仿宋_GB2312" w:hAnsi="仿宋_GB2312" w:eastAsia="仿宋_GB2312" w:cs="仿宋_GB2312"/>
              </w:rPr>
              <w:t>序号</w:t>
            </w:r>
          </w:p>
        </w:tc>
        <w:tc>
          <w:tcPr>
            <w:tcW w:w="2492" w:type="dxa"/>
          </w:tcPr>
          <w:p w14:paraId="5282032F">
            <w:pPr>
              <w:pStyle w:val="4"/>
              <w:jc w:val="center"/>
            </w:pPr>
            <w:r>
              <w:rPr>
                <w:rFonts w:ascii="仿宋_GB2312" w:hAnsi="仿宋_GB2312" w:eastAsia="仿宋_GB2312" w:cs="仿宋_GB2312"/>
              </w:rPr>
              <w:t>采购品目名称</w:t>
            </w:r>
          </w:p>
        </w:tc>
        <w:tc>
          <w:tcPr>
            <w:tcW w:w="2492" w:type="dxa"/>
          </w:tcPr>
          <w:p w14:paraId="06CBF021">
            <w:pPr>
              <w:pStyle w:val="4"/>
              <w:jc w:val="center"/>
            </w:pPr>
            <w:r>
              <w:rPr>
                <w:rFonts w:ascii="仿宋_GB2312" w:hAnsi="仿宋_GB2312" w:eastAsia="仿宋_GB2312" w:cs="仿宋_GB2312"/>
              </w:rPr>
              <w:t>标的名称</w:t>
            </w:r>
          </w:p>
        </w:tc>
        <w:tc>
          <w:tcPr>
            <w:tcW w:w="2492" w:type="dxa"/>
          </w:tcPr>
          <w:p w14:paraId="229DB8CC">
            <w:pPr>
              <w:pStyle w:val="4"/>
              <w:jc w:val="center"/>
            </w:pPr>
            <w:r>
              <w:rPr>
                <w:rFonts w:ascii="仿宋_GB2312" w:hAnsi="仿宋_GB2312" w:eastAsia="仿宋_GB2312" w:cs="仿宋_GB2312"/>
              </w:rPr>
              <w:t>产品名称</w:t>
            </w:r>
          </w:p>
        </w:tc>
      </w:tr>
      <w:tr w14:paraId="47EAAC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FCFE5E">
            <w:pPr>
              <w:pStyle w:val="4"/>
              <w:jc w:val="center"/>
            </w:pPr>
            <w:r>
              <w:rPr>
                <w:rFonts w:ascii="仿宋_GB2312" w:hAnsi="仿宋_GB2312" w:eastAsia="仿宋_GB2312" w:cs="仿宋_GB2312"/>
              </w:rPr>
              <w:t>不涉及</w:t>
            </w:r>
          </w:p>
        </w:tc>
      </w:tr>
    </w:tbl>
    <w:p w14:paraId="0A6D7451">
      <w:pPr>
        <w:pStyle w:val="4"/>
        <w:ind w:firstLine="480"/>
        <w:jc w:val="left"/>
      </w:pPr>
      <w:r>
        <w:rPr>
          <w:rFonts w:ascii="仿宋_GB2312" w:hAnsi="仿宋_GB2312" w:eastAsia="仿宋_GB2312" w:cs="仿宋_GB2312"/>
        </w:rPr>
        <w:t>注：涉及核心产品的，具体评审规定见第五章。</w:t>
      </w:r>
    </w:p>
    <w:p w14:paraId="430CD299">
      <w:pPr>
        <w:pStyle w:val="4"/>
        <w:jc w:val="left"/>
        <w:outlineLvl w:val="3"/>
      </w:pPr>
      <w:r>
        <w:rPr>
          <w:rFonts w:ascii="仿宋_GB2312" w:hAnsi="仿宋_GB2312" w:eastAsia="仿宋_GB2312" w:cs="仿宋_GB2312"/>
          <w:b/>
          <w:sz w:val="24"/>
        </w:rPr>
        <w:t>本项目涉及采购进口产品：</w:t>
      </w:r>
    </w:p>
    <w:p w14:paraId="33E7474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21D16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97C405">
            <w:pPr>
              <w:pStyle w:val="4"/>
              <w:jc w:val="center"/>
            </w:pPr>
            <w:r>
              <w:rPr>
                <w:rFonts w:ascii="仿宋_GB2312" w:hAnsi="仿宋_GB2312" w:eastAsia="仿宋_GB2312" w:cs="仿宋_GB2312"/>
              </w:rPr>
              <w:t>序号</w:t>
            </w:r>
          </w:p>
        </w:tc>
        <w:tc>
          <w:tcPr>
            <w:tcW w:w="2492" w:type="dxa"/>
          </w:tcPr>
          <w:p w14:paraId="17EB71CB">
            <w:pPr>
              <w:pStyle w:val="4"/>
              <w:jc w:val="center"/>
            </w:pPr>
            <w:r>
              <w:rPr>
                <w:rFonts w:ascii="仿宋_GB2312" w:hAnsi="仿宋_GB2312" w:eastAsia="仿宋_GB2312" w:cs="仿宋_GB2312"/>
              </w:rPr>
              <w:t>采购品目名称</w:t>
            </w:r>
          </w:p>
        </w:tc>
        <w:tc>
          <w:tcPr>
            <w:tcW w:w="2492" w:type="dxa"/>
          </w:tcPr>
          <w:p w14:paraId="3D0BEC42">
            <w:pPr>
              <w:pStyle w:val="4"/>
              <w:jc w:val="center"/>
            </w:pPr>
            <w:r>
              <w:rPr>
                <w:rFonts w:ascii="仿宋_GB2312" w:hAnsi="仿宋_GB2312" w:eastAsia="仿宋_GB2312" w:cs="仿宋_GB2312"/>
              </w:rPr>
              <w:t>标的名称</w:t>
            </w:r>
          </w:p>
        </w:tc>
        <w:tc>
          <w:tcPr>
            <w:tcW w:w="2492" w:type="dxa"/>
          </w:tcPr>
          <w:p w14:paraId="740BAC63">
            <w:pPr>
              <w:pStyle w:val="4"/>
              <w:jc w:val="center"/>
            </w:pPr>
            <w:r>
              <w:rPr>
                <w:rFonts w:ascii="仿宋_GB2312" w:hAnsi="仿宋_GB2312" w:eastAsia="仿宋_GB2312" w:cs="仿宋_GB2312"/>
              </w:rPr>
              <w:t>产品名称</w:t>
            </w:r>
          </w:p>
        </w:tc>
      </w:tr>
      <w:tr w14:paraId="3C3593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5551CB4">
            <w:pPr>
              <w:pStyle w:val="4"/>
              <w:jc w:val="center"/>
            </w:pPr>
            <w:r>
              <w:rPr>
                <w:rFonts w:ascii="仿宋_GB2312" w:hAnsi="仿宋_GB2312" w:eastAsia="仿宋_GB2312" w:cs="仿宋_GB2312"/>
              </w:rPr>
              <w:t>不涉及</w:t>
            </w:r>
          </w:p>
        </w:tc>
      </w:tr>
    </w:tbl>
    <w:p w14:paraId="6CF0FC59">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29174C47">
      <w:pPr>
        <w:pStyle w:val="4"/>
        <w:jc w:val="left"/>
        <w:outlineLvl w:val="3"/>
      </w:pPr>
      <w:r>
        <w:rPr>
          <w:rFonts w:ascii="仿宋_GB2312" w:hAnsi="仿宋_GB2312" w:eastAsia="仿宋_GB2312" w:cs="仿宋_GB2312"/>
          <w:b/>
          <w:sz w:val="24"/>
        </w:rPr>
        <w:t>本项目涉及强制采购节能产品：</w:t>
      </w:r>
    </w:p>
    <w:p w14:paraId="2ADBE92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3747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5C85F3">
            <w:pPr>
              <w:pStyle w:val="4"/>
              <w:jc w:val="center"/>
            </w:pPr>
            <w:r>
              <w:rPr>
                <w:rFonts w:ascii="仿宋_GB2312" w:hAnsi="仿宋_GB2312" w:eastAsia="仿宋_GB2312" w:cs="仿宋_GB2312"/>
              </w:rPr>
              <w:t>序号</w:t>
            </w:r>
          </w:p>
        </w:tc>
        <w:tc>
          <w:tcPr>
            <w:tcW w:w="2492" w:type="dxa"/>
          </w:tcPr>
          <w:p w14:paraId="1B9517A6">
            <w:pPr>
              <w:pStyle w:val="4"/>
              <w:jc w:val="center"/>
            </w:pPr>
            <w:r>
              <w:rPr>
                <w:rFonts w:ascii="仿宋_GB2312" w:hAnsi="仿宋_GB2312" w:eastAsia="仿宋_GB2312" w:cs="仿宋_GB2312"/>
              </w:rPr>
              <w:t>采购品目名称</w:t>
            </w:r>
          </w:p>
        </w:tc>
        <w:tc>
          <w:tcPr>
            <w:tcW w:w="2492" w:type="dxa"/>
          </w:tcPr>
          <w:p w14:paraId="687B77CC">
            <w:pPr>
              <w:pStyle w:val="4"/>
              <w:jc w:val="center"/>
            </w:pPr>
            <w:r>
              <w:rPr>
                <w:rFonts w:ascii="仿宋_GB2312" w:hAnsi="仿宋_GB2312" w:eastAsia="仿宋_GB2312" w:cs="仿宋_GB2312"/>
              </w:rPr>
              <w:t>标的名称</w:t>
            </w:r>
          </w:p>
        </w:tc>
        <w:tc>
          <w:tcPr>
            <w:tcW w:w="2492" w:type="dxa"/>
          </w:tcPr>
          <w:p w14:paraId="601B7645">
            <w:pPr>
              <w:pStyle w:val="4"/>
              <w:jc w:val="center"/>
            </w:pPr>
            <w:r>
              <w:rPr>
                <w:rFonts w:ascii="仿宋_GB2312" w:hAnsi="仿宋_GB2312" w:eastAsia="仿宋_GB2312" w:cs="仿宋_GB2312"/>
              </w:rPr>
              <w:t>产品名称</w:t>
            </w:r>
          </w:p>
        </w:tc>
      </w:tr>
      <w:tr w14:paraId="726292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63B608B">
            <w:pPr>
              <w:pStyle w:val="4"/>
              <w:jc w:val="center"/>
            </w:pPr>
            <w:r>
              <w:rPr>
                <w:rFonts w:ascii="仿宋_GB2312" w:hAnsi="仿宋_GB2312" w:eastAsia="仿宋_GB2312" w:cs="仿宋_GB2312"/>
              </w:rPr>
              <w:t>不涉及</w:t>
            </w:r>
          </w:p>
        </w:tc>
      </w:tr>
    </w:tbl>
    <w:p w14:paraId="5B23A48F">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019C1B28">
      <w:pPr>
        <w:pStyle w:val="4"/>
        <w:jc w:val="left"/>
      </w:pPr>
      <w:r>
        <w:rPr>
          <w:rFonts w:ascii="仿宋_GB2312" w:hAnsi="仿宋_GB2312" w:eastAsia="仿宋_GB2312" w:cs="仿宋_GB2312"/>
          <w:b/>
        </w:rPr>
        <w:t>本项目涉及优先采购节能产品：</w:t>
      </w:r>
    </w:p>
    <w:p w14:paraId="31370A9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386A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552D8B">
            <w:pPr>
              <w:pStyle w:val="4"/>
              <w:jc w:val="center"/>
            </w:pPr>
            <w:r>
              <w:rPr>
                <w:rFonts w:ascii="仿宋_GB2312" w:hAnsi="仿宋_GB2312" w:eastAsia="仿宋_GB2312" w:cs="仿宋_GB2312"/>
              </w:rPr>
              <w:t>序号</w:t>
            </w:r>
          </w:p>
        </w:tc>
        <w:tc>
          <w:tcPr>
            <w:tcW w:w="2492" w:type="dxa"/>
          </w:tcPr>
          <w:p w14:paraId="28668824">
            <w:pPr>
              <w:pStyle w:val="4"/>
              <w:jc w:val="center"/>
            </w:pPr>
            <w:r>
              <w:rPr>
                <w:rFonts w:ascii="仿宋_GB2312" w:hAnsi="仿宋_GB2312" w:eastAsia="仿宋_GB2312" w:cs="仿宋_GB2312"/>
              </w:rPr>
              <w:t>采购品目名称</w:t>
            </w:r>
          </w:p>
        </w:tc>
        <w:tc>
          <w:tcPr>
            <w:tcW w:w="2492" w:type="dxa"/>
          </w:tcPr>
          <w:p w14:paraId="7A4D8E42">
            <w:pPr>
              <w:pStyle w:val="4"/>
              <w:jc w:val="center"/>
            </w:pPr>
            <w:r>
              <w:rPr>
                <w:rFonts w:ascii="仿宋_GB2312" w:hAnsi="仿宋_GB2312" w:eastAsia="仿宋_GB2312" w:cs="仿宋_GB2312"/>
              </w:rPr>
              <w:t>标的名称</w:t>
            </w:r>
          </w:p>
        </w:tc>
        <w:tc>
          <w:tcPr>
            <w:tcW w:w="2492" w:type="dxa"/>
          </w:tcPr>
          <w:p w14:paraId="47EFAD8E">
            <w:pPr>
              <w:pStyle w:val="4"/>
              <w:jc w:val="center"/>
            </w:pPr>
            <w:r>
              <w:rPr>
                <w:rFonts w:ascii="仿宋_GB2312" w:hAnsi="仿宋_GB2312" w:eastAsia="仿宋_GB2312" w:cs="仿宋_GB2312"/>
              </w:rPr>
              <w:t>产品名称</w:t>
            </w:r>
          </w:p>
        </w:tc>
      </w:tr>
      <w:tr w14:paraId="1E16D7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48674A">
            <w:pPr>
              <w:pStyle w:val="4"/>
              <w:jc w:val="center"/>
            </w:pPr>
            <w:r>
              <w:rPr>
                <w:rFonts w:ascii="仿宋_GB2312" w:hAnsi="仿宋_GB2312" w:eastAsia="仿宋_GB2312" w:cs="仿宋_GB2312"/>
              </w:rPr>
              <w:t>不涉及</w:t>
            </w:r>
          </w:p>
        </w:tc>
      </w:tr>
    </w:tbl>
    <w:p w14:paraId="03ACD17D">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3AAB8839">
      <w:pPr>
        <w:pStyle w:val="4"/>
        <w:jc w:val="left"/>
        <w:outlineLvl w:val="3"/>
      </w:pPr>
      <w:r>
        <w:rPr>
          <w:rFonts w:ascii="仿宋_GB2312" w:hAnsi="仿宋_GB2312" w:eastAsia="仿宋_GB2312" w:cs="仿宋_GB2312"/>
          <w:b/>
          <w:sz w:val="24"/>
        </w:rPr>
        <w:t>本项目涉及优先采购环境标志产品：</w:t>
      </w:r>
    </w:p>
    <w:p w14:paraId="4216A60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B3AE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8AD37F">
            <w:pPr>
              <w:pStyle w:val="4"/>
              <w:jc w:val="center"/>
            </w:pPr>
            <w:r>
              <w:rPr>
                <w:rFonts w:ascii="仿宋_GB2312" w:hAnsi="仿宋_GB2312" w:eastAsia="仿宋_GB2312" w:cs="仿宋_GB2312"/>
              </w:rPr>
              <w:t>序号</w:t>
            </w:r>
          </w:p>
        </w:tc>
        <w:tc>
          <w:tcPr>
            <w:tcW w:w="2492" w:type="dxa"/>
          </w:tcPr>
          <w:p w14:paraId="47BA01B9">
            <w:pPr>
              <w:pStyle w:val="4"/>
              <w:jc w:val="center"/>
            </w:pPr>
            <w:r>
              <w:rPr>
                <w:rFonts w:ascii="仿宋_GB2312" w:hAnsi="仿宋_GB2312" w:eastAsia="仿宋_GB2312" w:cs="仿宋_GB2312"/>
              </w:rPr>
              <w:t>采购品目名称</w:t>
            </w:r>
          </w:p>
        </w:tc>
        <w:tc>
          <w:tcPr>
            <w:tcW w:w="2492" w:type="dxa"/>
          </w:tcPr>
          <w:p w14:paraId="4CDE76B5">
            <w:pPr>
              <w:pStyle w:val="4"/>
              <w:jc w:val="center"/>
            </w:pPr>
            <w:r>
              <w:rPr>
                <w:rFonts w:ascii="仿宋_GB2312" w:hAnsi="仿宋_GB2312" w:eastAsia="仿宋_GB2312" w:cs="仿宋_GB2312"/>
              </w:rPr>
              <w:t>标的名称</w:t>
            </w:r>
          </w:p>
        </w:tc>
        <w:tc>
          <w:tcPr>
            <w:tcW w:w="2492" w:type="dxa"/>
          </w:tcPr>
          <w:p w14:paraId="31B5A2F9">
            <w:pPr>
              <w:pStyle w:val="4"/>
              <w:jc w:val="center"/>
            </w:pPr>
            <w:r>
              <w:rPr>
                <w:rFonts w:ascii="仿宋_GB2312" w:hAnsi="仿宋_GB2312" w:eastAsia="仿宋_GB2312" w:cs="仿宋_GB2312"/>
              </w:rPr>
              <w:t>产品名称</w:t>
            </w:r>
          </w:p>
        </w:tc>
      </w:tr>
      <w:tr w14:paraId="61EBD8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CB32F7B">
            <w:pPr>
              <w:pStyle w:val="4"/>
              <w:jc w:val="center"/>
            </w:pPr>
            <w:r>
              <w:rPr>
                <w:rFonts w:ascii="仿宋_GB2312" w:hAnsi="仿宋_GB2312" w:eastAsia="仿宋_GB2312" w:cs="仿宋_GB2312"/>
              </w:rPr>
              <w:t>不涉及</w:t>
            </w:r>
          </w:p>
        </w:tc>
      </w:tr>
    </w:tbl>
    <w:p w14:paraId="730551C3">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8C57157">
      <w:pPr>
        <w:pStyle w:val="4"/>
        <w:jc w:val="left"/>
        <w:outlineLvl w:val="2"/>
      </w:pPr>
      <w:r>
        <w:rPr>
          <w:rFonts w:ascii="仿宋_GB2312" w:hAnsi="仿宋_GB2312" w:eastAsia="仿宋_GB2312" w:cs="仿宋_GB2312"/>
          <w:b/>
          <w:sz w:val="28"/>
        </w:rPr>
        <w:t>3.2.技术要求</w:t>
      </w:r>
    </w:p>
    <w:p w14:paraId="0CA33408">
      <w:pPr>
        <w:pStyle w:val="4"/>
        <w:jc w:val="left"/>
      </w:pPr>
      <w:r>
        <w:rPr>
          <w:rFonts w:ascii="仿宋_GB2312" w:hAnsi="仿宋_GB2312" w:eastAsia="仿宋_GB2312" w:cs="仿宋_GB2312"/>
        </w:rPr>
        <w:t>采购包1：</w:t>
      </w:r>
    </w:p>
    <w:p w14:paraId="25C839A2">
      <w:pPr>
        <w:pStyle w:val="4"/>
        <w:jc w:val="left"/>
      </w:pPr>
      <w:r>
        <w:rPr>
          <w:rFonts w:ascii="仿宋_GB2312" w:hAnsi="仿宋_GB2312" w:eastAsia="仿宋_GB2312" w:cs="仿宋_GB2312"/>
        </w:rPr>
        <w:t>标的名称：应急管理综合保障服务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D1D0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B999A1">
            <w:pPr>
              <w:pStyle w:val="4"/>
              <w:jc w:val="center"/>
            </w:pPr>
            <w:r>
              <w:rPr>
                <w:rFonts w:ascii="仿宋_GB2312" w:hAnsi="仿宋_GB2312" w:eastAsia="仿宋_GB2312" w:cs="仿宋_GB2312"/>
              </w:rPr>
              <w:t>序号</w:t>
            </w:r>
          </w:p>
        </w:tc>
        <w:tc>
          <w:tcPr>
            <w:tcW w:w="581" w:type="dxa"/>
          </w:tcPr>
          <w:p w14:paraId="73C48C2C">
            <w:pPr>
              <w:pStyle w:val="4"/>
              <w:jc w:val="center"/>
            </w:pPr>
            <w:r>
              <w:rPr>
                <w:rFonts w:ascii="仿宋_GB2312" w:hAnsi="仿宋_GB2312" w:eastAsia="仿宋_GB2312" w:cs="仿宋_GB2312"/>
              </w:rPr>
              <w:t>符号标识</w:t>
            </w:r>
          </w:p>
        </w:tc>
        <w:tc>
          <w:tcPr>
            <w:tcW w:w="1495" w:type="dxa"/>
          </w:tcPr>
          <w:p w14:paraId="76F32273">
            <w:pPr>
              <w:pStyle w:val="4"/>
              <w:jc w:val="center"/>
            </w:pPr>
            <w:r>
              <w:rPr>
                <w:rFonts w:ascii="仿宋_GB2312" w:hAnsi="仿宋_GB2312" w:eastAsia="仿宋_GB2312" w:cs="仿宋_GB2312"/>
              </w:rPr>
              <w:t>技术要求名称</w:t>
            </w:r>
          </w:p>
        </w:tc>
        <w:tc>
          <w:tcPr>
            <w:tcW w:w="5814" w:type="dxa"/>
          </w:tcPr>
          <w:p w14:paraId="4B523339">
            <w:pPr>
              <w:pStyle w:val="4"/>
              <w:jc w:val="center"/>
            </w:pPr>
            <w:r>
              <w:rPr>
                <w:rFonts w:ascii="仿宋_GB2312" w:hAnsi="仿宋_GB2312" w:eastAsia="仿宋_GB2312" w:cs="仿宋_GB2312"/>
              </w:rPr>
              <w:t>技术参数与性能指标</w:t>
            </w:r>
          </w:p>
        </w:tc>
      </w:tr>
      <w:tr w14:paraId="5C93BF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AFE919">
            <w:pPr>
              <w:pStyle w:val="4"/>
              <w:jc w:val="center"/>
            </w:pPr>
            <w:r>
              <w:rPr>
                <w:rFonts w:ascii="仿宋_GB2312" w:hAnsi="仿宋_GB2312" w:eastAsia="仿宋_GB2312" w:cs="仿宋_GB2312"/>
              </w:rPr>
              <w:t>1</w:t>
            </w:r>
          </w:p>
        </w:tc>
        <w:tc>
          <w:tcPr>
            <w:tcW w:w="581" w:type="dxa"/>
          </w:tcPr>
          <w:p w14:paraId="05D1AD7D">
            <w:pPr>
              <w:pStyle w:val="4"/>
              <w:jc w:val="center"/>
            </w:pPr>
            <w:r>
              <w:rPr>
                <w:rFonts w:ascii="仿宋_GB2312" w:hAnsi="仿宋_GB2312" w:eastAsia="仿宋_GB2312" w:cs="仿宋_GB2312"/>
              </w:rPr>
              <w:t>★</w:t>
            </w:r>
          </w:p>
        </w:tc>
        <w:tc>
          <w:tcPr>
            <w:tcW w:w="1495" w:type="dxa"/>
          </w:tcPr>
          <w:p w14:paraId="43A5DC71">
            <w:pPr>
              <w:pStyle w:val="4"/>
              <w:jc w:val="left"/>
            </w:pPr>
            <w:r>
              <w:rPr>
                <w:rFonts w:ascii="仿宋_GB2312" w:hAnsi="仿宋_GB2312" w:eastAsia="仿宋_GB2312" w:cs="仿宋_GB2312"/>
              </w:rPr>
              <w:t>服务内容</w:t>
            </w:r>
          </w:p>
        </w:tc>
        <w:tc>
          <w:tcPr>
            <w:tcW w:w="5814" w:type="dxa"/>
          </w:tcPr>
          <w:p w14:paraId="6E9EB827">
            <w:pPr>
              <w:pStyle w:val="4"/>
              <w:ind w:firstLine="482"/>
              <w:jc w:val="left"/>
            </w:pPr>
            <w:r>
              <w:rPr>
                <w:rFonts w:ascii="仿宋_GB2312" w:hAnsi="仿宋_GB2312" w:eastAsia="仿宋_GB2312" w:cs="仿宋_GB2312"/>
                <w:b/>
                <w:sz w:val="24"/>
              </w:rPr>
              <w:t>平台、应用系统运行服务</w:t>
            </w:r>
          </w:p>
          <w:p w14:paraId="73E9B81C">
            <w:pPr>
              <w:pStyle w:val="4"/>
              <w:ind w:firstLine="482"/>
              <w:jc w:val="left"/>
            </w:pPr>
            <w:r>
              <w:rPr>
                <w:rFonts w:ascii="仿宋_GB2312" w:hAnsi="仿宋_GB2312" w:eastAsia="仿宋_GB2312" w:cs="仿宋_GB2312"/>
                <w:b/>
                <w:sz w:val="24"/>
              </w:rPr>
              <w:t>1.平台、应用系统运行服务工作内容：</w:t>
            </w:r>
          </w:p>
          <w:p w14:paraId="64C7556F">
            <w:pPr>
              <w:pStyle w:val="4"/>
              <w:ind w:firstLine="480"/>
              <w:jc w:val="left"/>
            </w:pPr>
            <w:r>
              <w:rPr>
                <w:rFonts w:ascii="仿宋_GB2312" w:hAnsi="仿宋_GB2312" w:eastAsia="仿宋_GB2312" w:cs="仿宋_GB2312"/>
                <w:sz w:val="24"/>
              </w:rPr>
              <w:t>(1)对安全生产、防灾减灾、应急管理方面的安全生产综合监管平台隐患排查系统、城市安全风险信息管理系统、灾害风险隐患信息系统、森林防火信息管理系统、全国应急避难场所辅助调度系统、生产安全事故直报系统和危险化学品准入监管等系统开展数据管理、数据统计、信息录入等工作，包括例行操作服务、响应支持服务、优化改善服务、数据维护、信息资源接口服务等工作内容。</w:t>
            </w:r>
          </w:p>
          <w:p w14:paraId="18C2987C">
            <w:pPr>
              <w:pStyle w:val="4"/>
              <w:ind w:firstLine="480"/>
              <w:jc w:val="left"/>
            </w:pPr>
            <w:r>
              <w:rPr>
                <w:rFonts w:ascii="仿宋_GB2312" w:hAnsi="仿宋_GB2312" w:eastAsia="仿宋_GB2312" w:cs="仿宋_GB2312"/>
                <w:sz w:val="24"/>
              </w:rPr>
              <w:t>(2)满足日常业务需求，实现业务流程的电子化，自动化，确保数据准确完整。安全可靠，保障系统稳定运行。</w:t>
            </w:r>
          </w:p>
          <w:p w14:paraId="66402334">
            <w:pPr>
              <w:pStyle w:val="4"/>
              <w:ind w:firstLine="482"/>
              <w:jc w:val="left"/>
            </w:pPr>
            <w:r>
              <w:rPr>
                <w:rFonts w:ascii="仿宋_GB2312" w:hAnsi="仿宋_GB2312" w:eastAsia="仿宋_GB2312" w:cs="仿宋_GB2312"/>
                <w:b/>
                <w:sz w:val="24"/>
              </w:rPr>
              <w:t>2.安全指导服务工作内容。</w:t>
            </w:r>
          </w:p>
          <w:p w14:paraId="6919A243">
            <w:pPr>
              <w:pStyle w:val="4"/>
              <w:ind w:firstLine="480"/>
              <w:jc w:val="left"/>
            </w:pPr>
            <w:r>
              <w:rPr>
                <w:rFonts w:ascii="仿宋_GB2312" w:hAnsi="仿宋_GB2312" w:eastAsia="仿宋_GB2312" w:cs="仿宋_GB2312"/>
                <w:sz w:val="24"/>
              </w:rPr>
              <w:t>（1）协助督办、协调、管理各系统建设及运行人员关系，协助做好安全生产和自然灾害信息的接收、研判、报送和分转，根据要求做好收集报送工作。</w:t>
            </w:r>
          </w:p>
          <w:p w14:paraId="48E80855">
            <w:pPr>
              <w:pStyle w:val="4"/>
              <w:ind w:firstLine="480"/>
              <w:jc w:val="left"/>
            </w:pPr>
            <w:r>
              <w:rPr>
                <w:rFonts w:ascii="仿宋_GB2312" w:hAnsi="仿宋_GB2312" w:eastAsia="仿宋_GB2312" w:cs="仿宋_GB2312"/>
                <w:sz w:val="24"/>
              </w:rPr>
              <w:t>（2）围绕安全生产责任落实、隐患排查治理、应急救援处置、事故调查处理、专项整治行动等重点工作，深入行业主管部门、镇（街道）、产业园区及重点企业开展辅助督导检查，切实提升督导工作的专业性与精准度，夯实安全生产监管工作质效，全年服务不少于120次。（单独提供承诺函）</w:t>
            </w:r>
          </w:p>
          <w:p w14:paraId="574A2536">
            <w:pPr>
              <w:pStyle w:val="4"/>
              <w:ind w:firstLine="480"/>
              <w:jc w:val="left"/>
            </w:pPr>
            <w:r>
              <w:rPr>
                <w:rFonts w:ascii="仿宋_GB2312" w:hAnsi="仿宋_GB2312" w:eastAsia="仿宋_GB2312" w:cs="仿宋_GB2312"/>
                <w:sz w:val="24"/>
              </w:rPr>
              <w:t>(3) 邀请具备初级注册安全工程师及以上执业资格的专业人员，根据业务需要，提供安全检查、防灾减灾、风险评估、方案论证、事故技术分析报告等专业服务，全年服务不少于240 天。（单独提供承诺函）</w:t>
            </w:r>
          </w:p>
          <w:p w14:paraId="12B26F8B">
            <w:pPr>
              <w:pStyle w:val="4"/>
              <w:ind w:firstLine="480"/>
              <w:jc w:val="both"/>
            </w:pPr>
            <w:r>
              <w:rPr>
                <w:rFonts w:ascii="仿宋_GB2312" w:hAnsi="仿宋_GB2312" w:eastAsia="仿宋_GB2312" w:cs="仿宋_GB2312"/>
                <w:sz w:val="24"/>
              </w:rPr>
              <w:t>（4）按需完成上级交办的临时性、专项性任务，确保响应及时、执行到位、反馈准确。</w:t>
            </w:r>
          </w:p>
        </w:tc>
      </w:tr>
      <w:tr w14:paraId="685683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3A5F37">
            <w:pPr>
              <w:pStyle w:val="4"/>
              <w:jc w:val="center"/>
            </w:pPr>
            <w:r>
              <w:rPr>
                <w:rFonts w:ascii="仿宋_GB2312" w:hAnsi="仿宋_GB2312" w:eastAsia="仿宋_GB2312" w:cs="仿宋_GB2312"/>
              </w:rPr>
              <w:t>2</w:t>
            </w:r>
          </w:p>
        </w:tc>
        <w:tc>
          <w:tcPr>
            <w:tcW w:w="581" w:type="dxa"/>
          </w:tcPr>
          <w:p w14:paraId="07D2FD75">
            <w:pPr>
              <w:pStyle w:val="4"/>
              <w:jc w:val="center"/>
            </w:pPr>
            <w:r>
              <w:rPr>
                <w:rFonts w:ascii="仿宋_GB2312" w:hAnsi="仿宋_GB2312" w:eastAsia="仿宋_GB2312" w:cs="仿宋_GB2312"/>
              </w:rPr>
              <w:t>★</w:t>
            </w:r>
          </w:p>
        </w:tc>
        <w:tc>
          <w:tcPr>
            <w:tcW w:w="1495" w:type="dxa"/>
          </w:tcPr>
          <w:p w14:paraId="51C00516">
            <w:pPr>
              <w:pStyle w:val="4"/>
              <w:jc w:val="left"/>
            </w:pPr>
            <w:r>
              <w:rPr>
                <w:rFonts w:ascii="仿宋_GB2312" w:hAnsi="仿宋_GB2312" w:eastAsia="仿宋_GB2312" w:cs="仿宋_GB2312"/>
              </w:rPr>
              <w:t>服务要求</w:t>
            </w:r>
          </w:p>
        </w:tc>
        <w:tc>
          <w:tcPr>
            <w:tcW w:w="5814" w:type="dxa"/>
          </w:tcPr>
          <w:p w14:paraId="1A5B0327">
            <w:pPr>
              <w:pStyle w:val="4"/>
              <w:ind w:firstLine="480"/>
              <w:jc w:val="left"/>
            </w:pPr>
            <w:r>
              <w:rPr>
                <w:rFonts w:ascii="仿宋_GB2312" w:hAnsi="仿宋_GB2312" w:eastAsia="仿宋_GB2312" w:cs="仿宋_GB2312"/>
                <w:sz w:val="24"/>
              </w:rPr>
              <w:t>1.人员要求：</w:t>
            </w:r>
          </w:p>
          <w:p w14:paraId="63218ED4">
            <w:pPr>
              <w:pStyle w:val="4"/>
              <w:ind w:firstLine="480"/>
              <w:jc w:val="left"/>
            </w:pPr>
            <w:r>
              <w:rPr>
                <w:rFonts w:ascii="仿宋_GB2312" w:hAnsi="仿宋_GB2312" w:eastAsia="仿宋_GB2312" w:cs="仿宋_GB2312"/>
                <w:sz w:val="24"/>
              </w:rPr>
              <w:t>①为保障项目质量，供应商须为本项目配备不少于14人的服务团队，其中项目经理1名（不需要驻场服务），驻场服务人员不少于13名，驻场服务人员按要求派驻到区应急局从事数据管理、数据统计、信息录入以及辅助安全检查等工作。</w:t>
            </w:r>
          </w:p>
          <w:p w14:paraId="1820EAA6">
            <w:pPr>
              <w:pStyle w:val="4"/>
              <w:ind w:firstLine="480"/>
              <w:jc w:val="left"/>
            </w:pPr>
            <w:r>
              <w:rPr>
                <w:rFonts w:ascii="仿宋_GB2312" w:hAnsi="仿宋_GB2312" w:eastAsia="仿宋_GB2312" w:cs="仿宋_GB2312"/>
                <w:sz w:val="24"/>
              </w:rPr>
              <w:t>②所有驻场人员需具备从事信息平台、系统运行服务等工作的基本要求,辅助开展安全指导服务，能够胜任岗位工作，有相关信息平台系统维护等工作经历经验的人员优先。</w:t>
            </w:r>
          </w:p>
          <w:p w14:paraId="2DBD2C39">
            <w:pPr>
              <w:pStyle w:val="4"/>
              <w:ind w:firstLine="480"/>
              <w:jc w:val="left"/>
            </w:pPr>
            <w:r>
              <w:rPr>
                <w:rFonts w:ascii="仿宋_GB2312" w:hAnsi="仿宋_GB2312" w:eastAsia="仿宋_GB2312" w:cs="仿宋_GB2312"/>
                <w:sz w:val="24"/>
              </w:rPr>
              <w:t>③所有驻场人员需严格按照区应急局相关规定、岗位职责和工作安排开展工作，若派驻人员离场（职）至少提前1个月书面告知供应商和区应急局，供应商需及时增补驻场人员，确保工作衔接有序。</w:t>
            </w:r>
          </w:p>
          <w:p w14:paraId="5369F6FE">
            <w:pPr>
              <w:pStyle w:val="4"/>
              <w:ind w:firstLine="480"/>
              <w:jc w:val="left"/>
            </w:pPr>
            <w:r>
              <w:rPr>
                <w:rFonts w:ascii="仿宋_GB2312" w:hAnsi="仿宋_GB2312" w:eastAsia="仿宋_GB2312" w:cs="仿宋_GB2312"/>
                <w:sz w:val="24"/>
              </w:rPr>
              <w:t>④驻场服务人员不得兼职与采购人合同以外的其他工作。</w:t>
            </w:r>
          </w:p>
          <w:p w14:paraId="1CD2ED5C">
            <w:pPr>
              <w:pStyle w:val="4"/>
              <w:numPr>
                <w:ilvl w:val="0"/>
                <w:numId w:val="1"/>
              </w:numPr>
              <w:jc w:val="left"/>
            </w:pPr>
            <w:r>
              <w:rPr>
                <w:rFonts w:ascii="仿宋_GB2312" w:hAnsi="仿宋_GB2312" w:eastAsia="仿宋_GB2312" w:cs="仿宋_GB2312"/>
                <w:sz w:val="24"/>
              </w:rPr>
              <w:t>质量要求：</w:t>
            </w:r>
          </w:p>
          <w:p w14:paraId="1BB50D1F">
            <w:pPr>
              <w:pStyle w:val="4"/>
              <w:ind w:firstLine="480"/>
              <w:jc w:val="left"/>
            </w:pPr>
            <w:r>
              <w:rPr>
                <w:rFonts w:ascii="仿宋_GB2312" w:hAnsi="仿宋_GB2312" w:eastAsia="仿宋_GB2312" w:cs="仿宋_GB2312"/>
                <w:sz w:val="24"/>
              </w:rPr>
              <w:t>①驻场服务人员按要求派驻到区应急局从事数据管理、数据统计、信息录入，围绕安全生产责任落实、隐患排查治理、应急救援处置、事故调查处理、专项整治行动等重点工作，深入行业主管部门、镇（街道）、产业园区及重点企业开展辅助督导检查，切实提升督导工作的专业性与精准度，夯实安全生产监管工作质效，全年服务不少于120次。（单独提供承诺函）</w:t>
            </w:r>
          </w:p>
          <w:p w14:paraId="1588FC6C">
            <w:pPr>
              <w:pStyle w:val="4"/>
              <w:ind w:firstLine="480"/>
              <w:jc w:val="left"/>
            </w:pPr>
            <w:r>
              <w:rPr>
                <w:rFonts w:ascii="仿宋_GB2312" w:hAnsi="仿宋_GB2312" w:eastAsia="仿宋_GB2312" w:cs="仿宋_GB2312"/>
                <w:sz w:val="24"/>
              </w:rPr>
              <w:t>②邀请具备初级注册安全工程师及以上执业资格的专业人员，提供安全检查、防灾减灾、风险评估、方案论证、事故技术分析报告等专业服务，全年服务不少于240天。（单独提供承诺函）</w:t>
            </w:r>
          </w:p>
          <w:p w14:paraId="0A24A366">
            <w:pPr>
              <w:pStyle w:val="4"/>
              <w:jc w:val="left"/>
            </w:pPr>
            <w:r>
              <w:rPr>
                <w:rFonts w:ascii="仿宋_GB2312" w:hAnsi="仿宋_GB2312" w:eastAsia="仿宋_GB2312" w:cs="仿宋_GB2312"/>
                <w:sz w:val="24"/>
              </w:rPr>
              <w:t>③满足日常业务需求，实现业务流程的电子化，自动化，确保数据准确完整。安全可靠，保障系统稳定运行。</w:t>
            </w:r>
          </w:p>
        </w:tc>
      </w:tr>
      <w:tr w14:paraId="664A1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3DAFA0">
            <w:pPr>
              <w:pStyle w:val="4"/>
              <w:jc w:val="center"/>
            </w:pPr>
            <w:r>
              <w:rPr>
                <w:rFonts w:ascii="仿宋_GB2312" w:hAnsi="仿宋_GB2312" w:eastAsia="仿宋_GB2312" w:cs="仿宋_GB2312"/>
              </w:rPr>
              <w:t>3</w:t>
            </w:r>
          </w:p>
        </w:tc>
        <w:tc>
          <w:tcPr>
            <w:tcW w:w="581" w:type="dxa"/>
          </w:tcPr>
          <w:p w14:paraId="6F459D7A">
            <w:pPr>
              <w:pStyle w:val="4"/>
              <w:jc w:val="center"/>
            </w:pPr>
            <w:r>
              <w:rPr>
                <w:rFonts w:ascii="仿宋_GB2312" w:hAnsi="仿宋_GB2312" w:eastAsia="仿宋_GB2312" w:cs="仿宋_GB2312"/>
              </w:rPr>
              <w:t>★</w:t>
            </w:r>
          </w:p>
        </w:tc>
        <w:tc>
          <w:tcPr>
            <w:tcW w:w="1495" w:type="dxa"/>
          </w:tcPr>
          <w:p w14:paraId="1F154AB8">
            <w:pPr>
              <w:pStyle w:val="4"/>
              <w:jc w:val="left"/>
            </w:pPr>
            <w:r>
              <w:rPr>
                <w:rFonts w:ascii="仿宋_GB2312" w:hAnsi="仿宋_GB2312" w:eastAsia="仿宋_GB2312" w:cs="仿宋_GB2312"/>
              </w:rPr>
              <w:t>其他要求</w:t>
            </w:r>
          </w:p>
        </w:tc>
        <w:tc>
          <w:tcPr>
            <w:tcW w:w="5814" w:type="dxa"/>
          </w:tcPr>
          <w:p w14:paraId="0AC3C6CC">
            <w:pPr>
              <w:pStyle w:val="4"/>
              <w:numPr>
                <w:ilvl w:val="0"/>
                <w:numId w:val="1"/>
              </w:numPr>
              <w:jc w:val="left"/>
            </w:pPr>
            <w:r>
              <w:rPr>
                <w:rFonts w:ascii="仿宋_GB2312" w:hAnsi="仿宋_GB2312" w:eastAsia="仿宋_GB2312" w:cs="仿宋_GB2312"/>
                <w:sz w:val="24"/>
              </w:rPr>
              <w:t>供应商须对本项目人员开展岗前培训，培训内容涵盖安全生产规范、岗位业务技能、保密纪律等关键内容。服务期间，供应商需常态化督导检查人员工作履职情况，及时排查整改问题，严格落实考核标准，切实保障整体服务质量。</w:t>
            </w:r>
          </w:p>
          <w:p w14:paraId="34BEE75A">
            <w:pPr>
              <w:pStyle w:val="4"/>
              <w:numPr>
                <w:ilvl w:val="0"/>
                <w:numId w:val="1"/>
              </w:numPr>
              <w:jc w:val="left"/>
            </w:pPr>
            <w:r>
              <w:rPr>
                <w:rFonts w:ascii="仿宋_GB2312" w:hAnsi="仿宋_GB2312" w:eastAsia="仿宋_GB2312" w:cs="仿宋_GB2312"/>
                <w:sz w:val="24"/>
              </w:rPr>
              <w:t>驻场服务人员由采购人负责日常考核，采购人每月将考核结果通报供应商，作为服务履约评价依据。</w:t>
            </w:r>
          </w:p>
          <w:p w14:paraId="27E4DAF7">
            <w:pPr>
              <w:pStyle w:val="4"/>
              <w:numPr>
                <w:ilvl w:val="0"/>
                <w:numId w:val="1"/>
              </w:numPr>
              <w:jc w:val="left"/>
            </w:pPr>
            <w:r>
              <w:rPr>
                <w:rFonts w:ascii="仿宋_GB2312" w:hAnsi="仿宋_GB2312" w:eastAsia="仿宋_GB2312" w:cs="仿宋_GB2312"/>
                <w:sz w:val="24"/>
              </w:rPr>
              <w:t>驻场服务人员须服从采购人日常工作安排，自觉遵守区应急局内部管理制度及各项工作纪律，规范履职、在岗尽责。</w:t>
            </w:r>
          </w:p>
          <w:p w14:paraId="05C2BF2E">
            <w:pPr>
              <w:pStyle w:val="4"/>
              <w:numPr>
                <w:ilvl w:val="0"/>
                <w:numId w:val="1"/>
              </w:numPr>
              <w:jc w:val="left"/>
            </w:pPr>
            <w:r>
              <w:rPr>
                <w:rFonts w:ascii="仿宋_GB2312" w:hAnsi="仿宋_GB2312" w:eastAsia="仿宋_GB2312" w:cs="仿宋_GB2312"/>
                <w:sz w:val="24"/>
              </w:rPr>
              <w:t>对存在违反工作纪律、履职不力或不能胜任岗位工作的服务人员，采购人有权要求供应商在5个工作日内完成人员调整更换。</w:t>
            </w:r>
          </w:p>
        </w:tc>
      </w:tr>
      <w:tr w14:paraId="680BA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0D662D">
            <w:pPr>
              <w:pStyle w:val="4"/>
              <w:jc w:val="center"/>
            </w:pPr>
            <w:r>
              <w:rPr>
                <w:rFonts w:ascii="仿宋_GB2312" w:hAnsi="仿宋_GB2312" w:eastAsia="仿宋_GB2312" w:cs="仿宋_GB2312"/>
              </w:rPr>
              <w:t>4</w:t>
            </w:r>
          </w:p>
        </w:tc>
        <w:tc>
          <w:tcPr>
            <w:tcW w:w="581" w:type="dxa"/>
          </w:tcPr>
          <w:p w14:paraId="04814F46"/>
        </w:tc>
        <w:tc>
          <w:tcPr>
            <w:tcW w:w="1495" w:type="dxa"/>
          </w:tcPr>
          <w:p w14:paraId="75E96540">
            <w:pPr>
              <w:pStyle w:val="4"/>
              <w:jc w:val="left"/>
            </w:pPr>
            <w:r>
              <w:rPr>
                <w:rFonts w:ascii="仿宋_GB2312" w:hAnsi="仿宋_GB2312" w:eastAsia="仿宋_GB2312" w:cs="仿宋_GB2312"/>
              </w:rPr>
              <w:t>管理办法及考核办法</w:t>
            </w:r>
          </w:p>
        </w:tc>
        <w:tc>
          <w:tcPr>
            <w:tcW w:w="5814" w:type="dxa"/>
          </w:tcPr>
          <w:p w14:paraId="0AACEBD1">
            <w:pPr>
              <w:pStyle w:val="4"/>
              <w:numPr>
                <w:ilvl w:val="0"/>
                <w:numId w:val="1"/>
              </w:numPr>
              <w:jc w:val="left"/>
            </w:pPr>
            <w:r>
              <w:rPr>
                <w:rFonts w:ascii="仿宋_GB2312" w:hAnsi="仿宋_GB2312" w:eastAsia="仿宋_GB2312" w:cs="仿宋_GB2312"/>
                <w:sz w:val="24"/>
              </w:rPr>
              <w:t>采购人对服务人员实行月度考核，考核实行百分制，考核周期内出现连续3个月考核排名全员最低，全年累计5次月度考核排名最低，年度内2次月度考核得分低于60分的以及出现违法犯罪行为的，由采购人通知供应商，启动人员退出机制。</w:t>
            </w:r>
          </w:p>
          <w:p w14:paraId="6932A566">
            <w:pPr>
              <w:pStyle w:val="4"/>
              <w:numPr>
                <w:ilvl w:val="0"/>
                <w:numId w:val="1"/>
              </w:numPr>
              <w:jc w:val="left"/>
            </w:pPr>
            <w:r>
              <w:rPr>
                <w:rFonts w:ascii="仿宋_GB2312" w:hAnsi="仿宋_GB2312" w:eastAsia="仿宋_GB2312" w:cs="仿宋_GB2312"/>
                <w:sz w:val="24"/>
              </w:rPr>
              <w:t>采购人与供应商实行年终考核，对《项目履约考核表》进行考核打分，满分为100分，评分95 分及以上不扣除年服务费，评分90分-94分扣除年服务费的0.5%，评分85-89分扣除年服务费的1%，评分 80-84分扣除年服务费的2%，评分低于80分的视为不合格，扣除年服务费的5%，供应商应根据采购人要求进行整改，连续整改2次后仍然不合格的，采购人不予续签下一年度服务合同，由供应商承担相应的违约责任。</w:t>
            </w:r>
          </w:p>
          <w:p w14:paraId="387133F0">
            <w:pPr>
              <w:pStyle w:val="4"/>
              <w:numPr>
                <w:ilvl w:val="0"/>
                <w:numId w:val="1"/>
              </w:numPr>
              <w:jc w:val="left"/>
            </w:pPr>
            <w:r>
              <w:rPr>
                <w:rFonts w:ascii="仿宋_GB2312" w:hAnsi="仿宋_GB2312" w:eastAsia="仿宋_GB2312" w:cs="仿宋_GB2312"/>
                <w:sz w:val="24"/>
              </w:rPr>
              <w:t>项目履约考核表：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7"/>
              <w:gridCol w:w="586"/>
              <w:gridCol w:w="3578"/>
              <w:gridCol w:w="492"/>
              <w:gridCol w:w="430"/>
            </w:tblGrid>
            <w:tr w14:paraId="5F5084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86"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01BEFE3">
                  <w:pPr>
                    <w:pStyle w:val="4"/>
                    <w:jc w:val="center"/>
                  </w:pPr>
                  <w:r>
                    <w:rPr>
                      <w:rFonts w:ascii="仿宋_GB2312" w:hAnsi="仿宋_GB2312" w:eastAsia="仿宋_GB2312" w:cs="仿宋_GB2312"/>
                      <w:sz w:val="21"/>
                    </w:rPr>
                    <w:t>项目履约考核表</w:t>
                  </w:r>
                </w:p>
              </w:tc>
            </w:tr>
            <w:tr w14:paraId="594DDF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C1EA0D6">
                  <w:pPr>
                    <w:pStyle w:val="4"/>
                    <w:jc w:val="center"/>
                  </w:pPr>
                  <w:r>
                    <w:rPr>
                      <w:rFonts w:ascii="仿宋_GB2312" w:hAnsi="仿宋_GB2312" w:eastAsia="仿宋_GB2312" w:cs="仿宋_GB2312"/>
                      <w:sz w:val="21"/>
                    </w:rPr>
                    <w:t>考核</w:t>
                  </w:r>
                </w:p>
                <w:p w14:paraId="66E0D599">
                  <w:pPr>
                    <w:pStyle w:val="4"/>
                    <w:jc w:val="center"/>
                  </w:pPr>
                  <w:r>
                    <w:rPr>
                      <w:rFonts w:ascii="仿宋_GB2312" w:hAnsi="仿宋_GB2312" w:eastAsia="仿宋_GB2312" w:cs="仿宋_GB2312"/>
                      <w:sz w:val="21"/>
                    </w:rPr>
                    <w:t>类型</w:t>
                  </w:r>
                </w:p>
              </w:tc>
              <w:tc>
                <w:tcPr>
                  <w:tcW w:w="82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34404E4">
                  <w:pPr>
                    <w:pStyle w:val="4"/>
                    <w:jc w:val="center"/>
                  </w:pPr>
                  <w:r>
                    <w:rPr>
                      <w:rFonts w:ascii="仿宋_GB2312" w:hAnsi="仿宋_GB2312" w:eastAsia="仿宋_GB2312" w:cs="仿宋_GB2312"/>
                      <w:sz w:val="21"/>
                    </w:rPr>
                    <w:t>考核项目</w:t>
                  </w:r>
                </w:p>
              </w:tc>
              <w:tc>
                <w:tcPr>
                  <w:tcW w:w="568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2A46A4E">
                  <w:pPr>
                    <w:pStyle w:val="4"/>
                    <w:jc w:val="center"/>
                  </w:pPr>
                  <w:r>
                    <w:rPr>
                      <w:rFonts w:ascii="仿宋_GB2312" w:hAnsi="仿宋_GB2312" w:eastAsia="仿宋_GB2312" w:cs="仿宋_GB2312"/>
                      <w:sz w:val="21"/>
                    </w:rPr>
                    <w:t>考核内容</w:t>
                  </w:r>
                </w:p>
              </w:tc>
              <w:tc>
                <w:tcPr>
                  <w:tcW w:w="60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CC1A5C8">
                  <w:pPr>
                    <w:pStyle w:val="4"/>
                    <w:jc w:val="center"/>
                  </w:pPr>
                  <w:r>
                    <w:rPr>
                      <w:rFonts w:ascii="仿宋_GB2312" w:hAnsi="仿宋_GB2312" w:eastAsia="仿宋_GB2312" w:cs="仿宋_GB2312"/>
                      <w:sz w:val="21"/>
                    </w:rPr>
                    <w:t>目标</w:t>
                  </w:r>
                </w:p>
                <w:p w14:paraId="6C61E03B">
                  <w:pPr>
                    <w:pStyle w:val="4"/>
                    <w:jc w:val="center"/>
                  </w:pPr>
                  <w:r>
                    <w:rPr>
                      <w:rFonts w:ascii="仿宋_GB2312" w:hAnsi="仿宋_GB2312" w:eastAsia="仿宋_GB2312" w:cs="仿宋_GB2312"/>
                      <w:sz w:val="21"/>
                    </w:rPr>
                    <w:t>分值</w:t>
                  </w:r>
                </w:p>
              </w:tc>
              <w:tc>
                <w:tcPr>
                  <w:tcW w:w="57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8AF883E">
                  <w:pPr>
                    <w:pStyle w:val="4"/>
                    <w:jc w:val="center"/>
                  </w:pPr>
                  <w:r>
                    <w:rPr>
                      <w:rFonts w:ascii="仿宋_GB2312" w:hAnsi="仿宋_GB2312" w:eastAsia="仿宋_GB2312" w:cs="仿宋_GB2312"/>
                      <w:sz w:val="21"/>
                    </w:rPr>
                    <w:t>考核</w:t>
                  </w:r>
                </w:p>
                <w:p w14:paraId="0EB06064">
                  <w:pPr>
                    <w:pStyle w:val="4"/>
                    <w:jc w:val="center"/>
                  </w:pPr>
                  <w:r>
                    <w:rPr>
                      <w:rFonts w:ascii="仿宋_GB2312" w:hAnsi="仿宋_GB2312" w:eastAsia="仿宋_GB2312" w:cs="仿宋_GB2312"/>
                      <w:sz w:val="21"/>
                    </w:rPr>
                    <w:t>得分</w:t>
                  </w:r>
                </w:p>
              </w:tc>
            </w:tr>
            <w:tr w14:paraId="246149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FC9D13F">
                  <w:pPr>
                    <w:pStyle w:val="4"/>
                    <w:jc w:val="center"/>
                  </w:pPr>
                  <w:r>
                    <w:rPr>
                      <w:rFonts w:ascii="仿宋_GB2312" w:hAnsi="仿宋_GB2312" w:eastAsia="仿宋_GB2312" w:cs="仿宋_GB2312"/>
                      <w:sz w:val="21"/>
                    </w:rPr>
                    <w:t>供应商</w:t>
                  </w:r>
                </w:p>
              </w:tc>
              <w:tc>
                <w:tcPr>
                  <w:tcW w:w="829"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099FAC3">
                  <w:pPr>
                    <w:pStyle w:val="4"/>
                    <w:jc w:val="center"/>
                  </w:pPr>
                  <w:r>
                    <w:rPr>
                      <w:rFonts w:ascii="仿宋_GB2312" w:hAnsi="仿宋_GB2312" w:eastAsia="仿宋_GB2312" w:cs="仿宋_GB2312"/>
                      <w:sz w:val="21"/>
                    </w:rPr>
                    <w:t>岗位落实</w:t>
                  </w:r>
                </w:p>
                <w:p w14:paraId="06510E65">
                  <w:pPr>
                    <w:pStyle w:val="4"/>
                    <w:jc w:val="center"/>
                  </w:pPr>
                  <w:r>
                    <w:rPr>
                      <w:rFonts w:ascii="仿宋_GB2312" w:hAnsi="仿宋_GB2312" w:eastAsia="仿宋_GB2312" w:cs="仿宋_GB2312"/>
                      <w:sz w:val="21"/>
                    </w:rPr>
                    <w:t>情况</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54373EF">
                  <w:pPr>
                    <w:pStyle w:val="4"/>
                    <w:jc w:val="center"/>
                  </w:pPr>
                  <w:r>
                    <w:rPr>
                      <w:rFonts w:ascii="仿宋_GB2312" w:hAnsi="仿宋_GB2312" w:eastAsia="仿宋_GB2312" w:cs="仿宋_GB2312"/>
                      <w:sz w:val="21"/>
                    </w:rPr>
                    <w:t xml:space="preserve"> 未按服务内容要求安排足够人员到岗的。每出现1次扣1-2分，如情节严重则每出现1次酌情扣3-10分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54252F8">
                  <w:pPr>
                    <w:pStyle w:val="4"/>
                    <w:jc w:val="center"/>
                  </w:pPr>
                  <w:r>
                    <w:rPr>
                      <w:rFonts w:ascii="仿宋_GB2312" w:hAnsi="仿宋_GB2312" w:eastAsia="仿宋_GB2312" w:cs="仿宋_GB2312"/>
                      <w:sz w:val="21"/>
                    </w:rPr>
                    <w:t>10</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832334">
                  <w:pPr>
                    <w:pStyle w:val="4"/>
                    <w:jc w:val="center"/>
                  </w:pPr>
                </w:p>
              </w:tc>
            </w:tr>
            <w:tr w14:paraId="4EFAAA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continue"/>
                  <w:tcBorders>
                    <w:top w:val="nil"/>
                    <w:left w:val="single" w:color="000000" w:sz="4" w:space="0"/>
                    <w:bottom w:val="single" w:color="000000" w:sz="4" w:space="0"/>
                    <w:right w:val="single" w:color="000000" w:sz="4" w:space="0"/>
                  </w:tcBorders>
                </w:tcPr>
                <w:p w14:paraId="40E7B488"/>
              </w:tc>
              <w:tc>
                <w:tcPr>
                  <w:tcW w:w="829" w:type="dxa"/>
                  <w:vMerge w:val="continue"/>
                  <w:tcBorders>
                    <w:top w:val="nil"/>
                    <w:left w:val="single" w:color="000000" w:sz="4" w:space="0"/>
                    <w:bottom w:val="single" w:color="000000" w:sz="4" w:space="0"/>
                    <w:right w:val="single" w:color="000000" w:sz="4" w:space="0"/>
                  </w:tcBorders>
                </w:tcPr>
                <w:p w14:paraId="48646933"/>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31A7203">
                  <w:pPr>
                    <w:pStyle w:val="4"/>
                    <w:jc w:val="center"/>
                  </w:pPr>
                  <w:r>
                    <w:rPr>
                      <w:rFonts w:ascii="仿宋_GB2312" w:hAnsi="仿宋_GB2312" w:eastAsia="仿宋_GB2312" w:cs="仿宋_GB2312"/>
                      <w:sz w:val="21"/>
                    </w:rPr>
                    <w:t xml:space="preserve"> 发生服务人员被退回或离职的情况下，供应商未及时与采购人协商再派事宜。每出现1次扣1-2分，如情节严重则每出现1次酌情扣3-10分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BB5CB00">
                  <w:pPr>
                    <w:pStyle w:val="4"/>
                    <w:jc w:val="center"/>
                  </w:pPr>
                  <w:r>
                    <w:rPr>
                      <w:rFonts w:ascii="仿宋_GB2312" w:hAnsi="仿宋_GB2312" w:eastAsia="仿宋_GB2312" w:cs="仿宋_GB2312"/>
                      <w:sz w:val="21"/>
                    </w:rPr>
                    <w:t>10</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E85B40D">
                  <w:pPr>
                    <w:pStyle w:val="4"/>
                    <w:jc w:val="center"/>
                  </w:pPr>
                </w:p>
              </w:tc>
            </w:tr>
            <w:tr w14:paraId="1A0CFC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continue"/>
                  <w:tcBorders>
                    <w:top w:val="nil"/>
                    <w:left w:val="single" w:color="000000" w:sz="4" w:space="0"/>
                    <w:bottom w:val="single" w:color="000000" w:sz="4" w:space="0"/>
                    <w:right w:val="single" w:color="000000" w:sz="4" w:space="0"/>
                  </w:tcBorders>
                </w:tcPr>
                <w:p w14:paraId="61958DB2"/>
              </w:tc>
              <w:tc>
                <w:tcPr>
                  <w:tcW w:w="829" w:type="dxa"/>
                  <w:vMerge w:val="continue"/>
                  <w:tcBorders>
                    <w:top w:val="nil"/>
                    <w:left w:val="single" w:color="000000" w:sz="4" w:space="0"/>
                    <w:bottom w:val="single" w:color="000000" w:sz="4" w:space="0"/>
                    <w:right w:val="single" w:color="000000" w:sz="4" w:space="0"/>
                  </w:tcBorders>
                </w:tcPr>
                <w:p w14:paraId="00A8807D"/>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5E8B4E">
                  <w:pPr>
                    <w:pStyle w:val="4"/>
                    <w:jc w:val="center"/>
                  </w:pPr>
                  <w:r>
                    <w:rPr>
                      <w:rFonts w:ascii="仿宋_GB2312" w:hAnsi="仿宋_GB2312" w:eastAsia="仿宋_GB2312" w:cs="仿宋_GB2312"/>
                      <w:sz w:val="21"/>
                    </w:rPr>
                    <w:t xml:space="preserve"> 未按服务工作内容要求安排人员，不符合条件的。每出现1次扣1-2分，如情节严重则每出现1次酌情扣3-9分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470987C">
                  <w:pPr>
                    <w:pStyle w:val="4"/>
                    <w:jc w:val="center"/>
                  </w:pPr>
                  <w:r>
                    <w:rPr>
                      <w:rFonts w:ascii="仿宋_GB2312" w:hAnsi="仿宋_GB2312" w:eastAsia="仿宋_GB2312" w:cs="仿宋_GB2312"/>
                      <w:sz w:val="21"/>
                    </w:rPr>
                    <w:t>9</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7601DD8">
                  <w:pPr>
                    <w:pStyle w:val="4"/>
                    <w:jc w:val="center"/>
                  </w:pPr>
                </w:p>
              </w:tc>
            </w:tr>
            <w:tr w14:paraId="383FFB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continue"/>
                  <w:tcBorders>
                    <w:top w:val="nil"/>
                    <w:left w:val="single" w:color="000000" w:sz="4" w:space="0"/>
                    <w:bottom w:val="single" w:color="000000" w:sz="4" w:space="0"/>
                    <w:right w:val="single" w:color="000000" w:sz="4" w:space="0"/>
                  </w:tcBorders>
                </w:tcPr>
                <w:p w14:paraId="197E5CAC"/>
              </w:tc>
              <w:tc>
                <w:tcPr>
                  <w:tcW w:w="8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669250">
                  <w:pPr>
                    <w:pStyle w:val="4"/>
                    <w:jc w:val="center"/>
                  </w:pPr>
                  <w:r>
                    <w:rPr>
                      <w:rFonts w:ascii="仿宋_GB2312" w:hAnsi="仿宋_GB2312" w:eastAsia="仿宋_GB2312" w:cs="仿宋_GB2312"/>
                      <w:sz w:val="21"/>
                    </w:rPr>
                    <w:t>整改落实</w:t>
                  </w:r>
                </w:p>
                <w:p w14:paraId="10BC3545">
                  <w:pPr>
                    <w:pStyle w:val="4"/>
                    <w:jc w:val="center"/>
                  </w:pPr>
                  <w:r>
                    <w:rPr>
                      <w:rFonts w:ascii="仿宋_GB2312" w:hAnsi="仿宋_GB2312" w:eastAsia="仿宋_GB2312" w:cs="仿宋_GB2312"/>
                      <w:sz w:val="21"/>
                    </w:rPr>
                    <w:t>情况</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AFF3A6">
                  <w:pPr>
                    <w:pStyle w:val="4"/>
                    <w:jc w:val="center"/>
                  </w:pPr>
                  <w:r>
                    <w:rPr>
                      <w:rFonts w:ascii="仿宋_GB2312" w:hAnsi="仿宋_GB2312" w:eastAsia="仿宋_GB2312" w:cs="仿宋_GB2312"/>
                      <w:sz w:val="21"/>
                    </w:rPr>
                    <w:t xml:space="preserve"> 在近三个月内投诉情况类同或工作中多次出现不良现象。每出现1次扣1-2分，如情节严重则每出现1次酌情扣3-9分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945B3B0">
                  <w:pPr>
                    <w:pStyle w:val="4"/>
                    <w:jc w:val="center"/>
                  </w:pPr>
                  <w:r>
                    <w:rPr>
                      <w:rFonts w:ascii="仿宋_GB2312" w:hAnsi="仿宋_GB2312" w:eastAsia="仿宋_GB2312" w:cs="仿宋_GB2312"/>
                      <w:sz w:val="21"/>
                    </w:rPr>
                    <w:t>9</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46F7711">
                  <w:pPr>
                    <w:pStyle w:val="4"/>
                    <w:jc w:val="center"/>
                  </w:pPr>
                </w:p>
              </w:tc>
            </w:tr>
            <w:tr w14:paraId="0FAF41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1B5121F">
                  <w:pPr>
                    <w:pStyle w:val="4"/>
                    <w:jc w:val="center"/>
                  </w:pPr>
                  <w:r>
                    <w:rPr>
                      <w:rFonts w:ascii="仿宋_GB2312" w:hAnsi="仿宋_GB2312" w:eastAsia="仿宋_GB2312" w:cs="仿宋_GB2312"/>
                      <w:sz w:val="21"/>
                    </w:rPr>
                    <w:t>服务人员</w:t>
                  </w:r>
                </w:p>
              </w:tc>
              <w:tc>
                <w:tcPr>
                  <w:tcW w:w="8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D56C1A6">
                  <w:pPr>
                    <w:pStyle w:val="4"/>
                    <w:jc w:val="center"/>
                  </w:pPr>
                  <w:r>
                    <w:rPr>
                      <w:rFonts w:ascii="仿宋_GB2312" w:hAnsi="仿宋_GB2312" w:eastAsia="仿宋_GB2312" w:cs="仿宋_GB2312"/>
                      <w:sz w:val="21"/>
                    </w:rPr>
                    <w:t>工作态度</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C236E54">
                  <w:pPr>
                    <w:pStyle w:val="4"/>
                    <w:jc w:val="center"/>
                  </w:pPr>
                  <w:r>
                    <w:rPr>
                      <w:rFonts w:ascii="仿宋_GB2312" w:hAnsi="仿宋_GB2312" w:eastAsia="仿宋_GB2312" w:cs="仿宋_GB2312"/>
                      <w:sz w:val="21"/>
                    </w:rPr>
                    <w:t xml:space="preserve"> 出现服务人员不听劝导，工作态度差，经查核实的。每出现1次扣1-2分，如情节严重则每出现1次酌情扣3-8分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D10263D">
                  <w:pPr>
                    <w:pStyle w:val="4"/>
                    <w:jc w:val="center"/>
                  </w:pPr>
                  <w:r>
                    <w:rPr>
                      <w:rFonts w:ascii="仿宋_GB2312" w:hAnsi="仿宋_GB2312" w:eastAsia="仿宋_GB2312" w:cs="仿宋_GB2312"/>
                      <w:sz w:val="21"/>
                    </w:rPr>
                    <w:t>8</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82C8C6">
                  <w:pPr>
                    <w:pStyle w:val="4"/>
                    <w:jc w:val="center"/>
                  </w:pPr>
                </w:p>
              </w:tc>
            </w:tr>
            <w:tr w14:paraId="4BE173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continue"/>
                  <w:tcBorders>
                    <w:top w:val="nil"/>
                    <w:left w:val="single" w:color="000000" w:sz="4" w:space="0"/>
                    <w:bottom w:val="single" w:color="000000" w:sz="4" w:space="0"/>
                    <w:right w:val="single" w:color="000000" w:sz="4" w:space="0"/>
                  </w:tcBorders>
                </w:tcPr>
                <w:p w14:paraId="3550E6BC"/>
              </w:tc>
              <w:tc>
                <w:tcPr>
                  <w:tcW w:w="8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9FB9D7">
                  <w:pPr>
                    <w:pStyle w:val="4"/>
                    <w:jc w:val="center"/>
                  </w:pPr>
                  <w:r>
                    <w:rPr>
                      <w:rFonts w:ascii="仿宋_GB2312" w:hAnsi="仿宋_GB2312" w:eastAsia="仿宋_GB2312" w:cs="仿宋_GB2312"/>
                      <w:sz w:val="21"/>
                    </w:rPr>
                    <w:t>业务水平</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3546A98">
                  <w:pPr>
                    <w:pStyle w:val="4"/>
                    <w:jc w:val="center"/>
                  </w:pPr>
                  <w:r>
                    <w:rPr>
                      <w:rFonts w:ascii="仿宋_GB2312" w:hAnsi="仿宋_GB2312" w:eastAsia="仿宋_GB2312" w:cs="仿宋_GB2312"/>
                      <w:sz w:val="21"/>
                    </w:rPr>
                    <w:t xml:space="preserve"> 出现服务人员负责的工作因业务不熟悉或能力水平等原因影响工作的，经查核实的。每出现1次扣1-2分，如情节严重则每出现1次酌情扣3-8分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C0E354">
                  <w:pPr>
                    <w:pStyle w:val="4"/>
                    <w:jc w:val="center"/>
                  </w:pPr>
                  <w:r>
                    <w:rPr>
                      <w:rFonts w:ascii="仿宋_GB2312" w:hAnsi="仿宋_GB2312" w:eastAsia="仿宋_GB2312" w:cs="仿宋_GB2312"/>
                      <w:sz w:val="21"/>
                    </w:rPr>
                    <w:t>8</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88AC4F6">
                  <w:pPr>
                    <w:pStyle w:val="4"/>
                    <w:jc w:val="center"/>
                  </w:pPr>
                </w:p>
              </w:tc>
            </w:tr>
            <w:tr w14:paraId="66CF3A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continue"/>
                  <w:tcBorders>
                    <w:top w:val="nil"/>
                    <w:left w:val="single" w:color="000000" w:sz="4" w:space="0"/>
                    <w:bottom w:val="single" w:color="000000" w:sz="4" w:space="0"/>
                    <w:right w:val="single" w:color="000000" w:sz="4" w:space="0"/>
                  </w:tcBorders>
                </w:tcPr>
                <w:p w14:paraId="130B3147"/>
              </w:tc>
              <w:tc>
                <w:tcPr>
                  <w:tcW w:w="8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3901F6A">
                  <w:pPr>
                    <w:pStyle w:val="4"/>
                    <w:jc w:val="center"/>
                  </w:pPr>
                  <w:r>
                    <w:rPr>
                      <w:rFonts w:ascii="仿宋_GB2312" w:hAnsi="仿宋_GB2312" w:eastAsia="仿宋_GB2312" w:cs="仿宋_GB2312"/>
                      <w:sz w:val="21"/>
                    </w:rPr>
                    <w:t>工作质量</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A5EE39">
                  <w:pPr>
                    <w:pStyle w:val="4"/>
                    <w:jc w:val="center"/>
                  </w:pPr>
                  <w:r>
                    <w:rPr>
                      <w:rFonts w:ascii="仿宋_GB2312" w:hAnsi="仿宋_GB2312" w:eastAsia="仿宋_GB2312" w:cs="仿宋_GB2312"/>
                      <w:sz w:val="21"/>
                    </w:rPr>
                    <w:t xml:space="preserve"> 出现对服务人员负责的工作质量不高，欠缺工作积极性等原因造成不良影响的。每出现1次扣1-2分，如情节严重则每出现1次酌情扣3-8分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DB18161">
                  <w:pPr>
                    <w:pStyle w:val="4"/>
                    <w:jc w:val="center"/>
                  </w:pPr>
                  <w:r>
                    <w:rPr>
                      <w:rFonts w:ascii="仿宋_GB2312" w:hAnsi="仿宋_GB2312" w:eastAsia="仿宋_GB2312" w:cs="仿宋_GB2312"/>
                      <w:sz w:val="21"/>
                    </w:rPr>
                    <w:t>8</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D332D5">
                  <w:pPr>
                    <w:pStyle w:val="4"/>
                    <w:jc w:val="center"/>
                  </w:pPr>
                </w:p>
              </w:tc>
            </w:tr>
            <w:tr w14:paraId="79A8F2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continue"/>
                  <w:tcBorders>
                    <w:top w:val="nil"/>
                    <w:left w:val="single" w:color="000000" w:sz="4" w:space="0"/>
                    <w:bottom w:val="single" w:color="000000" w:sz="4" w:space="0"/>
                    <w:right w:val="single" w:color="000000" w:sz="4" w:space="0"/>
                  </w:tcBorders>
                </w:tcPr>
                <w:p w14:paraId="0B6577E8"/>
              </w:tc>
              <w:tc>
                <w:tcPr>
                  <w:tcW w:w="8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CDBAF8">
                  <w:pPr>
                    <w:pStyle w:val="4"/>
                    <w:jc w:val="center"/>
                  </w:pPr>
                  <w:r>
                    <w:rPr>
                      <w:rFonts w:ascii="仿宋_GB2312" w:hAnsi="仿宋_GB2312" w:eastAsia="仿宋_GB2312" w:cs="仿宋_GB2312"/>
                      <w:sz w:val="21"/>
                    </w:rPr>
                    <w:t>劳动纪律</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5C9FB78">
                  <w:pPr>
                    <w:pStyle w:val="4"/>
                    <w:ind w:firstLine="210"/>
                    <w:jc w:val="both"/>
                  </w:pPr>
                  <w:r>
                    <w:rPr>
                      <w:rFonts w:ascii="仿宋_GB2312" w:hAnsi="仿宋_GB2312" w:eastAsia="仿宋_GB2312" w:cs="仿宋_GB2312"/>
                      <w:sz w:val="21"/>
                    </w:rPr>
                    <w:t>1.服务人员违反采购人规章制度的。</w:t>
                  </w:r>
                </w:p>
                <w:p w14:paraId="519EE192">
                  <w:pPr>
                    <w:pStyle w:val="4"/>
                    <w:ind w:firstLine="210"/>
                    <w:jc w:val="both"/>
                  </w:pPr>
                  <w:r>
                    <w:rPr>
                      <w:rFonts w:ascii="仿宋_GB2312" w:hAnsi="仿宋_GB2312" w:eastAsia="仿宋_GB2312" w:cs="仿宋_GB2312"/>
                      <w:sz w:val="21"/>
                    </w:rPr>
                    <w:t>2.服务人员在外兼职，对完成采购人工作任务造成影响，拒不改正的。</w:t>
                  </w:r>
                </w:p>
                <w:p w14:paraId="25D840E1">
                  <w:pPr>
                    <w:pStyle w:val="4"/>
                    <w:ind w:firstLine="210"/>
                    <w:jc w:val="both"/>
                  </w:pPr>
                  <w:r>
                    <w:rPr>
                      <w:rFonts w:ascii="仿宋_GB2312" w:hAnsi="仿宋_GB2312" w:eastAsia="仿宋_GB2312" w:cs="仿宋_GB2312"/>
                      <w:sz w:val="21"/>
                    </w:rPr>
                    <w:t>每出现1次扣1-2分，如情节严重则每出现1次酌情扣3-8分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938A878">
                  <w:pPr>
                    <w:pStyle w:val="4"/>
                    <w:jc w:val="center"/>
                  </w:pPr>
                  <w:r>
                    <w:rPr>
                      <w:rFonts w:ascii="仿宋_GB2312" w:hAnsi="仿宋_GB2312" w:eastAsia="仿宋_GB2312" w:cs="仿宋_GB2312"/>
                      <w:sz w:val="21"/>
                    </w:rPr>
                    <w:t>8</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8E36172">
                  <w:pPr>
                    <w:pStyle w:val="4"/>
                    <w:jc w:val="center"/>
                  </w:pPr>
                </w:p>
              </w:tc>
            </w:tr>
            <w:tr w14:paraId="0B2568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2EC5DF5">
                  <w:pPr>
                    <w:pStyle w:val="4"/>
                    <w:jc w:val="center"/>
                  </w:pPr>
                  <w:r>
                    <w:rPr>
                      <w:rFonts w:ascii="仿宋_GB2312" w:hAnsi="仿宋_GB2312" w:eastAsia="仿宋_GB2312" w:cs="仿宋_GB2312"/>
                      <w:sz w:val="21"/>
                    </w:rPr>
                    <w:t>服务质量</w:t>
                  </w:r>
                </w:p>
              </w:tc>
              <w:tc>
                <w:tcPr>
                  <w:tcW w:w="8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16F7373">
                  <w:pPr>
                    <w:pStyle w:val="4"/>
                    <w:jc w:val="center"/>
                  </w:pPr>
                  <w:r>
                    <w:rPr>
                      <w:rFonts w:ascii="仿宋_GB2312" w:hAnsi="仿宋_GB2312" w:eastAsia="仿宋_GB2312" w:cs="仿宋_GB2312"/>
                      <w:sz w:val="21"/>
                    </w:rPr>
                    <w:t>数据管理</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A7A1043">
                  <w:pPr>
                    <w:pStyle w:val="4"/>
                    <w:jc w:val="left"/>
                  </w:pPr>
                  <w:r>
                    <w:rPr>
                      <w:rFonts w:ascii="仿宋_GB2312" w:hAnsi="仿宋_GB2312" w:eastAsia="仿宋_GB2312" w:cs="仿宋_GB2312"/>
                      <w:sz w:val="21"/>
                    </w:rPr>
                    <w:t xml:space="preserve">  全年规范完成数据管理、数据统计、信息录入，保障系统数据真实、准确、完整、及时，落实到位得满分；年度内出现数据错录、漏录、统计偏差、更新滞后的，每次扣1分；因数据问题造成上级通报、业务失误的，本项年度不得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9739D4">
                  <w:pPr>
                    <w:pStyle w:val="4"/>
                    <w:jc w:val="center"/>
                  </w:pPr>
                  <w:r>
                    <w:rPr>
                      <w:rFonts w:ascii="仿宋_GB2312" w:hAnsi="仿宋_GB2312" w:eastAsia="仿宋_GB2312" w:cs="仿宋_GB2312"/>
                      <w:sz w:val="21"/>
                    </w:rPr>
                    <w:t>10</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21363B">
                  <w:pPr>
                    <w:pStyle w:val="4"/>
                    <w:jc w:val="both"/>
                  </w:pPr>
                </w:p>
              </w:tc>
            </w:tr>
            <w:tr w14:paraId="753583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continue"/>
                  <w:tcBorders>
                    <w:top w:val="nil"/>
                    <w:left w:val="single" w:color="000000" w:sz="4" w:space="0"/>
                    <w:bottom w:val="single" w:color="000000" w:sz="4" w:space="0"/>
                    <w:right w:val="single" w:color="000000" w:sz="4" w:space="0"/>
                  </w:tcBorders>
                </w:tcPr>
                <w:p w14:paraId="32BCF9C1"/>
              </w:tc>
              <w:tc>
                <w:tcPr>
                  <w:tcW w:w="8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B9BD776">
                  <w:pPr>
                    <w:pStyle w:val="4"/>
                    <w:jc w:val="center"/>
                  </w:pPr>
                  <w:r>
                    <w:rPr>
                      <w:rFonts w:ascii="仿宋_GB2312" w:hAnsi="仿宋_GB2312" w:eastAsia="仿宋_GB2312" w:cs="仿宋_GB2312"/>
                      <w:sz w:val="21"/>
                    </w:rPr>
                    <w:t>统筹协调</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3ABE526">
                  <w:pPr>
                    <w:pStyle w:val="4"/>
                    <w:ind w:firstLine="210"/>
                    <w:jc w:val="left"/>
                  </w:pPr>
                  <w:r>
                    <w:rPr>
                      <w:rFonts w:ascii="仿宋_GB2312" w:hAnsi="仿宋_GB2312" w:eastAsia="仿宋_GB2312" w:cs="仿宋_GB2312"/>
                      <w:sz w:val="21"/>
                    </w:rPr>
                    <w:t>全年协助做好各系统运行服务、运行人员协调管理及日常督办，常态化开展安全生产、自然灾害信息接收、研判、分转、报送工作，按上级要求完成全年度各类数据收集、汇总、上报工作。年度出现信息漏报、迟报、错报每次扣2分；工作协调不力、督办落实不到位导致年度工作滞后的，酌情扣3-10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19D239">
                  <w:pPr>
                    <w:pStyle w:val="4"/>
                    <w:jc w:val="center"/>
                  </w:pPr>
                  <w:r>
                    <w:rPr>
                      <w:rFonts w:ascii="仿宋_GB2312" w:hAnsi="仿宋_GB2312" w:eastAsia="仿宋_GB2312" w:cs="仿宋_GB2312"/>
                      <w:sz w:val="21"/>
                    </w:rPr>
                    <w:t>10</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5A0C351">
                  <w:pPr>
                    <w:pStyle w:val="4"/>
                    <w:jc w:val="both"/>
                  </w:pPr>
                </w:p>
              </w:tc>
            </w:tr>
            <w:tr w14:paraId="06176E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9" w:type="dxa"/>
                  <w:vMerge w:val="continue"/>
                  <w:tcBorders>
                    <w:top w:val="nil"/>
                    <w:left w:val="single" w:color="000000" w:sz="4" w:space="0"/>
                    <w:bottom w:val="single" w:color="000000" w:sz="4" w:space="0"/>
                    <w:right w:val="single" w:color="000000" w:sz="4" w:space="0"/>
                  </w:tcBorders>
                </w:tcPr>
                <w:p w14:paraId="30CA5A0E"/>
              </w:tc>
              <w:tc>
                <w:tcPr>
                  <w:tcW w:w="8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9930199">
                  <w:pPr>
                    <w:pStyle w:val="4"/>
                    <w:jc w:val="center"/>
                  </w:pPr>
                  <w:r>
                    <w:rPr>
                      <w:rFonts w:ascii="仿宋_GB2312" w:hAnsi="仿宋_GB2312" w:eastAsia="仿宋_GB2312" w:cs="仿宋_GB2312"/>
                      <w:sz w:val="21"/>
                    </w:rPr>
                    <w:t>任务落实</w:t>
                  </w:r>
                </w:p>
              </w:tc>
              <w:tc>
                <w:tcPr>
                  <w:tcW w:w="568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60BAE6E">
                  <w:pPr>
                    <w:pStyle w:val="4"/>
                    <w:ind w:firstLine="210"/>
                    <w:jc w:val="left"/>
                  </w:pPr>
                  <w:r>
                    <w:rPr>
                      <w:rFonts w:ascii="仿宋_GB2312" w:hAnsi="仿宋_GB2312" w:eastAsia="仿宋_GB2312" w:cs="仿宋_GB2312"/>
                      <w:sz w:val="21"/>
                    </w:rPr>
                    <w:t>全年及时响应、保质保量完成上级交办的各类临时性、专项性工作任务，做到响应及时、执行到位、反馈准确。年度内出现响应滞后、落实不到位、反馈有误每次扣1分，扣完为止；服务人员因多次推诿不作为、拒不配合工作的，本项不得分。</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D34BA2">
                  <w:pPr>
                    <w:pStyle w:val="4"/>
                    <w:jc w:val="center"/>
                  </w:pPr>
                  <w:r>
                    <w:rPr>
                      <w:rFonts w:ascii="仿宋_GB2312" w:hAnsi="仿宋_GB2312" w:eastAsia="仿宋_GB2312" w:cs="仿宋_GB2312"/>
                      <w:sz w:val="21"/>
                    </w:rPr>
                    <w:t>10</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64048A">
                  <w:pPr>
                    <w:pStyle w:val="4"/>
                    <w:jc w:val="both"/>
                  </w:pPr>
                </w:p>
              </w:tc>
            </w:tr>
            <w:tr w14:paraId="4FC948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2" w:type="dxa"/>
                  <w:gridSpan w:val="3"/>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17801C">
                  <w:pPr>
                    <w:pStyle w:val="4"/>
                    <w:jc w:val="center"/>
                  </w:pPr>
                  <w:r>
                    <w:rPr>
                      <w:rFonts w:ascii="仿宋_GB2312" w:hAnsi="仿宋_GB2312" w:eastAsia="仿宋_GB2312" w:cs="仿宋_GB2312"/>
                      <w:sz w:val="21"/>
                    </w:rPr>
                    <w:t>合计</w:t>
                  </w:r>
                </w:p>
              </w:tc>
              <w:tc>
                <w:tcPr>
                  <w:tcW w:w="6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7044905">
                  <w:pPr>
                    <w:pStyle w:val="4"/>
                    <w:jc w:val="center"/>
                  </w:pPr>
                  <w:r>
                    <w:rPr>
                      <w:rFonts w:ascii="仿宋_GB2312" w:hAnsi="仿宋_GB2312" w:eastAsia="仿宋_GB2312" w:cs="仿宋_GB2312"/>
                      <w:sz w:val="21"/>
                    </w:rPr>
                    <w:t>100</w:t>
                  </w:r>
                </w:p>
              </w:tc>
              <w:tc>
                <w:tcPr>
                  <w:tcW w:w="57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85166ED">
                  <w:pPr>
                    <w:pStyle w:val="4"/>
                    <w:jc w:val="center"/>
                  </w:pPr>
                </w:p>
              </w:tc>
            </w:tr>
            <w:tr w14:paraId="72CAB8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86" w:type="dxa"/>
                  <w:gridSpan w:val="5"/>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4C91F32">
                  <w:pPr>
                    <w:pStyle w:val="4"/>
                    <w:jc w:val="both"/>
                  </w:pPr>
                  <w:r>
                    <w:rPr>
                      <w:rFonts w:ascii="仿宋_GB2312" w:hAnsi="仿宋_GB2312" w:eastAsia="仿宋_GB2312" w:cs="仿宋_GB2312"/>
                      <w:sz w:val="24"/>
                    </w:rPr>
                    <w:t>考核中存在的问题及工作建议：</w:t>
                  </w:r>
                </w:p>
              </w:tc>
            </w:tr>
          </w:tbl>
          <w:p w14:paraId="2C2B4041"/>
        </w:tc>
      </w:tr>
    </w:tbl>
    <w:p w14:paraId="3F9F572F">
      <w:pPr>
        <w:pStyle w:val="4"/>
        <w:jc w:val="left"/>
        <w:outlineLvl w:val="2"/>
      </w:pPr>
      <w:r>
        <w:rPr>
          <w:rFonts w:ascii="仿宋_GB2312" w:hAnsi="仿宋_GB2312" w:eastAsia="仿宋_GB2312" w:cs="仿宋_GB2312"/>
          <w:b/>
          <w:sz w:val="28"/>
        </w:rPr>
        <w:t>3.3.服务要求</w:t>
      </w:r>
    </w:p>
    <w:p w14:paraId="07FD6AF0">
      <w:pPr>
        <w:pStyle w:val="4"/>
        <w:jc w:val="left"/>
        <w:outlineLvl w:val="3"/>
      </w:pPr>
      <w:r>
        <w:rPr>
          <w:rFonts w:ascii="仿宋_GB2312" w:hAnsi="仿宋_GB2312" w:eastAsia="仿宋_GB2312" w:cs="仿宋_GB2312"/>
          <w:b/>
          <w:sz w:val="24"/>
        </w:rPr>
        <w:t>3.3.1服务内容要求</w:t>
      </w:r>
    </w:p>
    <w:p w14:paraId="48ABB59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2513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EC9590">
            <w:pPr>
              <w:pStyle w:val="4"/>
              <w:jc w:val="center"/>
            </w:pPr>
            <w:r>
              <w:rPr>
                <w:rFonts w:ascii="仿宋_GB2312" w:hAnsi="仿宋_GB2312" w:eastAsia="仿宋_GB2312" w:cs="仿宋_GB2312"/>
              </w:rPr>
              <w:t xml:space="preserve"> 序号</w:t>
            </w:r>
          </w:p>
        </w:tc>
        <w:tc>
          <w:tcPr>
            <w:tcW w:w="581" w:type="dxa"/>
          </w:tcPr>
          <w:p w14:paraId="19519F4A">
            <w:pPr>
              <w:pStyle w:val="4"/>
              <w:jc w:val="center"/>
            </w:pPr>
            <w:r>
              <w:rPr>
                <w:rFonts w:ascii="仿宋_GB2312" w:hAnsi="仿宋_GB2312" w:eastAsia="仿宋_GB2312" w:cs="仿宋_GB2312"/>
              </w:rPr>
              <w:t xml:space="preserve"> 符号标识</w:t>
            </w:r>
          </w:p>
        </w:tc>
        <w:tc>
          <w:tcPr>
            <w:tcW w:w="1495" w:type="dxa"/>
          </w:tcPr>
          <w:p w14:paraId="4FF4980F">
            <w:pPr>
              <w:pStyle w:val="4"/>
              <w:jc w:val="center"/>
            </w:pPr>
            <w:r>
              <w:rPr>
                <w:rFonts w:ascii="仿宋_GB2312" w:hAnsi="仿宋_GB2312" w:eastAsia="仿宋_GB2312" w:cs="仿宋_GB2312"/>
              </w:rPr>
              <w:t xml:space="preserve"> 服务要求名称</w:t>
            </w:r>
          </w:p>
        </w:tc>
        <w:tc>
          <w:tcPr>
            <w:tcW w:w="5814" w:type="dxa"/>
          </w:tcPr>
          <w:p w14:paraId="7C626017">
            <w:pPr>
              <w:pStyle w:val="4"/>
              <w:jc w:val="center"/>
            </w:pPr>
            <w:r>
              <w:rPr>
                <w:rFonts w:ascii="仿宋_GB2312" w:hAnsi="仿宋_GB2312" w:eastAsia="仿宋_GB2312" w:cs="仿宋_GB2312"/>
              </w:rPr>
              <w:t xml:space="preserve"> 服务要求内容</w:t>
            </w:r>
          </w:p>
        </w:tc>
      </w:tr>
      <w:tr w14:paraId="1EE68F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EC75CD5">
            <w:pPr>
              <w:pStyle w:val="4"/>
              <w:jc w:val="center"/>
            </w:pPr>
            <w:r>
              <w:rPr>
                <w:rFonts w:ascii="仿宋_GB2312" w:hAnsi="仿宋_GB2312" w:eastAsia="仿宋_GB2312" w:cs="仿宋_GB2312"/>
              </w:rPr>
              <w:t>无</w:t>
            </w:r>
          </w:p>
        </w:tc>
      </w:tr>
    </w:tbl>
    <w:p w14:paraId="611A3B18">
      <w:pPr>
        <w:pStyle w:val="4"/>
        <w:jc w:val="left"/>
        <w:outlineLvl w:val="3"/>
      </w:pPr>
      <w:r>
        <w:rPr>
          <w:rFonts w:ascii="仿宋_GB2312" w:hAnsi="仿宋_GB2312" w:eastAsia="仿宋_GB2312" w:cs="仿宋_GB2312"/>
          <w:b/>
          <w:sz w:val="24"/>
        </w:rPr>
        <w:t>3.3.2.商务要求</w:t>
      </w:r>
    </w:p>
    <w:p w14:paraId="1B8D96B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1E474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0EE2A0">
            <w:pPr>
              <w:pStyle w:val="4"/>
              <w:jc w:val="left"/>
            </w:pPr>
            <w:r>
              <w:rPr>
                <w:rFonts w:ascii="仿宋_GB2312" w:hAnsi="仿宋_GB2312" w:eastAsia="仿宋_GB2312" w:cs="仿宋_GB2312"/>
              </w:rPr>
              <w:t>序号</w:t>
            </w:r>
          </w:p>
        </w:tc>
        <w:tc>
          <w:tcPr>
            <w:tcW w:w="2076" w:type="dxa"/>
          </w:tcPr>
          <w:p w14:paraId="7B23952C">
            <w:pPr>
              <w:pStyle w:val="4"/>
              <w:jc w:val="left"/>
            </w:pPr>
            <w:r>
              <w:rPr>
                <w:rFonts w:ascii="仿宋_GB2312" w:hAnsi="仿宋_GB2312" w:eastAsia="仿宋_GB2312" w:cs="仿宋_GB2312"/>
              </w:rPr>
              <w:t>符号标识</w:t>
            </w:r>
          </w:p>
        </w:tc>
        <w:tc>
          <w:tcPr>
            <w:tcW w:w="2076" w:type="dxa"/>
          </w:tcPr>
          <w:p w14:paraId="3550AFCF">
            <w:pPr>
              <w:pStyle w:val="4"/>
              <w:jc w:val="left"/>
            </w:pPr>
            <w:r>
              <w:rPr>
                <w:rFonts w:ascii="仿宋_GB2312" w:hAnsi="仿宋_GB2312" w:eastAsia="仿宋_GB2312" w:cs="仿宋_GB2312"/>
              </w:rPr>
              <w:t>商务要求名称</w:t>
            </w:r>
          </w:p>
        </w:tc>
        <w:tc>
          <w:tcPr>
            <w:tcW w:w="2076" w:type="dxa"/>
          </w:tcPr>
          <w:p w14:paraId="5A040A92">
            <w:pPr>
              <w:pStyle w:val="4"/>
              <w:jc w:val="left"/>
            </w:pPr>
            <w:r>
              <w:rPr>
                <w:rFonts w:ascii="仿宋_GB2312" w:hAnsi="仿宋_GB2312" w:eastAsia="仿宋_GB2312" w:cs="仿宋_GB2312"/>
              </w:rPr>
              <w:t>商务要求内容</w:t>
            </w:r>
          </w:p>
        </w:tc>
      </w:tr>
      <w:tr w14:paraId="18933C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B8D835">
            <w:pPr>
              <w:pStyle w:val="4"/>
              <w:jc w:val="left"/>
            </w:pPr>
            <w:r>
              <w:rPr>
                <w:rFonts w:ascii="仿宋_GB2312" w:hAnsi="仿宋_GB2312" w:eastAsia="仿宋_GB2312" w:cs="仿宋_GB2312"/>
              </w:rPr>
              <w:t>1</w:t>
            </w:r>
          </w:p>
        </w:tc>
        <w:tc>
          <w:tcPr>
            <w:tcW w:w="2076" w:type="dxa"/>
          </w:tcPr>
          <w:p w14:paraId="078B30DB">
            <w:pPr>
              <w:pStyle w:val="4"/>
              <w:jc w:val="left"/>
            </w:pPr>
            <w:r>
              <w:rPr>
                <w:rFonts w:ascii="仿宋_GB2312" w:hAnsi="仿宋_GB2312" w:eastAsia="仿宋_GB2312" w:cs="仿宋_GB2312"/>
              </w:rPr>
              <w:t>★</w:t>
            </w:r>
          </w:p>
        </w:tc>
        <w:tc>
          <w:tcPr>
            <w:tcW w:w="2076" w:type="dxa"/>
          </w:tcPr>
          <w:p w14:paraId="316AFD1B">
            <w:pPr>
              <w:pStyle w:val="4"/>
              <w:jc w:val="left"/>
            </w:pPr>
            <w:r>
              <w:rPr>
                <w:rFonts w:ascii="仿宋_GB2312" w:hAnsi="仿宋_GB2312" w:eastAsia="仿宋_GB2312" w:cs="仿宋_GB2312"/>
              </w:rPr>
              <w:t>服务期限</w:t>
            </w:r>
          </w:p>
        </w:tc>
        <w:tc>
          <w:tcPr>
            <w:tcW w:w="2076" w:type="dxa"/>
          </w:tcPr>
          <w:p w14:paraId="6E4EB910">
            <w:pPr>
              <w:pStyle w:val="4"/>
              <w:jc w:val="left"/>
            </w:pPr>
            <w:r>
              <w:rPr>
                <w:rFonts w:ascii="仿宋_GB2312" w:hAnsi="仿宋_GB2312" w:eastAsia="仿宋_GB2312" w:cs="仿宋_GB2312"/>
              </w:rPr>
              <w:t>服务期限为三年，合同一年一签，每年验收合格续签下一年合同。</w:t>
            </w:r>
          </w:p>
        </w:tc>
      </w:tr>
      <w:tr w14:paraId="637602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46B1565">
            <w:pPr>
              <w:pStyle w:val="4"/>
              <w:jc w:val="left"/>
            </w:pPr>
            <w:r>
              <w:rPr>
                <w:rFonts w:ascii="仿宋_GB2312" w:hAnsi="仿宋_GB2312" w:eastAsia="仿宋_GB2312" w:cs="仿宋_GB2312"/>
              </w:rPr>
              <w:t>2</w:t>
            </w:r>
          </w:p>
        </w:tc>
        <w:tc>
          <w:tcPr>
            <w:tcW w:w="2076" w:type="dxa"/>
          </w:tcPr>
          <w:p w14:paraId="56064343">
            <w:pPr>
              <w:pStyle w:val="4"/>
              <w:jc w:val="left"/>
            </w:pPr>
            <w:r>
              <w:rPr>
                <w:rFonts w:ascii="仿宋_GB2312" w:hAnsi="仿宋_GB2312" w:eastAsia="仿宋_GB2312" w:cs="仿宋_GB2312"/>
              </w:rPr>
              <w:t>★</w:t>
            </w:r>
          </w:p>
        </w:tc>
        <w:tc>
          <w:tcPr>
            <w:tcW w:w="2076" w:type="dxa"/>
          </w:tcPr>
          <w:p w14:paraId="184F60CA">
            <w:pPr>
              <w:pStyle w:val="4"/>
              <w:jc w:val="left"/>
            </w:pPr>
            <w:r>
              <w:rPr>
                <w:rFonts w:ascii="仿宋_GB2312" w:hAnsi="仿宋_GB2312" w:eastAsia="仿宋_GB2312" w:cs="仿宋_GB2312"/>
              </w:rPr>
              <w:t>服务地点</w:t>
            </w:r>
          </w:p>
        </w:tc>
        <w:tc>
          <w:tcPr>
            <w:tcW w:w="2076" w:type="dxa"/>
          </w:tcPr>
          <w:p w14:paraId="46D1C985">
            <w:pPr>
              <w:pStyle w:val="4"/>
              <w:jc w:val="left"/>
            </w:pPr>
            <w:r>
              <w:rPr>
                <w:rFonts w:ascii="仿宋_GB2312" w:hAnsi="仿宋_GB2312" w:eastAsia="仿宋_GB2312" w:cs="仿宋_GB2312"/>
              </w:rPr>
              <w:t>采购人指定地点</w:t>
            </w:r>
          </w:p>
        </w:tc>
      </w:tr>
      <w:tr w14:paraId="7A37FD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1C85C0C">
            <w:pPr>
              <w:pStyle w:val="4"/>
              <w:jc w:val="left"/>
            </w:pPr>
            <w:r>
              <w:rPr>
                <w:rFonts w:ascii="仿宋_GB2312" w:hAnsi="仿宋_GB2312" w:eastAsia="仿宋_GB2312" w:cs="仿宋_GB2312"/>
              </w:rPr>
              <w:t>3</w:t>
            </w:r>
          </w:p>
        </w:tc>
        <w:tc>
          <w:tcPr>
            <w:tcW w:w="2076" w:type="dxa"/>
          </w:tcPr>
          <w:p w14:paraId="4C89C5E3">
            <w:pPr>
              <w:pStyle w:val="4"/>
              <w:jc w:val="left"/>
            </w:pPr>
            <w:r>
              <w:rPr>
                <w:rFonts w:ascii="仿宋_GB2312" w:hAnsi="仿宋_GB2312" w:eastAsia="仿宋_GB2312" w:cs="仿宋_GB2312"/>
              </w:rPr>
              <w:t>★</w:t>
            </w:r>
          </w:p>
        </w:tc>
        <w:tc>
          <w:tcPr>
            <w:tcW w:w="2076" w:type="dxa"/>
          </w:tcPr>
          <w:p w14:paraId="5C517F6E">
            <w:pPr>
              <w:pStyle w:val="4"/>
              <w:jc w:val="left"/>
            </w:pPr>
            <w:r>
              <w:rPr>
                <w:rFonts w:ascii="仿宋_GB2312" w:hAnsi="仿宋_GB2312" w:eastAsia="仿宋_GB2312" w:cs="仿宋_GB2312"/>
              </w:rPr>
              <w:t>验收、交付标准和方法</w:t>
            </w:r>
          </w:p>
        </w:tc>
        <w:tc>
          <w:tcPr>
            <w:tcW w:w="2076" w:type="dxa"/>
          </w:tcPr>
          <w:p w14:paraId="23808EBA">
            <w:pPr>
              <w:pStyle w:val="4"/>
              <w:jc w:val="left"/>
            </w:pPr>
            <w:r>
              <w:rPr>
                <w:rFonts w:ascii="仿宋_GB2312" w:hAnsi="仿宋_GB2312" w:eastAsia="仿宋_GB2312" w:cs="仿宋_GB2312"/>
              </w:rPr>
              <w:t>1.验收标准：按国家有关规定以及采购文件的技术、服务要求，供应商的响应文件及承诺与本合同约定标准进行验收。 2.验收办法：成交供应商与采购人应严格按照《财政部关于进一步加强政府采购需求和履约验收管理的指导意见》(财库(2016)205号)和《政府采购需求管理办法》(财库(2021)22号)文件的要求进行验收。</w:t>
            </w:r>
          </w:p>
        </w:tc>
      </w:tr>
      <w:tr w14:paraId="2048DC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7F2EC11">
            <w:pPr>
              <w:pStyle w:val="4"/>
              <w:jc w:val="left"/>
            </w:pPr>
            <w:r>
              <w:rPr>
                <w:rFonts w:ascii="仿宋_GB2312" w:hAnsi="仿宋_GB2312" w:eastAsia="仿宋_GB2312" w:cs="仿宋_GB2312"/>
              </w:rPr>
              <w:t>4</w:t>
            </w:r>
          </w:p>
        </w:tc>
        <w:tc>
          <w:tcPr>
            <w:tcW w:w="2076" w:type="dxa"/>
          </w:tcPr>
          <w:p w14:paraId="7351BFEF">
            <w:pPr>
              <w:pStyle w:val="4"/>
              <w:jc w:val="left"/>
            </w:pPr>
            <w:r>
              <w:rPr>
                <w:rFonts w:ascii="仿宋_GB2312" w:hAnsi="仿宋_GB2312" w:eastAsia="仿宋_GB2312" w:cs="仿宋_GB2312"/>
              </w:rPr>
              <w:t>★</w:t>
            </w:r>
          </w:p>
        </w:tc>
        <w:tc>
          <w:tcPr>
            <w:tcW w:w="2076" w:type="dxa"/>
          </w:tcPr>
          <w:p w14:paraId="3A9DC44E">
            <w:pPr>
              <w:pStyle w:val="4"/>
              <w:jc w:val="left"/>
            </w:pPr>
            <w:r>
              <w:rPr>
                <w:rFonts w:ascii="仿宋_GB2312" w:hAnsi="仿宋_GB2312" w:eastAsia="仿宋_GB2312" w:cs="仿宋_GB2312"/>
              </w:rPr>
              <w:t>支付方式</w:t>
            </w:r>
          </w:p>
        </w:tc>
        <w:tc>
          <w:tcPr>
            <w:tcW w:w="2076" w:type="dxa"/>
          </w:tcPr>
          <w:p w14:paraId="4807641B">
            <w:pPr>
              <w:pStyle w:val="4"/>
              <w:jc w:val="left"/>
            </w:pPr>
            <w:r>
              <w:rPr>
                <w:rFonts w:ascii="仿宋_GB2312" w:hAnsi="仿宋_GB2312" w:eastAsia="仿宋_GB2312" w:cs="仿宋_GB2312"/>
              </w:rPr>
              <w:t>分期付款</w:t>
            </w:r>
          </w:p>
        </w:tc>
      </w:tr>
      <w:tr w14:paraId="09087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247E81">
            <w:pPr>
              <w:pStyle w:val="4"/>
              <w:jc w:val="left"/>
            </w:pPr>
            <w:r>
              <w:rPr>
                <w:rFonts w:ascii="仿宋_GB2312" w:hAnsi="仿宋_GB2312" w:eastAsia="仿宋_GB2312" w:cs="仿宋_GB2312"/>
              </w:rPr>
              <w:t>5</w:t>
            </w:r>
          </w:p>
        </w:tc>
        <w:tc>
          <w:tcPr>
            <w:tcW w:w="2076" w:type="dxa"/>
          </w:tcPr>
          <w:p w14:paraId="6C9CA21D">
            <w:pPr>
              <w:pStyle w:val="4"/>
              <w:jc w:val="left"/>
            </w:pPr>
            <w:r>
              <w:rPr>
                <w:rFonts w:ascii="仿宋_GB2312" w:hAnsi="仿宋_GB2312" w:eastAsia="仿宋_GB2312" w:cs="仿宋_GB2312"/>
              </w:rPr>
              <w:t>★</w:t>
            </w:r>
          </w:p>
        </w:tc>
        <w:tc>
          <w:tcPr>
            <w:tcW w:w="2076" w:type="dxa"/>
          </w:tcPr>
          <w:p w14:paraId="737E0E17">
            <w:pPr>
              <w:pStyle w:val="4"/>
              <w:jc w:val="left"/>
            </w:pPr>
            <w:r>
              <w:rPr>
                <w:rFonts w:ascii="仿宋_GB2312" w:hAnsi="仿宋_GB2312" w:eastAsia="仿宋_GB2312" w:cs="仿宋_GB2312"/>
              </w:rPr>
              <w:t>付款进度安排</w:t>
            </w:r>
          </w:p>
        </w:tc>
        <w:tc>
          <w:tcPr>
            <w:tcW w:w="2076" w:type="dxa"/>
          </w:tcPr>
          <w:p w14:paraId="773C172E">
            <w:pPr>
              <w:pStyle w:val="4"/>
              <w:jc w:val="left"/>
            </w:pPr>
            <w:r>
              <w:rPr>
                <w:rFonts w:ascii="仿宋_GB2312" w:hAnsi="仿宋_GB2312" w:eastAsia="仿宋_GB2312" w:cs="仿宋_GB2312"/>
              </w:rPr>
              <w:t>1、预付款，合同签订生效后，达到付款条件起10个工作日内，支付合同总金额的50.0%</w:t>
            </w:r>
            <w:r>
              <w:br w:type="textWrapping"/>
            </w:r>
            <w:r>
              <w:rPr>
                <w:rFonts w:ascii="仿宋_GB2312" w:hAnsi="仿宋_GB2312" w:eastAsia="仿宋_GB2312" w:cs="仿宋_GB2312"/>
              </w:rPr>
              <w:t>2、进度款，服务期满6个月后，达到付款条件起10个工作日内，支付合同总金额的30.0%</w:t>
            </w:r>
            <w:r>
              <w:br w:type="textWrapping"/>
            </w:r>
            <w:r>
              <w:rPr>
                <w:rFonts w:ascii="仿宋_GB2312" w:hAnsi="仿宋_GB2312" w:eastAsia="仿宋_GB2312" w:cs="仿宋_GB2312"/>
              </w:rPr>
              <w:t>3、尾款，服务期满12个月通过验收合格后，达到付款条件起10个工作日内，支付合同总金额的20.0%</w:t>
            </w:r>
            <w:r>
              <w:br w:type="textWrapping"/>
            </w:r>
          </w:p>
        </w:tc>
      </w:tr>
      <w:tr w14:paraId="6475B6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0C2CAF4">
            <w:pPr>
              <w:pStyle w:val="4"/>
              <w:jc w:val="left"/>
            </w:pPr>
            <w:r>
              <w:rPr>
                <w:rFonts w:ascii="仿宋_GB2312" w:hAnsi="仿宋_GB2312" w:eastAsia="仿宋_GB2312" w:cs="仿宋_GB2312"/>
              </w:rPr>
              <w:t>6</w:t>
            </w:r>
          </w:p>
        </w:tc>
        <w:tc>
          <w:tcPr>
            <w:tcW w:w="2076" w:type="dxa"/>
          </w:tcPr>
          <w:p w14:paraId="681DF90F">
            <w:pPr>
              <w:pStyle w:val="4"/>
              <w:jc w:val="left"/>
            </w:pPr>
            <w:r>
              <w:rPr>
                <w:rFonts w:ascii="仿宋_GB2312" w:hAnsi="仿宋_GB2312" w:eastAsia="仿宋_GB2312" w:cs="仿宋_GB2312"/>
              </w:rPr>
              <w:t>★</w:t>
            </w:r>
          </w:p>
        </w:tc>
        <w:tc>
          <w:tcPr>
            <w:tcW w:w="2076" w:type="dxa"/>
          </w:tcPr>
          <w:p w14:paraId="43CF7D6A">
            <w:pPr>
              <w:pStyle w:val="4"/>
              <w:jc w:val="left"/>
            </w:pPr>
            <w:r>
              <w:rPr>
                <w:rFonts w:ascii="仿宋_GB2312" w:hAnsi="仿宋_GB2312" w:eastAsia="仿宋_GB2312" w:cs="仿宋_GB2312"/>
              </w:rPr>
              <w:t>违约责任与解决争议的方法</w:t>
            </w:r>
          </w:p>
        </w:tc>
        <w:tc>
          <w:tcPr>
            <w:tcW w:w="2076" w:type="dxa"/>
          </w:tcPr>
          <w:p w14:paraId="13C258B7">
            <w:pPr>
              <w:pStyle w:val="4"/>
              <w:jc w:val="left"/>
            </w:pPr>
            <w:r>
              <w:rPr>
                <w:rFonts w:ascii="仿宋_GB2312" w:hAnsi="仿宋_GB2312" w:eastAsia="仿宋_GB2312" w:cs="仿宋_GB2312"/>
              </w:rPr>
              <w:t>1.采购人、中标供应商双方必须遵守本合同并执行合同中的各项规定，保证合同的正常履行。 2.在合同签订之日起，中标供应商在30天内未在采购人指定地点履行服务，采购人有权终止合同，并要求中标供应商支付中标金额1%的违约金。 3.签订合同时，采购人不得无故拖延合同签订时间，若因客观原因延期的需提前告知中标供应商，若无故延长合同签订时间，中标供应商有权要求采购人按中标金额1%的标准支付违约金。 4.如因中标供应商工作人员在履行职务过程中的疏忽、失职、过错等故意或者过失原因给采购人造成损失或侵害，包括但不限于采购人本身的人身损害和财产损失、由此而导致的采购人对任何第三方的法律责任等，中标供应商对此均应承担全部的赔偿责任。 5.在执行本合同中发生的或与本合同有关的争端，双方应通过友好协商解决，协商不能解决时，可向采购人所在地人民法院提起诉讼。</w:t>
            </w:r>
          </w:p>
        </w:tc>
      </w:tr>
    </w:tbl>
    <w:p w14:paraId="74400D4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C04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2026-06-22T08:01:55Z</dcterms:created>
  <dc:creator>贾娅</dc:creator>
  <cp:lastModifiedBy>头号玩家</cp:lastModifiedBy>
  <dcterms:modified xsi:type="dcterms:W3CDTF">2026-06-22T08:04:58Z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eyJoZGlkIjoiZGMxNjg5ZDIwOWRmNzRmZjNmMDc5N2FiN2MxYTZhYjgiLCJ1c2VySWQiOiIxNTMxMzAzMjk5In0=</vt:lpwstr>
  </property>
  <property fmtid="{D5CDD505-2E9C-101B-9397-08002B2CF9AE}" pid="4" name="ICV">
    <vt:lpwstr>E4D5D8A708244285880FE96DA087A976_12</vt:lpwstr>
  </property>
</Properties>
</file>