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0C588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480" w:lineRule="atLeast"/>
        <w:ind w:left="0" w:right="0" w:firstLine="420"/>
        <w:jc w:val="center"/>
        <w:rPr>
          <w:rFonts w:hint="default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bdr w:val="none" w:color="auto" w:sz="0" w:space="0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bdr w:val="none" w:color="auto" w:sz="0" w:space="0"/>
          <w:shd w:val="clear" w:fill="FFFFFF"/>
          <w:lang w:val="en-US" w:eastAsia="zh-CN"/>
        </w:rPr>
        <w:t>采购需求</w:t>
      </w:r>
    </w:p>
    <w:p w14:paraId="512EAC8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（注：本章的技术、服务及其他要求中，带“★”的要求为实质性要求。采购人、代理机构应当根据项目实际要求合理设定，并在第五章符合性审查中明确响应要求。）</w:t>
      </w:r>
    </w:p>
    <w:p w14:paraId="2E370B2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3.1.采购内容</w:t>
      </w:r>
    </w:p>
    <w:p w14:paraId="5A29D6A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采购包1：</w:t>
      </w:r>
    </w:p>
    <w:p w14:paraId="63BC118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采购包预算金额（元）: 393,984.00</w:t>
      </w:r>
    </w:p>
    <w:p w14:paraId="578D347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采购包最高限价（元）: 393,984.00</w:t>
      </w:r>
      <w:bookmarkStart w:id="0" w:name="_GoBack"/>
      <w:bookmarkEnd w:id="0"/>
    </w:p>
    <w:tbl>
      <w:tblPr>
        <w:tblW w:w="5000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58"/>
        <w:gridCol w:w="819"/>
        <w:gridCol w:w="1056"/>
        <w:gridCol w:w="1086"/>
        <w:gridCol w:w="1088"/>
        <w:gridCol w:w="684"/>
        <w:gridCol w:w="674"/>
        <w:gridCol w:w="674"/>
        <w:gridCol w:w="674"/>
        <w:gridCol w:w="616"/>
        <w:gridCol w:w="617"/>
      </w:tblGrid>
      <w:tr w14:paraId="2687C90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2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EAF4A1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85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04AD8E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采购品目名称</w:t>
            </w:r>
          </w:p>
        </w:tc>
        <w:tc>
          <w:tcPr>
            <w:tcW w:w="185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14B0C6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标的名称</w:t>
            </w:r>
          </w:p>
        </w:tc>
        <w:tc>
          <w:tcPr>
            <w:tcW w:w="185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4E0415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(计量单位)</w:t>
            </w:r>
          </w:p>
        </w:tc>
        <w:tc>
          <w:tcPr>
            <w:tcW w:w="185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A3777E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标的金额 （元）</w:t>
            </w:r>
          </w:p>
        </w:tc>
        <w:tc>
          <w:tcPr>
            <w:tcW w:w="185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A2F01C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所属行业</w:t>
            </w:r>
          </w:p>
        </w:tc>
        <w:tc>
          <w:tcPr>
            <w:tcW w:w="185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C7B588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是否涉及核心产品</w:t>
            </w:r>
          </w:p>
        </w:tc>
        <w:tc>
          <w:tcPr>
            <w:tcW w:w="185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7CC060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是否涉及采购进口产品</w:t>
            </w:r>
          </w:p>
        </w:tc>
        <w:tc>
          <w:tcPr>
            <w:tcW w:w="185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E9C5B1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是否涉及强制采购节能产品</w:t>
            </w:r>
          </w:p>
        </w:tc>
        <w:tc>
          <w:tcPr>
            <w:tcW w:w="14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5356B7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是否涉及优先采购节能产品</w:t>
            </w:r>
          </w:p>
        </w:tc>
        <w:tc>
          <w:tcPr>
            <w:tcW w:w="144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7A7CC6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是否涉及优先采购环境标志产品</w:t>
            </w:r>
          </w:p>
        </w:tc>
      </w:tr>
      <w:tr w14:paraId="4E3DDAD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26FD1C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2EA39D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C13050200 垃圾处理服务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7BC42C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温江区和盛镇绿化垃圾收运外包服务项目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9F03AF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righ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1.00（项）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5EF7F8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righ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393,984.00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E9C0DC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其他未列明行业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48C607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BCA44D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5194A7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B54D8B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F28B70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</w:tr>
    </w:tbl>
    <w:p w14:paraId="24EE58E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是否适用本国产品标准：否</w:t>
      </w:r>
    </w:p>
    <w:p w14:paraId="0BC1A17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报价要求</w:t>
      </w:r>
    </w:p>
    <w:p w14:paraId="2C2043E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采购包1：</w:t>
      </w:r>
    </w:p>
    <w:tbl>
      <w:tblPr>
        <w:tblW w:w="5000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70"/>
        <w:gridCol w:w="1796"/>
        <w:gridCol w:w="1477"/>
        <w:gridCol w:w="1318"/>
        <w:gridCol w:w="1153"/>
        <w:gridCol w:w="1732"/>
      </w:tblGrid>
      <w:tr w14:paraId="51AAFDD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30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265F7A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38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42D7BB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报价内容</w:t>
            </w:r>
          </w:p>
        </w:tc>
        <w:tc>
          <w:tcPr>
            <w:tcW w:w="25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5E22B0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数量（计量单位）</w:t>
            </w:r>
          </w:p>
        </w:tc>
        <w:tc>
          <w:tcPr>
            <w:tcW w:w="307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9EB84E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最高限价</w:t>
            </w:r>
          </w:p>
        </w:tc>
        <w:tc>
          <w:tcPr>
            <w:tcW w:w="25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B6072E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价款形式</w:t>
            </w:r>
          </w:p>
        </w:tc>
        <w:tc>
          <w:tcPr>
            <w:tcW w:w="43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958D8B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报价说明</w:t>
            </w:r>
          </w:p>
        </w:tc>
      </w:tr>
      <w:tr w14:paraId="645F566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B367AB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334468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温江区和盛镇绿化垃圾收运外包服务项目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1CCF06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1.00（项）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57CFAC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393,984.00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E6E199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总价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A74834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无</w:t>
            </w:r>
          </w:p>
        </w:tc>
      </w:tr>
    </w:tbl>
    <w:p w14:paraId="1434318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★注：本采购包涉及采购货物的，供应商响应产品应当明确品牌和规格型号并指向唯一产品，不能指向唯一产品的，应通过报价表唯一产品说明栏补充说明。</w:t>
      </w:r>
    </w:p>
    <w:p w14:paraId="3DCED5F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本项目涉及核心产品：</w:t>
      </w:r>
    </w:p>
    <w:p w14:paraId="618D20B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采购包1：</w:t>
      </w:r>
    </w:p>
    <w:tbl>
      <w:tblPr>
        <w:tblW w:w="5000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29"/>
        <w:gridCol w:w="2505"/>
        <w:gridCol w:w="2505"/>
        <w:gridCol w:w="2507"/>
      </w:tblGrid>
      <w:tr w14:paraId="1160B8F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7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67A7AB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56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6CD28D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采购品目名称</w:t>
            </w:r>
          </w:p>
        </w:tc>
        <w:tc>
          <w:tcPr>
            <w:tcW w:w="56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5258D4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标的名称</w:t>
            </w:r>
          </w:p>
        </w:tc>
        <w:tc>
          <w:tcPr>
            <w:tcW w:w="56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C6A154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产品名称</w:t>
            </w:r>
          </w:p>
        </w:tc>
      </w:tr>
      <w:tr w14:paraId="2337561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B61786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不涉及</w:t>
            </w:r>
          </w:p>
        </w:tc>
      </w:tr>
    </w:tbl>
    <w:p w14:paraId="5D09C32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注：涉及核心产品的，具体评审规定见第五章。</w:t>
      </w:r>
    </w:p>
    <w:p w14:paraId="7C01894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本项目涉及采购进口产品：</w:t>
      </w:r>
    </w:p>
    <w:p w14:paraId="2E9A252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采购包1：</w:t>
      </w:r>
    </w:p>
    <w:tbl>
      <w:tblPr>
        <w:tblW w:w="5000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29"/>
        <w:gridCol w:w="2505"/>
        <w:gridCol w:w="2505"/>
        <w:gridCol w:w="2507"/>
      </w:tblGrid>
      <w:tr w14:paraId="177C5D6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7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6ADC91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56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A56BC6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采购品目名称</w:t>
            </w:r>
          </w:p>
        </w:tc>
        <w:tc>
          <w:tcPr>
            <w:tcW w:w="56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56BB83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标的名称</w:t>
            </w:r>
          </w:p>
        </w:tc>
        <w:tc>
          <w:tcPr>
            <w:tcW w:w="56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F15ECC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产品名称</w:t>
            </w:r>
          </w:p>
        </w:tc>
      </w:tr>
      <w:tr w14:paraId="1F5F56E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35462D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不涉及</w:t>
            </w:r>
          </w:p>
        </w:tc>
      </w:tr>
    </w:tbl>
    <w:p w14:paraId="57FE164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★注：不涉及采购进口产品时，供应商不得提供进口产品进行响应；涉及采购进口产品时，如国产产品满足采购需求，也可提供国产产品进行响应。</w:t>
      </w:r>
    </w:p>
    <w:p w14:paraId="51E5AE9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本项目涉及强制采购节能产品：</w:t>
      </w:r>
    </w:p>
    <w:p w14:paraId="7863AA3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采购包1：</w:t>
      </w:r>
    </w:p>
    <w:tbl>
      <w:tblPr>
        <w:tblW w:w="5000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29"/>
        <w:gridCol w:w="2505"/>
        <w:gridCol w:w="2505"/>
        <w:gridCol w:w="2507"/>
      </w:tblGrid>
      <w:tr w14:paraId="29FF7C3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7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6299DD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56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512B38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采购品目名称</w:t>
            </w:r>
          </w:p>
        </w:tc>
        <w:tc>
          <w:tcPr>
            <w:tcW w:w="56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203A8B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标的名称</w:t>
            </w:r>
          </w:p>
        </w:tc>
        <w:tc>
          <w:tcPr>
            <w:tcW w:w="56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15FDC8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产品名称</w:t>
            </w:r>
          </w:p>
        </w:tc>
      </w:tr>
      <w:tr w14:paraId="4FB5DDE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89926D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不涉及</w:t>
            </w:r>
          </w:p>
        </w:tc>
      </w:tr>
    </w:tbl>
    <w:p w14:paraId="1987CEE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★注：响应产品属于《节能产品政府采购品目清单》中政府强制采购的产品，供应商应当提供由国家确定的认证机构出具的、处于有效期之内的节能产品认证证书的原件扫描件或“全国认证认可信息公共服务平台”（http://cx.cnca.cn）的认证信息截图，否则作无效响应处理。具体要求详见第五章符合性审查表。</w:t>
      </w:r>
    </w:p>
    <w:p w14:paraId="53A8548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480" w:lineRule="atLeast"/>
        <w:ind w:left="0" w:right="0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本项目涉及优先采购节能产品：</w:t>
      </w:r>
    </w:p>
    <w:p w14:paraId="2A368D4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采购包1：</w:t>
      </w:r>
    </w:p>
    <w:tbl>
      <w:tblPr>
        <w:tblW w:w="5000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29"/>
        <w:gridCol w:w="2505"/>
        <w:gridCol w:w="2505"/>
        <w:gridCol w:w="2507"/>
      </w:tblGrid>
      <w:tr w14:paraId="34AB8C0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7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CA1293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56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AF67E9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采购品目名称</w:t>
            </w:r>
          </w:p>
        </w:tc>
        <w:tc>
          <w:tcPr>
            <w:tcW w:w="56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DB17B8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标的名称</w:t>
            </w:r>
          </w:p>
        </w:tc>
        <w:tc>
          <w:tcPr>
            <w:tcW w:w="56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39D466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产品名称</w:t>
            </w:r>
          </w:p>
        </w:tc>
      </w:tr>
      <w:tr w14:paraId="60DE5E4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A0A758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不涉及</w:t>
            </w:r>
          </w:p>
        </w:tc>
      </w:tr>
    </w:tbl>
    <w:p w14:paraId="5126E3E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注：响应产品属于《节能产品政府采购品目清单》中优先采购的产品，供应商提供由国家确定的认证机构出具的、处于有效期之内的节能产品认证证书的原件扫描件或“全国认证认可信息公共服务平台”（http://cx.cnca.cn）的认证信息截图，可以享受优先采购政策。具体要求详见第五章规定。</w:t>
      </w:r>
    </w:p>
    <w:p w14:paraId="164884C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本项目涉及优先采购环境标志产品：</w:t>
      </w:r>
    </w:p>
    <w:p w14:paraId="2C09B13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采购包1：</w:t>
      </w:r>
    </w:p>
    <w:tbl>
      <w:tblPr>
        <w:tblW w:w="5000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29"/>
        <w:gridCol w:w="2505"/>
        <w:gridCol w:w="2505"/>
        <w:gridCol w:w="2507"/>
      </w:tblGrid>
      <w:tr w14:paraId="07A36E6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7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F2783D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56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15FB51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采购品目名称</w:t>
            </w:r>
          </w:p>
        </w:tc>
        <w:tc>
          <w:tcPr>
            <w:tcW w:w="56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C48693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标的名称</w:t>
            </w:r>
          </w:p>
        </w:tc>
        <w:tc>
          <w:tcPr>
            <w:tcW w:w="56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EA1773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产品名称</w:t>
            </w:r>
          </w:p>
        </w:tc>
      </w:tr>
      <w:tr w14:paraId="3FC54E4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997ABF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不涉及</w:t>
            </w:r>
          </w:p>
        </w:tc>
      </w:tr>
    </w:tbl>
    <w:p w14:paraId="58FB23E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注：响应产品属于《环境标志产品政府采购品目清单》中的产品，供应商提供由国家确定的认证机构出具的、处于有效期之内的环境标志产品认证证书的原件扫描件或“全国认证认可信息公共服务平台”（http://cx.cnca.cn）的认证信息截图，可以享受优先采购政策。具体要求详见第五章规定。</w:t>
      </w:r>
    </w:p>
    <w:p w14:paraId="4E53E00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3.2.技术要求</w:t>
      </w:r>
    </w:p>
    <w:p w14:paraId="5ECF5AD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采购包1：</w:t>
      </w:r>
    </w:p>
    <w:p w14:paraId="4A40618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标的名称：温江区和盛镇绿化垃圾收运外包服务项目</w:t>
      </w:r>
    </w:p>
    <w:tbl>
      <w:tblPr>
        <w:tblW w:w="5000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61"/>
        <w:gridCol w:w="627"/>
        <w:gridCol w:w="990"/>
        <w:gridCol w:w="6368"/>
      </w:tblGrid>
      <w:tr w14:paraId="6D62F7B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</w:tblPrEx>
        <w:tc>
          <w:tcPr>
            <w:tcW w:w="93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A6F94E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31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EFEAF1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符号标识</w:t>
            </w:r>
          </w:p>
        </w:tc>
        <w:tc>
          <w:tcPr>
            <w:tcW w:w="33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FC9F50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技术要求名称</w:t>
            </w:r>
          </w:p>
        </w:tc>
        <w:tc>
          <w:tcPr>
            <w:tcW w:w="1310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FE84F3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技术参数与性能指标</w:t>
            </w:r>
          </w:p>
        </w:tc>
      </w:tr>
      <w:tr w14:paraId="4D981FE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A8922C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E5D8E80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AF6992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项目概述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71C1C53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48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本项目主要针对辖区内苗木枯枝、败叶、残枝、绿化修剪枝条、田间废弃枝干等绿化垃圾废弃物开展上门收运、就地粉碎、资源化利用处置工作。服务旨在全域消除枯枝落叶乱堆乱放隐患，提升镇村人居环境，实现绿化垃圾收绿色资源化利用，服务质量需满足镇村日常管理、专项攻坚及应急处置工作要求。</w:t>
            </w:r>
          </w:p>
        </w:tc>
      </w:tr>
      <w:tr w14:paraId="2038A7B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617E2C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9E40B6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★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0C4875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服务区域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C434A72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  服务范围覆盖和盛镇全域11个村（社区），涵盖辖区所有田间地头、主次干道及支路沿线、农户房前屋后、河道沟渠、公共绿地、休闲广场、村居公共区域等全部管辖范围，实现全域全覆盖、无死角常态化作业</w:t>
            </w:r>
          </w:p>
        </w:tc>
      </w:tr>
    </w:tbl>
    <w:p w14:paraId="37C5D35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3.3.服务要求</w:t>
      </w:r>
    </w:p>
    <w:p w14:paraId="7F13899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3.3.1服务内容要求</w:t>
      </w:r>
    </w:p>
    <w:p w14:paraId="2081D3D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采购包1：</w:t>
      </w:r>
    </w:p>
    <w:tbl>
      <w:tblPr>
        <w:tblW w:w="5000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56"/>
        <w:gridCol w:w="618"/>
        <w:gridCol w:w="956"/>
        <w:gridCol w:w="6416"/>
      </w:tblGrid>
      <w:tr w14:paraId="1FDA519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3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868052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31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62F7D4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符号标识</w:t>
            </w:r>
          </w:p>
        </w:tc>
        <w:tc>
          <w:tcPr>
            <w:tcW w:w="33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67B883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服务要求名称</w:t>
            </w:r>
          </w:p>
        </w:tc>
        <w:tc>
          <w:tcPr>
            <w:tcW w:w="1310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B5F063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服务要求内容</w:t>
            </w:r>
          </w:p>
        </w:tc>
      </w:tr>
      <w:tr w14:paraId="786DE8F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1C7C95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ADCF1C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★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C5CB3A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人员及设备配置硬性要求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AD976C5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48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（一）人员配置要求</w:t>
            </w:r>
          </w:p>
          <w:p w14:paraId="698A4497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48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供应商须固定配置专职作业人员共3名（专职驾驶员1名以及专职收运工2名），人员必须全程在岗、稳定作业，不得长期缺岗、随意更换，如需更换人员须提前报备镇政府审核同意：</w:t>
            </w:r>
          </w:p>
          <w:p w14:paraId="1553C86F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48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1.专职驾驶员1名：持有合法有效驾驶证，具备粉碎作业车辆驾驶经验，熟悉镇村道路路况，无重大交通违法及安全事故记录，熟练掌握车辆日常检查、简单维保及安全驾驶规范，负责粉碎作业车辆行驶、现场设备操作及车辆安全管理工作。</w:t>
            </w:r>
          </w:p>
          <w:p w14:paraId="21FF6148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48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2.专职收运工2名：负责绿化垃圾收现场摸排、对接农户、枯枝败叶归集、搬运、规整、辅助粉碎作业、粉碎后碎屑平整还田、作业现场清理保洁等配套工作，服从现场调度，熟练掌握作业流程及安全作业规范。</w:t>
            </w:r>
          </w:p>
          <w:p w14:paraId="6A12D854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48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3.所有作业人员须身体健康、无违法犯罪记录，上岗前统一完成安全培训，作业期间全程规范着装、文明作业，树立良好服务形象。项目服务期内所有人员薪酬、社保、劳保用品、岗前培训、意外险等所有人员相关费用均由供应商全额承担。</w:t>
            </w:r>
          </w:p>
          <w:p w14:paraId="59A99D2E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48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（二）设备配置要求</w:t>
            </w:r>
          </w:p>
          <w:p w14:paraId="63379B33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48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供应商须自行配置粉碎车1台，设备性能完好、工况稳定，满足镇村全域巡回作业、集中攻坚作业及应急处置作业需求，可适配田间、村内道路、狭窄区域作业，粉碎效率满足日常及集中清理作业标准，无故障作业、无环保超标问题。</w:t>
            </w:r>
          </w:p>
          <w:p w14:paraId="3DCF0C99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48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（三）设备及运维成本承担</w:t>
            </w:r>
          </w:p>
          <w:p w14:paraId="01823F2E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48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供应商自行承担粉碎车辆、配套机具的购置折旧、维修保养、配件更换、年度年检、车辆保险、环保检测等全部设备相关费用；全额承担项目运营所有成本，包含但不限于人员工资社保、燃油耗材、设备维保、车辆转运、劳保用品、安全防护、应急处置等一切费用，采购人无需额外支付任何费用。</w:t>
            </w:r>
          </w:p>
        </w:tc>
      </w:tr>
      <w:tr w14:paraId="2F34487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AF051F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5B15BF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★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08C162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核心作业服务内容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9C38336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48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供应商负责和盛镇全域范围内所有绿化垃圾收的上门对接、归集整理、现场粉碎、资源化利用全流程服务，具体工作内容如下：</w:t>
            </w:r>
          </w:p>
          <w:p w14:paraId="4C03A9EF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48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1.实行分片包干、全域巡回作业模式，日常常态化排查各村（社区）房前屋后、道路沿线、沟渠周边的枯枝败叶、废弃枝条，及时上门处置；苗木修剪旺季、秋冬落叶季必须加密作业频次，做到随产生、随清理、随粉碎。</w:t>
            </w:r>
          </w:p>
          <w:p w14:paraId="7D24E49D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48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2.严格按照镇村统一调度，全力配合存量枯枝败叶清零专项行动、人居环境整治攻坚、节前环境保洁等集中清理工作，全面完成辖区积存绿化垃圾收集中粉碎处置。</w:t>
            </w:r>
          </w:p>
          <w:p w14:paraId="40464F1A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48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3.针对大风暴雨、树木倒伏、突发乱堆乱放等突发点位，第一时间响应处置，消除环境隐患及安全隐患。</w:t>
            </w:r>
          </w:p>
          <w:p w14:paraId="5F57B5CF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48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4.所有绿化垃圾收现场就地粉碎，粉碎后的碎屑、木屑须现场规整平铺，落实就地还田、覆土改良、绿化回填等资源化利用措施，做到就地处置、变废为宝，严禁粉碎废渣乱堆乱弃、随意倾倒，杜绝二次环境污染。</w:t>
            </w:r>
          </w:p>
          <w:p w14:paraId="4E2FDBD6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48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5.每次作业完成后，及时清理作业现场残留枝叶、废渣，恢复现场整洁，做到工完、料尽、场地清。</w:t>
            </w:r>
          </w:p>
        </w:tc>
      </w:tr>
      <w:tr w14:paraId="3C83063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3A2EAB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C5A398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★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7D3A09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服务响应时效要求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78EAC52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48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1.普通点位：收到村（社区）处置报备、工单通知后，3个工作日内完成上门粉碎及收尾处置工作。</w:t>
            </w:r>
          </w:p>
          <w:p w14:paraId="0A811CE8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48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2.严格按照采购人规定时限完成集中清零任务，不得拖延、滞后。</w:t>
            </w:r>
          </w:p>
        </w:tc>
      </w:tr>
      <w:tr w14:paraId="1A5D75F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CC7F49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BBE40B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★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139898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安全作业管理要求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753FFB3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48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1.作业全过程严格落实安全生产主体责任，作业现场规范摆放安全警示标识、做好现场围挡与防护，提前做好道路通行提醒，严防过往车辆、行人安全事故。</w:t>
            </w:r>
          </w:p>
          <w:p w14:paraId="2717BF99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48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2.作业人员必须规范佩戴劳保防护用品，严格按照机械设备操作规程合规作业，严禁违规操作、野蛮作业。</w:t>
            </w:r>
          </w:p>
          <w:p w14:paraId="230BFB12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48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3.作业期间做好交通疏导，杜绝道路交通堵塞、设备损毁、人身伤害、火灾、扬尘污染等各类安全及环保事故。</w:t>
            </w:r>
          </w:p>
          <w:p w14:paraId="2B8FCA10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4.本项目所有作业安全风险、人员伤亡、设备损坏、第三方人身财产损失、行政处罚及相关经济赔偿、法律责任，均由中标供应商全权承担，采购人不承担任何连带责任。</w:t>
            </w:r>
          </w:p>
        </w:tc>
      </w:tr>
      <w:tr w14:paraId="4C34B62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7135C7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D3DA6A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★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06138A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日常运维与调度管理要求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1004DFD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48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1.供应商须全年常态化、不间断开展粉碎处置服务，无正当理由不得擅自停工、停业、脱岗，确保日常作业、应急处置全覆盖。</w:t>
            </w:r>
          </w:p>
          <w:p w14:paraId="0057A7B6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48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2.无条件服从和盛镇人民政府统一调度、日常管理、工作安排。</w:t>
            </w:r>
          </w:p>
          <w:p w14:paraId="773204E5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48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3.建立日常作业台账，详细记录作业点位、作业时间、处置内容、处置情况，做到有据可查、可核验、可销号。</w:t>
            </w:r>
          </w:p>
          <w:p w14:paraId="393A120A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48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4.主动配合镇村开展点位核查、问题整改、台账销号、现场验收工作，常态化做好自查自纠。</w:t>
            </w:r>
          </w:p>
        </w:tc>
      </w:tr>
      <w:tr w14:paraId="72D9E24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F2CAD7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1757CE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★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737456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监督考核与配合监管要求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8FFA3EA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48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1.供应商须全面接受和盛镇人民政府的季度综合考核，同时接受村社日常监管及辖区群众监督。</w:t>
            </w:r>
          </w:p>
          <w:p w14:paraId="44EDA600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48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2.对督查、考核、群众反馈、上级巡查发现的问题，供应商须按要求限时整改。</w:t>
            </w:r>
          </w:p>
          <w:p w14:paraId="190C1612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48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3.履约考核评分标准（100分制）</w:t>
            </w:r>
          </w:p>
          <w:p w14:paraId="2BDCAC52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48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本项目实行季度综合考核，总分100分。考核得分90分（含）以上为合格，80–89分为基本合格，80分以下为不合格。90分以上按全额支付当季度的合同金额。80-89分的按当季度的合同金额80%进行支付；80分以下的按当季度的合同金额60%进行支付.连续两个季度低于80分，采购人有权终止合同</w:t>
            </w:r>
          </w:p>
          <w:p w14:paraId="449C73B7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48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（一）人员设备保障（25分）</w:t>
            </w:r>
          </w:p>
          <w:p w14:paraId="3CF9F351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48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1.固定配备专职人员3名（驾驶员1名、收运工2名），全员在岗在位、无擅自缺岗、脱岗、空岗情况（10分）。发现人员缺岗、擅自离岗，每次扣2分；长期缺岗、私自换人未报备的，单次扣5分，扣完为止。</w:t>
            </w:r>
          </w:p>
          <w:p w14:paraId="4E867190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48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2.作业人员持证上岗、着装规范、文明作业，岗前完成安全培训，无违规作业行为（8分）。着装不规范、言行不文明、未按要求参训上岗的，每次扣1分；存在违规上岗作业的每次扣3分。</w:t>
            </w:r>
          </w:p>
          <w:p w14:paraId="7E73B278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48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3.足额配备1台完好可用的行走式专业粉碎车，设备工况稳定、定期维保、证照保险齐全（7分）。设备闲置、故障带病作业、证照保险过期、未按时维保的，每次扣3分；无合规设备在岗作业的本项直接零分。</w:t>
            </w:r>
          </w:p>
          <w:p w14:paraId="258C73D5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48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（二）日常作业质量（30分）</w:t>
            </w:r>
          </w:p>
          <w:p w14:paraId="466AD831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48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1.严格执行分片巡回作业，修剪旺季、落叶季加密频次，全域常态化排查清理，无枯枝残枝积存乱堆问题（12分）。督查发现一处积存未处置、逾期未清理点位扣2分，扣完为止。</w:t>
            </w:r>
          </w:p>
          <w:p w14:paraId="74B6DC52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48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2.现场粉碎作业规范，粉碎彻底、无大块残枝遗留，粉碎碎屑就地规整、平铺还田、覆土改良，无废渣乱堆乱弃、无二次污染（10分）。作业不彻底、遗留残枝、废渣随意堆放造成二次污染的，每处扣2分。</w:t>
            </w:r>
          </w:p>
          <w:p w14:paraId="452A3890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48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3.作业结束做到工完料尽场地清，现场整洁、无残留垃圾枝叶（8分）。作业后现场脏乱、遗留废弃物未清理的每次扣2分。</w:t>
            </w:r>
          </w:p>
          <w:p w14:paraId="515A9980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48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（三）响应时效与应急处置（15分）</w:t>
            </w:r>
          </w:p>
          <w:p w14:paraId="15BD6EFD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48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1.普通报备点位严格执行3个工作日内上门处置、闭环销号要求（8分）。无正当理由超时处置、拖延处置的每起扣2分；超期严重、拒不处置的每起扣5分。</w:t>
            </w:r>
          </w:p>
          <w:p w14:paraId="3F08005D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48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2.应急紧急点位、倒伏堵路、安全隐患点位做到当日响应、当日处置完毕（7分）。应急响应迟缓、当日未处置、隐患未消除的每起扣3分，造成不良影响的本项零分。</w:t>
            </w:r>
          </w:p>
          <w:p w14:paraId="041DFF54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48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（四）专项攻坚与调度配合（10分）</w:t>
            </w:r>
          </w:p>
          <w:p w14:paraId="0D4CCFEE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48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1.无条件服从镇村统一调度，积极配合人居环境整治、枯枝清零、节前保洁等专项攻坚任务，按时保质完成集中处置工作（6分）。拒不服从调度、推诿拖延、攻坚落实不到位的每次扣3分。</w:t>
            </w:r>
          </w:p>
          <w:p w14:paraId="37CAB734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48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2.配合镇村点位核查、现场验收、问题整改、台账登记、工单销号，资料齐全、闭环完整（4分）。台账缺失、不报、漏报、不配合核查验收的每次扣1–2分。</w:t>
            </w:r>
          </w:p>
          <w:p w14:paraId="30113843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48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（五）安全生产与合规作业（12分）</w:t>
            </w:r>
          </w:p>
          <w:p w14:paraId="222CC76F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48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1.作业现场规范设置安全警示标识、做好防护围挡，规范佩戴劳保用品，依规操作机械设备（6分）。现场无警示、防护不到位、违规操作的每次扣2分。</w:t>
            </w:r>
          </w:p>
          <w:p w14:paraId="63366EAF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48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2.全年无安全事故、无道路拥堵纠纷、无人员损伤、无设备损毁、无火灾扬尘污染等安全环保问题（6分）。发生一般安全违规问题每次扣3分；发生安全事故、环保投诉、民事纠纷的本项零分，并由供应商承担全部责任与损失。</w:t>
            </w:r>
          </w:p>
          <w:p w14:paraId="6527B46D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48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（六）便民服务与群众满意度（8分）</w:t>
            </w:r>
          </w:p>
          <w:p w14:paraId="34735CAE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48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1.严格执行全域免费服务要求，不得以任何名义向农户、村集体收取任何粉碎、收运、处置相关费用（5分）。一经查实违规收费，本项直接零分，立即约谈整改，情节严重直接终止合同。</w:t>
            </w:r>
          </w:p>
          <w:p w14:paraId="6468B68C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48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2.服务态度良好，群众投诉少、满意度高，有效处置群众反馈问题（3分）。有效投诉属实且未按期整改的每起扣1–3分。</w:t>
            </w:r>
          </w:p>
        </w:tc>
      </w:tr>
    </w:tbl>
    <w:p w14:paraId="147B6B6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3.3.2.商务要求</w:t>
      </w:r>
    </w:p>
    <w:p w14:paraId="558C65B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采购包1：</w:t>
      </w:r>
    </w:p>
    <w:tbl>
      <w:tblPr>
        <w:tblW w:w="5000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54"/>
        <w:gridCol w:w="855"/>
        <w:gridCol w:w="2137"/>
        <w:gridCol w:w="4700"/>
      </w:tblGrid>
      <w:tr w14:paraId="49BD6A9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0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503B74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50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CC73A4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符号标识</w:t>
            </w:r>
          </w:p>
        </w:tc>
        <w:tc>
          <w:tcPr>
            <w:tcW w:w="125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25B53D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商务要求名称</w:t>
            </w:r>
          </w:p>
        </w:tc>
        <w:tc>
          <w:tcPr>
            <w:tcW w:w="275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8B6914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商务要求内容</w:t>
            </w:r>
          </w:p>
        </w:tc>
      </w:tr>
      <w:tr w14:paraId="53C21FB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144B54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50743A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★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E079FC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服务期限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36D6DE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合同签订后1年。</w:t>
            </w:r>
          </w:p>
        </w:tc>
      </w:tr>
      <w:tr w14:paraId="15EB3C7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6A24D4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4E1C7F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★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CF8B0A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服务地点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270496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温江区和盛镇</w:t>
            </w:r>
          </w:p>
        </w:tc>
      </w:tr>
      <w:tr w14:paraId="3161851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6AA571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735E56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★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5B8ED0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验收、交付标准和方法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DE59F6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参照《财政部关于进一步加强政府采购需求和履约验收管理的指导意见》(财[2016]205号)的规定，结合本项目磋商文件、响应文 件及采购合同的要求进行验收。采购人组织验收人员组成验收小组，成交供应商予以配合，所有技术(服务)要求应满足本项目磋商文件、响应文件及采购合同的要求。</w:t>
            </w:r>
          </w:p>
        </w:tc>
      </w:tr>
      <w:tr w14:paraId="5EBC40A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9F0E7E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D23D85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★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DCAB4B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支付方式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E5DD8D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分期付款</w:t>
            </w:r>
          </w:p>
        </w:tc>
      </w:tr>
      <w:tr w14:paraId="3D0F011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B5AE26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4C7F9B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★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EEDB2A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付款进度安排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CECCF36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1付款条件：预付款:签订合同后支付30%的合同金额，在支付合同金额前供应商 应开具等额的发票，采购人在收到发票后10个工作日内支付合同金金额，达到该付款条件起10个工作日内，支付合同总金额的30.00%</w:t>
            </w:r>
          </w:p>
          <w:p w14:paraId="5236C6E9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2付款条件：进度款:自合同签订之日起履行满第一个季度后（支付合同金额前供应商应开具等额的发票，采购人在收到发票后），达到该付款条件起10个工作日内，支付合同总金额的17.50%</w:t>
            </w:r>
          </w:p>
          <w:p w14:paraId="13357162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3付款条件：进度款:自合同签订之日起履行满第二个季度后（支付合同金额前供应商应开具等额的发票，采购人在收到发票后），达到该付款条件起10个工作日内，支付合同总金额的17.50%</w:t>
            </w:r>
          </w:p>
          <w:p w14:paraId="6536FCC7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4付款条件： 进度款:自合同签订之日起履行满第三个季度后（支付合同金额前供应商应开具等额的发票，采购人在收到发票后），达到该付款条件起10个工作日内，支付合同总金额的17.50%</w:t>
            </w:r>
          </w:p>
          <w:p w14:paraId="509C2C4A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5付款条件： 进度款:自合同签订之日起履行满第四个季度后（支付合同金额前供应商应开具等额的发票，采购人在收到发票后），达到该付款条件起10个工作日内，支付合同总金额的17.50%</w:t>
            </w:r>
          </w:p>
        </w:tc>
      </w:tr>
      <w:tr w14:paraId="2FE128F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E4D52F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9253BE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★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FAEE5D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违约责任与解决争议的方法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ED594C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（1）采购人违约责任：①采购人无正当理由导致变更、中止或者终止政府采购合同的，采购人应对供应商受到的损失予以赔偿或者补偿； ②因采购人原因逾期支付金额的，除应及时付足金额外，应向成交供应商偿付欠款总额1‰/天的违约金；逾期付款超过30天的，成交供应商有权终止合同； ③采购人偿付的违约金不足以弥补成交供应商损失的，还应按成交供应商损失尚未弥补的部分，支付赔偿金给成交供应商。 （2）成交供应商违约责任 ： ①成交供应商所提供的服务有不符合采购文件约定及合同约定的，成交供应商应向采购人支付最终结算合同总价的1%的违约金，并须在采购人规定的整改期限内改正，否则视作成交供应商不能履约而违约，按本条本款下述第“2”项规定由成交供应商偿付违约金给采购人。 ②成交供应商不能履约而违约的，采购人有权终止合同，成交供应商则应按最终结算合同总价的2%向采购人支付赔偿金，并须全额退还采购人已经付给成交供应商的款项及其利息。 ③成交供应商支付的违约金不足以弥补采购人损失的，还应按采购人损失尚未弥补的部分，支付赔偿金给采购人。</w:t>
            </w:r>
          </w:p>
        </w:tc>
      </w:tr>
    </w:tbl>
    <w:p w14:paraId="1DD25CA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3.4.其他要求</w:t>
      </w:r>
    </w:p>
    <w:p w14:paraId="32F23BD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采购包1：</w:t>
      </w:r>
    </w:p>
    <w:p w14:paraId="69BFF26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1、供应商提供的项目服务实施方案包含：①项目理解及认识②项目总体安排③作业人员培训与安排方案④绿化垃圾收集方案⑤绿化垃圾运输方案。2、供应商提供的应急方案包含：①服务设备机具故障应急处置②灾害天气应急预案③重大迎检活动保障预案④应急服务人员设置。3、供应商提供的服务保障方案包含①现场文明施工措施②环境保护措施③安全防护措施④群众投诉处理、便民服务保障措施。</w:t>
      </w:r>
    </w:p>
    <w:p w14:paraId="79196109">
      <w:pPr>
        <w:rPr>
          <w:rFonts w:hint="eastAsia" w:ascii="宋体" w:hAnsi="宋体" w:eastAsia="宋体" w:cs="宋体"/>
          <w:color w:val="auto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Noto Sans">
    <w:panose1 w:val="020B0502040504020204"/>
    <w:charset w:val="00"/>
    <w:family w:val="auto"/>
    <w:pitch w:val="default"/>
    <w:sig w:usb0="E00082FF" w:usb1="400078FF" w:usb2="00000021" w:usb3="00000000" w:csb0="200001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3200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3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2026-09-20T06:20:09Z</dcterms:created>
  <dc:creator>Administrator</dc:creator>
  <cp:lastModifiedBy>Administrator</cp:lastModifiedBy>
  <dcterms:modified xsi:type="dcterms:W3CDTF">2026-09-20T06:20:50Z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eyJoZGlkIjoiOWE1ZmYwMjk1OTAzM2I2Mjc2YTIzMzYzMGJlNzc0ZjYiLCJ1c2VySWQiOiI2Njc4NDg1ODUifQ==</vt:lpwstr>
  </property>
  <property fmtid="{D5CDD505-2E9C-101B-9397-08002B2CF9AE}" pid="4" name="ICV">
    <vt:lpwstr>3F4E637324EB4C87AA7217621EAC9A46_12</vt:lpwstr>
  </property>
</Properties>
</file>