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4AB08A">
      <w:pPr>
        <w:jc w:val="center"/>
        <w:outlineLvl w:val="1"/>
        <w:rPr>
          <w:rFonts w:hint="eastAsia" w:ascii="Calibri" w:hAnsi="Calibri" w:eastAsia="宋体" w:cs="Times New Roman"/>
          <w:lang w:val="en-US" w:eastAsia="zh-Hans"/>
        </w:rPr>
      </w:pPr>
      <w:r>
        <w:rPr>
          <w:rFonts w:hint="eastAsia" w:ascii="仿宋_GB2312" w:hAnsi="仿宋_GB2312" w:eastAsia="仿宋_GB2312" w:cs="仿宋_GB2312"/>
          <w:b/>
          <w:sz w:val="36"/>
          <w:lang w:val="en-US" w:eastAsia="zh-Hans"/>
        </w:rPr>
        <w:t>技术、服务及其他要求</w:t>
      </w:r>
    </w:p>
    <w:p w14:paraId="7A015297">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（注：本章的技术、服务及其他要求中，带“★”的要求为实质性要求。采购人、代理机构应当根据项目实际要求合理设定，并在第五章符合性审查中明确响应要求。）</w:t>
      </w:r>
    </w:p>
    <w:p w14:paraId="41672841">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3.1.采购内容</w:t>
      </w:r>
    </w:p>
    <w:p w14:paraId="6076E1A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709DA9C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50,000.00</w:t>
      </w:r>
    </w:p>
    <w:p w14:paraId="6BF7761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50,000.00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0"/>
        <w:gridCol w:w="1116"/>
        <w:gridCol w:w="761"/>
        <w:gridCol w:w="820"/>
        <w:gridCol w:w="1116"/>
        <w:gridCol w:w="761"/>
        <w:gridCol w:w="761"/>
        <w:gridCol w:w="761"/>
        <w:gridCol w:w="762"/>
        <w:gridCol w:w="607"/>
        <w:gridCol w:w="607"/>
      </w:tblGrid>
      <w:tr w14:paraId="57192D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4EBD2B7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7EE875E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24CA3C1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796E1DA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0AB1397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448CBBF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33E05C3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424A388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35F1A2C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020ECF9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4EEB2B7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7F428D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21DA6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5E49017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A02322400 手术室设备及附件</w:t>
            </w:r>
          </w:p>
        </w:tc>
        <w:tc>
          <w:tcPr>
            <w:tcW w:w="821" w:type="dxa"/>
          </w:tcPr>
          <w:p w14:paraId="59DF4CC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乳腺组织活检系统</w:t>
            </w:r>
          </w:p>
        </w:tc>
        <w:tc>
          <w:tcPr>
            <w:tcW w:w="821" w:type="dxa"/>
          </w:tcPr>
          <w:p w14:paraId="55C025FD">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1.00（台）</w:t>
            </w:r>
          </w:p>
        </w:tc>
        <w:tc>
          <w:tcPr>
            <w:tcW w:w="821" w:type="dxa"/>
          </w:tcPr>
          <w:p w14:paraId="6842E819">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50,000.00</w:t>
            </w:r>
          </w:p>
        </w:tc>
        <w:tc>
          <w:tcPr>
            <w:tcW w:w="821" w:type="dxa"/>
          </w:tcPr>
          <w:p w14:paraId="002A589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0E6DCEA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c>
          <w:tcPr>
            <w:tcW w:w="821" w:type="dxa"/>
          </w:tcPr>
          <w:p w14:paraId="244D084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9327AC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C8F0F7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05676D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24876BFC">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报价要求</w:t>
      </w:r>
    </w:p>
    <w:p w14:paraId="1716BC5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126FD4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5BA903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07" w:type="dxa"/>
          </w:tcPr>
          <w:p w14:paraId="5A0BD58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1138" w:type="dxa"/>
          </w:tcPr>
          <w:p w14:paraId="661D83E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数量（计量单位）</w:t>
            </w:r>
          </w:p>
        </w:tc>
        <w:tc>
          <w:tcPr>
            <w:tcW w:w="1365" w:type="dxa"/>
          </w:tcPr>
          <w:p w14:paraId="5689181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1138" w:type="dxa"/>
          </w:tcPr>
          <w:p w14:paraId="29B3E6E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934" w:type="dxa"/>
          </w:tcPr>
          <w:p w14:paraId="71279D9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12B437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76DF14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07" w:type="dxa"/>
          </w:tcPr>
          <w:p w14:paraId="5C62BC7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乳腺组织活检系统</w:t>
            </w:r>
          </w:p>
        </w:tc>
        <w:tc>
          <w:tcPr>
            <w:tcW w:w="1138" w:type="dxa"/>
          </w:tcPr>
          <w:p w14:paraId="7E726D7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1.00（台）</w:t>
            </w:r>
          </w:p>
        </w:tc>
        <w:tc>
          <w:tcPr>
            <w:tcW w:w="1365" w:type="dxa"/>
          </w:tcPr>
          <w:p w14:paraId="5916D08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50,000.00</w:t>
            </w:r>
          </w:p>
        </w:tc>
        <w:tc>
          <w:tcPr>
            <w:tcW w:w="1138" w:type="dxa"/>
          </w:tcPr>
          <w:p w14:paraId="381DF6E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0ABE3C3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bl>
    <w:p w14:paraId="3C0E12B5">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★注：投标人响应产品应当明确品牌和规格型号并指向唯一产品，不能指向唯一产品的，应通过报价表唯一产品说明栏补充说明。</w:t>
      </w:r>
    </w:p>
    <w:p w14:paraId="388991D4">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本项目涉及核心产品：</w:t>
      </w:r>
    </w:p>
    <w:p w14:paraId="0518C34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0241B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DA07C8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4DB209A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1747FBD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0D5933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27F1FB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3BABF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492" w:type="dxa"/>
          </w:tcPr>
          <w:p w14:paraId="34272A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A02322400 手术室设备及附件</w:t>
            </w:r>
          </w:p>
        </w:tc>
        <w:tc>
          <w:tcPr>
            <w:tcW w:w="2492" w:type="dxa"/>
          </w:tcPr>
          <w:p w14:paraId="4779AC7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乳腺组织活检系统</w:t>
            </w:r>
          </w:p>
        </w:tc>
        <w:tc>
          <w:tcPr>
            <w:tcW w:w="2492" w:type="dxa"/>
          </w:tcPr>
          <w:p w14:paraId="646D868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乳腺组织活检系统</w:t>
            </w:r>
          </w:p>
        </w:tc>
      </w:tr>
    </w:tbl>
    <w:p w14:paraId="67B908F0">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注：涉及核心产品的，具体评审规定见第五章。</w:t>
      </w:r>
    </w:p>
    <w:p w14:paraId="5AFD16D2">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本项目涉及采购进口产品：</w:t>
      </w:r>
    </w:p>
    <w:p w14:paraId="00579CE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B106B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4658449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6470A13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0C59164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3DB6AB7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66377F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004B81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1573E66C">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★注：不涉及采购进口产品时，投标人不得提供进口产品进行响应；涉及采购进口产品时，如国产产品满足采购需求，也可提供国产产品进行响应。</w:t>
      </w:r>
    </w:p>
    <w:p w14:paraId="1A1F563A">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本项目涉及强制采购节能产品：</w:t>
      </w:r>
    </w:p>
    <w:p w14:paraId="4C33685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8D290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67D628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51E1D48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7404866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68A0CE0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7C4AEC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B51971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2B039163">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7B657BF2">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本项目涉及优先采购节能产品：</w:t>
      </w:r>
    </w:p>
    <w:p w14:paraId="19945B0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2FC9C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E68222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5F237C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3845D63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3B687DF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7EBAF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8C3CCA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16BC917E">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642197B9">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本项目涉及优先采购环境标志产品：</w:t>
      </w:r>
    </w:p>
    <w:p w14:paraId="7441A43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87A19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C5458B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F1166B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4BC11C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75E17E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6D5216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229BBD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1624EFC8">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47DE735">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3.2.技术要求</w:t>
      </w:r>
    </w:p>
    <w:p w14:paraId="170048F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7B2F841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标的名称：乳腺组织活检系统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6AE3A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7939A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2BF563D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2ED8643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431FC35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5077A1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11A32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4B241D9C">
            <w:pPr>
              <w:rPr>
                <w:rFonts w:ascii="Calibri" w:hAnsi="Calibri" w:eastAsia="宋体" w:cs="Times New Roman"/>
              </w:rPr>
            </w:pPr>
          </w:p>
        </w:tc>
        <w:tc>
          <w:tcPr>
            <w:tcW w:w="1495" w:type="dxa"/>
          </w:tcPr>
          <w:p w14:paraId="58A3ACB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c>
          <w:tcPr>
            <w:tcW w:w="5814" w:type="dxa"/>
          </w:tcPr>
          <w:p w14:paraId="079396A5">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1 ★ 适用于超声影像实时定位引导下乳腺病灶活检取样</w:t>
            </w:r>
          </w:p>
          <w:p w14:paraId="0EF2E91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2 ▲ 在取样术中可放置标记物</w:t>
            </w:r>
          </w:p>
          <w:p w14:paraId="6CA5618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3 ★ 单独真空抽吸功能：术腔内有积液时可进行单独的真空抽吸。</w:t>
            </w:r>
          </w:p>
          <w:p w14:paraId="460C25D9">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4 ★ 可对钙化或质地坚硬的组织进行切割</w:t>
            </w:r>
          </w:p>
          <w:p w14:paraId="7C3EAF7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5 ▲ 术中如有出血，可进行单独的真空抽吸，或通过旋切通道后端直接注入止血剂。</w:t>
            </w:r>
          </w:p>
          <w:p w14:paraId="3525C6A1">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6 ★ 具备自动收集标本功能，单人可进行取样手术操作。</w:t>
            </w:r>
          </w:p>
          <w:p w14:paraId="718056B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7 ▲ 具备精确模式，可增加360度切割频率。</w:t>
            </w:r>
          </w:p>
          <w:p w14:paraId="1856266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8 可根据肿块大小调整刀槽长度</w:t>
            </w:r>
          </w:p>
          <w:p w14:paraId="3C2CE7A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9 配套耗材要求：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903"/>
              <w:gridCol w:w="1167"/>
              <w:gridCol w:w="1167"/>
            </w:tblGrid>
            <w:tr w14:paraId="441E73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DB5F5D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序号</w:t>
                  </w:r>
                </w:p>
              </w:tc>
              <w:tc>
                <w:tcPr>
                  <w:tcW w:w="90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C014DE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耗材通用名称</w:t>
                  </w:r>
                </w:p>
              </w:tc>
              <w:tc>
                <w:tcPr>
                  <w:tcW w:w="116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08F449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★单价限价</w:t>
                  </w:r>
                </w:p>
              </w:tc>
              <w:tc>
                <w:tcPr>
                  <w:tcW w:w="116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A753DD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预计三年总用量</w:t>
                  </w:r>
                </w:p>
              </w:tc>
            </w:tr>
            <w:tr w14:paraId="191654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2488BE">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1</w:t>
                  </w:r>
                </w:p>
              </w:tc>
              <w:tc>
                <w:tcPr>
                  <w:tcW w:w="9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C952A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活检针</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79525D">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2200元/个</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40BC5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100个</w:t>
                  </w:r>
                </w:p>
              </w:tc>
            </w:tr>
          </w:tbl>
          <w:p w14:paraId="0E5ECC7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w:t>
            </w:r>
            <w:r>
              <w:rPr>
                <w:rFonts w:hint="eastAsia" w:ascii="仿宋_GB2312" w:hAnsi="仿宋_GB2312" w:eastAsia="仿宋_GB2312" w:cs="仿宋_GB2312"/>
                <w:color w:val="000000"/>
                <w:sz w:val="24"/>
                <w:lang w:val="en-US" w:eastAsia="zh-Hans"/>
              </w:rPr>
              <w:t>1）该耗材只能统一报一个价格（即不同类型、不同型号的活检针都统一报一个价格）</w:t>
            </w:r>
          </w:p>
          <w:p w14:paraId="69BFF858">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w:t>
            </w:r>
            <w:r>
              <w:rPr>
                <w:rFonts w:hint="eastAsia" w:ascii="仿宋_GB2312" w:hAnsi="仿宋_GB2312" w:eastAsia="仿宋_GB2312" w:cs="仿宋_GB2312"/>
                <w:color w:val="000000"/>
                <w:sz w:val="24"/>
                <w:lang w:val="en-US" w:eastAsia="zh-Hans"/>
              </w:rPr>
              <w:t>2）至少具备两种规格的活检取样针</w:t>
            </w:r>
          </w:p>
          <w:p w14:paraId="4805BD7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▲3）在术中可放置标记物。</w:t>
            </w:r>
          </w:p>
          <w:p w14:paraId="1077AA42">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w:t>
            </w:r>
            <w:r>
              <w:rPr>
                <w:rFonts w:hint="eastAsia" w:ascii="仿宋_GB2312" w:hAnsi="仿宋_GB2312" w:eastAsia="仿宋_GB2312" w:cs="仿宋_GB2312"/>
                <w:color w:val="000000"/>
                <w:sz w:val="24"/>
                <w:lang w:val="en-US" w:eastAsia="zh-Hans"/>
              </w:rPr>
              <w:t>4）能够对较小的钙化病灶进行取样</w:t>
            </w:r>
          </w:p>
          <w:p w14:paraId="623BC04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w:t>
            </w:r>
            <w:r>
              <w:rPr>
                <w:rFonts w:hint="eastAsia" w:ascii="仿宋_GB2312" w:hAnsi="仿宋_GB2312" w:eastAsia="仿宋_GB2312" w:cs="仿宋_GB2312"/>
                <w:color w:val="000000"/>
                <w:sz w:val="24"/>
                <w:lang w:val="en-US" w:eastAsia="zh-Hans"/>
              </w:rPr>
              <w:t>5）自动收集标本，单人可操作。</w:t>
            </w:r>
          </w:p>
        </w:tc>
      </w:tr>
    </w:tbl>
    <w:p w14:paraId="0A80D405">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3.3.服务要求</w:t>
      </w:r>
    </w:p>
    <w:p w14:paraId="047192D7">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3.3.1.服务内容要求</w:t>
      </w:r>
    </w:p>
    <w:p w14:paraId="1DB3F3A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9EFBF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319C6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7D85B08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5D8E60A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6845DAA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55DC9A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22353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2FEEE26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49E7B2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服务要求</w:t>
            </w:r>
          </w:p>
        </w:tc>
        <w:tc>
          <w:tcPr>
            <w:tcW w:w="5814" w:type="dxa"/>
          </w:tcPr>
          <w:p w14:paraId="4CCB9E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1、嵌入设备安装费：嵌入设备与原基建装修单位产生的安装相关费用由供应商自行承担。</w:t>
            </w:r>
          </w:p>
          <w:p w14:paraId="319129EA">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2、安装、调试：</w:t>
            </w:r>
          </w:p>
          <w:p w14:paraId="78E2298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供应商接到采购人通知后30日内，供应商免费向采购人提供全面的机房建筑设计、供水供电、专用地线技术要求等设计图纸及安装条件的技术要求（本项目不适用，供应商可不响应“供应商免费向采购人提供全面的机房建筑设计、供水供电、专用地线技术要求等设计图纸及安装条件的技术要求”），并派专人现场进行技术服务和指导，配合完成设备安装所应当具备的全部条件。</w:t>
            </w:r>
          </w:p>
          <w:p w14:paraId="2847D72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2.2开箱后，双方如无异议，供应商派有经验的工程技术人员开始负责安装和调试；如有异议，待问题解决后，供应商当日派人负责安装调试。如采购人的异议成立，则供应商的安装调试期限不顺延。</w:t>
            </w:r>
          </w:p>
          <w:p w14:paraId="6D4360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2.3安装、调试期限为货到（30）日内。供应商应在规定的安装调试期内完成该项工作。如因供应商责任而造成延期，所有因延期而产生的费用由供应商承担。</w:t>
            </w:r>
          </w:p>
          <w:p w14:paraId="29BE7C6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安装调试过程中，供应商不得损坏采购人墙体等结构，若对采购人墙体等结构造成损坏，供应商需负责修复，所有修复费用由供应商承担，同时按照供应商不能履约处理，造成采购人损失的应当予以全额赔偿。同时所有进场费用（包括但不限于吊车装运费用等）由供应商承担。</w:t>
            </w:r>
          </w:p>
          <w:p w14:paraId="07EA015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供应商所派安装、调试及维修、维保人员名单必须与投标（响应）文件拟派人员名单（如有）一致，如需更换需事先书面征得采购人同意，且更换后人员的资质等级、工作经验等不得低于投标（响应）文件拟派人员。</w:t>
            </w:r>
          </w:p>
          <w:p w14:paraId="1B84E0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3、培训：</w:t>
            </w:r>
          </w:p>
          <w:p w14:paraId="7E6036F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3.1供应商提供完整的培训计划和方案</w:t>
            </w:r>
          </w:p>
          <w:p w14:paraId="4D12FD14">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0"/>
                <w:lang w:val="en-US" w:eastAsia="zh-Hans"/>
              </w:rPr>
              <w:t>3.2操作培训：在设备安装调试完毕后，由供应商应用专家进行现场操作使用的培训和指导。出席对象为采购人对该设备的操作技术人员、医师、物理师及相关人员等。培训目的是让操作技术人员完全掌握该设备的操作流程和方法，采购人受培训人员签字后视为培训合格。上述培训为货物的标准配套服务，培训所需全部费用均由供应商支付。</w:t>
            </w:r>
          </w:p>
          <w:p w14:paraId="0860CBBF">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3.3维修培训：安装调试时，由供应商工程师对采购人维修工程师进行现场培训，培训的目的是让采购人维修工程师掌握常见故障的判断与常规处理方法以及日常的维护保养方法，采购人维修工程师签字后视为培训合格。上述培训为该货物的标准配套服务，培训所需全部费用均由供应商支付。</w:t>
            </w:r>
          </w:p>
        </w:tc>
      </w:tr>
      <w:tr w14:paraId="279876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F9A11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4AB413C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9F91D2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试剂耗材要求</w:t>
            </w:r>
          </w:p>
        </w:tc>
        <w:tc>
          <w:tcPr>
            <w:tcW w:w="5814" w:type="dxa"/>
          </w:tcPr>
          <w:p w14:paraId="770F694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1.试剂、耗材的名称、规格、数量与效期要求</w:t>
            </w:r>
          </w:p>
          <w:p w14:paraId="3492F50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供应商供应的试剂、耗材名称（注册证/备案）、规格、数量必须与采购人的要求相一致。试剂、耗材名称及规格型号必须与注册证/备案名称、规格型号一致。</w:t>
            </w:r>
          </w:p>
          <w:p w14:paraId="54F7307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供应商供应的试剂、医用耗材的有效期应在失效前一年以上。</w:t>
            </w:r>
          </w:p>
          <w:p w14:paraId="6C5A292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2.试剂、耗材的证件要求</w:t>
            </w:r>
          </w:p>
          <w:p w14:paraId="354431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1）供应商必须按照《医疗器械监督管理条例》等标准要求，提供符合国家、省、市食品药品监督管理局要求的公司资质材料以及所供产品的生产企业资质材料。</w:t>
            </w:r>
          </w:p>
          <w:p w14:paraId="5FF36FF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2）供应商提供的各种证件必须完整、真实、有效。协议期内供应商证件过期时应及时向采购人提供更换后的有效证件。</w:t>
            </w:r>
          </w:p>
          <w:p w14:paraId="79C9E9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3.试剂、耗材产品的质量要求与供应商承担的责任</w:t>
            </w:r>
          </w:p>
          <w:p w14:paraId="22B2FDF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供应商向采购人承诺其所供应的试剂、耗材的质量完全符合国家食品药品监督管理局规定的标准，保证供应的试剂、耗材是证照齐全、质量好、性价比合理、售后有保障的产品。供应商承诺：坚决杜绝“证照不全、假冒、伪劣、过期、失效、淘汰或不合格产品”出售给采购人，否则供应商承担由此造成的一切后果的法律责任。</w:t>
            </w:r>
          </w:p>
          <w:p w14:paraId="17BD6A2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2）供应商供应的试剂、耗材进院后，应接受国家、省、市有关行业主管部门的抽查或检验。在抽查或检验过程中由于供应商产品的证照、标识、质量等问题而导致的罚没事项由供应商承担相应的法律责任。</w:t>
            </w:r>
          </w:p>
          <w:p w14:paraId="1EC092D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3）供应商提供的产品包装必须符合国家有关规定和产品运输要求，到达采购人指定地点的试剂、耗材包装缺失或破损的，供应商负责补充或调换，采购人不再支付供应商任何费用。</w:t>
            </w:r>
          </w:p>
          <w:p w14:paraId="74A8AEF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因供应商供应的试剂、耗材的证照、质量等问题而引发的医疗事故或纠纷给采购人造成的全部经济损失（包括但不限于：诊疗费用、手术费用、材料费用、赔偿病人或其家属的因人身损害赔偿的全部费用）均由供应商全部承担。</w:t>
            </w:r>
          </w:p>
          <w:p w14:paraId="6DD472C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4.供货期限</w:t>
            </w:r>
          </w:p>
          <w:p w14:paraId="69DD034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供应商接到采购人采购计划后，须在采购人指定的时间内（3个工作日），按库房要求送货到采购人，做到货、票、《合格证》、该批次产品的检验报告同行（出库单上应明确载示：品名、型号、批号、效期、生产企业、批准文号等，利于采购人验收登记）。供应商应配合采购人管理人员核对实物与采购计划相符，实物与票据相符，有问题的及时调整或换货。</w:t>
            </w:r>
          </w:p>
          <w:p w14:paraId="785A43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2）对于急救用试剂、耗材，供应商必须立即供货，不得拖延（最迟不超过48小时内送达采购人）。</w:t>
            </w:r>
          </w:p>
          <w:p w14:paraId="2057A19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3）试剂、耗材的运输费用由供应商负责，运输途中的破损，由供应商负责。</w:t>
            </w:r>
          </w:p>
          <w:p w14:paraId="1D1D083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5.价格与结算方式</w:t>
            </w:r>
          </w:p>
          <w:p w14:paraId="4347629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签订采购合同后，供应商以采购人实际需求提供合格产品，分批供货，双方据实结算，结算金额=实际用量×单价（以成交单价或挂网价孰低者执行并进行结算）。供应商承诺遵守国家和四川省相关物价政策并严格执行，供应商承诺给采购人的供货价格不高于同地区、同级医院的价格，高出部分采购人有权拒付并单方解除协议。</w:t>
            </w:r>
          </w:p>
          <w:p w14:paraId="1AA042B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2）供应商承诺将保证产品价格的稳定，未经采购人同意，供应商不得提高供货价格，否则采购人有权拒付并单方解除合同，同时供应商还应承担由此给采购人造成的一切损失。</w:t>
            </w:r>
          </w:p>
          <w:p w14:paraId="4A12F3F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3）采购人在供应商所供产品使用后（产品无任何质量问题、且证照及发票等手续齐全）3个月内付款。当月票货不能同行的半年后付款。</w:t>
            </w:r>
          </w:p>
          <w:p w14:paraId="012C30A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6.违约责任</w:t>
            </w:r>
          </w:p>
          <w:p w14:paraId="71F1060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双方应自觉遵守合同的约定。</w:t>
            </w:r>
          </w:p>
          <w:p w14:paraId="7C1C940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1）如供应商违反合同的约定或采购人联系不到供应商时，采购人可联系其他供货商供货。若采购人不接受供应商的理由，采购人可单方解除合同，合同不再履行。</w:t>
            </w:r>
          </w:p>
          <w:p w14:paraId="560B93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2）如供应商交付耗材的品种、型号、质量、数量不符采购人要求的，由供应商负责调换，否则按供应商不能按期交货处理。若产品调换后仍达不到采购人要求，采购人可联系其他供货商供货。</w:t>
            </w:r>
          </w:p>
          <w:p w14:paraId="7B30589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3）供应商不能按时交货三次以上，采购人有权单方解除合同，合同不再履行。</w:t>
            </w:r>
          </w:p>
          <w:p w14:paraId="5966CEF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供应商在合同履行的过程中，除法定可以解除合同的情形外，单方面解除合同的或不续签合同的，采购人退还设备，供应商退还全部设备费用，并赔偿采购人损失，包括但不限于采购人采购同种设备费用，以及导致医疗纠纷所致赔偿。</w:t>
            </w:r>
          </w:p>
          <w:p w14:paraId="142EDE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5）供应商偿付的违约金不足以弥补采购人损失的，应足额赔偿采购人损失。</w:t>
            </w:r>
          </w:p>
          <w:p w14:paraId="6CB909F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7.其他约定</w:t>
            </w:r>
          </w:p>
          <w:p w14:paraId="3F8CB0B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1）采购人要求退货时，供应商应无条件在质量有效期内予以退货；采购人不负担任何经济损失。</w:t>
            </w:r>
          </w:p>
          <w:p w14:paraId="6924539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2）采购人人员不得以任何形式向供应商索贿、受贿。供应商不得采用行贿手段销售产品。采购人将为供应商建立“诚信档案”，该档案将作为是否续签协议的重要依据。</w:t>
            </w:r>
          </w:p>
          <w:p w14:paraId="5CCBE20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3）根据市场调研情况、政策调整、临床需求变化等因素采购人有权终止协议。</w:t>
            </w:r>
          </w:p>
          <w:p w14:paraId="7A764F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4）合同有效期：自合同签订之日起三年，期满后根据医院需求与市场情况决定是否续约。</w:t>
            </w:r>
          </w:p>
          <w:p w14:paraId="136372C3">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8.供应商在供货期间，若所供产品在“四川省药械集中采购及医药价格监管平台”出现降价，供应商须在3工作日内向采购人出具调价函。</w:t>
            </w:r>
          </w:p>
        </w:tc>
      </w:tr>
      <w:tr w14:paraId="542AE3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F6445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6EB19A9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4220583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5814" w:type="dxa"/>
          </w:tcPr>
          <w:p w14:paraId="16B05A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因系统固化原因，3.3.2.商务要求中“付款进度安排”不适用于本采购包，本包“付款进度安排”以此为准（供应商应答“付款进度安排”时仅需应答此条要求即可，无需再应答3.3.2.商务要求中“付款进度安排”）】</w:t>
            </w:r>
          </w:p>
          <w:p w14:paraId="3B90E35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货到验收合格后，采购人应在收到供应商提交的付款申请、发票（发票金额为到货货物的总金额）之日起60日内向供应商支付到货货物金额的90%，若有其他扣款、赔偿金、违约金等需要供应商承担的费用，采购人有权直接予以扣除后支付。验收合格一年后，货物无任何质量问题，且无其他扣款事项的，采购人应在收到供应商提交的付款申请之日起60日内，扣除按照本协议约定由供应商承担的费用（如有）后支付到货货物金额的10%。（法律法规另有规定的按照相关规定执行）</w:t>
            </w:r>
          </w:p>
        </w:tc>
      </w:tr>
    </w:tbl>
    <w:p w14:paraId="6DC5B8C8">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3.3.2.商务要求</w:t>
      </w:r>
    </w:p>
    <w:p w14:paraId="715AF09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9AE7E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34A55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73A9A44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161F15E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5814" w:type="dxa"/>
          </w:tcPr>
          <w:p w14:paraId="281602A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384A15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4E4B6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7412241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B3E8C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交货时间</w:t>
            </w:r>
          </w:p>
        </w:tc>
        <w:tc>
          <w:tcPr>
            <w:tcW w:w="5814" w:type="dxa"/>
          </w:tcPr>
          <w:p w14:paraId="3B09DE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自收到院方通知之日起（30）日内交货。若涉及分批送货，送货批次及单次送货数量需按院方要求执行。</w:t>
            </w:r>
          </w:p>
        </w:tc>
      </w:tr>
      <w:tr w14:paraId="51D97D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6243D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726931C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421A4EA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交货地点</w:t>
            </w:r>
          </w:p>
        </w:tc>
        <w:tc>
          <w:tcPr>
            <w:tcW w:w="5814" w:type="dxa"/>
          </w:tcPr>
          <w:p w14:paraId="0B36F95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四川省肿瘤医院指定地点</w:t>
            </w:r>
          </w:p>
        </w:tc>
      </w:tr>
      <w:tr w14:paraId="00BD83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BE673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4A3EF50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3B47652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5814" w:type="dxa"/>
          </w:tcPr>
          <w:p w14:paraId="072E4F5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分期付款</w:t>
            </w:r>
          </w:p>
        </w:tc>
      </w:tr>
      <w:tr w14:paraId="4A22DB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89B62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581" w:type="dxa"/>
          </w:tcPr>
          <w:p w14:paraId="6C1AF5A2">
            <w:pPr>
              <w:rPr>
                <w:rFonts w:ascii="Calibri" w:hAnsi="Calibri" w:eastAsia="宋体" w:cs="Times New Roman"/>
              </w:rPr>
            </w:pPr>
          </w:p>
        </w:tc>
        <w:tc>
          <w:tcPr>
            <w:tcW w:w="1495" w:type="dxa"/>
          </w:tcPr>
          <w:p w14:paraId="3BC860E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5814" w:type="dxa"/>
          </w:tcPr>
          <w:p w14:paraId="13FDB2A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1、货到验收合格后，采购人应在收到供应商提交的付款申请、发票（发票金额为到货货物的总金额）之日起，达到付款条件起60日内，支付合同总金额的90.00%</w:t>
            </w:r>
          </w:p>
          <w:p w14:paraId="4479217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若有其他扣款、赔偿金、违约金等需要供应商承担的费用，采购人有权直接予以扣除后支付。验收合格一年后，货物无任何质量问题，且无其他扣款事项的，采购人应在收到供应商提交的付款申请之日起，达到付款条件起60日内，支付合同总金额的10.00%</w:t>
            </w:r>
          </w:p>
        </w:tc>
      </w:tr>
      <w:tr w14:paraId="2D5598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E7C6C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581" w:type="dxa"/>
          </w:tcPr>
          <w:p w14:paraId="35DC3AA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EA7762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5814" w:type="dxa"/>
          </w:tcPr>
          <w:p w14:paraId="71C060F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【因系统固化原因，招标文件第二章“2.6.6.履约验收方案”中内容与此处不一致的，以此处要求为准】 一、验收组织方式： 采购包2：自行验收 二、是否邀请本项目的其他供应商： 采购包2：否 三、是否邀请专家： 采购包2：否 四、是否邀请服务对象： 采购包2：否 五、是否邀请第三方检测机构： 采购包2：否 六、履约验收程序： 采购包2：一次性验收 七、履约验收时间： 采购包2： 1、 验收条件说明： 供应商提出验收申请 ，达到验收条件起 30日内，验收合同总金额的 100 %； 八、验收组织的其他事项： 采购包2：无 九、技术履约验收内容： 采购包2：按照本项目招标文件及中标人投标文件进行验收 十、商务履约验收内容： 采购包2：按照本项目招标文件及中标人投标文件进行验收 十一、履约验收标准： 采购包2： （一）验收标准 供应商交付的货物应当符合下列约定： 1.验收依据：招标文件、投标文件、承诺约定、合同及附件。 2.货物配置齐全，供应商保证完全按时提供货物的硬件、软件和技术资料等。质量符合中国法律法规规定的标准，NMPA和CCC认证（如适用），是原产地生产的原装全新产品；技术参数和性能指标达到招投标（响应）文件、合同附件、产品技术说明等。验收时向采购人提供保证其产品质量的相关手续。如双方对质量和参数性能有异议，由买、卖双方认可的国家相关部门专家验收，出具检测验收报告为准，采购人也可委托中国有资格的单位对上述仪器的质量、技术参数、精度等进行检测校准，发生的所有费用由供应商承担。双方如对质量要求和技术指标的约定标准有相互抵触或异议的事项，由采购人在招标与投标（响应）文件中按质量要求和技术指标比较优胜的原则确定该项的约定标准进行验收。如货物经供应商一次维修或更换仍不能达到合同约定的质量标准，采购人有权退货，并视作供应商不能交付货物而须支付违约赔偿金给采购人，采购人还可依法追究供应商的违约责任。 技术资料齐全（中文版本或中外文对照），供应商应当在采购人验收时将所提供货物的装箱清单、配件、随机工具、用户使用手册、原厂保修卡等资料交付给采购人。进口设备需提供商检证明及按照现行法律规定需要提供的其他证明。供应商不能完整交付本款规定的资料的，必须负责补齐，否则视为未按合同约定交货。 如包装有损坏、产品有质量缺陷、配置短缺、规格型号不符、数量不符、资料不全等或不符合上述标准的，由供应商在7日内无偿给予更换、补齐，并承担由此产生的全部费用，且交货时间不顺延。若更换后仍不符合要求，采购人有权退货并要求供应商承担合同总额30%的惩罚性违约金。 （二）验收方式（如适用） 由采购人编写验收资料[含配置验收、主要性能和质量验收、质量检测（涉及到需要计量检测的设备提供检测合格报告）及防护验收（如适用）、培训验收等]，自供应商书面提出验收申请之日起30日内组织相关部门与供应商共同验收，达到所有标准后，双方签字认可后开始计算质保期。 （三）验收时如发现所交付的货物有短缺、次品、损坏或其它不符合标准及本合同规定之情形者，采购人应做出详尽的现场记录（验收报告）或由双方签署备忘录，此现场记录或备忘录可用作补充、缺失和更换损坏部件的有效证据，供应商应按照采购人要求整改，及时修理、重整或更换，由此产生的时间延误与有关费用由供应商承担，验收期限相应顺延，但交货时间不顺延。 （四）若供应商出现下列情形之一，即为验收不合格： 1、逾期30日未予整改； 2、整改后仍不符合招标（采购）文件、投标（响应）文件、承诺函、合同及其附件、补充协议或备忘录（如有）所定标准； 3、无正当理由拒不申请验收、拒不参与验收、拒不配合验收； 4、拒绝签署记载验收情况的文件； 供应商出现上述情况的，采购人有权单方解除本合同，供应商应当按照采购人要求期限退还已支付费用，剩余价款不再支付，且供应商须自收到解除通知之日起10日内拆除、运离全部设备，将安装场地恢复原状，并承担上述费用。逾期未履行的，采购人可自行处置设备及场地（含破坏性拆除），由此产生的全部费用均由供应商承担，自合同解除通知送达供应商之日起采购人不承担对供应商设备任何保管责任或其他法律责任。 十二、履约验收其他事项： 采购包2：无</w:t>
            </w:r>
          </w:p>
        </w:tc>
      </w:tr>
      <w:tr w14:paraId="653397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71C9D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581" w:type="dxa"/>
          </w:tcPr>
          <w:p w14:paraId="2D3FDA4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0515625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质量保修范围和保修期</w:t>
            </w:r>
          </w:p>
        </w:tc>
        <w:tc>
          <w:tcPr>
            <w:tcW w:w="5814" w:type="dxa"/>
          </w:tcPr>
          <w:p w14:paraId="28B941F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1、质保期限：自验收报告双方签字之日起耗材使用期间设备质保由中标方提供 2、售后服务内容、要求： 2.1质保期内，供应商工程师每年不少于（4）次巡回保养服务。 2.2质保 （1）质保期限：自验收报告双方签字之日起耗材使用期间设备质保由中标方提供 （2）硬件在质保期内，如果出现三次以上因质量引起的故障，供应商负责更换同类新硬件。供应商应按生产厂家的质保规定和投标（响应）文件说明服务承诺做好质保等服务，质保期内维修、零部件、易损件及工时费等已含在总价内。 软件如发生三次（含三次）以上缺陷问题，影响仪器、设备的正常运转，供应商必须无偿更换性能更好、稳定性更高的软件。终身开放所有网络接口并永久提供安装密码、使用密码和维修密码给采购人。采购人任何时候开放软件及端口，供应商协助无缝连接，上述所有费用均包含在供应商报价内，采购人不再额外支付。 （3）质保期后,供应商终身上门服务。 （4）维修时间和时限：供应商接到采购人通知后2小时内，做出反应，如4小时内无法电话解决问题，8小时内供应商工程师到达采购人现场进行维修与更换零部件，维修期间，根据采购人需求，供应商应向采购人提供替用设备。解决时间：不更换零部件自采购人通知之时起24小时内解决；更换非大型部件48小时内解决；更换大型部件10日内解决。以上所有时间均含节假日。 （5）易耗品与零配件供应及价格：供应商终身提供设备的易耗品与零配件，其易耗品与零配件价格以供应商投标响应为准。 （6）开机率：在质保期内，年开机率≥95％，开机天数每少一天，质保期增加10天。 （7）质保期后如采购人购买维保服务的，年维保费用（全保）不超过设备总价的5%，维保的内容和要求与质保期一致。供应商拒绝按前述约定与采购人签订维保合同的，采购人有权委托第三方进行维保，采购人支付给第三方的维保费超过前述约定价格的部分由供应商承担，造成采购人其他损失的，供应商还应当赔偿。如第三方无法提供维保服务，供应商又拒绝按前述约定与采购人签订维保合同的，采购人有权解除本合同，不支付剩余款项(如有),供应商应当向采购人支付本合同金额20%的违约金，并返还合同金额50%的款项，造成采购人其他损失的，供应商还应当赔偿。</w:t>
            </w:r>
          </w:p>
        </w:tc>
      </w:tr>
      <w:tr w14:paraId="5958DB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B4B60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581" w:type="dxa"/>
          </w:tcPr>
          <w:p w14:paraId="7E04F80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4F882DF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5814" w:type="dxa"/>
          </w:tcPr>
          <w:p w14:paraId="4395959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（以下甲方指采购人，乙方指中标供应商） （一）甲方违约责任 1. 甲方无正当理由拒收货物的应赔偿乙方损失,但赔偿金不超过拒收货物价款的10%。甲方拒收的产品，由乙方自行处置，甲方不承担保管、搬离以及货物丢失、损毁、灭失等的责任和由此产生的费用或损失。 2. 甲方逾期支付货款的，除应及时付足货款外，应向乙方偿付欠款总额万分之二/天的违约金，有正当理由除外。 （二）乙方违约责任 1. 乙方交付的货物质量不符合规定的，须在合同规定的交货时间内更换合格的货物给甲方，且不顺延交货期限，乙方逾期交货的，则按本条本款第“2”项规定由乙方偿付违约金给甲方。 2. 乙方不能交付/调试安装货物或逾期交付/调试安装货物而违约的，除应及时交足货物外，应向甲方偿付货款总额的万分之二/天的违约金及赔偿由此给甲方造成的全部损失；逾期交货/调试安装超过30天，甲方有权解除合同，乙方则应按合同总价的20%的款额向甲方偿付赔偿金，并须全额退还甲方已经付给乙方的货款及同期银行贷款利息。 3. 乙方货物经甲方送交具有法定资格条件的质量技术监督机构检测后，如检测结果认定货物质量不符合本合同规定标准的，则视为乙方没有按时交货而违约，乙方须在30天内无条件更换合格的货物，且交货时间不顺延。如逾期不能更换合格的货物，甲方有权解除本合同，乙方应另付合同总价的20%的违约金给甲方，并须全额退还甲方已经付给乙方的货款及同期银行贷款利息。 4. 乙方保证本合同项目的权利无瑕疵，包括货物或服务的所有权及知识产权等权利无瑕疵。如任何第三方经法院裁决有权对上述项目主张权利或国家机关依法对货物进行没收、查封、责令停止侵权行为等的，乙方除应向甲方返还已收款项及同期银行贷款利息外，还应另按合同总价的20%向甲方支付违约金并赔偿因此给甲方造成的一切直接及间接损失。甲方向第三方承担赔偿责任后，有权向乙方追偿。 5. 乙方未按照本协议约定及时履行其质保义务的，甲方有权委托其他有资质的机构进行维修，由此产生的一切费用由乙方承担，甲方有权从剩余货款中直接扣除；若甲方已完成货款支付的，乙方应当按照甲方期限要求向甲方另行支付第三方维修费用。若因此给甲方造成了损失的，乙方还应全额赔偿。 6. 合同生效后乙方未经甲方同意拒绝交付货物，或除法定可以解除合同的情形外单方面解除合同的，乙方应向甲方支付合同总价的20%的违约金。 7. 乙方违反本合同其他约定，经甲方通知后在30天内不改正或整改后仍不符合合同约定的，甲方有权解除合同、不支付乙方任何款项并追究乙方的违约责任，乙方应当退还甲方已支付的款项（如有），未支付的款项甲方不再支付。 8. 因乙方的原因（包括但不限于乙方拒绝交付货物、货物验收不合格等）致合同解除的，乙方应当退还甲方已支付的款项（如有），未支付的款项甲方不再支付，乙方还应当按合同金额的20%向甲方支付违约金。 9.乙方违约除按上述约定承担违约责任外，还应另行赔偿由此给甲方造成的全部损失（包括但不限于重新采购/购买的费用、重新采购/购买货物（含维保）的差价、因货物未能到位期间给甲方造成的运营损失及其他损失、甲方因乙方违约向第三方承担的违约金及赔偿金、诉讼费、保全费、律师费、鉴定费、差旅费等）。 10.乙方根据本合同约定应承担违约金和赔偿金，乙方拒绝支付的，甲方有权从应付款中扣除相应金额，乙方对此无异议。 （三）解决争议的方法 1.招标文件、投标文件、承诺约定、本合同的附件、补充协议、会议纪要等是构成本合同不可分割的部分，与本合同具有同等法律效力，如以上各文件相互有冲突或有内容不一致的地方，或上述文件中表述出现歧义致甲乙双方的理解不同的，应以有利于甲方解释为准。 2.招标文件、投标文件、承诺约定、本合同的附件及本合同等如有中、英文两种版本应以中文版本为准且应做有利于甲方解释。 3.未尽事宜,双方另行协商解决，并签订补充协议。</w:t>
            </w:r>
          </w:p>
        </w:tc>
      </w:tr>
      <w:tr w14:paraId="3F9310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4AA3D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581" w:type="dxa"/>
          </w:tcPr>
          <w:p w14:paraId="10D7B2A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1F4EBF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包装方式及运输</w:t>
            </w:r>
          </w:p>
        </w:tc>
        <w:tc>
          <w:tcPr>
            <w:tcW w:w="5814" w:type="dxa"/>
          </w:tcPr>
          <w:p w14:paraId="75DD278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10D0C9A7">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3.4.其他要求</w:t>
      </w:r>
    </w:p>
    <w:p w14:paraId="2FA0D9A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1、【因系统固化，本条仅作告知说明，供应商无需单独应答】未载明或者载明的标的名称、数量、计量单位及其他政府采购合同实质性内容与采购文件要求不一致，且采购单位无法接受的，属于无效响应。 2、【本项目适用】本国产品价格扣除：（1）根据《国务院办公厅关于在政府采购中实施本国产品标准及相关政策的通知》国办发〔2025〕34号，符合本国产品标准的可享受价格扣除，本国产品应当符合以下条件： （一）在中国境内生产； （二）在中国境内生产的组件成本占比达到规定比例； （三）特定产品的关键组件、关键工序符合相关要求。 （2）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（3）供应商应提供《关于符合本国产品标准的声明函》原件（格式见附件《投标人认为需要提供的其他证明材料》），未提供的，视为放弃享受本国产品价格扣除优惠政策。 （4）当采购项目或者采购包中含有多种产品时，供应商还需提供《本国产品成本比例的声明函》原件(格式见附件《投标人认为需要提供的其他证明材料》)。</w:t>
      </w:r>
    </w:p>
    <w:p w14:paraId="34EB017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F16985"/>
    <w:rsid w:val="7FF169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2026-02-05T08:45:00Z</dcterms:created>
  <dc:creator>sct</dc:creator>
  <cp:lastModifiedBy>sct</cp:lastModifiedBy>
  <dcterms:modified xsi:type="dcterms:W3CDTF">2026-02-05T08:46:04Z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ACB5CD3B56D7446DA5EA04F11C5B8D2A_11</vt:lpwstr>
  </property>
  <property fmtid="{D5CDD505-2E9C-101B-9397-08002B2CF9AE}" pid="4" name="KSOTemplateDocerSaveRecord">
    <vt:lpwstr>eyJoZGlkIjoiNTA4NmU3MzkyMmM4ODY0ZGYzMjc1NGQ5OTBmNjkwYzgiLCJ1c2VySWQiOiI1MTI5OTEzMDQifQ==</vt:lpwstr>
  </property>
</Properties>
</file>