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E402F6">
      <w:pPr>
        <w:spacing w:before="0" w:beforeLines="0" w:after="0" w:afterLines="0" w:line="240" w:lineRule="auto"/>
        <w:ind w:left="0" w:leftChars="0" w:right="0" w:rightChars="0" w:firstLine="0" w:firstLineChars="0"/>
        <w:jc w:val="center"/>
        <w:rPr>
          <w:rFonts w:hint="eastAsia" w:ascii="仿宋" w:hAnsi="仿宋" w:eastAsia="仿宋" w:cs="仿宋"/>
          <w:snapToGrid w:val="0"/>
          <w:color w:val="auto"/>
          <w:sz w:val="21"/>
          <w:szCs w:val="21"/>
          <w:highlight w:val="none"/>
          <w:lang w:val="en-US" w:eastAsia="en-US" w:bidi="ar-SA"/>
        </w:rPr>
      </w:pPr>
      <w:r>
        <w:rPr>
          <w:rFonts w:hint="eastAsia" w:ascii="仿宋" w:hAnsi="仿宋" w:eastAsia="仿宋" w:cs="仿宋"/>
          <w:snapToGrid w:val="0"/>
          <w:color w:val="auto"/>
          <w:sz w:val="21"/>
          <w:szCs w:val="21"/>
          <w:highlight w:val="none"/>
          <w:lang w:val="en-US" w:eastAsia="en-US" w:bidi="ar-SA"/>
        </w:rPr>
        <w:drawing>
          <wp:inline distT="0" distB="0" distL="114300" distR="114300">
            <wp:extent cx="6110605" cy="8963025"/>
            <wp:effectExtent l="0" t="0" r="635" b="13335"/>
            <wp:docPr id="1" name="图片 1" descr="a82d5a451c2e53b54aa327be9fc446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82d5a451c2e53b54aa327be9fc446d1"/>
                    <pic:cNvPicPr>
                      <a:picLocks noChangeAspect="1"/>
                    </pic:cNvPicPr>
                  </pic:nvPicPr>
                  <pic:blipFill>
                    <a:blip r:embed="rId26"/>
                    <a:stretch>
                      <a:fillRect/>
                    </a:stretch>
                  </pic:blipFill>
                  <pic:spPr>
                    <a:xfrm>
                      <a:off x="0" y="0"/>
                      <a:ext cx="6110605" cy="8963025"/>
                    </a:xfrm>
                    <a:prstGeom prst="rect">
                      <a:avLst/>
                    </a:prstGeom>
                  </pic:spPr>
                </pic:pic>
              </a:graphicData>
            </a:graphic>
          </wp:inline>
        </w:drawing>
      </w:r>
    </w:p>
    <w:p w14:paraId="0D5BE4B2">
      <w:pPr>
        <w:spacing w:before="0" w:beforeLines="0" w:after="0" w:afterLines="0" w:line="240" w:lineRule="auto"/>
        <w:ind w:left="0" w:leftChars="0" w:right="0" w:rightChars="0" w:firstLine="0" w:firstLineChars="0"/>
        <w:jc w:val="center"/>
        <w:rPr>
          <w:rFonts w:hint="eastAsia" w:ascii="仿宋" w:hAnsi="仿宋" w:eastAsia="仿宋" w:cs="仿宋"/>
          <w:snapToGrid w:val="0"/>
          <w:color w:val="auto"/>
          <w:sz w:val="21"/>
          <w:szCs w:val="21"/>
          <w:highlight w:val="none"/>
          <w:lang w:val="en-US" w:eastAsia="en-US" w:bidi="ar-SA"/>
        </w:rPr>
      </w:pPr>
    </w:p>
    <w:sdt>
      <w:sdtPr>
        <w:rPr>
          <w:rFonts w:hint="eastAsia" w:ascii="仿宋" w:hAnsi="仿宋" w:eastAsia="仿宋" w:cs="仿宋"/>
          <w:snapToGrid w:val="0"/>
          <w:color w:val="auto"/>
          <w:sz w:val="21"/>
          <w:szCs w:val="21"/>
          <w:highlight w:val="none"/>
          <w:lang w:val="en-US" w:eastAsia="en-US" w:bidi="ar-SA"/>
        </w:rPr>
        <w:id w:val="147475452"/>
        <w15:color w:val="DBDBDB"/>
        <w:docPartObj>
          <w:docPartGallery w:val="Table of Contents"/>
          <w:docPartUnique/>
        </w:docPartObj>
      </w:sdtPr>
      <w:sdtEndPr>
        <w:rPr>
          <w:rFonts w:hint="eastAsia" w:ascii="仿宋" w:hAnsi="仿宋" w:eastAsia="仿宋" w:cs="仿宋"/>
          <w:b/>
          <w:snapToGrid w:val="0"/>
          <w:color w:val="auto"/>
          <w:sz w:val="21"/>
          <w:szCs w:val="32"/>
          <w:highlight w:val="none"/>
          <w:lang w:val="en-US" w:eastAsia="zh-CN" w:bidi="ar-SA"/>
        </w:rPr>
      </w:sdtEndPr>
      <w:sdtContent>
        <w:p w14:paraId="14FA76E7">
          <w:pPr>
            <w:spacing w:before="0" w:beforeLines="0" w:after="0" w:afterLines="0" w:line="240" w:lineRule="auto"/>
            <w:ind w:left="0" w:leftChars="0" w:right="0" w:rightChars="0" w:firstLine="0" w:firstLineChars="0"/>
            <w:jc w:val="center"/>
            <w:rPr>
              <w:rFonts w:hint="eastAsia" w:ascii="仿宋" w:hAnsi="仿宋" w:eastAsia="仿宋" w:cs="仿宋"/>
              <w:b/>
              <w:color w:val="auto"/>
              <w:highlight w:val="none"/>
            </w:rPr>
          </w:pPr>
          <w:r>
            <w:rPr>
              <w:rFonts w:hint="eastAsia" w:ascii="仿宋" w:hAnsi="仿宋" w:eastAsia="仿宋" w:cs="仿宋"/>
              <w:b/>
              <w:bCs/>
              <w:color w:val="auto"/>
              <w:sz w:val="32"/>
              <w:szCs w:val="32"/>
              <w:highlight w:val="none"/>
            </w:rPr>
            <w:t>目</w:t>
          </w:r>
          <w:r>
            <w:rPr>
              <w:rFonts w:hint="eastAsia" w:ascii="仿宋" w:hAnsi="仿宋" w:eastAsia="仿宋" w:cs="仿宋"/>
              <w:b/>
              <w:bCs/>
              <w:color w:val="auto"/>
              <w:sz w:val="32"/>
              <w:szCs w:val="32"/>
              <w:highlight w:val="none"/>
              <w:lang w:val="en-US" w:eastAsia="zh-CN"/>
            </w:rPr>
            <w:t xml:space="preserve">  </w:t>
          </w:r>
          <w:r>
            <w:rPr>
              <w:rFonts w:hint="eastAsia" w:ascii="仿宋" w:hAnsi="仿宋" w:eastAsia="仿宋" w:cs="仿宋"/>
              <w:b/>
              <w:bCs/>
              <w:color w:val="auto"/>
              <w:sz w:val="32"/>
              <w:szCs w:val="32"/>
              <w:highlight w:val="none"/>
            </w:rPr>
            <w:t>录</w:t>
          </w:r>
          <w:r>
            <w:rPr>
              <w:rFonts w:hint="eastAsia" w:ascii="仿宋" w:hAnsi="仿宋" w:eastAsia="仿宋" w:cs="仿宋"/>
              <w:b/>
              <w:color w:val="auto"/>
              <w:sz w:val="32"/>
              <w:szCs w:val="32"/>
              <w:highlight w:val="none"/>
              <w:lang w:eastAsia="zh-CN"/>
            </w:rPr>
            <w:fldChar w:fldCharType="begin"/>
          </w:r>
          <w:r>
            <w:rPr>
              <w:rFonts w:hint="eastAsia" w:ascii="仿宋" w:hAnsi="仿宋" w:eastAsia="仿宋" w:cs="仿宋"/>
              <w:b/>
              <w:color w:val="auto"/>
              <w:sz w:val="32"/>
              <w:szCs w:val="32"/>
              <w:highlight w:val="none"/>
              <w:lang w:eastAsia="zh-CN"/>
            </w:rPr>
            <w:instrText xml:space="preserve">TOC \o "1-2" \h \u </w:instrText>
          </w:r>
          <w:r>
            <w:rPr>
              <w:rFonts w:hint="eastAsia" w:ascii="仿宋" w:hAnsi="仿宋" w:eastAsia="仿宋" w:cs="仿宋"/>
              <w:b/>
              <w:color w:val="auto"/>
              <w:sz w:val="32"/>
              <w:szCs w:val="32"/>
              <w:highlight w:val="none"/>
              <w:lang w:eastAsia="zh-CN"/>
            </w:rPr>
            <w:fldChar w:fldCharType="separate"/>
          </w:r>
        </w:p>
        <w:p w14:paraId="26B19178">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auto"/>
              <w:highlight w:val="none"/>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_Toc6369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Cs w:val="32"/>
              <w:highlight w:val="none"/>
              <w:lang w:eastAsia="zh-CN"/>
            </w:rPr>
            <w:t>第一章 招标公告</w:t>
          </w:r>
          <w:r>
            <w:rPr>
              <w:rFonts w:hint="eastAsia" w:ascii="仿宋" w:hAnsi="仿宋" w:eastAsia="仿宋" w:cs="仿宋"/>
              <w:b/>
              <w:bCs/>
              <w:color w:val="auto"/>
              <w:highlight w:val="none"/>
            </w:rPr>
            <w:tab/>
          </w:r>
          <w:r>
            <w:rPr>
              <w:rFonts w:hint="eastAsia" w:ascii="仿宋" w:hAnsi="仿宋" w:eastAsia="仿宋" w:cs="仿宋"/>
              <w:b/>
              <w:bCs/>
              <w:color w:val="auto"/>
              <w:highlight w:val="none"/>
            </w:rPr>
            <w:fldChar w:fldCharType="begin"/>
          </w:r>
          <w:r>
            <w:rPr>
              <w:rFonts w:hint="eastAsia" w:ascii="仿宋" w:hAnsi="仿宋" w:eastAsia="仿宋" w:cs="仿宋"/>
              <w:b/>
              <w:bCs/>
              <w:color w:val="auto"/>
              <w:highlight w:val="none"/>
            </w:rPr>
            <w:instrText xml:space="preserve"> PAGEREF _Toc6369 \h </w:instrText>
          </w:r>
          <w:r>
            <w:rPr>
              <w:rFonts w:hint="eastAsia" w:ascii="仿宋" w:hAnsi="仿宋" w:eastAsia="仿宋" w:cs="仿宋"/>
              <w:b/>
              <w:bCs/>
              <w:color w:val="auto"/>
              <w:highlight w:val="none"/>
            </w:rPr>
            <w:fldChar w:fldCharType="separate"/>
          </w:r>
          <w:r>
            <w:rPr>
              <w:rFonts w:hint="eastAsia" w:ascii="仿宋" w:hAnsi="仿宋" w:eastAsia="仿宋" w:cs="仿宋"/>
              <w:b/>
              <w:bCs/>
              <w:color w:val="auto"/>
              <w:highlight w:val="none"/>
            </w:rPr>
            <w:t>1</w:t>
          </w:r>
          <w:r>
            <w:rPr>
              <w:rFonts w:hint="eastAsia" w:ascii="仿宋" w:hAnsi="仿宋" w:eastAsia="仿宋" w:cs="仿宋"/>
              <w:b/>
              <w:bCs/>
              <w:color w:val="auto"/>
              <w:highlight w:val="none"/>
            </w:rPr>
            <w:fldChar w:fldCharType="end"/>
          </w:r>
          <w:r>
            <w:rPr>
              <w:rFonts w:hint="eastAsia" w:ascii="仿宋" w:hAnsi="仿宋" w:eastAsia="仿宋" w:cs="仿宋"/>
              <w:b/>
              <w:bCs/>
              <w:color w:val="auto"/>
              <w:szCs w:val="32"/>
              <w:highlight w:val="none"/>
              <w:lang w:eastAsia="zh-CN"/>
            </w:rPr>
            <w:fldChar w:fldCharType="end"/>
          </w:r>
        </w:p>
        <w:p w14:paraId="7D4EB615">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_Toc3210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项目概况</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_Toc3210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3C7CDA2E">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_Toc24498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一、项目基本情况</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_Toc24498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EE80870">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_Toc28445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二、</w:t>
          </w:r>
          <w:r>
            <w:rPr>
              <w:rFonts w:hint="eastAsia" w:ascii="仿宋" w:hAnsi="仿宋" w:eastAsia="仿宋" w:cs="仿宋"/>
              <w:color w:val="auto"/>
              <w:szCs w:val="21"/>
              <w:highlight w:val="none"/>
              <w:lang w:val="en-US" w:eastAsia="zh-CN"/>
            </w:rPr>
            <w:t>投标人</w:t>
          </w:r>
          <w:r>
            <w:rPr>
              <w:rFonts w:hint="eastAsia" w:ascii="仿宋" w:hAnsi="仿宋" w:eastAsia="仿宋" w:cs="仿宋"/>
              <w:color w:val="auto"/>
              <w:szCs w:val="21"/>
              <w:highlight w:val="none"/>
              <w:lang w:eastAsia="zh-CN"/>
            </w:rPr>
            <w:t>的资格要求</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_Toc28445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3B3A31A9">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_Toc32718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三、获取招标文件</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_Toc32718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1</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2F8DEFF8">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_Toc2364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四、提交投标文件截止时间、开标时间和地点</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634B51C8">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_Toc8289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eastAsia="zh-CN"/>
            </w:rPr>
            <w:t>五、公告期限</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73B5DB09">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_Toc20184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六、其他补充事宜</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2</w:t>
          </w:r>
          <w:r>
            <w:rPr>
              <w:rFonts w:hint="eastAsia" w:ascii="仿宋" w:hAnsi="仿宋" w:eastAsia="仿宋" w:cs="仿宋"/>
              <w:color w:val="auto"/>
              <w:szCs w:val="32"/>
              <w:highlight w:val="none"/>
              <w:lang w:eastAsia="zh-CN"/>
            </w:rPr>
            <w:fldChar w:fldCharType="end"/>
          </w:r>
        </w:p>
        <w:p w14:paraId="019F5D30">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_Toc17573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七</w:t>
          </w:r>
          <w:r>
            <w:rPr>
              <w:rFonts w:hint="eastAsia" w:ascii="仿宋" w:hAnsi="仿宋" w:eastAsia="仿宋" w:cs="仿宋"/>
              <w:color w:val="auto"/>
              <w:szCs w:val="21"/>
              <w:highlight w:val="none"/>
              <w:lang w:eastAsia="zh-CN"/>
            </w:rPr>
            <w:t>、对本次招标提出询问，请按以下方式联系</w:t>
          </w:r>
          <w:r>
            <w:rPr>
              <w:rFonts w:hint="eastAsia" w:ascii="仿宋" w:hAnsi="仿宋" w:eastAsia="仿宋" w:cs="仿宋"/>
              <w:color w:val="auto"/>
              <w:highlight w:val="none"/>
            </w:rPr>
            <w:tab/>
          </w:r>
          <w:r>
            <w:rPr>
              <w:rFonts w:hint="eastAsia" w:ascii="仿宋" w:hAnsi="仿宋" w:eastAsia="仿宋" w:cs="仿宋"/>
              <w:color w:val="auto"/>
              <w:highlight w:val="none"/>
              <w:lang w:val="en-US" w:eastAsia="zh-CN"/>
            </w:rPr>
            <w:t>3</w:t>
          </w:r>
          <w:r>
            <w:rPr>
              <w:rFonts w:hint="eastAsia" w:ascii="仿宋" w:hAnsi="仿宋" w:eastAsia="仿宋" w:cs="仿宋"/>
              <w:color w:val="auto"/>
              <w:szCs w:val="32"/>
              <w:highlight w:val="none"/>
              <w:lang w:eastAsia="zh-CN"/>
            </w:rPr>
            <w:fldChar w:fldCharType="end"/>
          </w:r>
        </w:p>
        <w:p w14:paraId="76A9B7E1">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0" w:firstLineChars="0"/>
            <w:textAlignment w:val="auto"/>
            <w:rPr>
              <w:rFonts w:hint="eastAsia" w:ascii="仿宋" w:hAnsi="仿宋" w:eastAsia="仿宋" w:cs="仿宋"/>
              <w:b/>
              <w:bCs/>
              <w:color w:val="auto"/>
              <w:highlight w:val="none"/>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_Toc14272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Cs w:val="32"/>
              <w:highlight w:val="none"/>
              <w:lang w:eastAsia="zh-CN"/>
            </w:rPr>
            <w:t>第二章</w:t>
          </w:r>
          <w:r>
            <w:rPr>
              <w:rFonts w:hint="eastAsia" w:ascii="仿宋" w:hAnsi="仿宋" w:eastAsia="仿宋" w:cs="仿宋"/>
              <w:b/>
              <w:bCs/>
              <w:color w:val="auto"/>
              <w:szCs w:val="32"/>
              <w:highlight w:val="none"/>
              <w:lang w:val="en-US" w:eastAsia="zh-CN"/>
            </w:rPr>
            <w:t xml:space="preserve"> </w:t>
          </w:r>
          <w:r>
            <w:rPr>
              <w:rFonts w:hint="eastAsia" w:ascii="仿宋" w:hAnsi="仿宋" w:eastAsia="仿宋" w:cs="仿宋"/>
              <w:b/>
              <w:bCs/>
              <w:color w:val="auto"/>
              <w:szCs w:val="32"/>
              <w:highlight w:val="none"/>
              <w:lang w:eastAsia="zh-CN"/>
            </w:rPr>
            <w:t>投标人须知</w:t>
          </w:r>
          <w:r>
            <w:rPr>
              <w:rFonts w:hint="eastAsia" w:ascii="仿宋" w:hAnsi="仿宋" w:eastAsia="仿宋" w:cs="仿宋"/>
              <w:b/>
              <w:bCs/>
              <w:color w:val="auto"/>
              <w:highlight w:val="none"/>
            </w:rPr>
            <w:tab/>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szCs w:val="32"/>
              <w:highlight w:val="none"/>
              <w:lang w:eastAsia="zh-CN"/>
            </w:rPr>
            <w:fldChar w:fldCharType="end"/>
          </w:r>
        </w:p>
        <w:p w14:paraId="4E9A3BDC">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_Toc32551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一、投标人须知前附表</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val="en-US" w:eastAsia="zh-CN"/>
            </w:rPr>
            <w:t>4</w:t>
          </w:r>
          <w:r>
            <w:rPr>
              <w:rFonts w:hint="eastAsia" w:ascii="仿宋" w:hAnsi="仿宋" w:eastAsia="仿宋" w:cs="仿宋"/>
              <w:color w:val="auto"/>
              <w:szCs w:val="32"/>
              <w:highlight w:val="none"/>
              <w:lang w:eastAsia="zh-CN"/>
            </w:rPr>
            <w:fldChar w:fldCharType="end"/>
          </w:r>
        </w:p>
        <w:p w14:paraId="03A8E8AF">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_Toc3899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二、</w:t>
          </w:r>
          <w:r>
            <w:rPr>
              <w:rFonts w:hint="eastAsia" w:ascii="仿宋" w:hAnsi="仿宋" w:eastAsia="仿宋" w:cs="仿宋"/>
              <w:color w:val="auto"/>
              <w:szCs w:val="32"/>
              <w:highlight w:val="none"/>
              <w:lang w:val="en-US" w:eastAsia="zh-CN"/>
            </w:rPr>
            <w:t>总则</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_Toc3899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2C513E3D">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_Toc12698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三、投标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_Toc12698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15</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44D783B3">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val="en-US"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_Toc22194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四、</w:t>
          </w:r>
          <w:r>
            <w:rPr>
              <w:rFonts w:hint="eastAsia" w:ascii="仿宋" w:hAnsi="仿宋" w:eastAsia="仿宋" w:cs="仿宋"/>
              <w:color w:val="auto"/>
              <w:szCs w:val="32"/>
              <w:highlight w:val="none"/>
              <w:lang w:eastAsia="zh-CN"/>
            </w:rPr>
            <w:t>开标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val="en-US" w:eastAsia="zh-CN"/>
            </w:rPr>
            <w:t>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val="en-US" w:eastAsia="zh-CN"/>
            </w:rPr>
            <w:t>8</w:t>
          </w:r>
        </w:p>
        <w:p w14:paraId="2DD4EF8A">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_Toc13398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五、评标</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_Toc13398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18</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56C07587">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_Toc16364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val="en-US" w:eastAsia="zh-CN"/>
            </w:rPr>
            <w:t>六、</w:t>
          </w:r>
          <w:r>
            <w:rPr>
              <w:rFonts w:hint="eastAsia" w:ascii="仿宋" w:hAnsi="仿宋" w:eastAsia="仿宋" w:cs="仿宋"/>
              <w:color w:val="auto"/>
              <w:szCs w:val="32"/>
              <w:highlight w:val="none"/>
              <w:lang w:eastAsia="zh-CN"/>
            </w:rPr>
            <w:t>意外情况的情形和处理</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_Toc16364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20</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2F4AAA94">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_Toc27922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七、中标和合同</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_Toc27922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20</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7AB4ACCD">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_Toc30113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八、询问和质疑</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_Toc30113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74439D7D">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ind w:left="0" w:leftChars="0" w:firstLine="400" w:firstLineChars="200"/>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_Toc21802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九、</w:t>
          </w:r>
          <w:r>
            <w:rPr>
              <w:rFonts w:hint="eastAsia" w:ascii="仿宋" w:hAnsi="仿宋" w:eastAsia="仿宋" w:cs="仿宋"/>
              <w:color w:val="auto"/>
              <w:szCs w:val="32"/>
              <w:highlight w:val="none"/>
              <w:lang w:val="en-US" w:eastAsia="zh-CN"/>
            </w:rPr>
            <w:t>其他事项</w:t>
          </w:r>
          <w:r>
            <w:rPr>
              <w:rFonts w:hint="eastAsia" w:ascii="仿宋" w:hAnsi="仿宋" w:eastAsia="仿宋" w:cs="仿宋"/>
              <w:color w:val="auto"/>
              <w:szCs w:val="32"/>
              <w:highlight w:val="none"/>
              <w:lang w:eastAsia="zh-CN"/>
            </w:rPr>
            <w:tab/>
          </w: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PAGEREF _Toc21802 \h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32"/>
              <w:highlight w:val="none"/>
              <w:lang w:eastAsia="zh-CN"/>
            </w:rPr>
            <w:t>21</w:t>
          </w:r>
          <w:r>
            <w:rPr>
              <w:rFonts w:hint="eastAsia" w:ascii="仿宋" w:hAnsi="仿宋" w:eastAsia="仿宋" w:cs="仿宋"/>
              <w:color w:val="auto"/>
              <w:szCs w:val="32"/>
              <w:highlight w:val="none"/>
              <w:lang w:eastAsia="zh-CN"/>
            </w:rPr>
            <w:fldChar w:fldCharType="end"/>
          </w:r>
          <w:r>
            <w:rPr>
              <w:rFonts w:hint="eastAsia" w:ascii="仿宋" w:hAnsi="仿宋" w:eastAsia="仿宋" w:cs="仿宋"/>
              <w:color w:val="auto"/>
              <w:szCs w:val="32"/>
              <w:highlight w:val="none"/>
              <w:lang w:eastAsia="zh-CN"/>
            </w:rPr>
            <w:fldChar w:fldCharType="end"/>
          </w:r>
        </w:p>
        <w:p w14:paraId="5C86D197">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bCs w:val="0"/>
              <w:color w:val="auto"/>
              <w:highlight w:val="none"/>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color w:val="auto"/>
              <w:szCs w:val="32"/>
              <w:highlight w:val="none"/>
              <w:lang w:eastAsia="zh-CN"/>
            </w:rPr>
            <w:instrText xml:space="preserve"> HYPERLINK \l _Toc2054 </w:instrText>
          </w:r>
          <w:r>
            <w:rPr>
              <w:rFonts w:hint="eastAsia" w:ascii="仿宋" w:hAnsi="仿宋" w:eastAsia="仿宋" w:cs="仿宋"/>
              <w:b/>
              <w:bCs w:val="0"/>
              <w:color w:val="auto"/>
              <w:szCs w:val="32"/>
              <w:highlight w:val="none"/>
              <w:lang w:eastAsia="zh-CN"/>
            </w:rPr>
            <w:fldChar w:fldCharType="separate"/>
          </w:r>
          <w:r>
            <w:rPr>
              <w:rFonts w:hint="eastAsia" w:ascii="仿宋" w:hAnsi="仿宋" w:eastAsia="仿宋" w:cs="仿宋"/>
              <w:b/>
              <w:bCs w:val="0"/>
              <w:color w:val="auto"/>
              <w:szCs w:val="32"/>
              <w:highlight w:val="none"/>
              <w:lang w:val="en-US" w:eastAsia="zh-CN"/>
            </w:rPr>
            <w:t>第三章 评审办法</w:t>
          </w:r>
          <w:r>
            <w:rPr>
              <w:rFonts w:hint="eastAsia" w:ascii="仿宋" w:hAnsi="仿宋" w:eastAsia="仿宋" w:cs="仿宋"/>
              <w:b/>
              <w:bCs w:val="0"/>
              <w:color w:val="auto"/>
              <w:highlight w:val="none"/>
            </w:rPr>
            <w:tab/>
          </w:r>
          <w:r>
            <w:rPr>
              <w:rFonts w:hint="eastAsia" w:ascii="仿宋" w:hAnsi="仿宋" w:eastAsia="仿宋" w:cs="仿宋"/>
              <w:b/>
              <w:bCs w:val="0"/>
              <w:color w:val="auto"/>
              <w:highlight w:val="none"/>
            </w:rPr>
            <w:fldChar w:fldCharType="begin"/>
          </w:r>
          <w:r>
            <w:rPr>
              <w:rFonts w:hint="eastAsia" w:ascii="仿宋" w:hAnsi="仿宋" w:eastAsia="仿宋" w:cs="仿宋"/>
              <w:b/>
              <w:bCs w:val="0"/>
              <w:color w:val="auto"/>
              <w:highlight w:val="none"/>
            </w:rPr>
            <w:instrText xml:space="preserve"> PAGEREF _Toc2054 \h </w:instrText>
          </w:r>
          <w:r>
            <w:rPr>
              <w:rFonts w:hint="eastAsia" w:ascii="仿宋" w:hAnsi="仿宋" w:eastAsia="仿宋" w:cs="仿宋"/>
              <w:b/>
              <w:bCs w:val="0"/>
              <w:color w:val="auto"/>
              <w:highlight w:val="none"/>
            </w:rPr>
            <w:fldChar w:fldCharType="separate"/>
          </w:r>
          <w:r>
            <w:rPr>
              <w:rFonts w:hint="eastAsia" w:ascii="仿宋" w:hAnsi="仿宋" w:eastAsia="仿宋" w:cs="仿宋"/>
              <w:b/>
              <w:bCs w:val="0"/>
              <w:color w:val="auto"/>
              <w:highlight w:val="none"/>
            </w:rPr>
            <w:t>23</w:t>
          </w:r>
          <w:r>
            <w:rPr>
              <w:rFonts w:hint="eastAsia" w:ascii="仿宋" w:hAnsi="仿宋" w:eastAsia="仿宋" w:cs="仿宋"/>
              <w:b/>
              <w:bCs w:val="0"/>
              <w:color w:val="auto"/>
              <w:highlight w:val="none"/>
            </w:rPr>
            <w:fldChar w:fldCharType="end"/>
          </w:r>
          <w:r>
            <w:rPr>
              <w:rFonts w:hint="eastAsia" w:ascii="仿宋" w:hAnsi="仿宋" w:eastAsia="仿宋" w:cs="仿宋"/>
              <w:b/>
              <w:bCs w:val="0"/>
              <w:color w:val="auto"/>
              <w:szCs w:val="32"/>
              <w:highlight w:val="none"/>
              <w:lang w:eastAsia="zh-CN"/>
            </w:rPr>
            <w:fldChar w:fldCharType="end"/>
          </w:r>
        </w:p>
        <w:p w14:paraId="72BC12E1">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_Toc25184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一、</w:t>
          </w:r>
          <w:r>
            <w:rPr>
              <w:rFonts w:hint="eastAsia" w:ascii="仿宋" w:hAnsi="仿宋" w:eastAsia="仿宋" w:cs="仿宋"/>
              <w:color w:val="auto"/>
              <w:szCs w:val="21"/>
              <w:highlight w:val="none"/>
              <w:lang w:eastAsia="zh-CN"/>
            </w:rPr>
            <w:t>资格审查</w:t>
          </w:r>
          <w:r>
            <w:rPr>
              <w:rFonts w:hint="eastAsia" w:ascii="仿宋" w:hAnsi="仿宋" w:eastAsia="仿宋" w:cs="仿宋"/>
              <w:color w:val="auto"/>
              <w:szCs w:val="21"/>
              <w:highlight w:val="none"/>
              <w:lang w:val="en-US" w:eastAsia="zh-CN"/>
            </w:rPr>
            <w:t>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_Toc25184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23</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17F8EA2E">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_Toc19870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zCs w:val="21"/>
              <w:highlight w:val="none"/>
              <w:lang w:val="en-US" w:eastAsia="zh-CN"/>
            </w:rPr>
            <w:t>二、</w:t>
          </w:r>
          <w:r>
            <w:rPr>
              <w:rFonts w:hint="eastAsia" w:ascii="仿宋" w:hAnsi="仿宋" w:eastAsia="仿宋" w:cs="仿宋"/>
              <w:bCs/>
              <w:color w:val="auto"/>
              <w:szCs w:val="21"/>
              <w:highlight w:val="none"/>
              <w:lang w:eastAsia="zh-CN"/>
            </w:rPr>
            <w:t>符合性评审标准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_Toc19870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25</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4FD4ADB1">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_Toc13039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pacing w:val="0"/>
              <w:w w:val="100"/>
              <w:position w:val="0"/>
              <w:szCs w:val="21"/>
              <w:highlight w:val="none"/>
              <w:lang w:val="en-US" w:eastAsia="zh-CN"/>
            </w:rPr>
            <w:t>三、评分标准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_Toc13039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26</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1C0B3A5F">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_Toc16237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szCs w:val="21"/>
              <w:highlight w:val="none"/>
              <w:lang w:val="en-US" w:eastAsia="zh-CN"/>
            </w:rPr>
            <w:t>四、评标程序</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_Toc16237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28</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1CB3A9F">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b/>
              <w:bCs w:val="0"/>
              <w:color w:val="auto"/>
              <w:szCs w:val="32"/>
              <w:highlight w:val="none"/>
              <w:lang w:eastAsia="zh-CN"/>
            </w:rPr>
            <w:fldChar w:fldCharType="begin"/>
          </w:r>
          <w:r>
            <w:rPr>
              <w:rFonts w:hint="eastAsia" w:ascii="仿宋" w:hAnsi="仿宋" w:eastAsia="仿宋" w:cs="仿宋"/>
              <w:b/>
              <w:bCs w:val="0"/>
              <w:color w:val="auto"/>
              <w:szCs w:val="32"/>
              <w:highlight w:val="none"/>
              <w:lang w:eastAsia="zh-CN"/>
            </w:rPr>
            <w:instrText xml:space="preserve"> HYPERLINK \l _Toc8111 </w:instrText>
          </w:r>
          <w:r>
            <w:rPr>
              <w:rFonts w:hint="eastAsia" w:ascii="仿宋" w:hAnsi="仿宋" w:eastAsia="仿宋" w:cs="仿宋"/>
              <w:b/>
              <w:bCs w:val="0"/>
              <w:color w:val="auto"/>
              <w:szCs w:val="32"/>
              <w:highlight w:val="none"/>
              <w:lang w:eastAsia="zh-CN"/>
            </w:rPr>
            <w:fldChar w:fldCharType="separate"/>
          </w:r>
          <w:r>
            <w:rPr>
              <w:rFonts w:hint="eastAsia" w:ascii="仿宋" w:hAnsi="仿宋" w:eastAsia="仿宋" w:cs="仿宋"/>
              <w:b/>
              <w:bCs w:val="0"/>
              <w:color w:val="auto"/>
              <w:szCs w:val="28"/>
              <w:highlight w:val="none"/>
              <w:lang w:eastAsia="zh-CN"/>
            </w:rPr>
            <w:t>第四章 采购需求及要求</w:t>
          </w:r>
          <w:r>
            <w:rPr>
              <w:rFonts w:hint="eastAsia" w:ascii="仿宋" w:hAnsi="仿宋" w:eastAsia="仿宋" w:cs="仿宋"/>
              <w:b/>
              <w:bCs w:val="0"/>
              <w:color w:val="auto"/>
              <w:highlight w:val="none"/>
            </w:rPr>
            <w:tab/>
          </w:r>
          <w:r>
            <w:rPr>
              <w:rFonts w:hint="eastAsia" w:ascii="仿宋" w:hAnsi="仿宋" w:eastAsia="仿宋" w:cs="仿宋"/>
              <w:b/>
              <w:bCs w:val="0"/>
              <w:color w:val="auto"/>
              <w:highlight w:val="none"/>
              <w:lang w:val="en-US" w:eastAsia="zh-CN"/>
            </w:rPr>
            <w:t>3</w:t>
          </w:r>
          <w:r>
            <w:rPr>
              <w:rFonts w:hint="eastAsia" w:ascii="仿宋" w:hAnsi="仿宋" w:eastAsia="仿宋" w:cs="仿宋"/>
              <w:b/>
              <w:bCs w:val="0"/>
              <w:color w:val="auto"/>
              <w:szCs w:val="32"/>
              <w:highlight w:val="none"/>
              <w:lang w:eastAsia="zh-CN"/>
            </w:rPr>
            <w:fldChar w:fldCharType="end"/>
          </w:r>
          <w:r>
            <w:rPr>
              <w:rFonts w:hint="eastAsia" w:ascii="仿宋" w:hAnsi="仿宋" w:eastAsia="仿宋" w:cs="仿宋"/>
              <w:b/>
              <w:bCs w:val="0"/>
              <w:color w:val="auto"/>
              <w:szCs w:val="32"/>
              <w:highlight w:val="none"/>
              <w:lang w:val="en-US" w:eastAsia="zh-CN"/>
            </w:rPr>
            <w:t>5</w:t>
          </w:r>
        </w:p>
        <w:p w14:paraId="6F279037">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default" w:ascii="仿宋" w:hAnsi="仿宋" w:eastAsia="仿宋" w:cs="仿宋"/>
              <w:b/>
              <w:bCs/>
              <w:color w:val="auto"/>
              <w:highlight w:val="none"/>
              <w:lang w:val="en-US"/>
            </w:rPr>
          </w:pPr>
          <w:r>
            <w:rPr>
              <w:rFonts w:hint="eastAsia" w:ascii="仿宋" w:hAnsi="仿宋" w:eastAsia="仿宋" w:cs="仿宋"/>
              <w:b/>
              <w:bCs/>
              <w:color w:val="auto"/>
              <w:szCs w:val="32"/>
              <w:highlight w:val="none"/>
              <w:lang w:eastAsia="zh-CN"/>
            </w:rPr>
            <w:fldChar w:fldCharType="begin"/>
          </w:r>
          <w:r>
            <w:rPr>
              <w:rFonts w:hint="eastAsia" w:ascii="仿宋" w:hAnsi="仿宋" w:eastAsia="仿宋" w:cs="仿宋"/>
              <w:b/>
              <w:bCs/>
              <w:color w:val="auto"/>
              <w:szCs w:val="32"/>
              <w:highlight w:val="none"/>
              <w:lang w:eastAsia="zh-CN"/>
            </w:rPr>
            <w:instrText xml:space="preserve"> HYPERLINK \l _Toc31363 </w:instrText>
          </w:r>
          <w:r>
            <w:rPr>
              <w:rFonts w:hint="eastAsia" w:ascii="仿宋" w:hAnsi="仿宋" w:eastAsia="仿宋" w:cs="仿宋"/>
              <w:b/>
              <w:bCs/>
              <w:color w:val="auto"/>
              <w:szCs w:val="32"/>
              <w:highlight w:val="none"/>
              <w:lang w:eastAsia="zh-CN"/>
            </w:rPr>
            <w:fldChar w:fldCharType="separate"/>
          </w:r>
          <w:r>
            <w:rPr>
              <w:rFonts w:hint="eastAsia" w:ascii="仿宋" w:hAnsi="仿宋" w:eastAsia="仿宋" w:cs="仿宋"/>
              <w:b/>
              <w:bCs/>
              <w:color w:val="auto"/>
              <w:sz w:val="20"/>
              <w:szCs w:val="32"/>
              <w:highlight w:val="none"/>
              <w:lang w:val="en-US" w:eastAsia="zh-CN"/>
            </w:rPr>
            <w:t>第五章</w:t>
          </w:r>
          <w:r>
            <w:rPr>
              <w:rFonts w:hint="eastAsia" w:ascii="仿宋" w:hAnsi="仿宋" w:eastAsia="仿宋" w:cs="仿宋"/>
              <w:b/>
              <w:bCs/>
              <w:color w:val="auto"/>
              <w:sz w:val="20"/>
              <w:szCs w:val="32"/>
              <w:highlight w:val="none"/>
              <w:lang w:eastAsia="zh-CN"/>
            </w:rPr>
            <w:t xml:space="preserve"> 拟签订的合同文本</w:t>
          </w:r>
          <w:r>
            <w:rPr>
              <w:rFonts w:hint="eastAsia" w:ascii="仿宋" w:hAnsi="仿宋" w:eastAsia="仿宋" w:cs="仿宋"/>
              <w:b/>
              <w:bCs/>
              <w:color w:val="auto"/>
              <w:highlight w:val="none"/>
            </w:rPr>
            <w:tab/>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szCs w:val="32"/>
              <w:highlight w:val="none"/>
              <w:lang w:eastAsia="zh-CN"/>
            </w:rPr>
            <w:fldChar w:fldCharType="end"/>
          </w:r>
          <w:r>
            <w:rPr>
              <w:rFonts w:hint="eastAsia" w:ascii="仿宋" w:hAnsi="仿宋" w:eastAsia="仿宋" w:cs="仿宋"/>
              <w:b/>
              <w:bCs/>
              <w:color w:val="auto"/>
              <w:szCs w:val="32"/>
              <w:highlight w:val="none"/>
              <w:lang w:val="en-US" w:eastAsia="zh-CN"/>
            </w:rPr>
            <w:t>1</w:t>
          </w:r>
        </w:p>
        <w:p w14:paraId="5080487D">
          <w:pPr>
            <w:pStyle w:val="38"/>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highlight w:val="none"/>
            </w:rPr>
          </w:pPr>
          <w:r>
            <w:rPr>
              <w:rFonts w:hint="eastAsia" w:ascii="仿宋" w:hAnsi="仿宋" w:eastAsia="仿宋" w:cs="仿宋"/>
              <w:b/>
              <w:color w:val="auto"/>
              <w:szCs w:val="32"/>
              <w:highlight w:val="none"/>
              <w:lang w:eastAsia="zh-CN"/>
            </w:rPr>
            <w:fldChar w:fldCharType="begin"/>
          </w:r>
          <w:r>
            <w:rPr>
              <w:rFonts w:hint="eastAsia" w:ascii="仿宋" w:hAnsi="仿宋" w:eastAsia="仿宋" w:cs="仿宋"/>
              <w:b/>
              <w:color w:val="auto"/>
              <w:szCs w:val="32"/>
              <w:highlight w:val="none"/>
              <w:lang w:eastAsia="zh-CN"/>
            </w:rPr>
            <w:instrText xml:space="preserve"> HYPERLINK \l _Toc17934 </w:instrText>
          </w:r>
          <w:r>
            <w:rPr>
              <w:rFonts w:hint="eastAsia" w:ascii="仿宋" w:hAnsi="仿宋" w:eastAsia="仿宋" w:cs="仿宋"/>
              <w:b/>
              <w:color w:val="auto"/>
              <w:szCs w:val="32"/>
              <w:highlight w:val="none"/>
              <w:lang w:eastAsia="zh-CN"/>
            </w:rPr>
            <w:fldChar w:fldCharType="separate"/>
          </w:r>
          <w:r>
            <w:rPr>
              <w:rFonts w:hint="eastAsia" w:ascii="仿宋" w:hAnsi="仿宋" w:eastAsia="仿宋" w:cs="仿宋"/>
              <w:b/>
              <w:color w:val="auto"/>
              <w:szCs w:val="32"/>
              <w:highlight w:val="none"/>
              <w:lang w:eastAsia="zh-CN"/>
            </w:rPr>
            <w:t>第六章</w:t>
          </w:r>
          <w:r>
            <w:rPr>
              <w:rFonts w:hint="eastAsia" w:ascii="仿宋" w:hAnsi="仿宋" w:eastAsia="仿宋" w:cs="仿宋"/>
              <w:b/>
              <w:color w:val="auto"/>
              <w:szCs w:val="32"/>
              <w:highlight w:val="none"/>
              <w:lang w:val="en-US" w:eastAsia="zh-CN"/>
            </w:rPr>
            <w:t xml:space="preserve"> </w:t>
          </w:r>
          <w:r>
            <w:rPr>
              <w:rFonts w:hint="eastAsia" w:ascii="仿宋" w:hAnsi="仿宋" w:eastAsia="仿宋" w:cs="仿宋"/>
              <w:b/>
              <w:color w:val="auto"/>
              <w:szCs w:val="32"/>
              <w:highlight w:val="none"/>
              <w:lang w:eastAsia="zh-CN"/>
            </w:rPr>
            <w:t>投标文件格式</w:t>
          </w:r>
          <w:r>
            <w:rPr>
              <w:rFonts w:hint="eastAsia" w:ascii="仿宋" w:hAnsi="仿宋" w:eastAsia="仿宋" w:cs="仿宋"/>
              <w:b/>
              <w:color w:val="auto"/>
              <w:highlight w:val="none"/>
            </w:rPr>
            <w:tab/>
          </w:r>
          <w:r>
            <w:rPr>
              <w:rFonts w:hint="eastAsia" w:ascii="仿宋" w:hAnsi="仿宋" w:eastAsia="仿宋" w:cs="仿宋"/>
              <w:b/>
              <w:color w:val="auto"/>
              <w:highlight w:val="none"/>
            </w:rPr>
            <w:fldChar w:fldCharType="begin"/>
          </w:r>
          <w:r>
            <w:rPr>
              <w:rFonts w:hint="eastAsia" w:ascii="仿宋" w:hAnsi="仿宋" w:eastAsia="仿宋" w:cs="仿宋"/>
              <w:b/>
              <w:color w:val="auto"/>
              <w:highlight w:val="none"/>
            </w:rPr>
            <w:instrText xml:space="preserve"> PAGEREF _Toc17934 \h </w:instrText>
          </w:r>
          <w:r>
            <w:rPr>
              <w:rFonts w:hint="eastAsia" w:ascii="仿宋" w:hAnsi="仿宋" w:eastAsia="仿宋" w:cs="仿宋"/>
              <w:b/>
              <w:color w:val="auto"/>
              <w:highlight w:val="none"/>
            </w:rPr>
            <w:fldChar w:fldCharType="separate"/>
          </w:r>
          <w:r>
            <w:rPr>
              <w:rFonts w:hint="eastAsia" w:ascii="仿宋" w:hAnsi="仿宋" w:eastAsia="仿宋" w:cs="仿宋"/>
              <w:b/>
              <w:color w:val="auto"/>
              <w:highlight w:val="none"/>
            </w:rPr>
            <w:t>64</w:t>
          </w:r>
          <w:r>
            <w:rPr>
              <w:rFonts w:hint="eastAsia" w:ascii="仿宋" w:hAnsi="仿宋" w:eastAsia="仿宋" w:cs="仿宋"/>
              <w:b/>
              <w:color w:val="auto"/>
              <w:highlight w:val="none"/>
            </w:rPr>
            <w:fldChar w:fldCharType="end"/>
          </w:r>
          <w:r>
            <w:rPr>
              <w:rFonts w:hint="eastAsia" w:ascii="仿宋" w:hAnsi="仿宋" w:eastAsia="仿宋" w:cs="仿宋"/>
              <w:b/>
              <w:color w:val="auto"/>
              <w:szCs w:val="32"/>
              <w:highlight w:val="none"/>
              <w:lang w:eastAsia="zh-CN"/>
            </w:rPr>
            <w:fldChar w:fldCharType="end"/>
          </w:r>
        </w:p>
        <w:p w14:paraId="616FC886">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highlight w:val="none"/>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_Toc13272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highlight w:val="none"/>
              <w:lang w:eastAsia="zh-CN"/>
            </w:rPr>
            <w:t>资格审查部分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_Toc13272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66</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0BF72461">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color w:val="auto"/>
              <w:szCs w:val="32"/>
              <w:highlight w:val="none"/>
              <w:lang w:eastAsia="zh-CN"/>
            </w:r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_Toc15822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bCs/>
              <w:color w:val="auto"/>
              <w:szCs w:val="44"/>
              <w:highlight w:val="none"/>
              <w:lang w:val="en-US" w:eastAsia="zh-CN"/>
            </w:rPr>
            <w:t>报价</w:t>
          </w:r>
          <w:r>
            <w:rPr>
              <w:rFonts w:hint="eastAsia" w:ascii="仿宋" w:hAnsi="仿宋" w:eastAsia="仿宋" w:cs="仿宋"/>
              <w:bCs/>
              <w:color w:val="auto"/>
              <w:szCs w:val="44"/>
              <w:highlight w:val="none"/>
              <w:lang w:eastAsia="zh-CN"/>
            </w:rPr>
            <w:t>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_Toc15822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77</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p>
        <w:p w14:paraId="4F9D06C6">
          <w:pPr>
            <w:pStyle w:val="39"/>
            <w:keepNext w:val="0"/>
            <w:keepLines w:val="0"/>
            <w:pageBreakBefore w:val="0"/>
            <w:widowControl/>
            <w:tabs>
              <w:tab w:val="right" w:leader="dot" w:pos="9638"/>
            </w:tabs>
            <w:kinsoku/>
            <w:wordWrap/>
            <w:overflowPunct/>
            <w:topLinePunct w:val="0"/>
            <w:autoSpaceDE/>
            <w:autoSpaceDN/>
            <w:bidi w:val="0"/>
            <w:adjustRightInd/>
            <w:snapToGrid/>
            <w:spacing w:line="400" w:lineRule="exact"/>
            <w:textAlignment w:val="auto"/>
            <w:rPr>
              <w:rFonts w:hint="eastAsia" w:ascii="仿宋" w:hAnsi="仿宋" w:eastAsia="仿宋" w:cs="仿宋"/>
              <w:b/>
              <w:color w:val="auto"/>
              <w:sz w:val="32"/>
              <w:szCs w:val="32"/>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r>
            <w:rPr>
              <w:rFonts w:hint="eastAsia" w:ascii="仿宋" w:hAnsi="仿宋" w:eastAsia="仿宋" w:cs="仿宋"/>
              <w:color w:val="auto"/>
              <w:szCs w:val="32"/>
              <w:highlight w:val="none"/>
              <w:lang w:eastAsia="zh-CN"/>
            </w:rPr>
            <w:fldChar w:fldCharType="begin"/>
          </w:r>
          <w:r>
            <w:rPr>
              <w:rFonts w:hint="eastAsia" w:ascii="仿宋" w:hAnsi="仿宋" w:eastAsia="仿宋" w:cs="仿宋"/>
              <w:color w:val="auto"/>
              <w:szCs w:val="32"/>
              <w:highlight w:val="none"/>
              <w:lang w:eastAsia="zh-CN"/>
            </w:rPr>
            <w:instrText xml:space="preserve"> HYPERLINK \l _Toc13841 </w:instrText>
          </w:r>
          <w:r>
            <w:rPr>
              <w:rFonts w:hint="eastAsia" w:ascii="仿宋" w:hAnsi="仿宋" w:eastAsia="仿宋" w:cs="仿宋"/>
              <w:color w:val="auto"/>
              <w:szCs w:val="32"/>
              <w:highlight w:val="none"/>
              <w:lang w:eastAsia="zh-CN"/>
            </w:rPr>
            <w:fldChar w:fldCharType="separate"/>
          </w: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r>
            <w:rPr>
              <w:rFonts w:hint="eastAsia" w:ascii="仿宋" w:hAnsi="仿宋" w:eastAsia="仿宋" w:cs="仿宋"/>
              <w:color w:val="auto"/>
              <w:highlight w:val="none"/>
            </w:rPr>
            <w:tab/>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PAGEREF _Toc13841 \h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84</w:t>
          </w:r>
          <w:r>
            <w:rPr>
              <w:rFonts w:hint="eastAsia" w:ascii="仿宋" w:hAnsi="仿宋" w:eastAsia="仿宋" w:cs="仿宋"/>
              <w:color w:val="auto"/>
              <w:highlight w:val="none"/>
            </w:rPr>
            <w:fldChar w:fldCharType="end"/>
          </w:r>
          <w:r>
            <w:rPr>
              <w:rFonts w:hint="eastAsia" w:ascii="仿宋" w:hAnsi="仿宋" w:eastAsia="仿宋" w:cs="仿宋"/>
              <w:color w:val="auto"/>
              <w:szCs w:val="32"/>
              <w:highlight w:val="none"/>
              <w:lang w:eastAsia="zh-CN"/>
            </w:rPr>
            <w:fldChar w:fldCharType="end"/>
          </w:r>
          <w:r>
            <w:rPr>
              <w:rFonts w:hint="eastAsia" w:ascii="仿宋" w:hAnsi="仿宋" w:eastAsia="仿宋" w:cs="仿宋"/>
              <w:b/>
              <w:color w:val="auto"/>
              <w:szCs w:val="32"/>
              <w:highlight w:val="none"/>
              <w:lang w:eastAsia="zh-CN"/>
            </w:rPr>
            <w:fldChar w:fldCharType="end"/>
          </w:r>
        </w:p>
      </w:sdtContent>
    </w:sdt>
    <w:p w14:paraId="46A15FE2">
      <w:pPr>
        <w:pStyle w:val="3"/>
        <w:keepNext w:val="0"/>
        <w:keepLines w:val="0"/>
        <w:pageBreakBefore w:val="0"/>
        <w:widowControl w:val="0"/>
        <w:numPr>
          <w:ilvl w:val="0"/>
          <w:numId w:val="2"/>
        </w:numPr>
        <w:kinsoku/>
        <w:wordWrap w:val="0"/>
        <w:overflowPunct/>
        <w:topLinePunct/>
        <w:autoSpaceDE/>
        <w:autoSpaceDN/>
        <w:bidi w:val="0"/>
        <w:adjustRightInd/>
        <w:snapToGrid/>
        <w:spacing w:before="0" w:after="0" w:line="420" w:lineRule="exact"/>
        <w:ind w:left="0" w:leftChars="0" w:right="0"/>
        <w:textAlignment w:val="auto"/>
        <w:outlineLvl w:val="0"/>
        <w:rPr>
          <w:rStyle w:val="25"/>
          <w:rFonts w:hint="eastAsia" w:ascii="仿宋" w:hAnsi="仿宋" w:eastAsia="仿宋" w:cs="仿宋"/>
          <w:b/>
          <w:color w:val="auto"/>
          <w:sz w:val="32"/>
          <w:szCs w:val="32"/>
          <w:highlight w:val="none"/>
          <w:lang w:eastAsia="zh-CN"/>
        </w:rPr>
      </w:pPr>
      <w:bookmarkStart w:id="0" w:name="_Toc6369"/>
      <w:bookmarkStart w:id="1" w:name="_Toc7692"/>
      <w:bookmarkStart w:id="2" w:name="_Toc4465"/>
      <w:bookmarkStart w:id="3" w:name="_Hlk145057294"/>
      <w:r>
        <w:rPr>
          <w:rStyle w:val="25"/>
          <w:rFonts w:hint="eastAsia" w:ascii="仿宋" w:hAnsi="仿宋" w:eastAsia="仿宋" w:cs="仿宋"/>
          <w:b/>
          <w:color w:val="auto"/>
          <w:sz w:val="32"/>
          <w:szCs w:val="32"/>
          <w:highlight w:val="none"/>
          <w:lang w:eastAsia="zh-CN"/>
        </w:rPr>
        <w:t>招标公告</w:t>
      </w:r>
      <w:bookmarkEnd w:id="0"/>
      <w:bookmarkEnd w:id="1"/>
      <w:bookmarkEnd w:id="2"/>
    </w:p>
    <w:bookmarkEnd w:id="3"/>
    <w:p w14:paraId="60CCEB8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4" w:name="_Toc145067542"/>
      <w:bookmarkStart w:id="5" w:name="_Toc88646720"/>
      <w:bookmarkStart w:id="6" w:name="_Toc88638735"/>
      <w:bookmarkStart w:id="7" w:name="_Toc3210"/>
      <w:bookmarkStart w:id="8" w:name="_Toc144646644"/>
      <w:bookmarkStart w:id="9" w:name="_Toc16584"/>
      <w:bookmarkStart w:id="10" w:name="_Toc3811"/>
      <w:bookmarkStart w:id="11" w:name="_Toc9329733"/>
      <w:bookmarkStart w:id="12" w:name="_Hlk66894590"/>
      <w:r>
        <w:rPr>
          <w:rFonts w:hint="eastAsia" w:ascii="仿宋" w:hAnsi="仿宋" w:eastAsia="仿宋" w:cs="仿宋"/>
          <w:color w:val="auto"/>
          <w:sz w:val="21"/>
          <w:szCs w:val="21"/>
          <w:highlight w:val="none"/>
          <w:lang w:eastAsia="zh-CN"/>
        </w:rPr>
        <w:t>项目概况</w:t>
      </w:r>
      <w:bookmarkEnd w:id="4"/>
      <w:bookmarkEnd w:id="5"/>
      <w:bookmarkEnd w:id="6"/>
      <w:bookmarkEnd w:id="7"/>
      <w:bookmarkEnd w:id="8"/>
      <w:bookmarkEnd w:id="9"/>
      <w:bookmarkEnd w:id="10"/>
    </w:p>
    <w:p w14:paraId="7046B438">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u w:val="single"/>
          <w:lang w:eastAsia="zh-CN"/>
        </w:rPr>
        <w:t>牟定县2026年度山洪灾害防治项目</w:t>
      </w:r>
      <w:r>
        <w:rPr>
          <w:rFonts w:hint="eastAsia" w:ascii="仿宋" w:hAnsi="仿宋" w:eastAsia="仿宋" w:cs="仿宋"/>
          <w:color w:val="auto"/>
          <w:sz w:val="21"/>
          <w:szCs w:val="21"/>
          <w:highlight w:val="none"/>
          <w:lang w:eastAsia="zh-CN"/>
        </w:rPr>
        <w:t>的潜在</w:t>
      </w:r>
      <w:r>
        <w:rPr>
          <w:rFonts w:hint="eastAsia" w:ascii="仿宋" w:hAnsi="仿宋" w:eastAsia="仿宋" w:cs="仿宋"/>
          <w:color w:val="auto"/>
          <w:sz w:val="21"/>
          <w:szCs w:val="21"/>
          <w:highlight w:val="none"/>
          <w:lang w:val="en-US" w:eastAsia="zh-CN"/>
        </w:rPr>
        <w:t>投标人应在云南省政府采购电子交易平台（政采云https://www.zcygov.cn/）线上获取招标文件</w:t>
      </w:r>
      <w:r>
        <w:rPr>
          <w:rFonts w:hint="eastAsia" w:ascii="仿宋" w:hAnsi="仿宋" w:eastAsia="仿宋" w:cs="仿宋"/>
          <w:color w:val="auto"/>
          <w:sz w:val="21"/>
          <w:szCs w:val="21"/>
          <w:highlight w:val="none"/>
          <w:lang w:eastAsia="zh-CN"/>
        </w:rPr>
        <w:t>，并于</w:t>
      </w:r>
      <w:bookmarkStart w:id="13" w:name="_Hlk146221035"/>
      <w:r>
        <w:rPr>
          <w:rFonts w:hint="eastAsia" w:ascii="仿宋" w:hAnsi="仿宋" w:eastAsia="仿宋" w:cs="仿宋"/>
          <w:color w:val="auto"/>
          <w:sz w:val="21"/>
          <w:szCs w:val="21"/>
          <w:highlight w:val="none"/>
          <w:u w:val="single"/>
          <w:lang w:val="en-US" w:eastAsia="zh-CN"/>
        </w:rPr>
        <w:t>2026年05月18日09</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u w:val="none"/>
          <w:lang w:eastAsia="zh-CN"/>
        </w:rPr>
        <w:t>分</w:t>
      </w:r>
      <w:bookmarkEnd w:id="13"/>
      <w:r>
        <w:rPr>
          <w:rFonts w:hint="eastAsia" w:ascii="仿宋" w:hAnsi="仿宋" w:eastAsia="仿宋" w:cs="仿宋"/>
          <w:color w:val="auto"/>
          <w:sz w:val="21"/>
          <w:szCs w:val="21"/>
          <w:highlight w:val="none"/>
          <w:lang w:eastAsia="zh-CN"/>
        </w:rPr>
        <w:t>（北京时间）前递交投标文件。</w:t>
      </w:r>
    </w:p>
    <w:p w14:paraId="4BD406F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4" w:name="_Toc17484"/>
      <w:bookmarkStart w:id="15" w:name="_Toc88638737"/>
      <w:bookmarkStart w:id="16" w:name="_Toc24498"/>
      <w:bookmarkStart w:id="17" w:name="_Toc88646721"/>
      <w:bookmarkStart w:id="18" w:name="_Toc145067543"/>
      <w:bookmarkStart w:id="19" w:name="_Toc25290"/>
      <w:r>
        <w:rPr>
          <w:rFonts w:hint="eastAsia" w:ascii="仿宋" w:hAnsi="仿宋" w:eastAsia="仿宋" w:cs="仿宋"/>
          <w:color w:val="auto"/>
          <w:sz w:val="21"/>
          <w:szCs w:val="21"/>
          <w:highlight w:val="none"/>
          <w:lang w:eastAsia="zh-CN"/>
        </w:rPr>
        <w:t>一</w:t>
      </w:r>
      <w:bookmarkEnd w:id="11"/>
      <w:r>
        <w:rPr>
          <w:rFonts w:hint="eastAsia" w:ascii="仿宋" w:hAnsi="仿宋" w:eastAsia="仿宋" w:cs="仿宋"/>
          <w:color w:val="auto"/>
          <w:sz w:val="21"/>
          <w:szCs w:val="21"/>
          <w:highlight w:val="none"/>
          <w:lang w:eastAsia="zh-CN"/>
        </w:rPr>
        <w:t>、项目基本情况</w:t>
      </w:r>
      <w:bookmarkEnd w:id="14"/>
      <w:bookmarkEnd w:id="15"/>
      <w:bookmarkEnd w:id="16"/>
      <w:bookmarkEnd w:id="17"/>
      <w:bookmarkEnd w:id="18"/>
      <w:bookmarkEnd w:id="19"/>
    </w:p>
    <w:p w14:paraId="0A857B79">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1.项目编号：</w:t>
      </w:r>
      <w:r>
        <w:rPr>
          <w:rFonts w:hint="eastAsia" w:cs="仿宋"/>
          <w:color w:val="auto"/>
          <w:sz w:val="21"/>
          <w:szCs w:val="21"/>
          <w:highlight w:val="none"/>
          <w:lang w:eastAsia="zh-CN"/>
        </w:rPr>
        <w:t>CXZC2026-G1-00230-YNCY-0001</w:t>
      </w:r>
      <w:r>
        <w:rPr>
          <w:rFonts w:hint="eastAsia" w:ascii="仿宋" w:hAnsi="仿宋" w:eastAsia="仿宋" w:cs="仿宋"/>
          <w:color w:val="auto"/>
          <w:sz w:val="21"/>
          <w:szCs w:val="21"/>
          <w:highlight w:val="none"/>
          <w:lang w:eastAsia="zh-CN"/>
        </w:rPr>
        <w:t>；</w:t>
      </w:r>
    </w:p>
    <w:p w14:paraId="2243A4C3">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rPr>
          <w:rFonts w:hint="eastAsia" w:cs="仿宋"/>
          <w:color w:val="auto"/>
          <w:sz w:val="21"/>
          <w:szCs w:val="21"/>
          <w:highlight w:val="none"/>
          <w:lang w:val="en-US" w:eastAsia="zh-CN"/>
        </w:rPr>
      </w:pPr>
      <w:r>
        <w:rPr>
          <w:rFonts w:hint="eastAsia" w:ascii="仿宋" w:hAnsi="仿宋" w:eastAsia="仿宋" w:cs="仿宋"/>
          <w:color w:val="auto"/>
          <w:sz w:val="21"/>
          <w:szCs w:val="21"/>
          <w:highlight w:val="none"/>
          <w:lang w:eastAsia="zh-CN"/>
        </w:rPr>
        <w:t>2.项目名称：</w:t>
      </w:r>
      <w:r>
        <w:rPr>
          <w:rFonts w:hint="eastAsia" w:cs="仿宋"/>
          <w:color w:val="auto"/>
          <w:sz w:val="21"/>
          <w:szCs w:val="21"/>
          <w:highlight w:val="none"/>
          <w:lang w:eastAsia="zh-CN"/>
        </w:rPr>
        <w:t>牟定县2026年度山洪灾害防治项目</w:t>
      </w:r>
      <w:r>
        <w:rPr>
          <w:rFonts w:hint="eastAsia" w:cs="仿宋"/>
          <w:color w:val="auto"/>
          <w:sz w:val="21"/>
          <w:szCs w:val="21"/>
          <w:highlight w:val="none"/>
          <w:lang w:val="en-US" w:eastAsia="zh-CN"/>
        </w:rPr>
        <w:t>；</w:t>
      </w:r>
    </w:p>
    <w:p w14:paraId="7D00A8E2">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360" w:lineRule="auto"/>
        <w:ind w:left="0" w:right="0" w:firstLine="420" w:firstLineChars="200"/>
        <w:jc w:val="left"/>
        <w:textAlignment w:val="auto"/>
        <w:rPr>
          <w:rFonts w:hint="eastAsia" w:cs="仿宋"/>
          <w:color w:val="auto"/>
          <w:sz w:val="21"/>
          <w:szCs w:val="21"/>
          <w:highlight w:val="none"/>
          <w:lang w:eastAsia="zh-CN"/>
        </w:rPr>
      </w:pPr>
      <w:r>
        <w:rPr>
          <w:rFonts w:hint="eastAsia" w:cs="仿宋"/>
          <w:color w:val="auto"/>
          <w:sz w:val="21"/>
          <w:szCs w:val="21"/>
          <w:highlight w:val="none"/>
          <w:lang w:eastAsia="zh-CN"/>
        </w:rPr>
        <w:t>3.预算金额（</w:t>
      </w:r>
      <w:r>
        <w:rPr>
          <w:rFonts w:hint="eastAsia" w:cs="仿宋"/>
          <w:color w:val="auto"/>
          <w:sz w:val="21"/>
          <w:szCs w:val="21"/>
          <w:highlight w:val="none"/>
          <w:lang w:val="en-US" w:eastAsia="zh-CN"/>
        </w:rPr>
        <w:t>万元</w:t>
      </w:r>
      <w:r>
        <w:rPr>
          <w:rFonts w:hint="eastAsia" w:cs="仿宋"/>
          <w:color w:val="auto"/>
          <w:sz w:val="21"/>
          <w:szCs w:val="21"/>
          <w:highlight w:val="none"/>
          <w:lang w:eastAsia="zh-CN"/>
        </w:rPr>
        <w:t>）：30.10；</w:t>
      </w:r>
    </w:p>
    <w:p w14:paraId="5CBD911C">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4.最高限价（万元）：</w:t>
      </w:r>
      <w:r>
        <w:rPr>
          <w:rFonts w:hint="eastAsia" w:ascii="仿宋" w:hAnsi="仿宋" w:eastAsia="仿宋" w:cs="仿宋"/>
          <w:snapToGrid w:val="0"/>
          <w:color w:val="auto"/>
          <w:sz w:val="21"/>
          <w:szCs w:val="21"/>
          <w:highlight w:val="none"/>
          <w:lang w:val="en-US" w:eastAsia="zh-CN" w:bidi="ar-SA"/>
        </w:rPr>
        <w:t>30.10；</w:t>
      </w:r>
    </w:p>
    <w:p w14:paraId="5F7D85D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5.采购需求：</w:t>
      </w:r>
    </w:p>
    <w:p w14:paraId="0C6F932C">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根据云南省 2026 年度山洪灾害防治项目实施方案（楚雄州分册）进行实施。牟定县2026年度山洪灾害防治项目内容包括：县级会商决策能力提升(大屏显示系统，会商调度系统，GPU 能力提升）；基层防灾韧性能力提升（修订完善防御预案，培训、宣传、演练，宣传栏，新型入户报警“叫应”设备）等；具体内容详见招标文件第四章《采购需求》。</w:t>
      </w:r>
    </w:p>
    <w:p w14:paraId="0236CBEB">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.合同履行期限：</w:t>
      </w:r>
      <w:r>
        <w:rPr>
          <w:rFonts w:hint="eastAsia" w:ascii="仿宋" w:hAnsi="仿宋" w:eastAsia="仿宋" w:cs="仿宋"/>
          <w:color w:val="auto"/>
          <w:sz w:val="21"/>
          <w:szCs w:val="21"/>
          <w:highlight w:val="none"/>
          <w:lang w:val="en-US" w:eastAsia="zh-CN"/>
        </w:rPr>
        <w:t>合同签订后90日历天内完成设备及材料的安装、调试、验收合格，交付使用，完成修订防御预案及培训、宣传、演练。</w:t>
      </w:r>
    </w:p>
    <w:p w14:paraId="4355CBAF">
      <w:pPr>
        <w:pStyle w:val="10"/>
        <w:keepNext w:val="0"/>
        <w:keepLines w:val="0"/>
        <w:pageBreakBefore w:val="0"/>
        <w:widowControl w:val="0"/>
        <w:tabs>
          <w:tab w:val="left" w:pos="2412"/>
          <w:tab w:val="left" w:pos="2832"/>
          <w:tab w:val="left" w:pos="3472"/>
          <w:tab w:val="left" w:pos="5610"/>
          <w:tab w:val="left" w:pos="727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20" w:name="_Toc6993"/>
      <w:bookmarkStart w:id="21" w:name="_Toc13622"/>
      <w:bookmarkStart w:id="22" w:name="_Toc30799"/>
      <w:bookmarkStart w:id="23" w:name="_Toc3633"/>
      <w:bookmarkStart w:id="24" w:name="_Toc30169"/>
      <w:bookmarkStart w:id="25" w:name="_Toc27864"/>
      <w:bookmarkStart w:id="26" w:name="_Toc11531"/>
      <w:bookmarkStart w:id="27" w:name="_Toc13401"/>
      <w:bookmarkStart w:id="28" w:name="_Toc21532"/>
      <w:bookmarkStart w:id="29" w:name="_Toc31239"/>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lang w:eastAsia="zh-CN"/>
        </w:rPr>
        <w:t>.本项目（否）接受联合体投标。</w:t>
      </w:r>
      <w:bookmarkEnd w:id="20"/>
      <w:bookmarkEnd w:id="21"/>
      <w:bookmarkEnd w:id="22"/>
      <w:bookmarkEnd w:id="23"/>
      <w:bookmarkEnd w:id="24"/>
      <w:bookmarkEnd w:id="25"/>
      <w:bookmarkEnd w:id="26"/>
      <w:bookmarkEnd w:id="27"/>
      <w:bookmarkEnd w:id="28"/>
      <w:bookmarkEnd w:id="29"/>
    </w:p>
    <w:p w14:paraId="02D04781">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30" w:name="_Toc28445"/>
      <w:bookmarkStart w:id="31" w:name="_Toc88646722"/>
      <w:bookmarkStart w:id="32" w:name="_Toc22213"/>
      <w:bookmarkStart w:id="33" w:name="_Toc88638738"/>
      <w:bookmarkStart w:id="34" w:name="_Toc145067544"/>
      <w:bookmarkStart w:id="35" w:name="_Toc4705"/>
      <w:r>
        <w:rPr>
          <w:rFonts w:hint="eastAsia" w:ascii="仿宋" w:hAnsi="仿宋" w:eastAsia="仿宋" w:cs="仿宋"/>
          <w:color w:val="auto"/>
          <w:sz w:val="21"/>
          <w:szCs w:val="21"/>
          <w:highlight w:val="none"/>
          <w:lang w:eastAsia="zh-CN"/>
        </w:rPr>
        <w:t>二、申请人的资格要求</w:t>
      </w:r>
      <w:bookmarkEnd w:id="30"/>
      <w:bookmarkEnd w:id="31"/>
      <w:bookmarkEnd w:id="32"/>
      <w:bookmarkEnd w:id="33"/>
      <w:bookmarkEnd w:id="34"/>
      <w:bookmarkEnd w:id="35"/>
    </w:p>
    <w:p w14:paraId="48B2137D">
      <w:pPr>
        <w:pStyle w:val="10"/>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outlineLvl w:val="2"/>
        <w:rPr>
          <w:rFonts w:hint="eastAsia" w:ascii="仿宋" w:hAnsi="仿宋" w:eastAsia="仿宋" w:cs="仿宋"/>
          <w:b w:val="0"/>
          <w:bCs w:val="0"/>
          <w:color w:val="auto"/>
          <w:sz w:val="21"/>
          <w:szCs w:val="21"/>
          <w:highlight w:val="none"/>
          <w:lang w:eastAsia="zh-CN"/>
        </w:rPr>
      </w:pPr>
      <w:bookmarkStart w:id="36" w:name="_Toc30773"/>
      <w:bookmarkStart w:id="37" w:name="_Toc23258"/>
      <w:bookmarkStart w:id="38" w:name="_Toc18413"/>
      <w:bookmarkStart w:id="39" w:name="_Toc27003"/>
      <w:bookmarkStart w:id="40" w:name="_Toc2450"/>
      <w:bookmarkStart w:id="41" w:name="_Toc3038"/>
      <w:bookmarkStart w:id="42" w:name="_Toc19533"/>
      <w:bookmarkStart w:id="43" w:name="_Toc3720"/>
      <w:bookmarkStart w:id="44" w:name="_Toc21500"/>
      <w:bookmarkStart w:id="45" w:name="_Toc32482"/>
      <w:bookmarkStart w:id="46" w:name="_Toc525"/>
      <w:bookmarkStart w:id="47" w:name="_Toc11633"/>
      <w:bookmarkStart w:id="48" w:name="_Toc16725"/>
      <w:bookmarkStart w:id="49" w:name="_Toc12260"/>
      <w:bookmarkStart w:id="50" w:name="_Toc11436"/>
      <w:bookmarkStart w:id="51" w:name="_Toc3268"/>
      <w:bookmarkStart w:id="52" w:name="_Toc12895"/>
      <w:bookmarkStart w:id="53" w:name="_Toc18326"/>
      <w:bookmarkStart w:id="54" w:name="_Toc7349"/>
      <w:bookmarkStart w:id="55" w:name="_Toc27648"/>
      <w:bookmarkStart w:id="56" w:name="_Toc13679"/>
      <w:bookmarkStart w:id="57" w:name="_Toc4717"/>
      <w:bookmarkStart w:id="58" w:name="_Toc4523"/>
      <w:bookmarkStart w:id="59" w:name="_Toc1678"/>
      <w:bookmarkStart w:id="60" w:name="_Toc7073"/>
      <w:bookmarkStart w:id="61" w:name="_Toc21596"/>
      <w:bookmarkStart w:id="62" w:name="_Toc19792"/>
      <w:bookmarkStart w:id="63" w:name="_Toc13026"/>
      <w:bookmarkStart w:id="64" w:name="_Toc27552"/>
      <w:bookmarkStart w:id="65" w:name="_Toc6293"/>
      <w:bookmarkStart w:id="66" w:name="_Toc22018"/>
      <w:bookmarkStart w:id="67" w:name="_Toc20588"/>
      <w:bookmarkStart w:id="68" w:name="_Toc20770"/>
      <w:bookmarkStart w:id="69" w:name="_Toc28501"/>
      <w:r>
        <w:rPr>
          <w:rFonts w:hint="eastAsia" w:ascii="仿宋" w:hAnsi="仿宋" w:eastAsia="仿宋" w:cs="仿宋"/>
          <w:b w:val="0"/>
          <w:bCs w:val="0"/>
          <w:color w:val="auto"/>
          <w:sz w:val="21"/>
          <w:szCs w:val="21"/>
          <w:highlight w:val="none"/>
          <w:lang w:eastAsia="zh-CN"/>
        </w:rPr>
        <w:t>1.满足《中华人民共和国政府采购法》第二十二条规定；</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Start w:id="70" w:name="_Toc7143"/>
      <w:bookmarkStart w:id="71" w:name="_Toc8275"/>
      <w:bookmarkStart w:id="72" w:name="_Toc18951"/>
      <w:bookmarkStart w:id="73" w:name="_Toc20673"/>
      <w:bookmarkStart w:id="74" w:name="_Toc568"/>
      <w:bookmarkStart w:id="75" w:name="_Toc26864"/>
      <w:bookmarkStart w:id="76" w:name="_Toc10628"/>
      <w:bookmarkStart w:id="77" w:name="_Toc21835"/>
    </w:p>
    <w:p w14:paraId="3CDB35F6">
      <w:pPr>
        <w:pStyle w:val="10"/>
        <w:keepNext w:val="0"/>
        <w:keepLines w:val="0"/>
        <w:pageBreakBefore w:val="0"/>
        <w:widowControl w:val="0"/>
        <w:tabs>
          <w:tab w:val="left" w:pos="2412"/>
        </w:tabs>
        <w:kinsoku/>
        <w:wordWrap w:val="0"/>
        <w:overflowPunct/>
        <w:topLinePunct/>
        <w:autoSpaceDE/>
        <w:autoSpaceDN/>
        <w:bidi w:val="0"/>
        <w:adjustRightInd/>
        <w:snapToGrid/>
        <w:spacing w:line="360" w:lineRule="auto"/>
        <w:ind w:left="0" w:right="0" w:firstLine="420" w:firstLineChars="200"/>
        <w:jc w:val="left"/>
        <w:textAlignment w:val="auto"/>
        <w:rPr>
          <w:rFonts w:hint="eastAsia" w:ascii="仿宋" w:hAnsi="仿宋" w:eastAsia="仿宋" w:cs="仿宋"/>
          <w:b w:val="0"/>
          <w:bCs w:val="0"/>
          <w:color w:val="auto"/>
          <w:sz w:val="21"/>
          <w:szCs w:val="21"/>
          <w:highlight w:val="none"/>
          <w:u w:val="none"/>
          <w:lang w:eastAsia="zh-CN"/>
        </w:rPr>
      </w:pPr>
      <w:bookmarkStart w:id="78" w:name="_Toc4631"/>
      <w:bookmarkStart w:id="79" w:name="_Toc28179"/>
      <w:bookmarkStart w:id="80" w:name="_Toc25972"/>
      <w:bookmarkStart w:id="81" w:name="_Toc24495"/>
      <w:bookmarkStart w:id="82" w:name="_Toc11050"/>
      <w:bookmarkStart w:id="83" w:name="_Toc19263"/>
      <w:bookmarkStart w:id="84" w:name="_Toc31284"/>
      <w:bookmarkStart w:id="85" w:name="_Toc20300"/>
      <w:bookmarkStart w:id="86" w:name="_Toc29269"/>
      <w:bookmarkStart w:id="87" w:name="_Toc22456"/>
      <w:bookmarkStart w:id="88" w:name="_Toc22475"/>
      <w:bookmarkStart w:id="89" w:name="_Toc2818"/>
      <w:bookmarkStart w:id="90" w:name="_Toc9407"/>
      <w:bookmarkStart w:id="91" w:name="_Toc1855"/>
      <w:bookmarkStart w:id="92" w:name="_Toc16652"/>
      <w:bookmarkStart w:id="93" w:name="_Toc4693"/>
      <w:bookmarkStart w:id="94" w:name="_Toc11026"/>
      <w:bookmarkStart w:id="95" w:name="_Toc15381"/>
      <w:bookmarkStart w:id="96" w:name="_Toc5617"/>
      <w:bookmarkStart w:id="97" w:name="_Toc168"/>
      <w:bookmarkStart w:id="98" w:name="_Toc19813"/>
      <w:bookmarkStart w:id="99" w:name="_Toc14096"/>
      <w:bookmarkStart w:id="100" w:name="_Toc1443"/>
      <w:r>
        <w:rPr>
          <w:rFonts w:hint="eastAsia" w:ascii="仿宋" w:hAnsi="仿宋" w:eastAsia="仿宋" w:cs="仿宋"/>
          <w:b w:val="0"/>
          <w:bCs w:val="0"/>
          <w:color w:val="auto"/>
          <w:sz w:val="21"/>
          <w:szCs w:val="21"/>
          <w:highlight w:val="none"/>
          <w:lang w:val="en-US" w:eastAsia="zh-CN"/>
        </w:rPr>
        <w:t>2</w:t>
      </w:r>
      <w:r>
        <w:rPr>
          <w:rFonts w:hint="eastAsia" w:ascii="仿宋" w:hAnsi="仿宋" w:eastAsia="仿宋" w:cs="仿宋"/>
          <w:b w:val="0"/>
          <w:bCs w:val="0"/>
          <w:color w:val="auto"/>
          <w:sz w:val="21"/>
          <w:szCs w:val="21"/>
          <w:highlight w:val="none"/>
          <w:lang w:eastAsia="zh-CN"/>
        </w:rPr>
        <w:t>.落实政府采购政策需满足的资格要求：</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hint="eastAsia" w:ascii="仿宋" w:hAnsi="仿宋" w:eastAsia="仿宋" w:cs="仿宋"/>
          <w:b w:val="0"/>
          <w:bCs w:val="0"/>
          <w:color w:val="auto"/>
          <w:sz w:val="21"/>
          <w:szCs w:val="21"/>
          <w:highlight w:val="none"/>
          <w:lang w:eastAsia="zh-CN"/>
        </w:rPr>
        <w:t>本项目</w:t>
      </w:r>
      <w:r>
        <w:rPr>
          <w:rFonts w:hint="eastAsia" w:ascii="仿宋" w:hAnsi="仿宋" w:eastAsia="仿宋" w:cs="仿宋"/>
          <w:b/>
          <w:bCs/>
          <w:i w:val="0"/>
          <w:iCs w:val="0"/>
          <w:color w:val="auto"/>
          <w:sz w:val="21"/>
          <w:szCs w:val="21"/>
          <w:highlight w:val="none"/>
          <w:u w:val="none"/>
          <w:lang w:eastAsia="zh-CN"/>
        </w:rPr>
        <w:t>（不属于）</w:t>
      </w:r>
      <w:r>
        <w:rPr>
          <w:rFonts w:hint="eastAsia" w:ascii="仿宋" w:hAnsi="仿宋" w:eastAsia="仿宋" w:cs="仿宋"/>
          <w:b w:val="0"/>
          <w:bCs w:val="0"/>
          <w:color w:val="auto"/>
          <w:sz w:val="21"/>
          <w:szCs w:val="21"/>
          <w:highlight w:val="none"/>
          <w:lang w:eastAsia="zh-CN"/>
        </w:rPr>
        <w:t xml:space="preserve">专门面向中小企业采购的项目。 </w:t>
      </w:r>
    </w:p>
    <w:p w14:paraId="09456665">
      <w:pPr>
        <w:pStyle w:val="10"/>
        <w:keepNext w:val="0"/>
        <w:keepLines w:val="0"/>
        <w:pageBreakBefore w:val="0"/>
        <w:widowControl w:val="0"/>
        <w:numPr>
          <w:ilvl w:val="0"/>
          <w:numId w:val="0"/>
        </w:numPr>
        <w:tabs>
          <w:tab w:val="left" w:pos="2812"/>
          <w:tab w:val="left" w:pos="4300"/>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bookmarkStart w:id="101" w:name="_Toc1066"/>
      <w:bookmarkStart w:id="102" w:name="_Toc20720"/>
      <w:bookmarkStart w:id="103" w:name="_Toc28915"/>
      <w:bookmarkStart w:id="104" w:name="_Toc25518"/>
      <w:bookmarkStart w:id="105" w:name="_Toc8016"/>
      <w:bookmarkStart w:id="106" w:name="_Toc30599"/>
      <w:bookmarkStart w:id="107" w:name="_Toc24946"/>
      <w:bookmarkStart w:id="108" w:name="_Toc15921"/>
      <w:bookmarkStart w:id="109" w:name="_Toc162"/>
      <w:bookmarkStart w:id="110" w:name="_Toc18135"/>
      <w:bookmarkStart w:id="111" w:name="_Toc16739"/>
      <w:bookmarkStart w:id="112" w:name="_Toc18699"/>
      <w:bookmarkStart w:id="113" w:name="_Toc23913"/>
      <w:bookmarkStart w:id="114" w:name="_Toc17970"/>
      <w:bookmarkStart w:id="115" w:name="_Toc2461"/>
      <w:bookmarkStart w:id="116" w:name="_Toc1089"/>
      <w:bookmarkStart w:id="117" w:name="_Toc575"/>
      <w:bookmarkStart w:id="118" w:name="_Toc6423"/>
      <w:bookmarkStart w:id="119" w:name="_Toc19225"/>
      <w:bookmarkStart w:id="120" w:name="_Toc15686"/>
      <w:bookmarkStart w:id="121" w:name="_Toc30118"/>
      <w:bookmarkStart w:id="122" w:name="_Toc28890"/>
      <w:bookmarkStart w:id="123" w:name="_Toc16609"/>
      <w:bookmarkStart w:id="124" w:name="_Toc26630"/>
      <w:bookmarkStart w:id="125" w:name="_Toc16668"/>
      <w:bookmarkStart w:id="126" w:name="_Toc13138"/>
      <w:bookmarkStart w:id="127" w:name="_Toc8165"/>
      <w:bookmarkStart w:id="128" w:name="_Toc19915"/>
      <w:bookmarkStart w:id="129" w:name="_Toc19103"/>
      <w:bookmarkStart w:id="130" w:name="_Toc9689"/>
      <w:bookmarkStart w:id="131" w:name="_Toc16706"/>
      <w:bookmarkStart w:id="132" w:name="_Toc9787"/>
      <w:bookmarkStart w:id="133" w:name="_Toc25407"/>
      <w:bookmarkStart w:id="134" w:name="_Toc12116"/>
      <w:r>
        <w:rPr>
          <w:rFonts w:hint="eastAsia" w:ascii="仿宋" w:hAnsi="仿宋" w:eastAsia="仿宋" w:cs="仿宋"/>
          <w:b w:val="0"/>
          <w:bCs w:val="0"/>
          <w:color w:val="auto"/>
          <w:sz w:val="21"/>
          <w:szCs w:val="21"/>
          <w:highlight w:val="none"/>
          <w:lang w:val="en-US" w:eastAsia="zh-CN"/>
        </w:rPr>
        <w:t>3</w:t>
      </w:r>
      <w:r>
        <w:rPr>
          <w:rFonts w:hint="eastAsia" w:ascii="仿宋" w:hAnsi="仿宋" w:eastAsia="仿宋" w:cs="仿宋"/>
          <w:b w:val="0"/>
          <w:bCs w:val="0"/>
          <w:color w:val="auto"/>
          <w:sz w:val="21"/>
          <w:szCs w:val="21"/>
          <w:highlight w:val="none"/>
          <w:lang w:eastAsia="zh-CN"/>
        </w:rPr>
        <w:t>.本项目的特定资格要求：</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cs="仿宋"/>
          <w:b w:val="0"/>
          <w:bCs/>
          <w:color w:val="auto"/>
          <w:sz w:val="21"/>
          <w:szCs w:val="21"/>
          <w:highlight w:val="none"/>
          <w:lang w:val="en-US" w:eastAsia="zh-CN"/>
        </w:rPr>
        <w:t>无</w:t>
      </w:r>
      <w:r>
        <w:rPr>
          <w:rFonts w:hint="eastAsia" w:ascii="仿宋" w:hAnsi="仿宋" w:eastAsia="仿宋" w:cs="仿宋"/>
          <w:b w:val="0"/>
          <w:bCs/>
          <w:color w:val="auto"/>
          <w:sz w:val="21"/>
          <w:szCs w:val="21"/>
          <w:highlight w:val="none"/>
          <w:lang w:val="en-US" w:eastAsia="zh-CN"/>
        </w:rPr>
        <w:t>。</w:t>
      </w:r>
    </w:p>
    <w:p w14:paraId="73516B0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35" w:name="_Toc145067545"/>
      <w:bookmarkStart w:id="136" w:name="_Toc19391"/>
      <w:bookmarkStart w:id="137" w:name="_Toc88646723"/>
      <w:bookmarkStart w:id="138" w:name="_Toc88638742"/>
      <w:bookmarkStart w:id="139" w:name="_Toc2684"/>
      <w:bookmarkStart w:id="140" w:name="_Toc32718"/>
      <w:r>
        <w:rPr>
          <w:rFonts w:hint="eastAsia" w:ascii="仿宋" w:hAnsi="仿宋" w:eastAsia="仿宋" w:cs="仿宋"/>
          <w:color w:val="auto"/>
          <w:sz w:val="21"/>
          <w:szCs w:val="21"/>
          <w:highlight w:val="none"/>
          <w:lang w:eastAsia="zh-CN"/>
        </w:rPr>
        <w:t>三、获取</w:t>
      </w:r>
      <w:bookmarkEnd w:id="135"/>
      <w:bookmarkEnd w:id="136"/>
      <w:bookmarkEnd w:id="137"/>
      <w:bookmarkEnd w:id="138"/>
      <w:r>
        <w:rPr>
          <w:rFonts w:hint="eastAsia" w:ascii="仿宋" w:hAnsi="仿宋" w:eastAsia="仿宋" w:cs="仿宋"/>
          <w:color w:val="auto"/>
          <w:sz w:val="21"/>
          <w:szCs w:val="21"/>
          <w:highlight w:val="none"/>
          <w:lang w:eastAsia="zh-CN"/>
        </w:rPr>
        <w:t>招标文件</w:t>
      </w:r>
      <w:bookmarkEnd w:id="139"/>
      <w:bookmarkEnd w:id="140"/>
    </w:p>
    <w:bookmarkEnd w:id="12"/>
    <w:p w14:paraId="3B0AC6D6">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b w:val="0"/>
          <w:bCs w:val="0"/>
          <w:color w:val="auto"/>
          <w:sz w:val="21"/>
          <w:szCs w:val="21"/>
          <w:highlight w:val="none"/>
          <w:u w:val="single"/>
          <w:lang w:val="en-US" w:eastAsia="zh-CN"/>
        </w:rPr>
        <w:t>6</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04</w:t>
      </w:r>
      <w:r>
        <w:rPr>
          <w:rFonts w:hint="eastAsia" w:ascii="仿宋" w:hAnsi="仿宋" w:eastAsia="仿宋" w:cs="仿宋"/>
          <w:color w:val="auto"/>
          <w:sz w:val="21"/>
          <w:szCs w:val="21"/>
          <w:highlight w:val="none"/>
          <w:u w:val="none"/>
          <w:lang w:val="en-US" w:eastAsia="zh-CN"/>
        </w:rPr>
        <w:t>月</w:t>
      </w:r>
      <w:r>
        <w:rPr>
          <w:rFonts w:hint="eastAsia" w:cs="仿宋"/>
          <w:b w:val="0"/>
          <w:bCs w:val="0"/>
          <w:color w:val="auto"/>
          <w:sz w:val="21"/>
          <w:szCs w:val="21"/>
          <w:highlight w:val="none"/>
          <w:u w:val="single"/>
          <w:lang w:val="en-US" w:eastAsia="zh-CN"/>
        </w:rPr>
        <w:t>25</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06</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00</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至</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202</w:t>
      </w:r>
      <w:r>
        <w:rPr>
          <w:rFonts w:hint="eastAsia" w:cs="仿宋"/>
          <w:color w:val="auto"/>
          <w:sz w:val="21"/>
          <w:szCs w:val="21"/>
          <w:highlight w:val="none"/>
          <w:u w:val="single"/>
          <w:lang w:val="en-US" w:eastAsia="zh-CN"/>
        </w:rPr>
        <w:t>6</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年</w:t>
      </w:r>
      <w:r>
        <w:rPr>
          <w:rFonts w:hint="eastAsia" w:cs="仿宋"/>
          <w:b w:val="0"/>
          <w:bCs w:val="0"/>
          <w:color w:val="auto"/>
          <w:sz w:val="21"/>
          <w:szCs w:val="21"/>
          <w:highlight w:val="none"/>
          <w:u w:val="single"/>
          <w:lang w:val="en-US" w:eastAsia="zh-CN"/>
        </w:rPr>
        <w:t>05</w:t>
      </w:r>
      <w:r>
        <w:rPr>
          <w:rFonts w:hint="eastAsia" w:ascii="仿宋" w:hAnsi="仿宋" w:eastAsia="仿宋" w:cs="仿宋"/>
          <w:color w:val="auto"/>
          <w:sz w:val="21"/>
          <w:szCs w:val="21"/>
          <w:highlight w:val="none"/>
          <w:lang w:val="en-US" w:eastAsia="zh-CN"/>
        </w:rPr>
        <w:t>月</w:t>
      </w:r>
      <w:r>
        <w:rPr>
          <w:rFonts w:hint="eastAsia" w:cs="仿宋"/>
          <w:b w:val="0"/>
          <w:bCs w:val="0"/>
          <w:color w:val="auto"/>
          <w:sz w:val="21"/>
          <w:szCs w:val="21"/>
          <w:highlight w:val="none"/>
          <w:u w:val="single"/>
          <w:lang w:val="en-US" w:eastAsia="zh-CN"/>
        </w:rPr>
        <w:t>06</w:t>
      </w:r>
      <w:r>
        <w:rPr>
          <w:rFonts w:hint="eastAsia" w:ascii="仿宋" w:hAnsi="仿宋" w:eastAsia="仿宋" w:cs="仿宋"/>
          <w:color w:val="auto"/>
          <w:sz w:val="21"/>
          <w:szCs w:val="21"/>
          <w:highlight w:val="none"/>
          <w:lang w:val="en-US" w:eastAsia="zh-CN"/>
        </w:rPr>
        <w:t>日</w:t>
      </w:r>
      <w:r>
        <w:rPr>
          <w:rFonts w:hint="eastAsia" w:ascii="仿宋" w:hAnsi="仿宋" w:eastAsia="仿宋" w:cs="仿宋"/>
          <w:color w:val="auto"/>
          <w:sz w:val="21"/>
          <w:szCs w:val="21"/>
          <w:highlight w:val="none"/>
          <w:lang w:eastAsia="zh-CN"/>
        </w:rPr>
        <w:t>23</w:t>
      </w:r>
      <w:r>
        <w:rPr>
          <w:rFonts w:hint="eastAsia" w:ascii="仿宋" w:hAnsi="仿宋" w:eastAsia="仿宋" w:cs="仿宋"/>
          <w:color w:val="auto"/>
          <w:sz w:val="21"/>
          <w:szCs w:val="21"/>
          <w:highlight w:val="none"/>
          <w:lang w:val="en-US" w:eastAsia="zh-CN"/>
        </w:rPr>
        <w:t>时</w:t>
      </w:r>
      <w:r>
        <w:rPr>
          <w:rFonts w:hint="eastAsia" w:ascii="仿宋" w:hAnsi="仿宋" w:eastAsia="仿宋" w:cs="仿宋"/>
          <w:color w:val="auto"/>
          <w:sz w:val="21"/>
          <w:szCs w:val="21"/>
          <w:highlight w:val="none"/>
          <w:lang w:eastAsia="zh-CN"/>
        </w:rPr>
        <w:t>59</w:t>
      </w:r>
      <w:r>
        <w:rPr>
          <w:rFonts w:hint="eastAsia" w:ascii="仿宋" w:hAnsi="仿宋" w:eastAsia="仿宋" w:cs="仿宋"/>
          <w:color w:val="auto"/>
          <w:sz w:val="21"/>
          <w:szCs w:val="21"/>
          <w:highlight w:val="none"/>
          <w:lang w:val="en-US" w:eastAsia="zh-CN"/>
        </w:rPr>
        <w:t>分</w:t>
      </w:r>
      <w:r>
        <w:rPr>
          <w:rFonts w:hint="eastAsia" w:ascii="仿宋" w:hAnsi="仿宋" w:eastAsia="仿宋" w:cs="仿宋"/>
          <w:color w:val="auto"/>
          <w:sz w:val="21"/>
          <w:szCs w:val="21"/>
          <w:highlight w:val="none"/>
          <w:lang w:eastAsia="zh-CN"/>
        </w:rPr>
        <w:t>，每天上午06:00至12:00，下午12:00至23:59（北京时间，法定节假日除外）</w:t>
      </w:r>
      <w:r>
        <w:rPr>
          <w:rFonts w:hint="eastAsia" w:cs="仿宋"/>
          <w:color w:val="auto"/>
          <w:sz w:val="21"/>
          <w:szCs w:val="21"/>
          <w:highlight w:val="none"/>
          <w:lang w:eastAsia="zh-CN"/>
        </w:rPr>
        <w:t>；</w:t>
      </w:r>
    </w:p>
    <w:p w14:paraId="012B9EE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r>
        <w:rPr>
          <w:rFonts w:hint="eastAsia" w:ascii="仿宋" w:hAnsi="仿宋" w:eastAsia="仿宋" w:cs="仿宋"/>
          <w:color w:val="auto"/>
          <w:sz w:val="21"/>
          <w:szCs w:val="21"/>
          <w:highlight w:val="none"/>
          <w:lang w:val="en-US" w:eastAsia="zh-CN"/>
        </w:rPr>
        <w:t>云南省政府采购电子交易平台（政采云https://www.zcygov.cn/）线上获取</w:t>
      </w:r>
      <w:r>
        <w:rPr>
          <w:rFonts w:hint="eastAsia" w:cs="仿宋"/>
          <w:color w:val="auto"/>
          <w:sz w:val="21"/>
          <w:szCs w:val="21"/>
          <w:highlight w:val="none"/>
          <w:lang w:eastAsia="zh-CN"/>
        </w:rPr>
        <w:t>；</w:t>
      </w:r>
    </w:p>
    <w:p w14:paraId="12C1D3F0">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3.方式：</w:t>
      </w:r>
      <w:r>
        <w:rPr>
          <w:rFonts w:hint="eastAsia" w:cs="仿宋"/>
          <w:color w:val="auto"/>
          <w:sz w:val="21"/>
          <w:szCs w:val="21"/>
          <w:highlight w:val="none"/>
          <w:lang w:val="en-US" w:eastAsia="zh-CN"/>
        </w:rPr>
        <w:t>（1）</w:t>
      </w:r>
      <w:r>
        <w:rPr>
          <w:rFonts w:hint="eastAsia" w:ascii="仿宋" w:hAnsi="仿宋" w:eastAsia="仿宋" w:cs="仿宋"/>
          <w:color w:val="auto"/>
          <w:sz w:val="21"/>
          <w:szCs w:val="21"/>
          <w:highlight w:val="none"/>
          <w:lang w:val="en-US" w:eastAsia="zh-CN"/>
        </w:rPr>
        <w:t>凡有意参加投标者，须在云南省政府采购电子交易平台（政采云）办理数字证书（CA），并在云南省政府采购电子交易平台（政采云）绑定数字证书（CA）后线上获取采购文件及其</w:t>
      </w:r>
      <w:r>
        <w:rPr>
          <w:rFonts w:hint="eastAsia" w:cs="仿宋"/>
          <w:color w:val="auto"/>
          <w:sz w:val="21"/>
          <w:szCs w:val="21"/>
          <w:highlight w:val="none"/>
          <w:lang w:val="en-US" w:eastAsia="zh-CN"/>
        </w:rPr>
        <w:t>他</w:t>
      </w:r>
      <w:r>
        <w:rPr>
          <w:rFonts w:hint="eastAsia" w:ascii="仿宋" w:hAnsi="仿宋" w:eastAsia="仿宋" w:cs="仿宋"/>
          <w:color w:val="auto"/>
          <w:sz w:val="21"/>
          <w:szCs w:val="21"/>
          <w:highlight w:val="none"/>
          <w:lang w:val="en-US" w:eastAsia="zh-CN"/>
        </w:rPr>
        <w:t>采购资料。CA申领链接：https://middle.zcygov.cn/ca/apply/list?_app_=zcy.sys，CA申领后需登录云南省政府采购电子交易平台（政采云）完成数字证书（CA）绑定才可以使用</w:t>
      </w:r>
      <w:r>
        <w:rPr>
          <w:rFonts w:hint="eastAsia" w:cs="仿宋"/>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数字证书（CA）详见其办理流程</w:t>
      </w:r>
      <w:r>
        <w:rPr>
          <w:rFonts w:hint="eastAsia" w:cs="仿宋"/>
          <w:color w:val="auto"/>
          <w:sz w:val="21"/>
          <w:szCs w:val="21"/>
          <w:highlight w:val="none"/>
          <w:lang w:val="en-US" w:eastAsia="zh-CN"/>
        </w:rPr>
        <w:t>；</w:t>
      </w:r>
    </w:p>
    <w:p w14:paraId="5C166E6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cs="仿宋"/>
          <w:color w:val="auto"/>
          <w:sz w:val="21"/>
          <w:szCs w:val="21"/>
          <w:highlight w:val="none"/>
          <w:lang w:val="en-US" w:eastAsia="zh-CN"/>
        </w:rPr>
        <w:t>（2）</w:t>
      </w:r>
      <w:r>
        <w:rPr>
          <w:rFonts w:hint="eastAsia" w:ascii="仿宋" w:hAnsi="仿宋" w:eastAsia="仿宋" w:cs="仿宋"/>
          <w:color w:val="auto"/>
          <w:sz w:val="21"/>
          <w:szCs w:val="21"/>
          <w:highlight w:val="none"/>
          <w:lang w:val="en-US" w:eastAsia="zh-CN"/>
        </w:rPr>
        <w:t>按上述要求获取文件的</w:t>
      </w:r>
      <w:r>
        <w:rPr>
          <w:rFonts w:hint="eastAsia"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eastAsia="zh-CN"/>
        </w:rPr>
        <w:t>视为合法获取了本项目采购文件，具备本项目的投标资格。</w:t>
      </w:r>
    </w:p>
    <w:p w14:paraId="41819251">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41" w:name="_Toc3043"/>
      <w:bookmarkStart w:id="142" w:name="_Toc17290"/>
      <w:bookmarkStart w:id="143" w:name="_Toc11065"/>
      <w:bookmarkStart w:id="144" w:name="_Toc25968"/>
      <w:bookmarkStart w:id="145" w:name="_Toc24443"/>
      <w:bookmarkStart w:id="146" w:name="_Toc12123"/>
      <w:bookmarkStart w:id="147" w:name="_Toc8739"/>
      <w:bookmarkStart w:id="148" w:name="_Toc15378"/>
      <w:bookmarkStart w:id="149" w:name="_Toc16301"/>
      <w:bookmarkStart w:id="150" w:name="_Toc7684"/>
      <w:r>
        <w:rPr>
          <w:rFonts w:hint="eastAsia" w:ascii="仿宋" w:hAnsi="仿宋" w:eastAsia="仿宋" w:cs="仿宋"/>
          <w:color w:val="auto"/>
          <w:sz w:val="21"/>
          <w:szCs w:val="21"/>
          <w:highlight w:val="none"/>
          <w:lang w:eastAsia="zh-CN"/>
        </w:rPr>
        <w:t>4.售价：0.00元。</w:t>
      </w:r>
      <w:bookmarkEnd w:id="141"/>
      <w:bookmarkEnd w:id="142"/>
      <w:bookmarkEnd w:id="143"/>
      <w:bookmarkEnd w:id="144"/>
      <w:bookmarkEnd w:id="145"/>
      <w:bookmarkEnd w:id="146"/>
      <w:bookmarkEnd w:id="147"/>
      <w:bookmarkEnd w:id="148"/>
      <w:bookmarkEnd w:id="149"/>
      <w:bookmarkEnd w:id="150"/>
    </w:p>
    <w:p w14:paraId="50C635A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51" w:name="_Toc7549"/>
      <w:bookmarkStart w:id="152" w:name="_Toc9161"/>
      <w:bookmarkStart w:id="153" w:name="_Toc2364"/>
      <w:bookmarkStart w:id="154" w:name="_Toc16746"/>
      <w:bookmarkStart w:id="155" w:name="_Toc88638747"/>
      <w:bookmarkStart w:id="156" w:name="_Toc88646724"/>
      <w:bookmarkStart w:id="157" w:name="_Toc145067546"/>
      <w:bookmarkStart w:id="158" w:name="_Toc9280"/>
      <w:r>
        <w:rPr>
          <w:rFonts w:hint="eastAsia" w:ascii="仿宋" w:hAnsi="仿宋" w:eastAsia="仿宋" w:cs="仿宋"/>
          <w:color w:val="auto"/>
          <w:sz w:val="21"/>
          <w:szCs w:val="21"/>
          <w:highlight w:val="none"/>
          <w:lang w:eastAsia="zh-CN"/>
        </w:rPr>
        <w:t>四、提交投标文件截止时间、开标时间和地点</w:t>
      </w:r>
      <w:bookmarkEnd w:id="151"/>
      <w:bookmarkEnd w:id="152"/>
      <w:bookmarkEnd w:id="153"/>
      <w:bookmarkEnd w:id="154"/>
      <w:bookmarkEnd w:id="155"/>
      <w:bookmarkEnd w:id="156"/>
      <w:bookmarkEnd w:id="157"/>
      <w:bookmarkEnd w:id="158"/>
    </w:p>
    <w:p w14:paraId="3D4D2F98">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bookmarkStart w:id="159" w:name="_Toc88638749"/>
      <w:r>
        <w:rPr>
          <w:rFonts w:hint="eastAsia" w:ascii="仿宋" w:hAnsi="仿宋" w:eastAsia="仿宋" w:cs="仿宋"/>
          <w:color w:val="auto"/>
          <w:sz w:val="21"/>
          <w:szCs w:val="21"/>
          <w:highlight w:val="none"/>
          <w:lang w:eastAsia="zh-CN"/>
        </w:rPr>
        <w:t>1.投标文件递交的截止时间及开标时间：</w:t>
      </w:r>
      <w:r>
        <w:rPr>
          <w:rFonts w:hint="eastAsia" w:ascii="仿宋" w:hAnsi="仿宋" w:eastAsia="仿宋" w:cs="仿宋"/>
          <w:color w:val="auto"/>
          <w:sz w:val="21"/>
          <w:szCs w:val="21"/>
          <w:highlight w:val="none"/>
          <w:u w:val="single"/>
          <w:lang w:val="en-US" w:eastAsia="zh-CN"/>
        </w:rPr>
        <w:t>2026年05月</w:t>
      </w:r>
      <w:r>
        <w:rPr>
          <w:rFonts w:hint="eastAsia" w:cs="仿宋"/>
          <w:color w:val="auto"/>
          <w:sz w:val="21"/>
          <w:szCs w:val="21"/>
          <w:highlight w:val="none"/>
          <w:u w:val="single"/>
          <w:lang w:val="en-US" w:eastAsia="zh-CN"/>
        </w:rPr>
        <w:t>18</w:t>
      </w:r>
      <w:r>
        <w:rPr>
          <w:rFonts w:hint="eastAsia" w:ascii="仿宋" w:hAnsi="仿宋" w:eastAsia="仿宋" w:cs="仿宋"/>
          <w:color w:val="auto"/>
          <w:sz w:val="21"/>
          <w:szCs w:val="21"/>
          <w:highlight w:val="none"/>
          <w:u w:val="single"/>
          <w:lang w:val="en-US" w:eastAsia="zh-CN"/>
        </w:rPr>
        <w:t xml:space="preserve">日09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p>
    <w:p w14:paraId="72821B9A">
      <w:pPr>
        <w:pStyle w:val="10"/>
        <w:keepNext w:val="0"/>
        <w:keepLines w:val="0"/>
        <w:pageBreakBefore w:val="0"/>
        <w:widowControl w:val="0"/>
        <w:tabs>
          <w:tab w:val="left" w:pos="2812"/>
          <w:tab w:val="left" w:pos="4300"/>
        </w:tabs>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2.地点：</w:t>
      </w:r>
      <w:bookmarkEnd w:id="159"/>
      <w:r>
        <w:rPr>
          <w:rFonts w:hint="eastAsia" w:ascii="仿宋" w:hAnsi="仿宋" w:eastAsia="仿宋" w:cs="仿宋"/>
          <w:color w:val="auto"/>
          <w:sz w:val="21"/>
          <w:szCs w:val="21"/>
          <w:highlight w:val="none"/>
          <w:lang w:eastAsia="zh-CN"/>
        </w:rPr>
        <w:t>请登录云南省政府采购电子交易平台（政采云）投标客户端投标。</w:t>
      </w:r>
    </w:p>
    <w:p w14:paraId="301496C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bookmarkStart w:id="160" w:name="_Toc145067547"/>
      <w:bookmarkStart w:id="161" w:name="_Toc20150"/>
      <w:bookmarkStart w:id="162" w:name="_Toc19357"/>
      <w:bookmarkStart w:id="163" w:name="_Toc8289"/>
      <w:bookmarkStart w:id="164" w:name="_Toc89951815"/>
      <w:bookmarkStart w:id="165" w:name="_Toc24587"/>
      <w:bookmarkStart w:id="166" w:name="_Toc843"/>
      <w:r>
        <w:rPr>
          <w:rFonts w:hint="eastAsia" w:ascii="仿宋" w:hAnsi="仿宋" w:eastAsia="仿宋" w:cs="仿宋"/>
          <w:color w:val="auto"/>
          <w:sz w:val="21"/>
          <w:szCs w:val="21"/>
          <w:highlight w:val="none"/>
          <w:lang w:eastAsia="zh-CN"/>
        </w:rPr>
        <w:t>五、公告期限</w:t>
      </w:r>
      <w:bookmarkEnd w:id="160"/>
      <w:bookmarkEnd w:id="161"/>
      <w:bookmarkEnd w:id="162"/>
      <w:bookmarkEnd w:id="163"/>
      <w:bookmarkEnd w:id="164"/>
      <w:bookmarkEnd w:id="165"/>
      <w:bookmarkEnd w:id="166"/>
    </w:p>
    <w:p w14:paraId="0E822ECF">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自本公告发布之日起5个工作日。</w:t>
      </w:r>
    </w:p>
    <w:p w14:paraId="171F1E6E">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val="en-US" w:eastAsia="zh-CN"/>
        </w:rPr>
      </w:pPr>
      <w:bookmarkStart w:id="167" w:name="_Toc11766"/>
      <w:bookmarkStart w:id="168" w:name="_Toc665"/>
      <w:bookmarkStart w:id="169" w:name="_Toc20184"/>
      <w:bookmarkStart w:id="170" w:name="_Toc11846"/>
      <w:bookmarkStart w:id="171" w:name="_Toc89951816"/>
      <w:bookmarkStart w:id="172" w:name="_Toc145067548"/>
      <w:bookmarkStart w:id="173" w:name="_Toc23745"/>
      <w:r>
        <w:rPr>
          <w:rFonts w:hint="eastAsia" w:ascii="仿宋" w:hAnsi="仿宋" w:eastAsia="仿宋" w:cs="仿宋"/>
          <w:color w:val="auto"/>
          <w:sz w:val="21"/>
          <w:szCs w:val="21"/>
          <w:highlight w:val="none"/>
          <w:lang w:val="en-US" w:eastAsia="zh-CN"/>
        </w:rPr>
        <w:t>六、其他补充事宜</w:t>
      </w:r>
      <w:bookmarkEnd w:id="167"/>
      <w:bookmarkEnd w:id="168"/>
      <w:bookmarkEnd w:id="169"/>
      <w:bookmarkEnd w:id="170"/>
    </w:p>
    <w:p w14:paraId="7768C0CE">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开标方式：网上开标；</w:t>
      </w:r>
    </w:p>
    <w:p w14:paraId="2403E679">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auto"/>
          <w:sz w:val="21"/>
          <w:szCs w:val="21"/>
          <w:highlight w:val="none"/>
          <w:lang w:eastAsia="zh-CN" w:bidi="ar"/>
        </w:rPr>
      </w:pPr>
      <w:r>
        <w:rPr>
          <w:rFonts w:hint="eastAsia" w:ascii="仿宋" w:hAnsi="仿宋" w:eastAsia="仿宋" w:cs="仿宋"/>
          <w:bCs/>
          <w:color w:val="auto"/>
          <w:sz w:val="21"/>
          <w:szCs w:val="21"/>
          <w:highlight w:val="none"/>
          <w:lang w:val="en-US" w:eastAsia="zh-CN" w:bidi="ar"/>
        </w:rPr>
        <w:t>2.</w:t>
      </w:r>
      <w:r>
        <w:rPr>
          <w:rFonts w:hint="eastAsia" w:ascii="仿宋" w:hAnsi="仿宋" w:eastAsia="仿宋" w:cs="仿宋"/>
          <w:bCs/>
          <w:color w:val="auto"/>
          <w:sz w:val="21"/>
          <w:szCs w:val="21"/>
          <w:highlight w:val="none"/>
          <w:lang w:bidi="ar"/>
        </w:rPr>
        <w:t>是否需要缴纳投标保证金：</w:t>
      </w:r>
      <w:r>
        <w:rPr>
          <w:rFonts w:hint="eastAsia" w:ascii="仿宋" w:hAnsi="仿宋" w:eastAsia="仿宋" w:cs="仿宋"/>
          <w:b w:val="0"/>
          <w:bCs/>
          <w:i w:val="0"/>
          <w:iCs w:val="0"/>
          <w:color w:val="auto"/>
          <w:sz w:val="21"/>
          <w:szCs w:val="21"/>
          <w:highlight w:val="none"/>
          <w:lang w:bidi="ar"/>
        </w:rPr>
        <w:t>是</w:t>
      </w:r>
      <w:r>
        <w:rPr>
          <w:rFonts w:hint="eastAsia" w:ascii="仿宋" w:hAnsi="仿宋" w:eastAsia="仿宋" w:cs="仿宋"/>
          <w:bCs/>
          <w:color w:val="auto"/>
          <w:sz w:val="21"/>
          <w:szCs w:val="21"/>
          <w:highlight w:val="none"/>
          <w:lang w:eastAsia="zh-CN" w:bidi="ar"/>
        </w:rPr>
        <w:t>；</w:t>
      </w:r>
    </w:p>
    <w:p w14:paraId="2623F25D">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牟定县2026年度山洪灾害防治项目：</w:t>
      </w:r>
    </w:p>
    <w:p w14:paraId="0F65E620">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b w:val="0"/>
          <w:bCs w:val="0"/>
          <w:color w:val="auto"/>
          <w:sz w:val="21"/>
          <w:szCs w:val="21"/>
          <w:highlight w:val="none"/>
          <w:u w:val="none"/>
          <w:lang w:val="en-US" w:eastAsia="zh-CN"/>
        </w:rPr>
        <w:t>保证金金额：</w:t>
      </w:r>
      <w:r>
        <w:rPr>
          <w:rFonts w:hint="eastAsia" w:ascii="仿宋" w:hAnsi="仿宋" w:eastAsia="仿宋" w:cs="仿宋"/>
          <w:b/>
          <w:bCs/>
          <w:color w:val="auto"/>
          <w:sz w:val="21"/>
          <w:szCs w:val="21"/>
          <w:highlight w:val="none"/>
          <w:lang w:val="en-US" w:eastAsia="zh-CN"/>
        </w:rPr>
        <w:t>1500.00</w:t>
      </w:r>
      <w:r>
        <w:rPr>
          <w:rFonts w:hint="eastAsia" w:ascii="仿宋" w:hAnsi="仿宋" w:eastAsia="仿宋" w:cs="仿宋"/>
          <w:b w:val="0"/>
          <w:bCs w:val="0"/>
          <w:color w:val="auto"/>
          <w:sz w:val="21"/>
          <w:szCs w:val="21"/>
          <w:highlight w:val="none"/>
          <w:u w:val="none"/>
          <w:lang w:val="en-US" w:eastAsia="zh-CN"/>
        </w:rPr>
        <w:t>元；</w:t>
      </w:r>
    </w:p>
    <w:p w14:paraId="735450E2">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textAlignment w:val="auto"/>
        <w:rPr>
          <w:rFonts w:hint="eastAsia" w:ascii="仿宋" w:hAnsi="仿宋" w:eastAsia="仿宋" w:cs="仿宋"/>
          <w:bCs/>
          <w:color w:val="auto"/>
          <w:sz w:val="21"/>
          <w:szCs w:val="21"/>
          <w:highlight w:val="none"/>
          <w:lang w:eastAsia="zh-CN" w:bidi="ar"/>
        </w:rPr>
      </w:pPr>
      <w:r>
        <w:rPr>
          <w:rFonts w:hint="eastAsia" w:ascii="仿宋" w:hAnsi="仿宋" w:eastAsia="仿宋" w:cs="仿宋"/>
          <w:bCs/>
          <w:color w:val="auto"/>
          <w:sz w:val="21"/>
          <w:szCs w:val="21"/>
          <w:highlight w:val="none"/>
          <w:lang w:bidi="ar"/>
        </w:rPr>
        <w:t>保证金缴纳方式：支票、汇票、本票、保函或者网银转账、电汇等</w:t>
      </w:r>
      <w:r>
        <w:rPr>
          <w:rFonts w:hint="eastAsia" w:ascii="仿宋" w:hAnsi="仿宋" w:eastAsia="仿宋" w:cs="仿宋"/>
          <w:bCs/>
          <w:color w:val="auto"/>
          <w:sz w:val="21"/>
          <w:szCs w:val="21"/>
          <w:highlight w:val="none"/>
          <w:lang w:val="en-US"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bCs/>
          <w:color w:val="auto"/>
          <w:sz w:val="21"/>
          <w:szCs w:val="21"/>
          <w:highlight w:val="none"/>
          <w:lang w:eastAsia="zh-CN" w:bidi="ar"/>
        </w:rPr>
        <w:t>，投标人可根据实际情况，选择保证金的缴纳方式；</w:t>
      </w:r>
    </w:p>
    <w:p w14:paraId="26AE5A37">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bidi="ar"/>
        </w:rPr>
        <w:t>投标保证金缴纳截止时间：</w:t>
      </w:r>
      <w:r>
        <w:rPr>
          <w:rFonts w:hint="eastAsia" w:ascii="仿宋" w:hAnsi="仿宋" w:eastAsia="仿宋" w:cs="仿宋"/>
          <w:color w:val="auto"/>
          <w:sz w:val="21"/>
          <w:szCs w:val="21"/>
          <w:highlight w:val="none"/>
          <w:u w:val="single"/>
          <w:lang w:val="en-US" w:eastAsia="zh-CN"/>
        </w:rPr>
        <w:t xml:space="preserve">2026年05月18日 09 </w:t>
      </w:r>
      <w:r>
        <w:rPr>
          <w:rFonts w:hint="eastAsia" w:ascii="仿宋" w:hAnsi="仿宋" w:eastAsia="仿宋" w:cs="仿宋"/>
          <w:color w:val="auto"/>
          <w:sz w:val="21"/>
          <w:szCs w:val="21"/>
          <w:highlight w:val="none"/>
          <w:u w:val="none"/>
          <w:lang w:eastAsia="zh-CN"/>
        </w:rPr>
        <w:t>时</w:t>
      </w:r>
      <w:r>
        <w:rPr>
          <w:rFonts w:hint="eastAsia" w:ascii="仿宋" w:hAnsi="仿宋" w:eastAsia="仿宋" w:cs="仿宋"/>
          <w:color w:val="auto"/>
          <w:sz w:val="21"/>
          <w:szCs w:val="21"/>
          <w:highlight w:val="none"/>
          <w:u w:val="single"/>
          <w:lang w:val="en-US" w:eastAsia="zh-CN"/>
        </w:rPr>
        <w:t xml:space="preserve"> 00 </w:t>
      </w:r>
      <w:r>
        <w:rPr>
          <w:rFonts w:hint="eastAsia" w:ascii="仿宋" w:hAnsi="仿宋" w:eastAsia="仿宋" w:cs="仿宋"/>
          <w:color w:val="auto"/>
          <w:sz w:val="21"/>
          <w:szCs w:val="21"/>
          <w:highlight w:val="none"/>
          <w:u w:val="none"/>
          <w:lang w:eastAsia="zh-CN"/>
        </w:rPr>
        <w:t>分</w:t>
      </w:r>
      <w:r>
        <w:rPr>
          <w:rFonts w:hint="eastAsia" w:ascii="仿宋" w:hAnsi="仿宋" w:eastAsia="仿宋" w:cs="仿宋"/>
          <w:color w:val="auto"/>
          <w:sz w:val="21"/>
          <w:szCs w:val="21"/>
          <w:highlight w:val="none"/>
          <w:lang w:eastAsia="zh-CN"/>
        </w:rPr>
        <w:t>（北京时间）</w:t>
      </w:r>
      <w:r>
        <w:rPr>
          <w:rFonts w:hint="eastAsia" w:ascii="仿宋" w:hAnsi="仿宋" w:eastAsia="仿宋" w:cs="仿宋"/>
          <w:color w:val="auto"/>
          <w:sz w:val="21"/>
          <w:szCs w:val="21"/>
          <w:highlight w:val="none"/>
        </w:rPr>
        <w:t>。</w:t>
      </w:r>
    </w:p>
    <w:p w14:paraId="02EA2EEE">
      <w:pPr>
        <w:keepNext w:val="0"/>
        <w:keepLines w:val="0"/>
        <w:pageBreakBefore w:val="0"/>
        <w:widowControl w:val="0"/>
        <w:numPr>
          <w:ilvl w:val="0"/>
          <w:numId w:val="0"/>
        </w:numPr>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eastAsia="zh-CN"/>
        </w:rPr>
      </w:pPr>
      <w:bookmarkStart w:id="174" w:name="_Toc13168"/>
      <w:bookmarkStart w:id="175" w:name="_Toc13407"/>
      <w:bookmarkStart w:id="176" w:name="_Toc2052"/>
      <w:bookmarkStart w:id="177" w:name="_Toc14568"/>
      <w:bookmarkStart w:id="178" w:name="_Toc25877"/>
      <w:bookmarkStart w:id="179" w:name="_Toc9055"/>
      <w:bookmarkStart w:id="180" w:name="_Toc22547"/>
      <w:bookmarkStart w:id="181" w:name="_Toc17994"/>
      <w:bookmarkStart w:id="182" w:name="_Toc206"/>
      <w:bookmarkStart w:id="183" w:name="_Toc5027"/>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其他：</w:t>
      </w:r>
      <w:bookmarkEnd w:id="174"/>
      <w:bookmarkEnd w:id="175"/>
      <w:bookmarkEnd w:id="176"/>
      <w:bookmarkEnd w:id="177"/>
      <w:bookmarkEnd w:id="178"/>
      <w:bookmarkEnd w:id="179"/>
      <w:bookmarkEnd w:id="180"/>
      <w:bookmarkEnd w:id="181"/>
      <w:bookmarkEnd w:id="182"/>
      <w:bookmarkEnd w:id="183"/>
    </w:p>
    <w:p w14:paraId="4E6589E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b w:val="0"/>
          <w:bCs/>
          <w:color w:val="auto"/>
          <w:sz w:val="21"/>
          <w:szCs w:val="21"/>
          <w:highlight w:val="none"/>
          <w:lang w:val="en-US" w:eastAsia="zh-CN"/>
        </w:rPr>
      </w:pPr>
      <w:bookmarkStart w:id="184" w:name="_Toc26527"/>
      <w:bookmarkStart w:id="185" w:name="_Toc17573"/>
      <w:bookmarkStart w:id="186" w:name="_Toc6513"/>
      <w:bookmarkStart w:id="187" w:name="_Toc8808"/>
      <w:r>
        <w:rPr>
          <w:rFonts w:hint="eastAsia" w:ascii="仿宋" w:hAnsi="仿宋" w:eastAsia="仿宋" w:cs="仿宋"/>
          <w:b w:val="0"/>
          <w:bCs/>
          <w:color w:val="auto"/>
          <w:sz w:val="21"/>
          <w:szCs w:val="21"/>
          <w:highlight w:val="none"/>
          <w:lang w:val="en-US" w:eastAsia="zh-CN"/>
        </w:rPr>
        <w:t>（1）发布公告的媒介：本次招标公告在《云南省政府采购网》《政府采购云平台》上发布，采购人及采购代理机构对其他网站发布或转载的公告内容不承担任何责任；</w:t>
      </w:r>
    </w:p>
    <w:p w14:paraId="33145A48">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（2）本项目实行网上投标，采用电子投标文件；</w:t>
      </w:r>
    </w:p>
    <w:p w14:paraId="44799AEA">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3）各投标人应在开标前确保成为政采云平台投标人，并完成CA数字证书申领。因未注册入库、未办理CA数字证书等原因造成无法投标或投标失败等后果由投标人自行承担。凡有意参加投标的投标人，须在政采云平台办理数字证书（CA），CA申领链接：https://middle.zcygov,cn/ca/apply/list? app =zcy.sys，并通过政采云绑定数字证书（CA）后在网上获取采购文件及其他采购资料，数字证书（CA）详见其办理流程；</w:t>
      </w:r>
    </w:p>
    <w:p w14:paraId="22D92F6C">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4）投标人下载、安装完政采云电子交易客户端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云南CA操作问题：请致电云南CA，4006727666；云南CA紧急联系方式：15288315056。云南壹证通CA操作问题请致电：4000040628；云南壹证通CA紧急联系方式：19988166369。如因投标人自身原因导致在规定时间内无法正常解密的（如：浏览器故障、未安装相关驱动、网络故障、加密CA与解密CA不一致等），代理机构不予异常处理，视为投标人自动弃标。</w:t>
      </w:r>
    </w:p>
    <w:p w14:paraId="7736AB95">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七</w:t>
      </w:r>
      <w:r>
        <w:rPr>
          <w:rFonts w:hint="eastAsia" w:ascii="仿宋" w:hAnsi="仿宋" w:eastAsia="仿宋" w:cs="仿宋"/>
          <w:color w:val="auto"/>
          <w:sz w:val="21"/>
          <w:szCs w:val="21"/>
          <w:highlight w:val="none"/>
          <w:lang w:eastAsia="zh-CN"/>
        </w:rPr>
        <w:t>、对本次招标提出询问，请按以下方式联系</w:t>
      </w:r>
      <w:bookmarkEnd w:id="171"/>
      <w:bookmarkEnd w:id="172"/>
      <w:bookmarkEnd w:id="173"/>
      <w:bookmarkEnd w:id="184"/>
      <w:bookmarkEnd w:id="185"/>
      <w:bookmarkEnd w:id="186"/>
      <w:bookmarkEnd w:id="187"/>
    </w:p>
    <w:p w14:paraId="2A1C0E7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188" w:name="_Toc9957"/>
      <w:bookmarkStart w:id="189" w:name="_Toc14432"/>
      <w:bookmarkStart w:id="190" w:name="_Toc8969"/>
      <w:bookmarkStart w:id="191" w:name="_Toc4152"/>
      <w:bookmarkStart w:id="192" w:name="_Toc31963"/>
      <w:bookmarkStart w:id="193" w:name="_Toc29685"/>
      <w:bookmarkStart w:id="194" w:name="_Toc1032"/>
      <w:bookmarkStart w:id="195" w:name="_Toc29602"/>
      <w:bookmarkStart w:id="196" w:name="_Toc18986"/>
      <w:bookmarkStart w:id="197" w:name="_Toc30836"/>
      <w:bookmarkStart w:id="198" w:name="_Toc2554"/>
      <w:bookmarkStart w:id="199" w:name="_Toc4060"/>
      <w:bookmarkStart w:id="200" w:name="_Toc20671"/>
      <w:bookmarkStart w:id="201" w:name="_Toc10625"/>
      <w:bookmarkStart w:id="202" w:name="_Toc2842"/>
      <w:bookmarkStart w:id="203" w:name="_Toc17354"/>
      <w:bookmarkStart w:id="204" w:name="_Toc20322"/>
      <w:bookmarkStart w:id="205" w:name="_Toc29920"/>
      <w:bookmarkStart w:id="206" w:name="_Toc14289"/>
      <w:bookmarkStart w:id="207" w:name="_Toc32512"/>
      <w:bookmarkStart w:id="208" w:name="_Toc30252"/>
      <w:bookmarkStart w:id="209" w:name="_Toc23581"/>
      <w:bookmarkStart w:id="210" w:name="_Toc22215"/>
      <w:bookmarkStart w:id="211" w:name="_Toc13650"/>
      <w:bookmarkStart w:id="212" w:name="_Toc31870"/>
      <w:bookmarkStart w:id="213" w:name="_Toc18988"/>
      <w:bookmarkStart w:id="214" w:name="_Toc3120"/>
      <w:bookmarkStart w:id="215" w:name="_Toc17790"/>
      <w:bookmarkStart w:id="216" w:name="_Toc21117"/>
      <w:bookmarkStart w:id="217" w:name="_Toc10177"/>
      <w:bookmarkStart w:id="218" w:name="_Toc6763"/>
      <w:bookmarkStart w:id="219" w:name="_Toc17368"/>
      <w:bookmarkStart w:id="220" w:name="_Toc4751"/>
      <w:bookmarkStart w:id="221" w:name="_Toc981"/>
      <w:bookmarkStart w:id="222" w:name="_Toc17041"/>
      <w:bookmarkStart w:id="223" w:name="_Toc20672"/>
      <w:bookmarkStart w:id="224" w:name="_Toc3653"/>
      <w:bookmarkStart w:id="225" w:name="_Toc27405"/>
      <w:bookmarkStart w:id="226" w:name="_Toc26411"/>
      <w:bookmarkStart w:id="227" w:name="_Toc3586"/>
      <w:bookmarkStart w:id="228" w:name="_Toc7929"/>
      <w:bookmarkStart w:id="229" w:name="_Toc15037"/>
      <w:bookmarkStart w:id="230" w:name="_Toc8117"/>
      <w:bookmarkStart w:id="231" w:name="_Toc13429"/>
      <w:bookmarkStart w:id="232" w:name="_Toc31871"/>
      <w:bookmarkStart w:id="233" w:name="_Toc23038"/>
      <w:bookmarkStart w:id="234" w:name="_Toc13623"/>
      <w:bookmarkStart w:id="235" w:name="_Toc29317"/>
      <w:bookmarkStart w:id="236" w:name="_Toc29508"/>
      <w:bookmarkStart w:id="237" w:name="_Toc30923"/>
      <w:bookmarkStart w:id="238" w:name="_Toc15330"/>
      <w:bookmarkStart w:id="239" w:name="_Toc2753"/>
      <w:bookmarkStart w:id="240" w:name="_Toc26358"/>
      <w:bookmarkStart w:id="241" w:name="_Toc20492"/>
      <w:bookmarkStart w:id="242" w:name="_Toc7985"/>
      <w:bookmarkStart w:id="243" w:name="_Toc27795"/>
      <w:bookmarkStart w:id="244" w:name="_Toc11211"/>
      <w:r>
        <w:rPr>
          <w:rFonts w:hint="eastAsia" w:ascii="仿宋" w:hAnsi="仿宋" w:eastAsia="仿宋" w:cs="仿宋"/>
          <w:b/>
          <w:bCs w:val="0"/>
          <w:color w:val="auto"/>
          <w:sz w:val="21"/>
          <w:szCs w:val="21"/>
          <w:highlight w:val="none"/>
          <w:lang w:val="en-US" w:eastAsia="zh-CN"/>
        </w:rPr>
        <w:t>1.采购人信息</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2B82AF0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名    称</w:t>
      </w:r>
      <w:r>
        <w:rPr>
          <w:rFonts w:hint="eastAsia" w:ascii="仿宋" w:hAnsi="仿宋" w:eastAsia="仿宋" w:cs="仿宋"/>
          <w:b w:val="0"/>
          <w:bCs/>
          <w:color w:val="auto"/>
          <w:sz w:val="21"/>
          <w:szCs w:val="21"/>
          <w:highlight w:val="none"/>
          <w:lang w:eastAsia="zh-CN"/>
        </w:rPr>
        <w:t>：</w:t>
      </w:r>
      <w:r>
        <w:rPr>
          <w:rFonts w:hint="eastAsia" w:cs="仿宋"/>
          <w:b w:val="0"/>
          <w:bCs/>
          <w:color w:val="auto"/>
          <w:sz w:val="21"/>
          <w:szCs w:val="21"/>
          <w:highlight w:val="none"/>
          <w:lang w:eastAsia="zh-CN"/>
        </w:rPr>
        <w:t>牟定县水务局</w:t>
      </w:r>
    </w:p>
    <w:p w14:paraId="5FC2401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地</w:t>
      </w:r>
      <w:r>
        <w:rPr>
          <w:rFonts w:hint="eastAsia" w:ascii="仿宋" w:hAnsi="仿宋" w:eastAsia="仿宋" w:cs="仿宋"/>
          <w:b w:val="0"/>
          <w:bCs/>
          <w:color w:val="auto"/>
          <w:sz w:val="21"/>
          <w:szCs w:val="21"/>
          <w:highlight w:val="none"/>
          <w:lang w:val="en-US" w:eastAsia="zh-CN"/>
        </w:rPr>
        <w:t xml:space="preserve">    </w:t>
      </w:r>
      <w:r>
        <w:rPr>
          <w:rFonts w:hint="eastAsia" w:ascii="仿宋" w:hAnsi="仿宋" w:eastAsia="仿宋" w:cs="仿宋"/>
          <w:b w:val="0"/>
          <w:bCs/>
          <w:color w:val="auto"/>
          <w:sz w:val="21"/>
          <w:szCs w:val="21"/>
          <w:highlight w:val="none"/>
          <w:lang w:eastAsia="zh-CN"/>
        </w:rPr>
        <w:t>址：</w:t>
      </w:r>
      <w:r>
        <w:rPr>
          <w:rFonts w:hint="eastAsia" w:cs="仿宋"/>
          <w:b w:val="0"/>
          <w:bCs/>
          <w:color w:val="auto"/>
          <w:sz w:val="21"/>
          <w:szCs w:val="21"/>
          <w:highlight w:val="none"/>
          <w:lang w:eastAsia="zh-CN"/>
        </w:rPr>
        <w:t>牟定县共和镇北塔路 110 号</w:t>
      </w:r>
    </w:p>
    <w:p w14:paraId="79DAB0C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联系</w:t>
      </w:r>
      <w:r>
        <w:rPr>
          <w:rFonts w:hint="eastAsia" w:ascii="仿宋" w:hAnsi="仿宋" w:eastAsia="仿宋" w:cs="仿宋"/>
          <w:color w:val="auto"/>
          <w:sz w:val="21"/>
          <w:szCs w:val="21"/>
          <w:highlight w:val="none"/>
          <w:lang w:val="en-US" w:eastAsia="zh-CN"/>
        </w:rPr>
        <w:t>方式</w:t>
      </w:r>
      <w:r>
        <w:rPr>
          <w:rFonts w:hint="eastAsia" w:ascii="仿宋" w:hAnsi="仿宋" w:eastAsia="仿宋" w:cs="仿宋"/>
          <w:color w:val="auto"/>
          <w:sz w:val="21"/>
          <w:szCs w:val="21"/>
          <w:highlight w:val="none"/>
          <w:lang w:eastAsia="zh-CN"/>
        </w:rPr>
        <w:t>：</w:t>
      </w:r>
      <w:r>
        <w:rPr>
          <w:rFonts w:hint="eastAsia" w:cs="仿宋"/>
          <w:color w:val="auto"/>
          <w:sz w:val="21"/>
          <w:szCs w:val="21"/>
          <w:highlight w:val="none"/>
          <w:lang w:eastAsia="zh-CN"/>
        </w:rPr>
        <w:t>13529503939</w:t>
      </w:r>
    </w:p>
    <w:p w14:paraId="6D7874A3">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val="0"/>
          <w:color w:val="auto"/>
          <w:sz w:val="21"/>
          <w:szCs w:val="21"/>
          <w:highlight w:val="none"/>
          <w:lang w:val="en-US" w:eastAsia="zh-CN"/>
        </w:rPr>
      </w:pPr>
      <w:bookmarkStart w:id="245" w:name="_Toc17569"/>
      <w:bookmarkStart w:id="246" w:name="_Toc17270"/>
      <w:bookmarkStart w:id="247" w:name="_Toc25855"/>
      <w:bookmarkStart w:id="248" w:name="_Toc23063"/>
      <w:bookmarkStart w:id="249" w:name="_Toc1068"/>
      <w:bookmarkStart w:id="250" w:name="_Toc22792"/>
      <w:bookmarkStart w:id="251" w:name="_Toc18785"/>
      <w:bookmarkStart w:id="252" w:name="_Toc26452"/>
      <w:bookmarkStart w:id="253" w:name="_Toc5354"/>
      <w:bookmarkStart w:id="254" w:name="_Toc16095"/>
      <w:bookmarkStart w:id="255" w:name="_Toc11511"/>
      <w:bookmarkStart w:id="256" w:name="_Toc13117"/>
      <w:bookmarkStart w:id="257" w:name="_Toc815"/>
      <w:bookmarkStart w:id="258" w:name="_Toc15130"/>
      <w:bookmarkStart w:id="259" w:name="_Toc579"/>
      <w:bookmarkStart w:id="260" w:name="_Toc26355"/>
      <w:bookmarkStart w:id="261" w:name="_Toc19348"/>
      <w:bookmarkStart w:id="262" w:name="_Toc22224"/>
      <w:bookmarkStart w:id="263" w:name="_Toc23275"/>
      <w:bookmarkStart w:id="264" w:name="_Toc27813"/>
      <w:bookmarkStart w:id="265" w:name="_Toc31458"/>
      <w:bookmarkStart w:id="266" w:name="_Toc20740"/>
      <w:bookmarkStart w:id="267" w:name="_Toc32538"/>
      <w:bookmarkStart w:id="268" w:name="_Toc15284"/>
      <w:bookmarkStart w:id="269" w:name="_Toc23934"/>
      <w:bookmarkStart w:id="270" w:name="_Toc19335"/>
      <w:bookmarkStart w:id="271" w:name="_Toc30653"/>
      <w:bookmarkStart w:id="272" w:name="_Toc16577"/>
      <w:bookmarkStart w:id="273" w:name="_Toc12715"/>
      <w:bookmarkStart w:id="274" w:name="_Toc16712"/>
      <w:bookmarkStart w:id="275" w:name="_Toc6206"/>
      <w:bookmarkStart w:id="276" w:name="_Toc31520"/>
      <w:bookmarkStart w:id="277" w:name="_Toc12646"/>
      <w:bookmarkStart w:id="278" w:name="_Toc24218"/>
      <w:bookmarkStart w:id="279" w:name="_Toc15470"/>
      <w:bookmarkStart w:id="280" w:name="_Toc598"/>
      <w:bookmarkStart w:id="281" w:name="_Toc18377"/>
      <w:bookmarkStart w:id="282" w:name="_Toc30344"/>
      <w:bookmarkStart w:id="283" w:name="_Toc28076"/>
      <w:bookmarkStart w:id="284" w:name="_Toc11632"/>
      <w:bookmarkStart w:id="285" w:name="_Toc14384"/>
      <w:bookmarkStart w:id="286" w:name="_Toc23936"/>
      <w:bookmarkStart w:id="287" w:name="_Toc16278"/>
      <w:bookmarkStart w:id="288" w:name="_Toc3270"/>
      <w:bookmarkStart w:id="289" w:name="_Toc7344"/>
      <w:bookmarkStart w:id="290" w:name="_Toc14613"/>
      <w:bookmarkStart w:id="291" w:name="_Toc19890"/>
      <w:bookmarkStart w:id="292" w:name="_Toc14446"/>
      <w:bookmarkStart w:id="293" w:name="_Toc16296"/>
      <w:bookmarkStart w:id="294" w:name="_Toc22272"/>
      <w:bookmarkStart w:id="295" w:name="_Toc7669"/>
      <w:bookmarkStart w:id="296" w:name="_Toc2801"/>
      <w:bookmarkStart w:id="297" w:name="_Toc1725"/>
      <w:bookmarkStart w:id="298" w:name="_Toc6941"/>
      <w:bookmarkStart w:id="299" w:name="_Toc2924"/>
      <w:bookmarkStart w:id="300" w:name="_Toc32028"/>
      <w:bookmarkStart w:id="301" w:name="_Toc30797"/>
      <w:r>
        <w:rPr>
          <w:rFonts w:hint="eastAsia" w:ascii="仿宋" w:hAnsi="仿宋" w:eastAsia="仿宋" w:cs="仿宋"/>
          <w:b/>
          <w:bCs w:val="0"/>
          <w:color w:val="auto"/>
          <w:sz w:val="21"/>
          <w:szCs w:val="21"/>
          <w:highlight w:val="none"/>
          <w:lang w:val="en-US" w:eastAsia="zh-CN"/>
        </w:rPr>
        <w:t>2.采购代理机构信息</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7AC159C1">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bookmarkStart w:id="302" w:name="_Toc21036"/>
      <w:bookmarkStart w:id="303" w:name="_Toc15604"/>
      <w:bookmarkStart w:id="304" w:name="_Toc19424"/>
      <w:bookmarkStart w:id="305" w:name="_Toc2557"/>
      <w:bookmarkStart w:id="306" w:name="_Toc9560"/>
      <w:bookmarkStart w:id="307" w:name="_Toc1667"/>
      <w:bookmarkStart w:id="308" w:name="_Toc1735"/>
      <w:bookmarkStart w:id="309" w:name="_Toc20485"/>
      <w:bookmarkStart w:id="310" w:name="_Toc4004"/>
      <w:bookmarkStart w:id="311" w:name="_Toc32077"/>
      <w:bookmarkStart w:id="312" w:name="_Toc15169"/>
      <w:bookmarkStart w:id="313" w:name="_Toc9285"/>
      <w:bookmarkStart w:id="314" w:name="_Toc11645"/>
      <w:bookmarkStart w:id="315" w:name="_Toc25419"/>
      <w:bookmarkStart w:id="316" w:name="_Toc19261"/>
      <w:bookmarkStart w:id="317" w:name="_Toc12487"/>
      <w:bookmarkStart w:id="318" w:name="_Toc266"/>
      <w:bookmarkStart w:id="319" w:name="_Toc29134"/>
      <w:bookmarkStart w:id="320" w:name="_Toc19488"/>
      <w:bookmarkStart w:id="321" w:name="_Toc27231"/>
      <w:bookmarkStart w:id="322" w:name="_Toc11563"/>
      <w:bookmarkStart w:id="323" w:name="_Toc13241"/>
      <w:bookmarkStart w:id="324" w:name="_Toc13054"/>
      <w:bookmarkStart w:id="325" w:name="_Toc5067"/>
      <w:bookmarkStart w:id="326" w:name="_Toc5284"/>
      <w:bookmarkStart w:id="327" w:name="_Toc5611"/>
      <w:bookmarkStart w:id="328" w:name="_Toc13945"/>
      <w:bookmarkStart w:id="329" w:name="_Toc21306"/>
      <w:bookmarkStart w:id="330" w:name="_Toc1050"/>
      <w:bookmarkStart w:id="331" w:name="_Toc26158"/>
      <w:bookmarkStart w:id="332" w:name="_Toc3104"/>
      <w:bookmarkStart w:id="333" w:name="_Toc17426"/>
      <w:bookmarkStart w:id="334" w:name="_Toc894"/>
      <w:bookmarkStart w:id="335" w:name="_Toc7185"/>
      <w:bookmarkStart w:id="336" w:name="_Toc32034"/>
      <w:bookmarkStart w:id="337" w:name="_Toc27292"/>
      <w:bookmarkStart w:id="338" w:name="_Toc28765"/>
      <w:bookmarkStart w:id="339" w:name="_Toc28359010"/>
      <w:bookmarkStart w:id="340" w:name="_Toc7911"/>
      <w:bookmarkStart w:id="341" w:name="_Toc5487"/>
      <w:bookmarkStart w:id="342" w:name="_Toc26738"/>
      <w:bookmarkStart w:id="343" w:name="_Toc12514"/>
      <w:bookmarkStart w:id="344" w:name="_Toc20534"/>
      <w:bookmarkStart w:id="345" w:name="_Toc8748"/>
      <w:bookmarkStart w:id="346" w:name="_Toc12019"/>
      <w:bookmarkStart w:id="347" w:name="_Toc10316"/>
      <w:bookmarkStart w:id="348" w:name="_Toc25623"/>
      <w:bookmarkStart w:id="349" w:name="_Toc28359087"/>
      <w:bookmarkStart w:id="350" w:name="_Toc556"/>
      <w:bookmarkStart w:id="351" w:name="_Toc11728"/>
      <w:bookmarkStart w:id="352" w:name="_Toc17609"/>
      <w:bookmarkStart w:id="353" w:name="_Toc4864"/>
      <w:bookmarkStart w:id="354" w:name="_Toc7977"/>
      <w:bookmarkStart w:id="355" w:name="_Toc10182"/>
      <w:bookmarkStart w:id="356" w:name="_Toc17293"/>
      <w:bookmarkStart w:id="357" w:name="_Toc22759"/>
      <w:bookmarkStart w:id="358" w:name="_Toc12438"/>
      <w:bookmarkStart w:id="359" w:name="_Toc8379"/>
      <w:bookmarkStart w:id="360" w:name="_Toc7450"/>
      <w:r>
        <w:rPr>
          <w:rFonts w:hint="eastAsia" w:ascii="仿宋" w:hAnsi="仿宋" w:eastAsia="仿宋" w:cs="仿宋"/>
          <w:color w:val="auto"/>
          <w:sz w:val="21"/>
          <w:szCs w:val="21"/>
          <w:highlight w:val="none"/>
          <w:lang w:val="en-US" w:eastAsia="zh-CN"/>
        </w:rPr>
        <w:t xml:space="preserve">名    称：云南陈源项目管理有限公司 </w:t>
      </w:r>
    </w:p>
    <w:p w14:paraId="1E36BCC0">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地　  址：云南省楚雄彝族自治州楚雄市茶花大道施家小区20号 </w:t>
      </w:r>
    </w:p>
    <w:p w14:paraId="2C7C0075">
      <w:pPr>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outlineLvl w:val="2"/>
        <w:rPr>
          <w:rFonts w:hint="eastAsia" w:ascii="仿宋" w:hAnsi="仿宋" w:eastAsia="仿宋" w:cs="仿宋"/>
          <w:color w:val="auto"/>
          <w:sz w:val="21"/>
          <w:szCs w:val="21"/>
          <w:highlight w:val="none"/>
          <w:lang w:val="en-US" w:eastAsia="zh-CN"/>
        </w:rPr>
      </w:pPr>
      <w:bookmarkStart w:id="361" w:name="_Toc25810"/>
      <w:bookmarkStart w:id="362" w:name="_Toc29417"/>
      <w:bookmarkStart w:id="363" w:name="_Toc1437"/>
      <w:bookmarkStart w:id="364" w:name="_Toc7592"/>
      <w:bookmarkStart w:id="365" w:name="_Toc7699"/>
      <w:bookmarkStart w:id="366" w:name="_Toc25241"/>
      <w:bookmarkStart w:id="367" w:name="_Toc26213"/>
      <w:bookmarkStart w:id="368" w:name="_Toc5172"/>
      <w:bookmarkStart w:id="369" w:name="_Toc1268"/>
      <w:bookmarkStart w:id="370" w:name="_Toc21607"/>
      <w:bookmarkStart w:id="371" w:name="_Toc14221"/>
      <w:bookmarkStart w:id="372" w:name="_Toc29244"/>
      <w:r>
        <w:rPr>
          <w:rFonts w:hint="eastAsia" w:ascii="仿宋" w:hAnsi="仿宋" w:eastAsia="仿宋" w:cs="仿宋"/>
          <w:color w:val="auto"/>
          <w:sz w:val="21"/>
          <w:szCs w:val="21"/>
          <w:highlight w:val="none"/>
          <w:lang w:val="en-US" w:eastAsia="zh-CN"/>
        </w:rPr>
        <w:t>联系方式：</w:t>
      </w:r>
      <w:bookmarkEnd w:id="361"/>
      <w:bookmarkEnd w:id="362"/>
      <w:bookmarkEnd w:id="363"/>
      <w:bookmarkEnd w:id="364"/>
      <w:bookmarkEnd w:id="365"/>
      <w:bookmarkEnd w:id="366"/>
      <w:bookmarkEnd w:id="367"/>
      <w:bookmarkEnd w:id="368"/>
      <w:bookmarkEnd w:id="369"/>
      <w:bookmarkEnd w:id="370"/>
      <w:bookmarkEnd w:id="371"/>
      <w:bookmarkEnd w:id="372"/>
      <w:r>
        <w:rPr>
          <w:rFonts w:hint="eastAsia" w:ascii="仿宋" w:hAnsi="仿宋" w:eastAsia="仿宋" w:cs="仿宋"/>
          <w:color w:val="auto"/>
          <w:sz w:val="21"/>
          <w:szCs w:val="21"/>
          <w:highlight w:val="none"/>
          <w:lang w:val="en-US" w:eastAsia="zh-CN"/>
        </w:rPr>
        <w:t xml:space="preserve">15812143049、13987827181 </w:t>
      </w:r>
    </w:p>
    <w:p w14:paraId="4DC77230">
      <w:pPr>
        <w:keepNext w:val="0"/>
        <w:keepLines w:val="0"/>
        <w:pageBreakBefore w:val="0"/>
        <w:widowControl w:val="0"/>
        <w:kinsoku/>
        <w:wordWrap w:val="0"/>
        <w:overflowPunct/>
        <w:topLinePunct/>
        <w:autoSpaceDE/>
        <w:autoSpaceDN/>
        <w:bidi w:val="0"/>
        <w:adjustRightInd/>
        <w:snapToGrid/>
        <w:spacing w:line="420" w:lineRule="exact"/>
        <w:ind w:left="0" w:right="0" w:firstLine="422" w:firstLineChars="200"/>
        <w:jc w:val="left"/>
        <w:textAlignment w:val="auto"/>
        <w:outlineLvl w:val="2"/>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3.项目联系方式</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1DD995A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r>
        <w:rPr>
          <w:rFonts w:hint="eastAsia" w:ascii="仿宋" w:hAnsi="仿宋" w:eastAsia="仿宋" w:cs="仿宋"/>
          <w:color w:val="auto"/>
          <w:sz w:val="21"/>
          <w:szCs w:val="21"/>
          <w:highlight w:val="none"/>
          <w:lang w:val="en-US" w:eastAsia="zh-CN"/>
        </w:rPr>
        <w:t>项目联系人：</w:t>
      </w:r>
      <w:r>
        <w:rPr>
          <w:rFonts w:hint="eastAsia" w:cs="仿宋"/>
          <w:color w:val="auto"/>
          <w:sz w:val="21"/>
          <w:szCs w:val="21"/>
          <w:highlight w:val="none"/>
          <w:lang w:val="en-US" w:eastAsia="zh-CN"/>
        </w:rPr>
        <w:t xml:space="preserve"> 杨工、陈工</w:t>
      </w:r>
      <w:r>
        <w:rPr>
          <w:rFonts w:hint="eastAsia" w:ascii="仿宋" w:hAnsi="仿宋" w:eastAsia="仿宋" w:cs="仿宋"/>
          <w:b w:val="0"/>
          <w:bCs w:val="0"/>
          <w:color w:val="auto"/>
          <w:sz w:val="21"/>
          <w:szCs w:val="21"/>
          <w:highlight w:val="none"/>
          <w:u w:val="none"/>
          <w:lang w:val="en-US" w:eastAsia="zh-CN"/>
        </w:rPr>
        <w:t xml:space="preserve"> </w:t>
      </w:r>
    </w:p>
    <w:p w14:paraId="64B6F278">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color w:val="auto"/>
          <w:sz w:val="32"/>
          <w:szCs w:val="32"/>
          <w:highlight w:val="none"/>
          <w:lang w:val="en-US" w:eastAsia="zh-CN"/>
        </w:rPr>
        <w:sectPr>
          <w:footerReference r:id="rId3" w:type="default"/>
          <w:pgSz w:w="11906" w:h="16838"/>
          <w:pgMar w:top="1134" w:right="1151" w:bottom="1134" w:left="1134" w:header="851" w:footer="907" w:gutter="0"/>
          <w:pgBorders>
            <w:top w:val="none" w:sz="0" w:space="0"/>
            <w:left w:val="none" w:sz="0" w:space="0"/>
            <w:bottom w:val="none" w:sz="0" w:space="0"/>
            <w:right w:val="none" w:sz="0" w:space="0"/>
          </w:pgBorders>
          <w:pgNumType w:fmt="decimal" w:start="1"/>
          <w:cols w:space="425" w:num="1"/>
          <w:docGrid w:type="lines" w:linePitch="312" w:charSpace="0"/>
        </w:sectPr>
      </w:pPr>
      <w:r>
        <w:rPr>
          <w:rFonts w:hint="eastAsia" w:ascii="仿宋" w:hAnsi="仿宋" w:eastAsia="仿宋" w:cs="仿宋"/>
          <w:color w:val="auto"/>
          <w:sz w:val="21"/>
          <w:szCs w:val="21"/>
          <w:highlight w:val="none"/>
          <w:lang w:val="en-US" w:eastAsia="zh-CN"/>
        </w:rPr>
        <w:t>电话：</w:t>
      </w:r>
      <w:r>
        <w:rPr>
          <w:rFonts w:hint="eastAsia" w:cs="仿宋"/>
          <w:color w:val="auto"/>
          <w:sz w:val="21"/>
          <w:szCs w:val="21"/>
          <w:highlight w:val="none"/>
          <w:lang w:val="en-US" w:eastAsia="zh-CN"/>
        </w:rPr>
        <w:t xml:space="preserve"> 15812143049、13987827181</w:t>
      </w:r>
      <w:r>
        <w:rPr>
          <w:rFonts w:hint="eastAsia" w:ascii="仿宋" w:hAnsi="仿宋" w:eastAsia="仿宋" w:cs="仿宋"/>
          <w:color w:val="auto"/>
          <w:sz w:val="21"/>
          <w:szCs w:val="21"/>
          <w:highlight w:val="none"/>
          <w:lang w:val="en-US" w:eastAsia="zh-CN"/>
        </w:rPr>
        <w:t xml:space="preserve"> </w:t>
      </w:r>
    </w:p>
    <w:p w14:paraId="01BC987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b w:val="0"/>
          <w:bCs w:val="0"/>
          <w:color w:val="auto"/>
          <w:sz w:val="21"/>
          <w:szCs w:val="21"/>
          <w:highlight w:val="none"/>
          <w:u w:val="none"/>
          <w:lang w:val="en-US" w:eastAsia="zh-CN"/>
        </w:rPr>
      </w:pPr>
    </w:p>
    <w:p w14:paraId="4E2005D2">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leftChars="0" w:right="0"/>
        <w:textAlignment w:val="auto"/>
        <w:outlineLvl w:val="0"/>
        <w:rPr>
          <w:rFonts w:hint="eastAsia" w:ascii="仿宋" w:hAnsi="仿宋" w:eastAsia="仿宋" w:cs="仿宋"/>
          <w:bCs/>
          <w:color w:val="auto"/>
          <w:sz w:val="40"/>
          <w:highlight w:val="none"/>
          <w:lang w:eastAsia="zh-CN"/>
        </w:rPr>
      </w:pPr>
      <w:bookmarkStart w:id="373" w:name="_Toc497486316"/>
      <w:bookmarkStart w:id="374" w:name="_Toc23491"/>
      <w:bookmarkStart w:id="375" w:name="_Toc14419"/>
      <w:bookmarkStart w:id="376" w:name="_Toc14272"/>
      <w:r>
        <w:rPr>
          <w:rStyle w:val="25"/>
          <w:rFonts w:hint="eastAsia" w:ascii="仿宋" w:hAnsi="仿宋" w:eastAsia="仿宋" w:cs="仿宋"/>
          <w:b/>
          <w:color w:val="auto"/>
          <w:sz w:val="32"/>
          <w:szCs w:val="32"/>
          <w:highlight w:val="none"/>
          <w:lang w:eastAsia="zh-CN"/>
        </w:rPr>
        <w:t>第二章</w:t>
      </w:r>
      <w:r>
        <w:rPr>
          <w:rStyle w:val="25"/>
          <w:rFonts w:hint="eastAsia" w:ascii="仿宋" w:hAnsi="仿宋" w:eastAsia="仿宋" w:cs="仿宋"/>
          <w:b/>
          <w:color w:val="auto"/>
          <w:sz w:val="32"/>
          <w:szCs w:val="32"/>
          <w:highlight w:val="none"/>
          <w:lang w:val="en-US" w:eastAsia="zh-CN"/>
        </w:rPr>
        <w:t xml:space="preserve"> </w:t>
      </w:r>
      <w:bookmarkEnd w:id="373"/>
      <w:bookmarkEnd w:id="374"/>
      <w:bookmarkEnd w:id="375"/>
      <w:r>
        <w:rPr>
          <w:rStyle w:val="25"/>
          <w:rFonts w:hint="eastAsia" w:ascii="仿宋" w:hAnsi="仿宋" w:eastAsia="仿宋" w:cs="仿宋"/>
          <w:b/>
          <w:color w:val="auto"/>
          <w:sz w:val="32"/>
          <w:szCs w:val="32"/>
          <w:highlight w:val="none"/>
          <w:lang w:eastAsia="zh-CN"/>
        </w:rPr>
        <w:t>投标人须知</w:t>
      </w:r>
      <w:bookmarkEnd w:id="376"/>
    </w:p>
    <w:p w14:paraId="455B8E08">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20" w:firstLineChars="200"/>
        <w:jc w:val="both"/>
        <w:textAlignment w:val="auto"/>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pPr>
      <w:bookmarkStart w:id="377" w:name="_Toc88646729"/>
      <w:bookmarkStart w:id="378" w:name="_Toc32551"/>
      <w:bookmarkStart w:id="379" w:name="_Toc24669"/>
      <w:bookmarkStart w:id="380" w:name="_Toc88638755"/>
      <w:bookmarkStart w:id="381" w:name="_Toc145067563"/>
      <w:bookmarkStart w:id="382" w:name="_Toc1955"/>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一、投标人须知</w:t>
      </w:r>
      <w:bookmarkEnd w:id="377"/>
      <w:bookmarkEnd w:id="378"/>
      <w:bookmarkEnd w:id="379"/>
      <w:bookmarkEnd w:id="380"/>
      <w:bookmarkEnd w:id="381"/>
      <w:bookmarkEnd w:id="382"/>
      <w:r>
        <w:rPr>
          <w:rFonts w:hint="eastAsia" w:ascii="仿宋" w:hAnsi="仿宋" w:eastAsia="仿宋" w:cs="仿宋"/>
          <w:b w:val="0"/>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前附表</w:t>
      </w:r>
    </w:p>
    <w:p w14:paraId="6720103B">
      <w:pPr>
        <w:keepNext w:val="0"/>
        <w:keepLines w:val="0"/>
        <w:pageBreakBefore w:val="0"/>
        <w:widowControl w:val="0"/>
        <w:kinsoku/>
        <w:wordWrap w:val="0"/>
        <w:overflowPunct/>
        <w:topLinePunct/>
        <w:autoSpaceDE/>
        <w:autoSpaceDN/>
        <w:bidi w:val="0"/>
        <w:adjustRightInd/>
        <w:snapToGrid/>
        <w:spacing w:line="20" w:lineRule="atLeast"/>
        <w:ind w:right="0"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本表是对</w:t>
      </w:r>
      <w:r>
        <w:rPr>
          <w:rFonts w:hint="eastAsia" w:ascii="仿宋" w:hAnsi="仿宋" w:eastAsia="仿宋" w:cs="仿宋"/>
          <w:color w:val="auto"/>
          <w:sz w:val="21"/>
          <w:szCs w:val="21"/>
          <w:highlight w:val="none"/>
          <w:lang w:eastAsia="zh-CN"/>
        </w:rPr>
        <w:t>投标人须知前附表</w:t>
      </w:r>
      <w:r>
        <w:rPr>
          <w:rFonts w:hint="eastAsia" w:ascii="仿宋" w:hAnsi="仿宋" w:eastAsia="仿宋" w:cs="仿宋"/>
          <w:color w:val="auto"/>
          <w:sz w:val="21"/>
          <w:szCs w:val="21"/>
          <w:highlight w:val="none"/>
        </w:rPr>
        <w:t>的具体补充和修改，如有矛盾，均以本资料表为准。标记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的选项意为适用于本项目，标记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的选项意为不适用于本项目。</w:t>
      </w:r>
    </w:p>
    <w:tbl>
      <w:tblPr>
        <w:tblStyle w:val="20"/>
        <w:tblW w:w="963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6"/>
        <w:gridCol w:w="7699"/>
      </w:tblGrid>
      <w:tr w14:paraId="11E386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1936" w:type="dxa"/>
            <w:noWrap w:val="0"/>
            <w:vAlign w:val="center"/>
          </w:tcPr>
          <w:p w14:paraId="5204087A">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b/>
                <w:color w:val="auto"/>
                <w:sz w:val="21"/>
                <w:szCs w:val="21"/>
                <w:highlight w:val="none"/>
              </w:rPr>
            </w:pPr>
            <w:bookmarkStart w:id="383" w:name="_Toc144646679"/>
            <w:bookmarkStart w:id="384" w:name="_Toc88638759"/>
            <w:bookmarkStart w:id="385" w:name="OLE_LINK3"/>
            <w:bookmarkStart w:id="386" w:name="_Toc88646733"/>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条款名称</w:t>
            </w:r>
          </w:p>
        </w:tc>
        <w:tc>
          <w:tcPr>
            <w:tcW w:w="7699" w:type="dxa"/>
            <w:noWrap w:val="0"/>
            <w:vAlign w:val="center"/>
          </w:tcPr>
          <w:p w14:paraId="22946940">
            <w:pPr>
              <w:keepNext w:val="0"/>
              <w:keepLines w:val="0"/>
              <w:pageBreakBefore w:val="0"/>
              <w:widowControl w:val="0"/>
              <w:kinsoku/>
              <w:wordWrap w:val="0"/>
              <w:overflowPunct/>
              <w:topLinePunct/>
              <w:autoSpaceDE/>
              <w:autoSpaceDN/>
              <w:bidi w:val="0"/>
              <w:adjustRightInd/>
              <w:snapToGrid/>
              <w:spacing w:line="20" w:lineRule="atLeast"/>
              <w:ind w:right="0"/>
              <w:jc w:val="center"/>
              <w:outlineLvl w:val="1"/>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编列内容</w:t>
            </w:r>
          </w:p>
        </w:tc>
      </w:tr>
      <w:tr w14:paraId="53B023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7" w:hRule="atLeast"/>
          <w:jc w:val="center"/>
        </w:trPr>
        <w:tc>
          <w:tcPr>
            <w:tcW w:w="1936" w:type="dxa"/>
            <w:noWrap w:val="0"/>
            <w:vAlign w:val="center"/>
          </w:tcPr>
          <w:p w14:paraId="234BB21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w:t>
            </w:r>
          </w:p>
        </w:tc>
        <w:tc>
          <w:tcPr>
            <w:tcW w:w="7699" w:type="dxa"/>
            <w:noWrap w:val="0"/>
            <w:vAlign w:val="center"/>
          </w:tcPr>
          <w:p w14:paraId="0FF76BE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名    称</w:t>
            </w:r>
            <w:r>
              <w:rPr>
                <w:rFonts w:hint="eastAsia" w:ascii="仿宋" w:hAnsi="仿宋" w:eastAsia="仿宋" w:cs="仿宋"/>
                <w:color w:val="auto"/>
                <w:sz w:val="21"/>
                <w:szCs w:val="21"/>
                <w:highlight w:val="none"/>
                <w:lang w:eastAsia="zh-CN"/>
              </w:rPr>
              <w:t>：牟定县水务局</w:t>
            </w:r>
          </w:p>
          <w:p w14:paraId="7A23B1A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地    址：牟定县共和镇北塔路 110 号</w:t>
            </w:r>
          </w:p>
          <w:p w14:paraId="2CD8C7B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联 系 人：</w:t>
            </w:r>
            <w:r>
              <w:rPr>
                <w:rFonts w:hint="eastAsia" w:ascii="仿宋" w:hAnsi="仿宋" w:eastAsia="仿宋" w:cs="仿宋"/>
                <w:color w:val="auto"/>
                <w:sz w:val="21"/>
                <w:szCs w:val="21"/>
                <w:highlight w:val="none"/>
                <w:lang w:val="en-US" w:eastAsia="zh-CN"/>
              </w:rPr>
              <w:t>丁老师</w:t>
            </w:r>
          </w:p>
          <w:p w14:paraId="16A61D7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电    话：13529503939</w:t>
            </w:r>
          </w:p>
        </w:tc>
      </w:tr>
      <w:tr w14:paraId="0B5B8A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E41026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采购代理机构</w:t>
            </w:r>
          </w:p>
        </w:tc>
        <w:tc>
          <w:tcPr>
            <w:tcW w:w="7699" w:type="dxa"/>
            <w:noWrap w:val="0"/>
            <w:vAlign w:val="center"/>
          </w:tcPr>
          <w:p w14:paraId="41099C72">
            <w:pPr>
              <w:keepNext w:val="0"/>
              <w:keepLines w:val="0"/>
              <w:pageBreakBefore w:val="0"/>
              <w:widowControl w:val="0"/>
              <w:kinsoku/>
              <w:wordWrap w:val="0"/>
              <w:overflowPunct/>
              <w:topLinePunct/>
              <w:autoSpaceDE/>
              <w:autoSpaceDN/>
              <w:bidi w:val="0"/>
              <w:adjustRightInd/>
              <w:snapToGrid/>
              <w:spacing w:line="240" w:lineRule="auto"/>
              <w:ind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名    称：云南陈源项目管理有限公司</w:t>
            </w:r>
          </w:p>
          <w:p w14:paraId="644B4F85">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地　  址：云南省楚雄彝族自治州楚雄市茶花大道施家小区20号</w:t>
            </w:r>
          </w:p>
          <w:p w14:paraId="5D625A40">
            <w:pPr>
              <w:keepNext w:val="0"/>
              <w:keepLines w:val="0"/>
              <w:pageBreakBefore w:val="0"/>
              <w:widowControl w:val="0"/>
              <w:kinsoku/>
              <w:wordWrap w:val="0"/>
              <w:overflowPunct/>
              <w:topLinePunct/>
              <w:autoSpaceDE/>
              <w:autoSpaceDN/>
              <w:bidi w:val="0"/>
              <w:adjustRightInd/>
              <w:snapToGrid/>
              <w:spacing w:line="240" w:lineRule="auto"/>
              <w:ind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项目联系人：杨工、陈工</w:t>
            </w:r>
          </w:p>
          <w:p w14:paraId="1F87BF6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电    话： 15812143049、13987827181</w:t>
            </w:r>
          </w:p>
        </w:tc>
      </w:tr>
      <w:tr w14:paraId="7AB5F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7" w:hRule="atLeast"/>
          <w:jc w:val="center"/>
        </w:trPr>
        <w:tc>
          <w:tcPr>
            <w:tcW w:w="1936" w:type="dxa"/>
            <w:noWrap w:val="0"/>
            <w:vAlign w:val="center"/>
          </w:tcPr>
          <w:p w14:paraId="644CFEF3">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项目名称</w:t>
            </w:r>
          </w:p>
        </w:tc>
        <w:tc>
          <w:tcPr>
            <w:tcW w:w="7699" w:type="dxa"/>
            <w:noWrap w:val="0"/>
            <w:vAlign w:val="center"/>
          </w:tcPr>
          <w:p w14:paraId="620C32D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牟定县2026年度山洪灾害防治项目</w:t>
            </w:r>
          </w:p>
        </w:tc>
      </w:tr>
      <w:tr w14:paraId="5A255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8" w:hRule="atLeast"/>
          <w:jc w:val="center"/>
        </w:trPr>
        <w:tc>
          <w:tcPr>
            <w:tcW w:w="1936" w:type="dxa"/>
            <w:noWrap w:val="0"/>
            <w:vAlign w:val="center"/>
          </w:tcPr>
          <w:p w14:paraId="6E4302D4">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项目编号</w:t>
            </w:r>
          </w:p>
        </w:tc>
        <w:tc>
          <w:tcPr>
            <w:tcW w:w="7699" w:type="dxa"/>
            <w:noWrap w:val="0"/>
            <w:vAlign w:val="center"/>
          </w:tcPr>
          <w:p w14:paraId="4B95F87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 CXZC2026-G1-00230-YNCY-0001</w:t>
            </w:r>
          </w:p>
        </w:tc>
      </w:tr>
      <w:tr w14:paraId="4937E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shd w:val="clear" w:color="auto" w:fill="auto"/>
            <w:noWrap w:val="0"/>
            <w:vAlign w:val="center"/>
          </w:tcPr>
          <w:p w14:paraId="3E72C55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最高限价</w:t>
            </w:r>
          </w:p>
        </w:tc>
        <w:tc>
          <w:tcPr>
            <w:tcW w:w="7699" w:type="dxa"/>
            <w:shd w:val="clear" w:color="auto" w:fill="auto"/>
            <w:noWrap w:val="0"/>
            <w:vAlign w:val="center"/>
          </w:tcPr>
          <w:p w14:paraId="39F8873E">
            <w:pPr>
              <w:keepNext w:val="0"/>
              <w:keepLines w:val="0"/>
              <w:pageBreakBefore w:val="0"/>
              <w:widowControl w:val="0"/>
              <w:kinsoku/>
              <w:wordWrap w:val="0"/>
              <w:overflowPunct/>
              <w:topLinePunct/>
              <w:autoSpaceDE/>
              <w:autoSpaceDN/>
              <w:bidi w:val="0"/>
              <w:adjustRightInd/>
              <w:snapToGrid/>
              <w:spacing w:line="240" w:lineRule="auto"/>
              <w:ind w:right="0" w:firstLine="420" w:firstLineChars="200"/>
              <w:textAlignment w:val="auto"/>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最高限价：30.10万元</w:t>
            </w:r>
          </w:p>
          <w:p w14:paraId="655AD2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2" w:firstLineChars="200"/>
              <w:textAlignment w:val="auto"/>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投标报价超过最高限价的将按无效投标处理。</w:t>
            </w:r>
          </w:p>
        </w:tc>
      </w:tr>
      <w:tr w14:paraId="20163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jc w:val="center"/>
        </w:trPr>
        <w:tc>
          <w:tcPr>
            <w:tcW w:w="1936" w:type="dxa"/>
            <w:noWrap w:val="0"/>
            <w:vAlign w:val="center"/>
          </w:tcPr>
          <w:p w14:paraId="69F0DBB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资金落实情况</w:t>
            </w:r>
          </w:p>
        </w:tc>
        <w:tc>
          <w:tcPr>
            <w:tcW w:w="7699" w:type="dxa"/>
            <w:noWrap w:val="0"/>
            <w:vAlign w:val="center"/>
          </w:tcPr>
          <w:p w14:paraId="6A8D287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已落实</w:t>
            </w:r>
          </w:p>
        </w:tc>
      </w:tr>
      <w:tr w14:paraId="2C848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jc w:val="center"/>
        </w:trPr>
        <w:tc>
          <w:tcPr>
            <w:tcW w:w="1936" w:type="dxa"/>
            <w:noWrap w:val="0"/>
            <w:vAlign w:val="center"/>
          </w:tcPr>
          <w:p w14:paraId="3F321980">
            <w:pPr>
              <w:pStyle w:val="13"/>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资格审查</w:t>
            </w:r>
          </w:p>
        </w:tc>
        <w:tc>
          <w:tcPr>
            <w:tcW w:w="7699" w:type="dxa"/>
            <w:noWrap w:val="0"/>
            <w:vAlign w:val="center"/>
          </w:tcPr>
          <w:p w14:paraId="1301ABB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□采购人审查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bidi="ar-SA"/>
              </w:rPr>
              <w:t>采购人委托采购代理机构进行审查</w:t>
            </w:r>
          </w:p>
        </w:tc>
      </w:tr>
      <w:tr w14:paraId="2AAD7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8" w:hRule="atLeast"/>
          <w:jc w:val="center"/>
        </w:trPr>
        <w:tc>
          <w:tcPr>
            <w:tcW w:w="1936" w:type="dxa"/>
            <w:noWrap w:val="0"/>
            <w:vAlign w:val="center"/>
          </w:tcPr>
          <w:p w14:paraId="0801A08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项目属性</w:t>
            </w:r>
          </w:p>
        </w:tc>
        <w:tc>
          <w:tcPr>
            <w:tcW w:w="7699" w:type="dxa"/>
            <w:noWrap w:val="0"/>
            <w:vAlign w:val="center"/>
          </w:tcPr>
          <w:p w14:paraId="3B5E124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货物：是指各种形态和种类的物品，包括原材料、燃料、设备、产品等。</w:t>
            </w:r>
          </w:p>
          <w:p w14:paraId="062534C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工程：是指建设工程，包括建筑物和构筑物的新建、改建、扩建、装修、拆除、修缮等。</w:t>
            </w:r>
          </w:p>
          <w:p w14:paraId="4B20F82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服务：是指除货物和工程以外的其他采购对象。</w:t>
            </w:r>
          </w:p>
          <w:p w14:paraId="14AD7C8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是否政府购买服务项目</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 xml:space="preserve">□是      </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否</w:t>
            </w:r>
          </w:p>
        </w:tc>
      </w:tr>
      <w:tr w14:paraId="28BAD2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20" w:hRule="atLeast"/>
          <w:jc w:val="center"/>
        </w:trPr>
        <w:tc>
          <w:tcPr>
            <w:tcW w:w="1936" w:type="dxa"/>
            <w:noWrap w:val="0"/>
            <w:vAlign w:val="center"/>
          </w:tcPr>
          <w:p w14:paraId="7EFD2A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核心产品</w:t>
            </w:r>
          </w:p>
        </w:tc>
        <w:tc>
          <w:tcPr>
            <w:tcW w:w="7699" w:type="dxa"/>
            <w:noWrap w:val="0"/>
            <w:vAlign w:val="center"/>
          </w:tcPr>
          <w:p w14:paraId="73B34E71">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□关于核心产品本项目不适用。</w:t>
            </w:r>
          </w:p>
          <w:p w14:paraId="0C048828">
            <w:pPr>
              <w:keepNext w:val="0"/>
              <w:keepLines w:val="0"/>
              <w:pageBreakBefore w:val="0"/>
              <w:widowControl w:val="0"/>
              <w:kinsoku/>
              <w:wordWrap w:val="0"/>
              <w:overflowPunct/>
              <w:topLinePunct/>
              <w:autoSpaceDE/>
              <w:autoSpaceDN/>
              <w:bidi w:val="0"/>
              <w:adjustRightInd/>
              <w:snapToGrid/>
              <w:spacing w:line="240" w:lineRule="auto"/>
              <w:ind w:left="0" w:right="0" w:rightChars="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为单一产品采购项目。单一货物采购：提供相同品牌产品且通过资格审查、符合性审查的不同投标人参加同一合同项下投标的，按一家投标人计算，评标总得分最高的同品牌投标人获得中标人推荐资格；其他同品牌投标人不作为中标候选人。</w:t>
            </w:r>
          </w:p>
          <w:p w14:paraId="1649E4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本项目为非单一产品采购项目，核心产品为：</w:t>
            </w:r>
            <w:r>
              <w:rPr>
                <w:rFonts w:hint="eastAsia" w:ascii="仿宋" w:hAnsi="仿宋" w:eastAsia="仿宋" w:cs="仿宋"/>
                <w:color w:val="auto"/>
                <w:sz w:val="21"/>
                <w:szCs w:val="21"/>
                <w:highlight w:val="none"/>
                <w:u w:val="single"/>
                <w:lang w:val="en-US" w:eastAsia="zh-CN"/>
              </w:rPr>
              <w:t>大屏显示系统、会商调度系统、GPU 能力提升、新型入户报警“ 叫应 ”设备</w:t>
            </w:r>
            <w:r>
              <w:rPr>
                <w:rFonts w:hint="eastAsia" w:ascii="仿宋" w:hAnsi="仿宋" w:eastAsia="仿宋" w:cs="仿宋"/>
                <w:color w:val="auto"/>
                <w:sz w:val="21"/>
                <w:szCs w:val="21"/>
                <w:highlight w:val="none"/>
                <w:lang w:val="en-US" w:eastAsia="zh-CN"/>
              </w:rPr>
              <w:t>。</w:t>
            </w:r>
          </w:p>
        </w:tc>
      </w:tr>
      <w:tr w14:paraId="5230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57D837E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现场考察</w:t>
            </w:r>
          </w:p>
        </w:tc>
        <w:tc>
          <w:tcPr>
            <w:tcW w:w="7699" w:type="dxa"/>
            <w:noWrap w:val="0"/>
            <w:vAlign w:val="center"/>
          </w:tcPr>
          <w:p w14:paraId="2B27E2C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78BEE128">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p>
          <w:p w14:paraId="0AAF98CE">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踏勘时间：202</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日，时间</w:t>
            </w:r>
            <w:r>
              <w:rPr>
                <w:rFonts w:hint="eastAsia" w:ascii="仿宋" w:hAnsi="仿宋" w:eastAsia="仿宋" w:cs="仿宋"/>
                <w:color w:val="auto"/>
                <w:sz w:val="21"/>
                <w:szCs w:val="21"/>
                <w:highlight w:val="none"/>
                <w:lang w:val="en-US" w:eastAsia="zh-CN"/>
              </w:rPr>
              <w:t>上/下</w:t>
            </w:r>
            <w:r>
              <w:rPr>
                <w:rFonts w:hint="eastAsia" w:ascii="仿宋" w:hAnsi="仿宋" w:eastAsia="仿宋" w:cs="仿宋"/>
                <w:color w:val="auto"/>
                <w:sz w:val="21"/>
                <w:szCs w:val="21"/>
                <w:highlight w:val="none"/>
              </w:rPr>
              <w:t>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lang w:val="en-US" w:eastAsia="zh-CN"/>
              </w:rPr>
              <w:t>00</w:t>
            </w:r>
            <w:r>
              <w:rPr>
                <w:rFonts w:hint="eastAsia" w:ascii="仿宋" w:hAnsi="仿宋" w:eastAsia="仿宋" w:cs="仿宋"/>
                <w:color w:val="auto"/>
                <w:sz w:val="21"/>
                <w:szCs w:val="21"/>
                <w:highlight w:val="none"/>
              </w:rPr>
              <w:t>以前在</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集合，逾期不</w:t>
            </w:r>
            <w:r>
              <w:rPr>
                <w:rFonts w:hint="eastAsia" w:ascii="仿宋" w:hAnsi="仿宋" w:eastAsia="仿宋" w:cs="仿宋"/>
                <w:color w:val="auto"/>
                <w:sz w:val="21"/>
                <w:szCs w:val="21"/>
                <w:highlight w:val="none"/>
                <w:lang w:eastAsia="zh-CN"/>
              </w:rPr>
              <w:t>再</w:t>
            </w:r>
            <w:r>
              <w:rPr>
                <w:rFonts w:hint="eastAsia" w:ascii="仿宋" w:hAnsi="仿宋" w:eastAsia="仿宋" w:cs="仿宋"/>
                <w:color w:val="auto"/>
                <w:sz w:val="21"/>
                <w:szCs w:val="21"/>
                <w:highlight w:val="none"/>
              </w:rPr>
              <w:t>组织踏勘。现场踏勘所发生的一切费用及安全责任由</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自行承担。</w:t>
            </w:r>
          </w:p>
          <w:p w14:paraId="34770F07">
            <w:pPr>
              <w:pStyle w:val="13"/>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现场</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包括勘查、测量、制平面图、咨询等，</w:t>
            </w:r>
            <w:r>
              <w:rPr>
                <w:rFonts w:hint="eastAsia" w:ascii="仿宋" w:hAnsi="仿宋" w:eastAsia="仿宋" w:cs="仿宋"/>
                <w:color w:val="auto"/>
                <w:sz w:val="21"/>
                <w:szCs w:val="21"/>
                <w:highlight w:val="none"/>
                <w:lang w:val="zh-CN"/>
              </w:rPr>
              <w:t>踏勘</w:t>
            </w:r>
            <w:r>
              <w:rPr>
                <w:rFonts w:hint="eastAsia" w:ascii="仿宋" w:hAnsi="仿宋" w:eastAsia="仿宋" w:cs="仿宋"/>
                <w:color w:val="auto"/>
                <w:sz w:val="21"/>
                <w:szCs w:val="21"/>
                <w:highlight w:val="none"/>
                <w:lang w:val="zh-CN" w:eastAsia="zh-CN"/>
              </w:rPr>
              <w:t>结果与招标</w:t>
            </w:r>
            <w:r>
              <w:rPr>
                <w:rFonts w:hint="eastAsia" w:ascii="仿宋" w:hAnsi="仿宋" w:eastAsia="仿宋" w:cs="仿宋"/>
                <w:color w:val="auto"/>
                <w:sz w:val="21"/>
                <w:szCs w:val="21"/>
                <w:highlight w:val="none"/>
                <w:lang w:val="en-US" w:eastAsia="zh-CN"/>
              </w:rPr>
              <w:t>需求</w:t>
            </w:r>
            <w:r>
              <w:rPr>
                <w:rFonts w:hint="eastAsia" w:ascii="仿宋" w:hAnsi="仿宋" w:eastAsia="仿宋" w:cs="仿宋"/>
                <w:color w:val="auto"/>
                <w:sz w:val="21"/>
                <w:szCs w:val="21"/>
                <w:highlight w:val="none"/>
                <w:lang w:val="zh-CN" w:eastAsia="zh-CN"/>
              </w:rPr>
              <w:t>相互补充、支撑共同形成工程完整方案。满足使用功能要求和标准，风险共担，不作调整和签证。</w:t>
            </w:r>
          </w:p>
          <w:p w14:paraId="73384FD8">
            <w:pPr>
              <w:pStyle w:val="13"/>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lang w:val="en-US" w:eastAsia="zh-CN"/>
              </w:rPr>
              <w:t>现场联系电话：</w:t>
            </w:r>
            <w:r>
              <w:rPr>
                <w:rFonts w:hint="eastAsia" w:ascii="仿宋" w:hAnsi="仿宋" w:eastAsia="仿宋" w:cs="仿宋"/>
                <w:color w:val="auto"/>
                <w:sz w:val="21"/>
                <w:szCs w:val="21"/>
                <w:highlight w:val="none"/>
                <w:u w:val="single"/>
                <w:lang w:val="en-US" w:eastAsia="zh-CN"/>
              </w:rPr>
              <w:t xml:space="preserve">                </w:t>
            </w:r>
          </w:p>
        </w:tc>
      </w:tr>
      <w:tr w14:paraId="01A1AE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2355E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color w:val="auto"/>
                <w:sz w:val="21"/>
                <w:szCs w:val="21"/>
                <w:highlight w:val="none"/>
              </w:rPr>
              <w:t>开标前答疑会</w:t>
            </w:r>
          </w:p>
        </w:tc>
        <w:tc>
          <w:tcPr>
            <w:tcW w:w="7699" w:type="dxa"/>
            <w:noWrap w:val="0"/>
            <w:vAlign w:val="center"/>
          </w:tcPr>
          <w:p w14:paraId="52D3327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不召开</w:t>
            </w:r>
          </w:p>
          <w:p w14:paraId="60750C40">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召开，召开时间：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日</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rPr>
              <w:t>分</w:t>
            </w:r>
          </w:p>
          <w:p w14:paraId="14D75A99">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召开地点：</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w:t>
            </w:r>
          </w:p>
        </w:tc>
      </w:tr>
      <w:tr w14:paraId="478F6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48AD2AD0">
            <w:pPr>
              <w:pStyle w:val="13"/>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是否</w:t>
            </w:r>
            <w:r>
              <w:rPr>
                <w:rFonts w:hint="eastAsia" w:ascii="仿宋" w:hAnsi="仿宋" w:eastAsia="仿宋" w:cs="仿宋"/>
                <w:color w:val="auto"/>
                <w:sz w:val="21"/>
                <w:szCs w:val="21"/>
                <w:highlight w:val="none"/>
                <w:lang w:val="en-US" w:eastAsia="zh-CN"/>
              </w:rPr>
              <w:t>属于专门面向中小企业采购项目</w:t>
            </w:r>
          </w:p>
        </w:tc>
        <w:tc>
          <w:tcPr>
            <w:tcW w:w="7699" w:type="dxa"/>
            <w:noWrap w:val="0"/>
            <w:vAlign w:val="center"/>
          </w:tcPr>
          <w:p w14:paraId="5E48FF9C">
            <w:pPr>
              <w:pStyle w:val="13"/>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 xml:space="preserve">属于    </w:t>
            </w:r>
          </w:p>
          <w:p w14:paraId="1CECDF64">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val="0"/>
                <w:bCs w:val="0"/>
                <w:color w:val="auto"/>
                <w:sz w:val="21"/>
                <w:szCs w:val="21"/>
                <w:highlight w:val="none"/>
                <w:lang w:eastAsia="zh-CN"/>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val="en-US" w:eastAsia="zh-CN"/>
              </w:rPr>
              <w:t>中</w:t>
            </w:r>
            <w:r>
              <w:rPr>
                <w:rFonts w:hint="eastAsia" w:ascii="仿宋" w:hAnsi="仿宋" w:eastAsia="仿宋" w:cs="仿宋"/>
                <w:b w:val="0"/>
                <w:bCs w:val="0"/>
                <w:color w:val="auto"/>
                <w:sz w:val="21"/>
                <w:szCs w:val="21"/>
                <w:highlight w:val="none"/>
                <w:lang w:eastAsia="zh-CN"/>
              </w:rPr>
              <w:t>小企业价格扣除优惠比例：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val="en-US" w:eastAsia="zh-CN"/>
              </w:rPr>
              <w:t>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p w14:paraId="20A1FC6C">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不</w:t>
            </w:r>
            <w:r>
              <w:rPr>
                <w:rFonts w:hint="eastAsia" w:ascii="仿宋" w:hAnsi="仿宋" w:eastAsia="仿宋" w:cs="仿宋"/>
                <w:bCs/>
                <w:color w:val="auto"/>
                <w:sz w:val="21"/>
                <w:szCs w:val="21"/>
                <w:highlight w:val="none"/>
                <w:lang w:val="en-US" w:eastAsia="zh-CN"/>
              </w:rPr>
              <w:t>属于</w:t>
            </w:r>
          </w:p>
          <w:p w14:paraId="691A8E00">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eastAsia="zh-CN"/>
              </w:rPr>
              <w:t>价格扣除优惠比例：</w:t>
            </w:r>
            <w:r>
              <w:rPr>
                <w:rFonts w:hint="eastAsia" w:ascii="仿宋" w:hAnsi="仿宋" w:eastAsia="仿宋" w:cs="仿宋"/>
                <w:b w:val="0"/>
                <w:bCs w:val="0"/>
                <w:color w:val="auto"/>
                <w:sz w:val="21"/>
                <w:szCs w:val="21"/>
                <w:highlight w:val="none"/>
                <w:lang w:eastAsia="zh-CN"/>
              </w:rPr>
              <w:t>小微企业价格扣除优惠比例：</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bCs/>
                <w:color w:val="auto"/>
                <w:sz w:val="21"/>
                <w:szCs w:val="21"/>
                <w:highlight w:val="none"/>
                <w:u w:val="single"/>
                <w:lang w:eastAsia="zh-CN"/>
              </w:rPr>
              <w:t>10</w:t>
            </w:r>
            <w:r>
              <w:rPr>
                <w:rFonts w:hint="eastAsia" w:ascii="仿宋" w:hAnsi="仿宋" w:eastAsia="仿宋" w:cs="仿宋"/>
                <w:b w:val="0"/>
                <w:bCs w:val="0"/>
                <w:color w:val="auto"/>
                <w:sz w:val="21"/>
                <w:szCs w:val="21"/>
                <w:highlight w:val="none"/>
                <w:u w:val="single"/>
                <w:lang w:val="en-US" w:eastAsia="zh-CN"/>
              </w:rPr>
              <w:t xml:space="preserve"> </w:t>
            </w:r>
            <w:r>
              <w:rPr>
                <w:rFonts w:hint="eastAsia" w:ascii="仿宋" w:hAnsi="仿宋" w:eastAsia="仿宋" w:cs="仿宋"/>
                <w:b w:val="0"/>
                <w:bCs w:val="0"/>
                <w:color w:val="auto"/>
                <w:sz w:val="21"/>
                <w:szCs w:val="21"/>
                <w:highlight w:val="none"/>
                <w:lang w:eastAsia="zh-CN"/>
              </w:rPr>
              <w:t>%</w:t>
            </w:r>
          </w:p>
        </w:tc>
      </w:tr>
      <w:tr w14:paraId="6FBFB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37114B9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zh-CN" w:bidi="ar-SA"/>
              </w:rPr>
            </w:pPr>
            <w:r>
              <w:rPr>
                <w:rFonts w:hint="eastAsia" w:ascii="仿宋" w:hAnsi="仿宋" w:eastAsia="仿宋" w:cs="仿宋"/>
                <w:snapToGrid w:val="0"/>
                <w:color w:val="auto"/>
                <w:kern w:val="0"/>
                <w:sz w:val="21"/>
                <w:szCs w:val="21"/>
                <w:highlight w:val="none"/>
              </w:rPr>
              <w:t>落实政府采购政策</w:t>
            </w:r>
          </w:p>
        </w:tc>
        <w:tc>
          <w:tcPr>
            <w:tcW w:w="7699" w:type="dxa"/>
            <w:noWrap w:val="0"/>
            <w:vAlign w:val="center"/>
          </w:tcPr>
          <w:p w14:paraId="7B089E23">
            <w:pPr>
              <w:pStyle w:val="27"/>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lang w:val="en-US" w:eastAsia="zh-CN"/>
              </w:rPr>
            </w:pPr>
            <w:r>
              <w:rPr>
                <w:rFonts w:hint="eastAsia" w:ascii="仿宋" w:hAnsi="仿宋" w:eastAsia="仿宋" w:cs="仿宋"/>
                <w:b/>
                <w:bCs w:val="0"/>
                <w:color w:val="auto"/>
                <w:sz w:val="21"/>
                <w:szCs w:val="21"/>
                <w:highlight w:val="none"/>
                <w:lang w:val="en-US" w:eastAsia="zh-CN"/>
              </w:rPr>
              <w:t>一、</w:t>
            </w:r>
            <w:r>
              <w:rPr>
                <w:rFonts w:hint="eastAsia" w:ascii="仿宋" w:hAnsi="仿宋" w:eastAsia="仿宋" w:cs="仿宋"/>
                <w:b/>
                <w:bCs/>
                <w:snapToGrid w:val="0"/>
                <w:color w:val="auto"/>
                <w:kern w:val="0"/>
                <w:sz w:val="21"/>
                <w:szCs w:val="21"/>
                <w:highlight w:val="none"/>
                <w:lang w:val="en-US" w:eastAsia="zh-CN"/>
              </w:rPr>
              <w:t>中小企业价格扣除评分优惠政策</w:t>
            </w:r>
          </w:p>
          <w:p w14:paraId="3C195EBF">
            <w:pPr>
              <w:pStyle w:val="27"/>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snapToGrid w:val="0"/>
                <w:color w:val="auto"/>
                <w:kern w:val="0"/>
                <w:sz w:val="21"/>
                <w:szCs w:val="21"/>
                <w:highlight w:val="none"/>
                <w:lang w:val="en-US" w:eastAsia="zh-CN"/>
              </w:rPr>
              <w:t>。</w:t>
            </w:r>
          </w:p>
          <w:p w14:paraId="526D91AE">
            <w:pPr>
              <w:pStyle w:val="27"/>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按照工信部联企业〔2011〕300 号文《关于印发中小企业划型标准规定的通知》及财政部、工信部《政府采购促进中小企业发展管理办法》（财库〔2020〕46 号）的规定提供《中小企业声明函》，否则评审时不予承认。</w:t>
            </w:r>
          </w:p>
          <w:p w14:paraId="1BA6B36C">
            <w:pPr>
              <w:keepNext w:val="0"/>
              <w:keepLines w:val="0"/>
              <w:pageBreakBefore w:val="0"/>
              <w:widowControl w:val="0"/>
              <w:kinsoku/>
              <w:wordWrap w:val="0"/>
              <w:overflowPunct/>
              <w:topLinePunct/>
              <w:autoSpaceDE/>
              <w:autoSpaceDN/>
              <w:bidi w:val="0"/>
              <w:adjustRightInd/>
              <w:snapToGrid/>
              <w:spacing w:line="20" w:lineRule="atLeast"/>
              <w:ind w:left="0" w:right="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注：</w:t>
            </w:r>
          </w:p>
          <w:p w14:paraId="44B1472F">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①中小企业提供《中小企业声明函》时，标的名称须根据本次采购标的名称逐项填写。</w:t>
            </w:r>
          </w:p>
          <w:p w14:paraId="6CCF661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②投标人提供声明函内容不实的，属于提供虚假材料谋取中标、成交，依照《中华人民共和国政府采购法》等国家有关规定追究相应责任。</w:t>
            </w:r>
          </w:p>
          <w:p w14:paraId="1676F377">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③中标人享受本办法（财库〔2020〕46号）规定的中小企业扶持政策的，采购代理机构随中标结果公开中标人的《中小企业声明函》，接受社会监督。</w:t>
            </w:r>
          </w:p>
          <w:p w14:paraId="03AA58C4">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eastAsia="zh-CN"/>
              </w:rPr>
            </w:pPr>
          </w:p>
          <w:p w14:paraId="5407FFAE">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rPr>
              <w:t>、监狱企业价格扣除评分优惠政策</w:t>
            </w:r>
          </w:p>
          <w:p w14:paraId="6D42000B">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2B68B6BD">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 若投标人为监狱企业，按照财政部、司法部发布的《关于政府采购支持监狱企业发展有关问题的通知》的规定，在政府采购活动中，监狱企业视同小型、微型企业，享受评审中价格扣除的政府采购政策。监狱企业在投标价格评审中给予10%的价格扣除优惠，须提供省级以上监狱管理局、戒毒管理局（含新疆生产建设兵团）出具的属于监狱企业的证明文件复印件，否则评审时不予承认。</w:t>
            </w:r>
          </w:p>
          <w:p w14:paraId="3EB0BD4A">
            <w:pPr>
              <w:pStyle w:val="27"/>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b/>
                <w:bCs/>
                <w:color w:val="auto"/>
                <w:sz w:val="21"/>
                <w:szCs w:val="21"/>
                <w:highlight w:val="none"/>
                <w:lang w:val="en-US" w:eastAsia="zh-CN"/>
              </w:rPr>
              <w:t>注：监狱企业参加政府采购活动时，应当提供由省级以上监狱管理局、戒毒管理局（含新疆生产建设兵团）出具的属于监狱企业的证明文件。</w:t>
            </w:r>
          </w:p>
          <w:p w14:paraId="2ED24419">
            <w:pPr>
              <w:pStyle w:val="27"/>
              <w:keepNext w:val="0"/>
              <w:keepLines w:val="0"/>
              <w:pageBreakBefore w:val="0"/>
              <w:widowControl w:val="0"/>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440D9EB9">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三</w:t>
            </w:r>
            <w:r>
              <w:rPr>
                <w:rFonts w:hint="eastAsia" w:ascii="仿宋" w:hAnsi="仿宋" w:eastAsia="仿宋" w:cs="仿宋"/>
                <w:b/>
                <w:bCs/>
                <w:color w:val="auto"/>
                <w:sz w:val="21"/>
                <w:szCs w:val="21"/>
                <w:highlight w:val="none"/>
              </w:rPr>
              <w:t>、残疾人福利性单位价格扣除优惠政策</w:t>
            </w:r>
          </w:p>
          <w:p w14:paraId="4A5DA93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是否适用于本项目：</w:t>
            </w: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sz w:val="21"/>
                <w:szCs w:val="21"/>
                <w:highlight w:val="none"/>
              </w:rPr>
              <w:t>适用</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不适用</w:t>
            </w:r>
            <w:r>
              <w:rPr>
                <w:rFonts w:hint="eastAsia" w:ascii="仿宋" w:hAnsi="仿宋" w:eastAsia="仿宋" w:cs="仿宋"/>
                <w:color w:val="auto"/>
                <w:sz w:val="21"/>
                <w:szCs w:val="21"/>
                <w:highlight w:val="none"/>
                <w:lang w:eastAsia="zh-CN"/>
              </w:rPr>
              <w:t>。</w:t>
            </w:r>
          </w:p>
          <w:p w14:paraId="01068749">
            <w:pPr>
              <w:pStyle w:val="27"/>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rPr>
            </w:pPr>
            <w:r>
              <w:rPr>
                <w:rFonts w:hint="eastAsia" w:ascii="仿宋" w:hAnsi="仿宋" w:eastAsia="仿宋" w:cs="仿宋"/>
                <w:snapToGrid w:val="0"/>
                <w:color w:val="auto"/>
                <w:kern w:val="0"/>
                <w:sz w:val="21"/>
                <w:szCs w:val="21"/>
                <w:highlight w:val="none"/>
                <w:lang w:val="en-US" w:eastAsia="zh-CN"/>
              </w:rPr>
              <w:t xml:space="preserve">投标人如属残疾人福利性单位，产品价格需扣除的，须按照关于促进残疾人就业政府采购政策的通知（财库〔2017〕141 号）的规定提供《残疾人福利性单位声明函》复印件，否则评审时不予承认。在政府采购活动中，残疾人福利性单位视同小型、微型企业，享受评审中价格扣除等促进中小企业发展的政府采购政策。 </w:t>
            </w:r>
          </w:p>
          <w:p w14:paraId="7387510E">
            <w:pPr>
              <w:pStyle w:val="27"/>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b/>
                <w:bCs/>
                <w:snapToGrid w:val="0"/>
                <w:color w:val="auto"/>
                <w:kern w:val="0"/>
                <w:sz w:val="21"/>
                <w:szCs w:val="21"/>
                <w:highlight w:val="none"/>
                <w:lang w:val="en-US" w:eastAsia="zh-CN" w:bidi="ar-SA"/>
              </w:rPr>
              <w:t>注：残疾人福利性单位在参加政府采购活动时，应当提供《残疾人福利性单位声明函》，并对声明的真实性负责。中标、中标人为残疾人福利性单位的，采购人或者其委托的采购代理机构应当随中标、中标结果同时公告其《残疾人福利性单位声明函》，接受社会监督</w:t>
            </w:r>
            <w:r>
              <w:rPr>
                <w:rFonts w:hint="eastAsia" w:ascii="仿宋" w:hAnsi="仿宋" w:eastAsia="仿宋" w:cs="仿宋"/>
                <w:snapToGrid w:val="0"/>
                <w:color w:val="auto"/>
                <w:kern w:val="0"/>
                <w:sz w:val="21"/>
                <w:szCs w:val="21"/>
                <w:highlight w:val="none"/>
                <w:lang w:val="en-US" w:eastAsia="zh-CN" w:bidi="ar-SA"/>
              </w:rPr>
              <w:t>。</w:t>
            </w:r>
          </w:p>
          <w:p w14:paraId="0A69816F">
            <w:pPr>
              <w:pStyle w:val="27"/>
              <w:keepNext w:val="0"/>
              <w:keepLines w:val="0"/>
              <w:pageBreakBefore w:val="0"/>
              <w:widowControl w:val="0"/>
              <w:numPr>
                <w:ilvl w:val="0"/>
                <w:numId w:val="0"/>
              </w:numPr>
              <w:kinsoku/>
              <w:wordWrap w:val="0"/>
              <w:overflowPunct/>
              <w:topLinePunct/>
              <w:autoSpaceDE/>
              <w:autoSpaceDN/>
              <w:bidi w:val="0"/>
              <w:adjustRightInd/>
              <w:snapToGrid/>
              <w:spacing w:after="0" w:line="20" w:lineRule="atLeast"/>
              <w:ind w:left="0" w:leftChars="0" w:right="0" w:rightChars="0" w:firstLine="420" w:firstLineChars="200"/>
              <w:contextualSpacing/>
              <w:jc w:val="left"/>
              <w:textAlignment w:val="auto"/>
              <w:rPr>
                <w:rFonts w:hint="eastAsia" w:ascii="仿宋" w:hAnsi="仿宋" w:eastAsia="仿宋" w:cs="仿宋"/>
                <w:snapToGrid w:val="0"/>
                <w:color w:val="auto"/>
                <w:kern w:val="0"/>
                <w:sz w:val="21"/>
                <w:szCs w:val="21"/>
                <w:highlight w:val="none"/>
                <w:lang w:val="en-US" w:eastAsia="zh-CN" w:bidi="ar-SA"/>
              </w:rPr>
            </w:pPr>
          </w:p>
          <w:p w14:paraId="1CB5CC26">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color w:val="auto"/>
                <w:sz w:val="21"/>
                <w:szCs w:val="21"/>
                <w:highlight w:val="none"/>
                <w:u w:val="none"/>
              </w:rPr>
              <w:t>监狱企业</w:t>
            </w:r>
            <w:r>
              <w:rPr>
                <w:rFonts w:hint="eastAsia" w:ascii="仿宋" w:hAnsi="仿宋" w:eastAsia="仿宋" w:cs="仿宋"/>
                <w:b/>
                <w:bCs/>
                <w:color w:val="auto"/>
                <w:sz w:val="21"/>
                <w:szCs w:val="21"/>
                <w:highlight w:val="none"/>
                <w:u w:val="none"/>
                <w:lang w:eastAsia="zh-CN"/>
              </w:rPr>
              <w:t>、</w:t>
            </w:r>
            <w:r>
              <w:rPr>
                <w:rFonts w:hint="eastAsia" w:ascii="仿宋" w:hAnsi="仿宋" w:eastAsia="仿宋" w:cs="仿宋"/>
                <w:b/>
                <w:bCs/>
                <w:snapToGrid w:val="0"/>
                <w:color w:val="auto"/>
                <w:kern w:val="0"/>
                <w:sz w:val="21"/>
                <w:szCs w:val="21"/>
                <w:highlight w:val="none"/>
                <w:u w:val="none"/>
                <w:lang w:val="en-US" w:eastAsia="zh-CN"/>
              </w:rPr>
              <w:t>残疾人福利性单位属于小型、微型企业的，不重复享受政策。</w:t>
            </w:r>
          </w:p>
          <w:p w14:paraId="0B9BA655">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snapToGrid w:val="0"/>
                <w:color w:val="auto"/>
                <w:kern w:val="0"/>
                <w:sz w:val="21"/>
                <w:szCs w:val="21"/>
                <w:highlight w:val="none"/>
                <w:u w:val="none"/>
                <w:lang w:val="en-US" w:eastAsia="zh-CN"/>
              </w:rPr>
              <w:t>四、对本国产品的支持政策</w:t>
            </w:r>
          </w:p>
          <w:p w14:paraId="7D5F4F5F">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0"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依据《国务院办公厅关于在政府采购中实施本国产品标准及相关政策的通知》（国办发〔2025〕34号）“三、对本国产品的支持政策 政府采购活动中既有本国产品又有非本国产品参与竞争的，依法对本国产品给予价格评审优惠，对本国产品的报价给予20%的价格扣除，用扣除后的价格参与评审。当采购项目或者采购包中含有多种产品，</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为该采购项目或者采购包提供的符合本国产品标准的产品成本之和占该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提供的全部产品成本之和的比例达到80%以上时，依法对该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提供的全部产品给予价格评审优惠，即对该</w:t>
            </w:r>
            <w:r>
              <w:rPr>
                <w:rFonts w:hint="eastAsia" w:ascii="仿宋" w:hAnsi="仿宋" w:eastAsia="仿宋" w:cs="仿宋"/>
                <w:b w:val="0"/>
                <w:bCs w:val="0"/>
                <w:snapToGrid w:val="0"/>
                <w:color w:val="auto"/>
                <w:kern w:val="0"/>
                <w:sz w:val="21"/>
                <w:szCs w:val="21"/>
                <w:highlight w:val="none"/>
                <w:u w:val="none"/>
                <w:lang w:val="en-US" w:eastAsia="zh-CN"/>
              </w:rPr>
              <w:t>投标人</w:t>
            </w:r>
            <w:r>
              <w:rPr>
                <w:rFonts w:hint="default" w:ascii="仿宋" w:hAnsi="仿宋" w:eastAsia="仿宋" w:cs="仿宋"/>
                <w:b w:val="0"/>
                <w:bCs w:val="0"/>
                <w:snapToGrid w:val="0"/>
                <w:color w:val="auto"/>
                <w:kern w:val="0"/>
                <w:sz w:val="21"/>
                <w:szCs w:val="21"/>
                <w:highlight w:val="none"/>
                <w:u w:val="none"/>
                <w:lang w:val="en-US" w:eastAsia="zh-CN"/>
              </w:rPr>
              <w:t>提供的全部产品的总报价给予20%的价格扣除，用扣除后的价格参与评审。</w:t>
            </w:r>
          </w:p>
        </w:tc>
      </w:tr>
      <w:tr w14:paraId="205D83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39" w:hRule="atLeast"/>
          <w:jc w:val="center"/>
        </w:trPr>
        <w:tc>
          <w:tcPr>
            <w:tcW w:w="1936" w:type="dxa"/>
            <w:noWrap w:val="0"/>
            <w:vAlign w:val="center"/>
          </w:tcPr>
          <w:p w14:paraId="705AA8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标的所属行业</w:t>
            </w:r>
          </w:p>
        </w:tc>
        <w:tc>
          <w:tcPr>
            <w:tcW w:w="7699" w:type="dxa"/>
            <w:noWrap w:val="0"/>
            <w:vAlign w:val="center"/>
          </w:tcPr>
          <w:p w14:paraId="2D57A7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10" w:firstLineChars="1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本项目采购标的对应的中小企业划分标准所属行业。</w:t>
            </w:r>
            <w:r>
              <w:rPr>
                <w:rFonts w:hint="eastAsia" w:ascii="仿宋" w:hAnsi="仿宋" w:eastAsia="仿宋" w:cs="仿宋"/>
                <w:b w:val="0"/>
                <w:bCs/>
                <w:color w:val="auto"/>
                <w:sz w:val="21"/>
                <w:szCs w:val="21"/>
                <w:highlight w:val="none"/>
                <w:lang w:val="en-US" w:eastAsia="zh-CN"/>
              </w:rPr>
              <w:t>符合条件的投标人根据下表内容填写《中小企业声明函》</w:t>
            </w:r>
            <w:r>
              <w:rPr>
                <w:rFonts w:hint="eastAsia" w:ascii="仿宋" w:hAnsi="仿宋" w:eastAsia="仿宋" w:cs="仿宋"/>
                <w:color w:val="auto"/>
                <w:sz w:val="21"/>
                <w:szCs w:val="21"/>
                <w:highlight w:val="none"/>
                <w:lang w:val="en-US" w:eastAsia="zh-CN"/>
              </w:rPr>
              <w:t xml:space="preserve">：  </w:t>
            </w:r>
          </w:p>
          <w:tbl>
            <w:tblPr>
              <w:tblStyle w:val="20"/>
              <w:tblW w:w="6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4"/>
              <w:gridCol w:w="2906"/>
            </w:tblGrid>
            <w:tr w14:paraId="5E7DC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04" w:type="dxa"/>
                  <w:tcBorders>
                    <w:top w:val="single" w:color="auto" w:sz="4" w:space="0"/>
                    <w:left w:val="single" w:color="auto" w:sz="4" w:space="0"/>
                    <w:bottom w:val="single" w:color="auto" w:sz="4" w:space="0"/>
                    <w:right w:val="single" w:color="auto" w:sz="4" w:space="0"/>
                  </w:tcBorders>
                  <w:noWrap w:val="0"/>
                  <w:vAlign w:val="center"/>
                </w:tcPr>
                <w:p w14:paraId="36F0F02A">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标的名称</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47BEB220">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中小企业划分标准所属行业</w:t>
                  </w:r>
                </w:p>
              </w:tc>
            </w:tr>
            <w:tr w14:paraId="6AD03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04" w:type="dxa"/>
                  <w:tcBorders>
                    <w:top w:val="single" w:color="auto" w:sz="4" w:space="0"/>
                    <w:left w:val="single" w:color="auto" w:sz="4" w:space="0"/>
                    <w:bottom w:val="single" w:color="auto" w:sz="4" w:space="0"/>
                    <w:right w:val="single" w:color="auto" w:sz="4" w:space="0"/>
                  </w:tcBorders>
                  <w:noWrap w:val="0"/>
                  <w:vAlign w:val="center"/>
                </w:tcPr>
                <w:p w14:paraId="2E07DFB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211" w:firstLineChars="100"/>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牟定县2026年度山洪灾害防治项目</w:t>
                  </w:r>
                </w:p>
              </w:tc>
              <w:tc>
                <w:tcPr>
                  <w:tcW w:w="2906" w:type="dxa"/>
                  <w:tcBorders>
                    <w:top w:val="single" w:color="auto" w:sz="4" w:space="0"/>
                    <w:left w:val="single" w:color="auto" w:sz="4" w:space="0"/>
                    <w:bottom w:val="single" w:color="auto" w:sz="4" w:space="0"/>
                    <w:right w:val="single" w:color="auto" w:sz="4" w:space="0"/>
                  </w:tcBorders>
                  <w:noWrap w:val="0"/>
                  <w:vAlign w:val="center"/>
                </w:tcPr>
                <w:p w14:paraId="3AD28CC6">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0" w:firstLineChars="0"/>
                    <w:jc w:val="center"/>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工业</w:t>
                  </w:r>
                </w:p>
              </w:tc>
            </w:tr>
          </w:tbl>
          <w:p w14:paraId="75C7A7F4">
            <w:pPr>
              <w:keepNext w:val="0"/>
              <w:keepLines w:val="0"/>
              <w:pageBreakBefore w:val="0"/>
              <w:widowControl w:val="0"/>
              <w:kinsoku/>
              <w:wordWrap w:val="0"/>
              <w:overflowPunct/>
              <w:topLinePunct/>
              <w:autoSpaceDE/>
              <w:autoSpaceDN/>
              <w:bidi w:val="0"/>
              <w:adjustRightInd/>
              <w:snapToGrid/>
              <w:spacing w:line="20" w:lineRule="atLeast"/>
              <w:ind w:right="0" w:rightChars="0"/>
              <w:textAlignment w:val="auto"/>
              <w:rPr>
                <w:rFonts w:hint="eastAsia" w:ascii="仿宋" w:hAnsi="仿宋" w:eastAsia="仿宋" w:cs="仿宋"/>
                <w:color w:val="auto"/>
                <w:sz w:val="21"/>
                <w:szCs w:val="21"/>
                <w:highlight w:val="none"/>
                <w:lang w:val="en-US" w:eastAsia="zh-CN"/>
              </w:rPr>
            </w:pPr>
          </w:p>
        </w:tc>
      </w:tr>
      <w:tr w14:paraId="44876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5" w:hRule="atLeast"/>
          <w:jc w:val="center"/>
        </w:trPr>
        <w:tc>
          <w:tcPr>
            <w:tcW w:w="1936" w:type="dxa"/>
            <w:noWrap w:val="0"/>
            <w:vAlign w:val="center"/>
          </w:tcPr>
          <w:p w14:paraId="66DB63DE">
            <w:pPr>
              <w:pStyle w:val="28"/>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0"/>
                <w:sz w:val="21"/>
                <w:szCs w:val="21"/>
                <w:highlight w:val="none"/>
                <w:lang w:val="en-US" w:eastAsia="en-US" w:bidi="ar-SA"/>
              </w:rPr>
            </w:pPr>
            <w:r>
              <w:rPr>
                <w:rFonts w:hint="eastAsia" w:ascii="仿宋" w:hAnsi="仿宋" w:eastAsia="仿宋" w:cs="仿宋"/>
                <w:b w:val="0"/>
                <w:bCs w:val="0"/>
                <w:color w:val="auto"/>
                <w:sz w:val="21"/>
                <w:szCs w:val="21"/>
                <w:highlight w:val="none"/>
                <w:lang w:val="en-US"/>
              </w:rPr>
              <w:t>政府采购活动中中小企业的判定</w:t>
            </w:r>
          </w:p>
        </w:tc>
        <w:tc>
          <w:tcPr>
            <w:tcW w:w="7699" w:type="dxa"/>
            <w:noWrap w:val="0"/>
            <w:vAlign w:val="center"/>
          </w:tcPr>
          <w:p w14:paraId="2F4E5FC2">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一、</w:t>
            </w:r>
            <w:r>
              <w:rPr>
                <w:rFonts w:hint="eastAsia" w:ascii="仿宋" w:hAnsi="仿宋" w:eastAsia="仿宋" w:cs="仿宋"/>
                <w:b/>
                <w:bCs/>
                <w:color w:val="auto"/>
                <w:sz w:val="21"/>
                <w:szCs w:val="21"/>
                <w:highlight w:val="none"/>
                <w:lang w:val="en-US"/>
              </w:rPr>
              <w:t>可以判别为中小企业的情形</w:t>
            </w:r>
          </w:p>
          <w:p w14:paraId="75B6A52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b w:val="0"/>
                <w:bCs w:val="0"/>
                <w:color w:val="auto"/>
                <w:sz w:val="21"/>
                <w:szCs w:val="21"/>
                <w:highlight w:val="none"/>
                <w:u w:val="none"/>
                <w:lang w:val="en-US"/>
              </w:rPr>
              <w:t>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中小企业制造，</w:t>
            </w:r>
            <w:r>
              <w:rPr>
                <w:rFonts w:hint="eastAsia" w:ascii="仿宋" w:hAnsi="仿宋" w:eastAsia="仿宋" w:cs="仿宋"/>
                <w:b w:val="0"/>
                <w:bCs w:val="0"/>
                <w:color w:val="auto"/>
                <w:sz w:val="21"/>
                <w:szCs w:val="21"/>
                <w:highlight w:val="none"/>
                <w:u w:val="none"/>
                <w:lang w:val="en-US"/>
              </w:rPr>
              <w:t>即货物</w:t>
            </w:r>
            <w:r>
              <w:rPr>
                <w:rFonts w:hint="eastAsia" w:ascii="仿宋" w:hAnsi="仿宋" w:eastAsia="仿宋" w:cs="仿宋"/>
                <w:b w:val="0"/>
                <w:bCs w:val="0"/>
                <w:color w:val="auto"/>
                <w:sz w:val="21"/>
                <w:szCs w:val="21"/>
                <w:highlight w:val="none"/>
                <w:u w:val="none"/>
                <w:lang w:val="en-US" w:eastAsia="zh-CN"/>
              </w:rPr>
              <w:t>由</w:t>
            </w:r>
            <w:r>
              <w:rPr>
                <w:rFonts w:hint="eastAsia" w:ascii="仿宋" w:hAnsi="仿宋" w:eastAsia="仿宋" w:cs="仿宋"/>
                <w:color w:val="auto"/>
                <w:sz w:val="21"/>
                <w:szCs w:val="21"/>
                <w:highlight w:val="none"/>
                <w:lang w:val="en-US"/>
              </w:rPr>
              <w:t>中小企业生产且使用该中小企业商号或注册商标</w:t>
            </w:r>
            <w:r>
              <w:rPr>
                <w:rFonts w:hint="eastAsia" w:ascii="仿宋" w:hAnsi="仿宋" w:eastAsia="仿宋" w:cs="仿宋"/>
                <w:color w:val="auto"/>
                <w:sz w:val="21"/>
                <w:szCs w:val="21"/>
                <w:highlight w:val="none"/>
                <w:lang w:val="en-US" w:eastAsia="zh-CN"/>
              </w:rPr>
              <w:t>；</w:t>
            </w:r>
            <w:r>
              <w:rPr>
                <w:rFonts w:hint="eastAsia" w:ascii="仿宋" w:hAnsi="仿宋" w:eastAsia="仿宋" w:cs="仿宋"/>
                <w:b/>
                <w:bCs/>
                <w:color w:val="auto"/>
                <w:sz w:val="21"/>
                <w:szCs w:val="21"/>
                <w:highlight w:val="none"/>
                <w:lang w:val="en-US" w:eastAsia="zh-CN"/>
              </w:rPr>
              <w:t>（若一个合同项内涉及多个采购标的物的，采购人或采购代理机构应当在招标文件中逐一明确所有采购标的对应的中小企业划分标准所属行业。投标人根据招标文件中明确的行业所对应的划分标准，逐一判断所投标的物是否属于中小企业产品，并进行声明。一般只将采购项目中的主要货物作为标的物，开关等配件一般不作为标的物，也不对其生产厂商做相应要求）</w:t>
            </w:r>
          </w:p>
          <w:p w14:paraId="5851FB8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在工程采购项目中，工程由中小企业承建，即工程施工单位为中小企业</w:t>
            </w:r>
            <w:r>
              <w:rPr>
                <w:rFonts w:hint="eastAsia" w:ascii="仿宋" w:hAnsi="仿宋" w:eastAsia="仿宋" w:cs="仿宋"/>
                <w:color w:val="auto"/>
                <w:sz w:val="21"/>
                <w:szCs w:val="21"/>
                <w:highlight w:val="none"/>
                <w:lang w:val="en-US" w:eastAsia="zh-CN"/>
              </w:rPr>
              <w:t>；</w:t>
            </w:r>
          </w:p>
          <w:p w14:paraId="40CDB1F5">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3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③</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在服务采购项目中，服务由中小企业承接，即提供服务的人员为中小企业依照《中华人民共和国劳动合同法》订立劳动合同的从业人员。</w:t>
            </w:r>
          </w:p>
          <w:p w14:paraId="404F6C7D">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2" w:firstLineChars="200"/>
              <w:textAlignment w:val="auto"/>
              <w:rPr>
                <w:rFonts w:hint="eastAsia" w:ascii="仿宋" w:hAnsi="仿宋" w:eastAsia="仿宋" w:cs="仿宋"/>
                <w:b/>
                <w:bCs/>
                <w:color w:val="auto"/>
                <w:sz w:val="21"/>
                <w:szCs w:val="21"/>
                <w:highlight w:val="none"/>
                <w:lang w:val="en-US"/>
              </w:rPr>
            </w:pPr>
            <w:r>
              <w:rPr>
                <w:rFonts w:hint="eastAsia" w:ascii="仿宋" w:hAnsi="仿宋" w:eastAsia="仿宋" w:cs="仿宋"/>
                <w:b/>
                <w:bCs/>
                <w:color w:val="auto"/>
                <w:sz w:val="21"/>
                <w:szCs w:val="21"/>
                <w:highlight w:val="none"/>
                <w:lang w:val="en-US" w:eastAsia="zh-CN"/>
              </w:rPr>
              <w:t>二、</w:t>
            </w:r>
            <w:r>
              <w:rPr>
                <w:rFonts w:hint="eastAsia" w:ascii="仿宋" w:hAnsi="仿宋" w:eastAsia="仿宋" w:cs="仿宋"/>
                <w:b/>
                <w:bCs/>
                <w:color w:val="auto"/>
                <w:sz w:val="21"/>
                <w:szCs w:val="21"/>
                <w:highlight w:val="none"/>
                <w:lang w:val="en-US"/>
              </w:rPr>
              <w:t>不应判别为中小</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微</w:t>
            </w:r>
            <w:r>
              <w:rPr>
                <w:rFonts w:hint="eastAsia" w:ascii="仿宋" w:hAnsi="仿宋" w:eastAsia="仿宋" w:cs="仿宋"/>
                <w:b/>
                <w:bCs/>
                <w:color w:val="auto"/>
                <w:sz w:val="21"/>
                <w:szCs w:val="21"/>
                <w:highlight w:val="none"/>
                <w:lang w:val="en-US" w:eastAsia="zh-CN"/>
              </w:rPr>
              <w:t>）</w:t>
            </w:r>
            <w:r>
              <w:rPr>
                <w:rFonts w:hint="eastAsia" w:ascii="仿宋" w:hAnsi="仿宋" w:eastAsia="仿宋" w:cs="仿宋"/>
                <w:b/>
                <w:bCs/>
                <w:color w:val="auto"/>
                <w:sz w:val="21"/>
                <w:szCs w:val="21"/>
                <w:highlight w:val="none"/>
                <w:lang w:val="en-US"/>
              </w:rPr>
              <w:t>企业的情形</w:t>
            </w:r>
          </w:p>
          <w:p w14:paraId="621861D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en-US"/>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1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①</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rPr>
              <w:t>在货物采购项目中，</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为中小企业，但所提供的货物为大型企业制造的，即货物由大型企业生产且使用大型企业</w:t>
            </w:r>
            <w:r>
              <w:rPr>
                <w:rFonts w:hint="eastAsia" w:ascii="仿宋" w:hAnsi="仿宋" w:eastAsia="仿宋" w:cs="仿宋"/>
                <w:color w:val="auto"/>
                <w:sz w:val="21"/>
                <w:szCs w:val="21"/>
                <w:highlight w:val="none"/>
                <w:lang w:val="en-US" w:eastAsia="zh-CN"/>
              </w:rPr>
              <w:t>商标</w:t>
            </w:r>
            <w:r>
              <w:rPr>
                <w:rFonts w:hint="eastAsia" w:ascii="仿宋" w:hAnsi="仿宋" w:eastAsia="仿宋" w:cs="仿宋"/>
                <w:color w:val="auto"/>
                <w:sz w:val="21"/>
                <w:szCs w:val="21"/>
                <w:highlight w:val="none"/>
                <w:lang w:val="en-US"/>
              </w:rPr>
              <w:t>或者注册商标的。不享受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en-US"/>
              </w:rPr>
              <w:t>《办法》规定的中小企业扶持政策。</w:t>
            </w:r>
          </w:p>
          <w:p w14:paraId="590DB9D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rPr>
              <w:fldChar w:fldCharType="begin"/>
            </w:r>
            <w:r>
              <w:rPr>
                <w:rFonts w:hint="eastAsia" w:ascii="仿宋" w:hAnsi="仿宋" w:eastAsia="仿宋" w:cs="仿宋"/>
                <w:color w:val="auto"/>
                <w:sz w:val="21"/>
                <w:szCs w:val="21"/>
                <w:highlight w:val="none"/>
                <w:lang w:val="en-US"/>
              </w:rPr>
              <w:instrText xml:space="preserve"> = 2 \* GB3 \* MERGEFORMAT </w:instrText>
            </w:r>
            <w:r>
              <w:rPr>
                <w:rFonts w:hint="eastAsia" w:ascii="仿宋" w:hAnsi="仿宋" w:eastAsia="仿宋" w:cs="仿宋"/>
                <w:color w:val="auto"/>
                <w:sz w:val="21"/>
                <w:szCs w:val="21"/>
                <w:highlight w:val="none"/>
                <w:lang w:val="en-US"/>
              </w:rPr>
              <w:fldChar w:fldCharType="separate"/>
            </w:r>
            <w:r>
              <w:rPr>
                <w:rFonts w:hint="eastAsia" w:ascii="仿宋" w:hAnsi="仿宋" w:eastAsia="仿宋" w:cs="仿宋"/>
                <w:color w:val="auto"/>
                <w:sz w:val="21"/>
                <w:szCs w:val="21"/>
                <w:highlight w:val="none"/>
                <w:lang w:val="en-US"/>
              </w:rPr>
              <w:t>②</w:t>
            </w:r>
            <w:r>
              <w:rPr>
                <w:rFonts w:hint="eastAsia" w:ascii="仿宋" w:hAnsi="仿宋" w:eastAsia="仿宋" w:cs="仿宋"/>
                <w:color w:val="auto"/>
                <w:sz w:val="21"/>
                <w:szCs w:val="21"/>
                <w:highlight w:val="none"/>
                <w:lang w:val="en-US"/>
              </w:rPr>
              <w:fldChar w:fldCharType="end"/>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val="en-US"/>
              </w:rPr>
              <w:t>提供的货物既有中型企业制造，也有小微企业制造的，不享受《办法》规定的小微企业扶持政策。</w:t>
            </w:r>
          </w:p>
        </w:tc>
      </w:tr>
      <w:tr w14:paraId="3F5FD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jc w:val="center"/>
        </w:trPr>
        <w:tc>
          <w:tcPr>
            <w:tcW w:w="1936" w:type="dxa"/>
            <w:noWrap w:val="0"/>
            <w:vAlign w:val="center"/>
          </w:tcPr>
          <w:p w14:paraId="1B4833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是否接受联合体投标</w:t>
            </w:r>
          </w:p>
        </w:tc>
        <w:tc>
          <w:tcPr>
            <w:tcW w:w="7699" w:type="dxa"/>
            <w:noWrap w:val="0"/>
            <w:vAlign w:val="center"/>
          </w:tcPr>
          <w:p w14:paraId="0D48366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■不接受</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□接受，应满足下列要求：</w:t>
            </w:r>
          </w:p>
        </w:tc>
      </w:tr>
      <w:tr w14:paraId="5538B0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2596A1B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分包</w:t>
            </w:r>
          </w:p>
        </w:tc>
        <w:tc>
          <w:tcPr>
            <w:tcW w:w="7699" w:type="dxa"/>
            <w:noWrap w:val="0"/>
            <w:vAlign w:val="center"/>
          </w:tcPr>
          <w:p w14:paraId="06289C5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■不允许</w:t>
            </w:r>
          </w:p>
          <w:p w14:paraId="555F567F">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□允许，分包内容要求：</w:t>
            </w:r>
            <w:r>
              <w:rPr>
                <w:rFonts w:hint="eastAsia" w:ascii="仿宋" w:hAnsi="仿宋" w:eastAsia="仿宋" w:cs="仿宋"/>
                <w:color w:val="auto"/>
                <w:sz w:val="21"/>
                <w:szCs w:val="21"/>
                <w:highlight w:val="none"/>
                <w:u w:val="single"/>
                <w:lang w:eastAsia="zh-CN"/>
              </w:rPr>
              <w:t>/</w:t>
            </w:r>
          </w:p>
          <w:p w14:paraId="202F853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分包金额要求：</w:t>
            </w:r>
            <w:r>
              <w:rPr>
                <w:rFonts w:hint="eastAsia" w:ascii="仿宋" w:hAnsi="仿宋" w:eastAsia="仿宋" w:cs="仿宋"/>
                <w:color w:val="auto"/>
                <w:sz w:val="21"/>
                <w:szCs w:val="21"/>
                <w:highlight w:val="none"/>
                <w:u w:val="single"/>
                <w:lang w:eastAsia="zh-CN"/>
              </w:rPr>
              <w:t>/</w:t>
            </w:r>
          </w:p>
          <w:p w14:paraId="34412B8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对分包人的资质要求：</w:t>
            </w:r>
            <w:r>
              <w:rPr>
                <w:rFonts w:hint="eastAsia" w:ascii="仿宋" w:hAnsi="仿宋" w:eastAsia="仿宋" w:cs="仿宋"/>
                <w:color w:val="auto"/>
                <w:sz w:val="21"/>
                <w:szCs w:val="21"/>
                <w:highlight w:val="none"/>
                <w:u w:val="single"/>
                <w:lang w:eastAsia="zh-CN"/>
              </w:rPr>
              <w:t>/</w:t>
            </w:r>
          </w:p>
        </w:tc>
      </w:tr>
      <w:tr w14:paraId="6261A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181F9C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rPr>
              <w:t>开标时间和地点</w:t>
            </w:r>
          </w:p>
        </w:tc>
        <w:tc>
          <w:tcPr>
            <w:tcW w:w="7699" w:type="dxa"/>
            <w:noWrap w:val="0"/>
            <w:vAlign w:val="center"/>
          </w:tcPr>
          <w:p w14:paraId="61C7061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开标时间：同投标文件提交截止时间；</w:t>
            </w:r>
          </w:p>
          <w:p w14:paraId="5F59794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开标地点：同投标文件提交地点</w:t>
            </w:r>
          </w:p>
          <w:p w14:paraId="5110DEB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注：投标人无需到现场开标。</w:t>
            </w:r>
          </w:p>
          <w:p w14:paraId="6D74882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投标人应按照本项目招标文件和“政采云”平台的要求编制、加密后在投标文件提交截止时间前上传至“政采云”平台，按《投标人操作指南》（https://edu.zcygov.cn/luban/yunnan-dzjy-gys?utm=a0017.b3687.48.18.4b09ec80cbc911edb8a97356c5970511）完成远程投标文件解密等相关操作。投标文件提交截止时间前未完成投标文件上传的，视为撤回投标文件。若投标人未在规定时间内完成投标文件解密，则视为无效投标，不再进入评审阶段。投标人在“政采云”平台提交电子版投标文件时，请填写参加远程采购活动经办人联系方式。</w:t>
            </w:r>
          </w:p>
        </w:tc>
      </w:tr>
      <w:tr w14:paraId="2030E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35F737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构成招标文件的其他资料</w:t>
            </w:r>
          </w:p>
        </w:tc>
        <w:tc>
          <w:tcPr>
            <w:tcW w:w="7699" w:type="dxa"/>
            <w:shd w:val="clear" w:color="auto" w:fill="auto"/>
            <w:noWrap w:val="0"/>
            <w:vAlign w:val="center"/>
          </w:tcPr>
          <w:p w14:paraId="13E9EF5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更正公告及补遗文件（若有）</w:t>
            </w:r>
          </w:p>
        </w:tc>
      </w:tr>
      <w:tr w14:paraId="1295A2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0CD1D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构成投标文件的其他资料</w:t>
            </w:r>
          </w:p>
        </w:tc>
        <w:tc>
          <w:tcPr>
            <w:tcW w:w="7699" w:type="dxa"/>
            <w:noWrap w:val="0"/>
            <w:vAlign w:val="center"/>
          </w:tcPr>
          <w:p w14:paraId="333A861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1.“第四章 采购需求及要求”“第</w:t>
            </w:r>
            <w:r>
              <w:rPr>
                <w:rFonts w:hint="eastAsia" w:ascii="仿宋" w:hAnsi="仿宋" w:eastAsia="仿宋" w:cs="仿宋"/>
                <w:color w:val="auto"/>
                <w:sz w:val="21"/>
                <w:szCs w:val="21"/>
                <w:highlight w:val="none"/>
                <w:lang w:val="en-US" w:eastAsia="zh-CN"/>
              </w:rPr>
              <w:t>六</w:t>
            </w:r>
            <w:r>
              <w:rPr>
                <w:rFonts w:hint="eastAsia" w:ascii="仿宋" w:hAnsi="仿宋" w:eastAsia="仿宋" w:cs="仿宋"/>
                <w:color w:val="auto"/>
                <w:sz w:val="21"/>
                <w:szCs w:val="21"/>
                <w:highlight w:val="none"/>
                <w:lang w:eastAsia="zh-CN"/>
              </w:rPr>
              <w:t>章</w:t>
            </w:r>
            <w:r>
              <w:rPr>
                <w:rFonts w:hint="eastAsia" w:ascii="仿宋" w:hAnsi="仿宋" w:eastAsia="仿宋" w:cs="仿宋"/>
                <w:color w:val="auto"/>
                <w:sz w:val="21"/>
                <w:szCs w:val="21"/>
                <w:highlight w:val="none"/>
                <w:lang w:val="en-US" w:eastAsia="zh-CN"/>
              </w:rPr>
              <w:t xml:space="preserve"> 投标文件格式</w:t>
            </w:r>
            <w:r>
              <w:rPr>
                <w:rFonts w:hint="eastAsia" w:ascii="仿宋" w:hAnsi="仿宋" w:eastAsia="仿宋" w:cs="仿宋"/>
                <w:color w:val="auto"/>
                <w:sz w:val="21"/>
                <w:szCs w:val="21"/>
                <w:highlight w:val="none"/>
                <w:lang w:eastAsia="zh-CN"/>
              </w:rPr>
              <w:t>”中要求提供的其他资料；</w:t>
            </w:r>
          </w:p>
          <w:p w14:paraId="2111588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2.招标文件中所涉及的相关资料及证明文件或投标人认为必须提供的其他相关资料。</w:t>
            </w:r>
          </w:p>
        </w:tc>
      </w:tr>
      <w:tr w14:paraId="78131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6E984EF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b w:val="0"/>
                <w:bCs w:val="0"/>
                <w:color w:val="auto"/>
                <w:kern w:val="0"/>
                <w:sz w:val="21"/>
                <w:szCs w:val="21"/>
                <w:highlight w:val="none"/>
                <w:lang w:val="zh-CN"/>
              </w:rPr>
              <w:t>业绩要求</w:t>
            </w:r>
            <w:r>
              <w:rPr>
                <w:rFonts w:hint="eastAsia" w:ascii="仿宋" w:hAnsi="仿宋" w:eastAsia="仿宋" w:cs="仿宋"/>
                <w:b w:val="0"/>
                <w:bCs w:val="0"/>
                <w:color w:val="auto"/>
                <w:kern w:val="0"/>
                <w:sz w:val="21"/>
                <w:szCs w:val="21"/>
                <w:highlight w:val="none"/>
                <w:lang w:val="en-US" w:eastAsia="zh-CN"/>
              </w:rPr>
              <w:t>说明</w:t>
            </w:r>
          </w:p>
        </w:tc>
        <w:tc>
          <w:tcPr>
            <w:tcW w:w="7699" w:type="dxa"/>
            <w:shd w:val="clear" w:color="auto" w:fill="auto"/>
            <w:noWrap w:val="0"/>
            <w:vAlign w:val="center"/>
          </w:tcPr>
          <w:p w14:paraId="41F2BF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bCs w:val="0"/>
                <w:color w:val="auto"/>
                <w:kern w:val="2"/>
                <w:sz w:val="21"/>
                <w:szCs w:val="21"/>
                <w:highlight w:val="none"/>
                <w:lang w:val="en-US" w:eastAsia="zh-CN"/>
              </w:rPr>
              <w:t>1.类似业绩：</w:t>
            </w:r>
          </w:p>
          <w:p w14:paraId="657F984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lang w:val="en-US" w:eastAsia="zh-CN"/>
              </w:rPr>
            </w:pPr>
            <w:r>
              <w:rPr>
                <w:rFonts w:hint="eastAsia" w:ascii="仿宋" w:hAnsi="仿宋" w:eastAsia="仿宋" w:cs="仿宋"/>
                <w:b w:val="0"/>
                <w:bCs/>
                <w:color w:val="auto"/>
                <w:kern w:val="2"/>
                <w:sz w:val="21"/>
                <w:szCs w:val="21"/>
                <w:highlight w:val="none"/>
                <w:lang w:val="en-US" w:eastAsia="zh-CN"/>
              </w:rPr>
              <w:t>1）工程：结构形式、使用功能、建设规模相同或相近的项目；</w:t>
            </w:r>
          </w:p>
          <w:p w14:paraId="7E3696B8">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2）货物或设备类：与本项目采购标的物使用功能、应用范围、应用场景相同或相近的项目；</w:t>
            </w:r>
          </w:p>
          <w:p w14:paraId="3EA6933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val="0"/>
                <w:bCs/>
                <w:color w:val="auto"/>
                <w:kern w:val="2"/>
                <w:sz w:val="21"/>
                <w:szCs w:val="21"/>
                <w:highlight w:val="none"/>
              </w:rPr>
            </w:pPr>
            <w:r>
              <w:rPr>
                <w:rFonts w:hint="eastAsia" w:ascii="仿宋" w:hAnsi="仿宋" w:eastAsia="仿宋" w:cs="仿宋"/>
                <w:b w:val="0"/>
                <w:bCs/>
                <w:color w:val="auto"/>
                <w:kern w:val="2"/>
                <w:sz w:val="21"/>
                <w:szCs w:val="21"/>
                <w:highlight w:val="none"/>
                <w:lang w:val="en-US" w:eastAsia="zh-CN"/>
              </w:rPr>
              <w:t>3）服务类：内容、质量、标准相同或相近的项目</w:t>
            </w:r>
            <w:r>
              <w:rPr>
                <w:rFonts w:hint="eastAsia" w:ascii="仿宋" w:hAnsi="仿宋" w:eastAsia="仿宋" w:cs="仿宋"/>
                <w:b w:val="0"/>
                <w:bCs/>
                <w:color w:val="auto"/>
                <w:kern w:val="2"/>
                <w:sz w:val="21"/>
                <w:szCs w:val="21"/>
                <w:highlight w:val="none"/>
              </w:rPr>
              <w:t>。</w:t>
            </w:r>
          </w:p>
          <w:p w14:paraId="76FEFC2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0"/>
                <w:sz w:val="21"/>
                <w:szCs w:val="21"/>
                <w:highlight w:val="none"/>
                <w:lang w:val="en-US" w:eastAsia="zh-CN" w:bidi="ar-SA"/>
              </w:rPr>
            </w:pPr>
            <w:r>
              <w:rPr>
                <w:rFonts w:hint="eastAsia" w:ascii="仿宋" w:hAnsi="仿宋" w:eastAsia="仿宋" w:cs="仿宋"/>
                <w:b/>
                <w:bCs w:val="0"/>
                <w:color w:val="auto"/>
                <w:kern w:val="2"/>
                <w:sz w:val="21"/>
                <w:szCs w:val="21"/>
                <w:highlight w:val="none"/>
                <w:lang w:val="en-US" w:eastAsia="zh-CN"/>
              </w:rPr>
              <w:t>2.业绩证明文件的签署人</w:t>
            </w:r>
          </w:p>
          <w:p w14:paraId="2A88231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sz w:val="21"/>
                <w:szCs w:val="21"/>
                <w:highlight w:val="none"/>
                <w:lang w:eastAsia="zh-CN"/>
              </w:rPr>
              <w:t>中标（成交）通知书：</w:t>
            </w:r>
            <w:r>
              <w:rPr>
                <w:rFonts w:hint="eastAsia" w:ascii="仿宋" w:hAnsi="仿宋" w:eastAsia="仿宋" w:cs="仿宋"/>
                <w:color w:val="auto"/>
                <w:sz w:val="21"/>
                <w:szCs w:val="21"/>
                <w:highlight w:val="none"/>
                <w:lang w:val="en-US" w:eastAsia="zh-CN"/>
              </w:rPr>
              <w:t>中标（成交）人必须</w:t>
            </w:r>
            <w:r>
              <w:rPr>
                <w:rFonts w:hint="eastAsia" w:ascii="仿宋" w:hAnsi="仿宋" w:eastAsia="仿宋" w:cs="仿宋"/>
                <w:color w:val="auto"/>
                <w:sz w:val="21"/>
                <w:szCs w:val="21"/>
                <w:highlight w:val="none"/>
                <w:lang w:eastAsia="zh-CN"/>
              </w:rPr>
              <w:t>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0879C96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SA"/>
              </w:rPr>
              <w:t>2）</w:t>
            </w:r>
            <w:r>
              <w:rPr>
                <w:rFonts w:hint="eastAsia" w:ascii="仿宋" w:hAnsi="仿宋" w:eastAsia="仿宋" w:cs="仿宋"/>
                <w:color w:val="auto"/>
                <w:sz w:val="21"/>
                <w:szCs w:val="21"/>
                <w:highlight w:val="none"/>
              </w:rPr>
              <w:t>合同协议书</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签署人一方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p>
          <w:p w14:paraId="1B39EA0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rPr>
            </w:pPr>
            <w:r>
              <w:rPr>
                <w:rFonts w:hint="eastAsia" w:ascii="仿宋" w:hAnsi="仿宋" w:eastAsia="仿宋" w:cs="仿宋"/>
                <w:color w:val="auto"/>
                <w:kern w:val="0"/>
                <w:sz w:val="21"/>
                <w:szCs w:val="21"/>
                <w:highlight w:val="none"/>
                <w:lang w:val="en-US" w:eastAsia="zh-CN" w:bidi="ar-SA"/>
              </w:rPr>
              <w:t>3）</w:t>
            </w:r>
            <w:r>
              <w:rPr>
                <w:rFonts w:hint="eastAsia" w:ascii="仿宋" w:hAnsi="仿宋" w:eastAsia="仿宋" w:cs="仿宋"/>
                <w:color w:val="auto"/>
                <w:sz w:val="21"/>
                <w:szCs w:val="21"/>
                <w:highlight w:val="none"/>
              </w:rPr>
              <w:t>验收证明文件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必须能体现出验收项目的实施主体（项目实施方</w:t>
            </w:r>
            <w:r>
              <w:rPr>
                <w:rFonts w:hint="eastAsia" w:ascii="仿宋" w:hAnsi="仿宋" w:eastAsia="仿宋" w:cs="仿宋"/>
                <w:color w:val="auto"/>
                <w:sz w:val="21"/>
                <w:szCs w:val="21"/>
                <w:highlight w:val="none"/>
                <w:lang w:eastAsia="zh-CN"/>
              </w:rPr>
              <w:t>必须为</w:t>
            </w:r>
            <w:r>
              <w:rPr>
                <w:rFonts w:hint="eastAsia" w:ascii="仿宋" w:hAnsi="仿宋" w:eastAsia="仿宋" w:cs="仿宋"/>
                <w:color w:val="auto"/>
                <w:sz w:val="21"/>
                <w:szCs w:val="21"/>
                <w:highlight w:val="none"/>
                <w:lang w:val="en-US" w:eastAsia="zh-CN"/>
              </w:rPr>
              <w:t>投标人</w:t>
            </w:r>
            <w:r>
              <w:rPr>
                <w:rFonts w:hint="eastAsia" w:ascii="仿宋" w:hAnsi="仿宋" w:eastAsia="仿宋" w:cs="仿宋"/>
                <w:color w:val="auto"/>
                <w:sz w:val="21"/>
                <w:szCs w:val="21"/>
                <w:highlight w:val="none"/>
                <w:lang w:eastAsia="zh-CN"/>
              </w:rPr>
              <w:t>自身</w:t>
            </w:r>
            <w:r>
              <w:rPr>
                <w:rFonts w:hint="eastAsia" w:ascii="仿宋" w:hAnsi="仿宋" w:eastAsia="仿宋" w:cs="仿宋"/>
                <w:color w:val="auto"/>
                <w:sz w:val="21"/>
                <w:szCs w:val="21"/>
                <w:highlight w:val="none"/>
                <w:lang w:val="en-US" w:eastAsia="zh-CN"/>
              </w:rPr>
              <w:t>）及双方信息及产品信息</w:t>
            </w:r>
            <w:r>
              <w:rPr>
                <w:rFonts w:hint="eastAsia" w:ascii="仿宋" w:hAnsi="仿宋" w:eastAsia="仿宋" w:cs="仿宋"/>
                <w:color w:val="auto"/>
                <w:sz w:val="21"/>
                <w:szCs w:val="21"/>
                <w:highlight w:val="none"/>
              </w:rPr>
              <w:t>等</w:t>
            </w:r>
            <w:r>
              <w:rPr>
                <w:rFonts w:hint="eastAsia" w:ascii="仿宋" w:hAnsi="仿宋" w:eastAsia="仿宋" w:cs="仿宋"/>
                <w:color w:val="auto"/>
                <w:sz w:val="21"/>
                <w:szCs w:val="21"/>
                <w:highlight w:val="none"/>
                <w:lang w:val="en-US" w:eastAsia="zh-CN"/>
              </w:rPr>
              <w:t>有效证明文件</w:t>
            </w:r>
            <w:r>
              <w:rPr>
                <w:rFonts w:hint="eastAsia" w:ascii="仿宋" w:hAnsi="仿宋" w:eastAsia="仿宋" w:cs="仿宋"/>
                <w:bCs/>
                <w:color w:val="auto"/>
                <w:kern w:val="2"/>
                <w:sz w:val="21"/>
                <w:szCs w:val="21"/>
                <w:highlight w:val="none"/>
              </w:rPr>
              <w:t>。</w:t>
            </w:r>
          </w:p>
          <w:p w14:paraId="1028961A">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lang w:val="en-US" w:eastAsia="zh-CN"/>
              </w:rPr>
            </w:pPr>
            <w:r>
              <w:rPr>
                <w:rFonts w:hint="eastAsia" w:ascii="仿宋" w:hAnsi="仿宋" w:eastAsia="仿宋" w:cs="仿宋"/>
                <w:b/>
                <w:bCs w:val="0"/>
                <w:color w:val="auto"/>
                <w:kern w:val="2"/>
                <w:sz w:val="21"/>
                <w:szCs w:val="21"/>
                <w:highlight w:val="none"/>
                <w:lang w:val="en-US" w:eastAsia="zh-CN"/>
              </w:rPr>
              <w:t>3.业绩证明材料</w:t>
            </w:r>
          </w:p>
          <w:p w14:paraId="286685C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合同</w:t>
            </w:r>
          </w:p>
          <w:p w14:paraId="51DE7A92">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中标通知书/成交通知书</w:t>
            </w:r>
          </w:p>
          <w:p w14:paraId="0CEA55D6">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lang w:val="en-US" w:eastAsia="zh-CN"/>
              </w:rPr>
              <w:t>竣工验收报告/验收证明</w:t>
            </w:r>
          </w:p>
          <w:p w14:paraId="37457EAF">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业主证明</w:t>
            </w:r>
          </w:p>
          <w:p w14:paraId="5DA0DEE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single"/>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lang w:val="en-US" w:eastAsia="zh-CN"/>
              </w:rPr>
              <w:t>其他材料：</w:t>
            </w:r>
            <w:r>
              <w:rPr>
                <w:rFonts w:hint="eastAsia" w:ascii="仿宋" w:hAnsi="仿宋" w:eastAsia="仿宋" w:cs="仿宋"/>
                <w:bCs/>
                <w:color w:val="auto"/>
                <w:kern w:val="2"/>
                <w:sz w:val="21"/>
                <w:szCs w:val="21"/>
                <w:highlight w:val="none"/>
                <w:u w:val="single"/>
                <w:lang w:val="en-US" w:eastAsia="zh-CN"/>
              </w:rPr>
              <w:t xml:space="preserve">           </w:t>
            </w:r>
          </w:p>
          <w:p w14:paraId="124102BB">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val="0"/>
                <w:color w:val="auto"/>
                <w:kern w:val="2"/>
                <w:sz w:val="21"/>
                <w:szCs w:val="21"/>
                <w:highlight w:val="none"/>
                <w:u w:val="none"/>
                <w:lang w:val="en-US" w:eastAsia="zh-CN"/>
              </w:rPr>
            </w:pPr>
            <w:r>
              <w:rPr>
                <w:rFonts w:hint="eastAsia" w:ascii="仿宋" w:hAnsi="仿宋" w:eastAsia="仿宋" w:cs="仿宋"/>
                <w:b/>
                <w:bCs w:val="0"/>
                <w:color w:val="auto"/>
                <w:kern w:val="2"/>
                <w:sz w:val="21"/>
                <w:szCs w:val="21"/>
                <w:highlight w:val="none"/>
                <w:u w:val="none"/>
                <w:lang w:val="en-US" w:eastAsia="zh-CN"/>
              </w:rPr>
              <w:t>4.业绩证明材料种类要求：</w:t>
            </w:r>
          </w:p>
          <w:p w14:paraId="45E237F9">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u w:val="none"/>
                <w:lang w:val="en-US" w:eastAsia="zh-CN"/>
              </w:rPr>
            </w:pPr>
            <w:r>
              <w:rPr>
                <w:rFonts w:hint="eastAsia" w:ascii="仿宋" w:hAnsi="仿宋" w:eastAsia="仿宋" w:cs="仿宋"/>
                <w:color w:val="auto"/>
                <w:sz w:val="21"/>
                <w:szCs w:val="21"/>
                <w:highlight w:val="none"/>
              </w:rPr>
              <w:t>■</w:t>
            </w:r>
            <w:r>
              <w:rPr>
                <w:rFonts w:hint="eastAsia" w:ascii="仿宋" w:hAnsi="仿宋" w:eastAsia="仿宋" w:cs="仿宋"/>
                <w:bCs/>
                <w:color w:val="auto"/>
                <w:kern w:val="2"/>
                <w:sz w:val="21"/>
                <w:szCs w:val="21"/>
                <w:highlight w:val="none"/>
                <w:u w:val="none"/>
                <w:lang w:val="en-US" w:eastAsia="zh-CN"/>
              </w:rPr>
              <w:t>提供上述勾选的任一项证明材料即可</w:t>
            </w:r>
          </w:p>
          <w:p w14:paraId="4FA7114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bCs/>
                <w:snapToGrid w:val="0"/>
                <w:color w:val="auto"/>
                <w:kern w:val="0"/>
                <w:sz w:val="21"/>
                <w:szCs w:val="21"/>
                <w:highlight w:val="none"/>
                <w:lang w:val="zh-CN" w:eastAsia="zh-CN" w:bidi="ar"/>
              </w:rPr>
            </w:pPr>
            <w:r>
              <w:rPr>
                <w:rFonts w:hint="eastAsia" w:ascii="仿宋" w:hAnsi="仿宋" w:eastAsia="仿宋" w:cs="仿宋"/>
                <w:color w:val="auto"/>
                <w:sz w:val="21"/>
                <w:szCs w:val="21"/>
                <w:highlight w:val="none"/>
                <w:lang w:eastAsia="zh-CN"/>
              </w:rPr>
              <w:t>□</w:t>
            </w:r>
            <w:r>
              <w:rPr>
                <w:rFonts w:hint="eastAsia" w:ascii="仿宋" w:hAnsi="仿宋" w:eastAsia="仿宋" w:cs="仿宋"/>
                <w:bCs/>
                <w:color w:val="auto"/>
                <w:kern w:val="2"/>
                <w:sz w:val="21"/>
                <w:szCs w:val="21"/>
                <w:highlight w:val="none"/>
                <w:u w:val="none"/>
                <w:lang w:val="en-US" w:eastAsia="zh-CN"/>
              </w:rPr>
              <w:t>需同时提供上述勾选的所有证明材料</w:t>
            </w:r>
          </w:p>
        </w:tc>
      </w:tr>
      <w:tr w14:paraId="2542B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529BAEF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投标</w:t>
            </w:r>
            <w:r>
              <w:rPr>
                <w:rFonts w:hint="eastAsia" w:ascii="仿宋" w:hAnsi="仿宋" w:eastAsia="仿宋" w:cs="仿宋"/>
                <w:color w:val="auto"/>
                <w:sz w:val="21"/>
                <w:szCs w:val="21"/>
                <w:highlight w:val="none"/>
              </w:rPr>
              <w:t>保证金</w:t>
            </w:r>
          </w:p>
        </w:tc>
        <w:tc>
          <w:tcPr>
            <w:tcW w:w="7699" w:type="dxa"/>
            <w:shd w:val="clear" w:color="auto" w:fill="auto"/>
            <w:noWrap w:val="0"/>
            <w:vAlign w:val="center"/>
          </w:tcPr>
          <w:p w14:paraId="6EBD00B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□不要求递交投标保证金</w:t>
            </w:r>
          </w:p>
          <w:p w14:paraId="794812C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要求递交投标保证金</w:t>
            </w:r>
          </w:p>
          <w:p w14:paraId="156DCF3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投标保证金的缴纳时间以实际到账的时间为准，未按时到账的投标保证金无效。投标保证金的交付人和投标人的名称必须一致，否则其投标文件将被否决。</w:t>
            </w:r>
          </w:p>
          <w:p w14:paraId="0A86C17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color w:val="auto"/>
                <w:sz w:val="21"/>
                <w:szCs w:val="21"/>
                <w:highlight w:val="none"/>
                <w:lang w:eastAsia="zh-CN"/>
              </w:rPr>
              <w:t>投标保证金的缴纳方式：</w:t>
            </w:r>
            <w:r>
              <w:rPr>
                <w:rFonts w:hint="eastAsia" w:ascii="仿宋" w:hAnsi="仿宋" w:eastAsia="仿宋" w:cs="仿宋"/>
                <w:bCs/>
                <w:color w:val="auto"/>
                <w:sz w:val="21"/>
                <w:szCs w:val="21"/>
                <w:highlight w:val="none"/>
                <w:lang w:bidi="ar"/>
              </w:rPr>
              <w:t>支票、汇票、本票、保函或者网银转账、电汇等</w:t>
            </w:r>
            <w:r>
              <w:rPr>
                <w:rFonts w:hint="eastAsia" w:ascii="仿宋" w:hAnsi="仿宋" w:eastAsia="仿宋" w:cs="仿宋"/>
                <w:bCs/>
                <w:color w:val="auto"/>
                <w:sz w:val="21"/>
                <w:szCs w:val="21"/>
                <w:highlight w:val="none"/>
                <w:lang w:eastAsia="zh-CN" w:bidi="ar"/>
              </w:rPr>
              <w:t>非现金</w:t>
            </w:r>
            <w:r>
              <w:rPr>
                <w:rFonts w:hint="eastAsia" w:ascii="仿宋" w:hAnsi="仿宋" w:eastAsia="仿宋" w:cs="仿宋"/>
                <w:bCs/>
                <w:color w:val="auto"/>
                <w:sz w:val="21"/>
                <w:szCs w:val="21"/>
                <w:highlight w:val="none"/>
                <w:lang w:bidi="ar"/>
              </w:rPr>
              <w:t>形式</w:t>
            </w:r>
            <w:r>
              <w:rPr>
                <w:rFonts w:hint="eastAsia" w:ascii="仿宋" w:hAnsi="仿宋" w:eastAsia="仿宋" w:cs="仿宋"/>
                <w:color w:val="auto"/>
                <w:sz w:val="21"/>
                <w:szCs w:val="21"/>
                <w:highlight w:val="none"/>
                <w:lang w:eastAsia="zh-CN"/>
              </w:rPr>
              <w:t>，投标人可根据实际情况，选择保证金的缴纳方式。</w:t>
            </w:r>
          </w:p>
          <w:p w14:paraId="78182BA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w:t>
            </w:r>
            <w:r>
              <w:rPr>
                <w:rFonts w:hint="eastAsia" w:ascii="仿宋" w:hAnsi="仿宋" w:eastAsia="仿宋" w:cs="仿宋"/>
                <w:b w:val="0"/>
                <w:color w:val="auto"/>
                <w:sz w:val="21"/>
                <w:szCs w:val="21"/>
                <w:highlight w:val="none"/>
                <w:lang w:val="en-US" w:eastAsia="zh-CN"/>
              </w:rPr>
              <w:t>根据《云南省发展和改革委员会等部门关于鼓励减免政府投资项目投标保证金的通知》（云发改交易管理〔2023〕397号）文件精神，自2023年5月1日起，政府投资项目进行招标投标活动时，减免投标保证金，降幅不得低于现收取数额的50%，采购人、招标代理机构应当在招标文件中明确减免投标保证金的情况。本项目投标保证金均按标准下浮75.00%收取。</w:t>
            </w:r>
          </w:p>
          <w:p w14:paraId="02B7C8E4">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投标保证金金额：1500.00元</w:t>
            </w:r>
          </w:p>
          <w:p w14:paraId="18C56C1E">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（一）投标保证金采用网银转账方式的：</w:t>
            </w:r>
            <w:r>
              <w:rPr>
                <w:rFonts w:hint="eastAsia" w:ascii="仿宋" w:hAnsi="仿宋" w:eastAsia="仿宋" w:cs="仿宋"/>
                <w:color w:val="auto"/>
                <w:kern w:val="0"/>
                <w:sz w:val="21"/>
                <w:szCs w:val="21"/>
                <w:highlight w:val="none"/>
                <w:lang w:val="en-US" w:eastAsia="zh-CN" w:bidi="ar"/>
              </w:rPr>
              <w:t>应以投标人名义提交且必须从投标人基本账户转出，不得以分支机构及其他名义提交。投标人应在投标截止时间前递交保证金并注明项目名称或项目编号等信息，到账时间以实际到达已公布的项目银行账号时间为准，未在投标截止时间前到账的保证金视为未提交。</w:t>
            </w:r>
          </w:p>
          <w:p w14:paraId="0A2C41D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w:t>
            </w:r>
            <w:r>
              <w:rPr>
                <w:rFonts w:hint="eastAsia" w:ascii="仿宋" w:hAnsi="仿宋" w:eastAsia="仿宋" w:cs="仿宋"/>
                <w:b w:val="0"/>
                <w:color w:val="auto"/>
                <w:sz w:val="21"/>
                <w:szCs w:val="21"/>
                <w:highlight w:val="none"/>
                <w:lang w:val="en-US"/>
              </w:rPr>
              <w:t>户名</w:t>
            </w:r>
            <w:r>
              <w:rPr>
                <w:rFonts w:hint="eastAsia" w:ascii="仿宋" w:hAnsi="仿宋" w:eastAsia="仿宋" w:cs="仿宋"/>
                <w:b w:val="0"/>
                <w:color w:val="auto"/>
                <w:sz w:val="21"/>
                <w:szCs w:val="21"/>
                <w:highlight w:val="none"/>
                <w:lang w:val="en-US" w:eastAsia="zh-CN"/>
              </w:rPr>
              <w:t>称</w:t>
            </w:r>
            <w:r>
              <w:rPr>
                <w:rFonts w:hint="eastAsia" w:ascii="仿宋" w:hAnsi="仿宋" w:eastAsia="仿宋" w:cs="仿宋"/>
                <w:b w:val="0"/>
                <w:color w:val="auto"/>
                <w:sz w:val="21"/>
                <w:szCs w:val="21"/>
                <w:highlight w:val="none"/>
                <w:lang w:val="en-US"/>
              </w:rPr>
              <w:t>：</w:t>
            </w:r>
            <w:r>
              <w:rPr>
                <w:rFonts w:hint="eastAsia" w:ascii="仿宋" w:hAnsi="仿宋" w:eastAsia="仿宋" w:cs="仿宋"/>
                <w:b w:val="0"/>
                <w:color w:val="auto"/>
                <w:sz w:val="21"/>
                <w:szCs w:val="21"/>
                <w:highlight w:val="none"/>
                <w:lang w:val="en-US" w:eastAsia="zh-CN"/>
              </w:rPr>
              <w:t>云南陈源项目管理有限公司</w:t>
            </w:r>
          </w:p>
          <w:p w14:paraId="276A0387">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开 户 行：中国邮政储蓄银行股份有限公司楚雄州分行</w:t>
            </w:r>
          </w:p>
          <w:p w14:paraId="3232D924">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账    号：953003010004508894</w:t>
            </w:r>
          </w:p>
          <w:p w14:paraId="0AD9FD79">
            <w:pPr>
              <w:keepNext w:val="0"/>
              <w:keepLines w:val="0"/>
              <w:pageBreakBefore w:val="0"/>
              <w:widowControl w:val="0"/>
              <w:kinsoku/>
              <w:wordWrap w:val="0"/>
              <w:overflowPunct/>
              <w:topLinePunct/>
              <w:autoSpaceDE/>
              <w:autoSpaceDN/>
              <w:bidi w:val="0"/>
              <w:adjustRightInd/>
              <w:snapToGrid/>
              <w:spacing w:line="240" w:lineRule="auto"/>
              <w:ind w:left="0" w:firstLine="420" w:firstLineChars="200"/>
              <w:jc w:val="left"/>
              <w:textAlignment w:val="auto"/>
              <w:rPr>
                <w:rFonts w:hint="eastAsia"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 系 人：杨工</w:t>
            </w:r>
          </w:p>
          <w:p w14:paraId="77921B94">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default" w:ascii="仿宋" w:hAnsi="仿宋" w:eastAsia="仿宋" w:cs="仿宋"/>
                <w:b w:val="0"/>
                <w:color w:val="auto"/>
                <w:sz w:val="21"/>
                <w:szCs w:val="21"/>
                <w:highlight w:val="none"/>
                <w:lang w:val="en-US" w:eastAsia="zh-CN"/>
              </w:rPr>
            </w:pPr>
            <w:r>
              <w:rPr>
                <w:rFonts w:hint="eastAsia" w:ascii="仿宋" w:hAnsi="仿宋" w:eastAsia="仿宋" w:cs="仿宋"/>
                <w:b w:val="0"/>
                <w:color w:val="auto"/>
                <w:sz w:val="21"/>
                <w:szCs w:val="21"/>
                <w:highlight w:val="none"/>
                <w:lang w:val="en-US" w:eastAsia="zh-CN"/>
              </w:rPr>
              <w:t>联系电话：15812143049</w:t>
            </w:r>
          </w:p>
          <w:p w14:paraId="11E4AE7B">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（二）投标保证金采用银行保函方式的：</w:t>
            </w:r>
            <w:r>
              <w:rPr>
                <w:rFonts w:hint="eastAsia" w:ascii="仿宋" w:hAnsi="仿宋" w:eastAsia="仿宋" w:cs="仿宋"/>
                <w:color w:val="auto"/>
                <w:kern w:val="0"/>
                <w:sz w:val="21"/>
                <w:szCs w:val="21"/>
                <w:highlight w:val="none"/>
                <w:lang w:val="en-US" w:eastAsia="zh-CN" w:bidi="ar"/>
              </w:rPr>
              <w:t>投保人应是投标人，受益人应是采购人，保证人应是投标人基本账号的开户银行。银行保函应正确填写受益人和投标人的全称，并与招标文件规定的项目名称相一致，以免造成投标无效。当投标人违反政府采购法律法规规章等规定且符合保证金不予退回情形的，由银行按照银行保函合同对采购人代偿投标保证金额。</w:t>
            </w:r>
          </w:p>
          <w:p w14:paraId="51A8483B">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2"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kern w:val="0"/>
                <w:sz w:val="21"/>
                <w:szCs w:val="21"/>
                <w:highlight w:val="none"/>
                <w:lang w:val="en-US" w:eastAsia="zh-CN" w:bidi="ar"/>
              </w:rPr>
              <w:t>（三）投标保证金采用电子保险保函方式的：</w:t>
            </w:r>
            <w:r>
              <w:rPr>
                <w:rFonts w:hint="eastAsia" w:ascii="仿宋" w:hAnsi="仿宋" w:eastAsia="仿宋" w:cs="仿宋"/>
                <w:color w:val="auto"/>
                <w:kern w:val="0"/>
                <w:sz w:val="21"/>
                <w:szCs w:val="21"/>
                <w:highlight w:val="none"/>
                <w:lang w:val="en-US" w:eastAsia="zh-CN" w:bidi="ar"/>
              </w:rPr>
              <w:t>在投标保证保险中，投标人为投保人，采购人为被保险人。当投标人违反法律法规且符合投标保证金不予退回情形的，由保险公司按照保险合同对采购人代偿投标保证金金额</w:t>
            </w:r>
            <w:r>
              <w:rPr>
                <w:rFonts w:hint="eastAsia" w:ascii="仿宋" w:hAnsi="仿宋" w:eastAsia="仿宋" w:cs="仿宋"/>
                <w:color w:val="auto"/>
                <w:sz w:val="21"/>
                <w:szCs w:val="21"/>
                <w:highlight w:val="none"/>
                <w:lang w:eastAsia="zh-CN"/>
              </w:rPr>
              <w:t>。</w:t>
            </w:r>
          </w:p>
        </w:tc>
      </w:tr>
      <w:tr w14:paraId="381848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DAE0BA5">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投标文件的签署</w:t>
            </w:r>
          </w:p>
        </w:tc>
        <w:tc>
          <w:tcPr>
            <w:tcW w:w="7699" w:type="dxa"/>
            <w:noWrap w:val="0"/>
            <w:vAlign w:val="center"/>
          </w:tcPr>
          <w:p w14:paraId="74E17ED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按照投标文件格式，在规定的电子签名处逐一电子签名，要求盖章处应盖单位公章（电子公章）。</w:t>
            </w:r>
          </w:p>
        </w:tc>
      </w:tr>
      <w:tr w14:paraId="50E2A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1936" w:type="dxa"/>
            <w:shd w:val="clear" w:color="auto" w:fill="auto"/>
            <w:noWrap w:val="0"/>
            <w:vAlign w:val="center"/>
          </w:tcPr>
          <w:p w14:paraId="3AEF1962">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投标文件是否退还</w:t>
            </w:r>
          </w:p>
        </w:tc>
        <w:tc>
          <w:tcPr>
            <w:tcW w:w="7699" w:type="dxa"/>
            <w:shd w:val="clear" w:color="auto" w:fill="auto"/>
            <w:noWrap w:val="0"/>
            <w:vAlign w:val="center"/>
          </w:tcPr>
          <w:p w14:paraId="237D811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否</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eastAsia="zh-CN"/>
              </w:rPr>
              <w:t>□是，退还时间：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lang w:eastAsia="zh-CN"/>
              </w:rPr>
              <w:t>/</w:t>
            </w:r>
            <w:r>
              <w:rPr>
                <w:rFonts w:hint="eastAsia" w:ascii="仿宋" w:hAnsi="仿宋" w:eastAsia="仿宋" w:cs="仿宋"/>
                <w:color w:val="auto"/>
                <w:sz w:val="21"/>
                <w:szCs w:val="21"/>
                <w:highlight w:val="none"/>
                <w:u w:val="single"/>
                <w:lang w:val="en-US" w:eastAsia="zh-CN"/>
              </w:rPr>
              <w:t xml:space="preserve"> </w:t>
            </w:r>
          </w:p>
        </w:tc>
      </w:tr>
      <w:tr w14:paraId="5F911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1E997BD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委员会的组建</w:t>
            </w:r>
          </w:p>
        </w:tc>
        <w:tc>
          <w:tcPr>
            <w:tcW w:w="7699" w:type="dxa"/>
            <w:noWrap w:val="0"/>
            <w:vAlign w:val="center"/>
          </w:tcPr>
          <w:p w14:paraId="65C41A4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1.评标委员会由采购人代表和评审专家组成，成员人数应当为5人以上单数，其中评审专家不得少于成员总数的三分之二。采购数额在 1000万元以上、技术复杂、社会影响较大的项目，评标委员会成员人数应当为7人以上单数</w:t>
            </w:r>
            <w:r>
              <w:rPr>
                <w:rFonts w:hint="eastAsia" w:ascii="仿宋" w:hAnsi="仿宋" w:eastAsia="仿宋" w:cs="仿宋"/>
                <w:color w:val="auto"/>
                <w:sz w:val="21"/>
                <w:szCs w:val="21"/>
                <w:highlight w:val="none"/>
              </w:rPr>
              <w:t>。</w:t>
            </w:r>
          </w:p>
          <w:p w14:paraId="2470575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专家确定方式：从</w:t>
            </w:r>
            <w:r>
              <w:rPr>
                <w:rFonts w:hint="eastAsia" w:ascii="仿宋" w:hAnsi="仿宋" w:eastAsia="仿宋" w:cs="仿宋"/>
                <w:color w:val="auto"/>
                <w:sz w:val="21"/>
                <w:szCs w:val="21"/>
                <w:highlight w:val="none"/>
                <w:lang w:eastAsia="zh-CN"/>
              </w:rPr>
              <w:t>“云南省政府采购评审专家库”</w:t>
            </w:r>
            <w:r>
              <w:rPr>
                <w:rFonts w:hint="eastAsia" w:ascii="仿宋" w:hAnsi="仿宋" w:eastAsia="仿宋" w:cs="仿宋"/>
                <w:color w:val="auto"/>
                <w:sz w:val="21"/>
                <w:szCs w:val="21"/>
                <w:highlight w:val="none"/>
              </w:rPr>
              <w:t>中</w:t>
            </w:r>
            <w:r>
              <w:rPr>
                <w:rFonts w:hint="eastAsia" w:ascii="仿宋" w:hAnsi="仿宋" w:eastAsia="仿宋" w:cs="仿宋"/>
                <w:color w:val="auto"/>
                <w:sz w:val="21"/>
                <w:szCs w:val="21"/>
                <w:highlight w:val="none"/>
                <w:lang w:val="en-US" w:eastAsia="zh-CN"/>
              </w:rPr>
              <w:t>随机抽取</w:t>
            </w:r>
            <w:r>
              <w:rPr>
                <w:rFonts w:hint="eastAsia" w:ascii="仿宋" w:hAnsi="仿宋" w:eastAsia="仿宋" w:cs="仿宋"/>
                <w:color w:val="auto"/>
                <w:sz w:val="21"/>
                <w:szCs w:val="21"/>
                <w:highlight w:val="none"/>
              </w:rPr>
              <w:t>。</w:t>
            </w:r>
          </w:p>
          <w:p w14:paraId="2DF5A092">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委员会应当推选组长，但</w:t>
            </w:r>
            <w:r>
              <w:rPr>
                <w:rFonts w:hint="eastAsia" w:ascii="仿宋" w:hAnsi="仿宋" w:eastAsia="仿宋" w:cs="仿宋"/>
                <w:color w:val="auto"/>
                <w:sz w:val="21"/>
                <w:szCs w:val="21"/>
                <w:highlight w:val="none"/>
                <w:lang w:eastAsia="zh-CN"/>
              </w:rPr>
              <w:t>采购</w:t>
            </w:r>
            <w:r>
              <w:rPr>
                <w:rFonts w:hint="eastAsia" w:ascii="仿宋" w:hAnsi="仿宋" w:eastAsia="仿宋" w:cs="仿宋"/>
                <w:color w:val="auto"/>
                <w:sz w:val="21"/>
                <w:szCs w:val="21"/>
                <w:highlight w:val="none"/>
              </w:rPr>
              <w:t>人代表不得担任组长。</w:t>
            </w:r>
          </w:p>
        </w:tc>
      </w:tr>
      <w:tr w14:paraId="387293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B340708">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评标方法</w:t>
            </w:r>
          </w:p>
        </w:tc>
        <w:tc>
          <w:tcPr>
            <w:tcW w:w="7699" w:type="dxa"/>
            <w:noWrap w:val="0"/>
            <w:vAlign w:val="center"/>
          </w:tcPr>
          <w:p w14:paraId="69CAFF51">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综合评分法</w:t>
            </w:r>
          </w:p>
          <w:p w14:paraId="10FC513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□最低评标价法</w:t>
            </w:r>
          </w:p>
        </w:tc>
      </w:tr>
      <w:tr w14:paraId="003FF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454E6B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投标有效期</w:t>
            </w:r>
          </w:p>
        </w:tc>
        <w:tc>
          <w:tcPr>
            <w:tcW w:w="7699" w:type="dxa"/>
            <w:noWrap w:val="0"/>
            <w:vAlign w:val="center"/>
          </w:tcPr>
          <w:p w14:paraId="2294F69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自提交投标文件的截止之日起算</w:t>
            </w:r>
            <w:r>
              <w:rPr>
                <w:rFonts w:hint="eastAsia" w:ascii="仿宋" w:hAnsi="仿宋" w:eastAsia="仿宋" w:cs="仿宋"/>
                <w:color w:val="auto"/>
                <w:sz w:val="21"/>
                <w:szCs w:val="21"/>
                <w:highlight w:val="none"/>
                <w:lang w:val="en-US" w:eastAsia="zh-CN"/>
              </w:rPr>
              <w:t>90</w:t>
            </w:r>
            <w:r>
              <w:rPr>
                <w:rFonts w:hint="eastAsia" w:ascii="仿宋" w:hAnsi="仿宋" w:eastAsia="仿宋" w:cs="仿宋"/>
                <w:color w:val="auto"/>
                <w:sz w:val="21"/>
                <w:szCs w:val="21"/>
                <w:highlight w:val="none"/>
              </w:rPr>
              <w:t>日历天。投标文件未明确投标有效期或者少于前述规定天数的，其投标文件按无效处理。</w:t>
            </w:r>
          </w:p>
        </w:tc>
      </w:tr>
      <w:tr w14:paraId="3F359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0069F8A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sz w:val="21"/>
                <w:szCs w:val="21"/>
                <w:highlight w:val="none"/>
              </w:rPr>
              <w:t>确定中标人</w:t>
            </w:r>
          </w:p>
        </w:tc>
        <w:tc>
          <w:tcPr>
            <w:tcW w:w="7699" w:type="dxa"/>
            <w:noWrap w:val="0"/>
            <w:vAlign w:val="center"/>
          </w:tcPr>
          <w:p w14:paraId="4ABEC58C">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中标候选人并列的，按照以下方式确定中标人： </w:t>
            </w:r>
          </w:p>
          <w:p w14:paraId="36E15936">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b/>
                <w:bCs/>
                <w:color w:val="auto"/>
                <w:sz w:val="21"/>
                <w:szCs w:val="21"/>
                <w:highlight w:val="none"/>
              </w:rPr>
              <w:t>采用最低</w:t>
            </w:r>
            <w:r>
              <w:rPr>
                <w:rFonts w:hint="eastAsia" w:ascii="仿宋" w:hAnsi="仿宋" w:eastAsia="仿宋" w:cs="仿宋"/>
                <w:b/>
                <w:bCs/>
                <w:color w:val="auto"/>
                <w:sz w:val="21"/>
                <w:szCs w:val="21"/>
                <w:highlight w:val="none"/>
                <w:lang w:eastAsia="zh-CN"/>
              </w:rPr>
              <w:t>评</w:t>
            </w:r>
            <w:r>
              <w:rPr>
                <w:rFonts w:hint="eastAsia" w:ascii="仿宋" w:hAnsi="仿宋" w:eastAsia="仿宋" w:cs="仿宋"/>
                <w:b/>
                <w:bCs/>
                <w:color w:val="auto"/>
                <w:sz w:val="21"/>
                <w:szCs w:val="21"/>
                <w:highlight w:val="none"/>
                <w:lang w:val="en-US" w:eastAsia="zh-CN"/>
              </w:rPr>
              <w:t>标</w:t>
            </w:r>
            <w:r>
              <w:rPr>
                <w:rFonts w:hint="eastAsia" w:ascii="仿宋" w:hAnsi="仿宋" w:eastAsia="仿宋" w:cs="仿宋"/>
                <w:b/>
                <w:bCs/>
                <w:color w:val="auto"/>
                <w:sz w:val="21"/>
                <w:szCs w:val="21"/>
                <w:highlight w:val="none"/>
              </w:rPr>
              <w:t>价法的</w:t>
            </w:r>
            <w:r>
              <w:rPr>
                <w:rFonts w:hint="eastAsia" w:ascii="仿宋" w:hAnsi="仿宋" w:eastAsia="仿宋" w:cs="仿宋"/>
                <w:b/>
                <w:bCs/>
                <w:color w:val="auto"/>
                <w:sz w:val="21"/>
                <w:szCs w:val="21"/>
                <w:highlight w:val="none"/>
                <w:lang w:eastAsia="zh-CN"/>
              </w:rPr>
              <w:t>：</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结果按投标报价由低到高顺序排列。投标报价相同的并列，投标文件满足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全部实质性要求且投标报价最低的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为排名第一的中标候选人。</w:t>
            </w:r>
          </w:p>
          <w:p w14:paraId="779B7B5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snapToGrid w:val="0"/>
                <w:color w:val="auto"/>
                <w:kern w:val="2"/>
                <w:sz w:val="21"/>
                <w:szCs w:val="21"/>
                <w:highlight w:val="none"/>
                <w:u w:val="singl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rPr>
              <w:t>采用综合评分法的</w:t>
            </w:r>
            <w:r>
              <w:rPr>
                <w:rFonts w:hint="eastAsia" w:ascii="仿宋" w:hAnsi="仿宋" w:eastAsia="仿宋" w:cs="仿宋"/>
                <w:b/>
                <w:bCs/>
                <w:color w:val="auto"/>
                <w:sz w:val="21"/>
                <w:szCs w:val="21"/>
                <w:highlight w:val="none"/>
                <w:lang w:eastAsia="zh-CN"/>
              </w:rPr>
              <w:t>：</w:t>
            </w:r>
            <w:r>
              <w:rPr>
                <w:rFonts w:hint="eastAsia" w:ascii="仿宋" w:hAnsi="仿宋" w:eastAsia="仿宋" w:cs="仿宋"/>
                <w:b w:val="0"/>
                <w:bCs w:val="0"/>
                <w:color w:val="auto"/>
                <w:sz w:val="21"/>
                <w:szCs w:val="21"/>
                <w:highlight w:val="none"/>
                <w:lang w:eastAsia="zh-CN"/>
              </w:rPr>
              <w:t>评标结果按评审后得分由高到低顺序排列。得分相同的，按投标报价由低到高顺序排列。得分且投标报价相同的并列。</w:t>
            </w:r>
            <w:r>
              <w:rPr>
                <w:rFonts w:hint="eastAsia" w:ascii="仿宋" w:hAnsi="仿宋" w:eastAsia="仿宋" w:cs="仿宋"/>
                <w:b w:val="0"/>
                <w:bCs w:val="0"/>
                <w:color w:val="auto"/>
                <w:sz w:val="21"/>
                <w:szCs w:val="21"/>
                <w:highlight w:val="none"/>
                <w:lang w:val="en-US" w:eastAsia="zh-CN"/>
              </w:rPr>
              <w:t>按照《政府采购货物和服务招标投标管理办法》第五十七条、第六十八条相关规定执行。</w:t>
            </w:r>
          </w:p>
        </w:tc>
      </w:tr>
      <w:tr w14:paraId="34BDF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0F8A103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中标通知书发出的形式 </w:t>
            </w:r>
          </w:p>
        </w:tc>
        <w:tc>
          <w:tcPr>
            <w:tcW w:w="7699" w:type="dxa"/>
            <w:shd w:val="clear" w:color="auto" w:fill="auto"/>
            <w:noWrap w:val="0"/>
            <w:vAlign w:val="center"/>
          </w:tcPr>
          <w:p w14:paraId="6EA7292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书面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数据电文 </w:t>
            </w:r>
          </w:p>
        </w:tc>
      </w:tr>
      <w:tr w14:paraId="79B8E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shd w:val="clear" w:color="auto" w:fill="auto"/>
            <w:noWrap w:val="0"/>
            <w:vAlign w:val="center"/>
          </w:tcPr>
          <w:p w14:paraId="2ECF99B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随中标结果公告同时公告的内容</w:t>
            </w:r>
          </w:p>
        </w:tc>
        <w:tc>
          <w:tcPr>
            <w:tcW w:w="7699" w:type="dxa"/>
            <w:shd w:val="clear" w:color="auto" w:fill="auto"/>
            <w:noWrap w:val="0"/>
            <w:vAlign w:val="center"/>
          </w:tcPr>
          <w:p w14:paraId="754DEB5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（1）中小企业声明函；（如有） </w:t>
            </w:r>
          </w:p>
          <w:p w14:paraId="0B1580D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（2）残疾人福利性单位声明函；（如有） </w:t>
            </w:r>
          </w:p>
          <w:p w14:paraId="4B356F3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（3）因落实政府采购政策等原因进行价格扣除后中标（成交）投标人的评审报价（适用最低评标价法） </w:t>
            </w:r>
          </w:p>
          <w:p w14:paraId="2E19F33F">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（4）中标（成交）投标人的评审总得分（适用综合评分法）</w:t>
            </w:r>
          </w:p>
        </w:tc>
      </w:tr>
      <w:tr w14:paraId="7441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jc w:val="center"/>
        </w:trPr>
        <w:tc>
          <w:tcPr>
            <w:tcW w:w="1936" w:type="dxa"/>
            <w:shd w:val="clear" w:color="auto" w:fill="auto"/>
            <w:noWrap w:val="0"/>
            <w:vAlign w:val="center"/>
          </w:tcPr>
          <w:p w14:paraId="2BDA1520">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告知招标结果的形式</w:t>
            </w:r>
          </w:p>
        </w:tc>
        <w:tc>
          <w:tcPr>
            <w:tcW w:w="7699" w:type="dxa"/>
            <w:shd w:val="clear" w:color="auto" w:fill="auto"/>
            <w:noWrap w:val="0"/>
            <w:vAlign w:val="center"/>
          </w:tcPr>
          <w:p w14:paraId="43246C6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投标人自行登录电子交易系统查看     □评标现场告知</w:t>
            </w:r>
          </w:p>
        </w:tc>
      </w:tr>
      <w:tr w14:paraId="3EC7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57E9DC6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履约保证金</w:t>
            </w:r>
          </w:p>
        </w:tc>
        <w:tc>
          <w:tcPr>
            <w:tcW w:w="7699" w:type="dxa"/>
            <w:noWrap w:val="0"/>
            <w:vAlign w:val="center"/>
          </w:tcPr>
          <w:p w14:paraId="10ED55FB">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（1）金额： </w:t>
            </w:r>
          </w:p>
          <w:p w14:paraId="540EFD9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□免收 </w:t>
            </w:r>
          </w:p>
          <w:p w14:paraId="3E87585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合同价的</w:t>
            </w:r>
            <w:r>
              <w:rPr>
                <w:rFonts w:hint="eastAsia" w:ascii="仿宋" w:hAnsi="仿宋" w:eastAsia="仿宋" w:cs="仿宋"/>
                <w:color w:val="auto"/>
                <w:sz w:val="21"/>
                <w:szCs w:val="21"/>
                <w:highlight w:val="none"/>
                <w:u w:val="single"/>
                <w:lang w:val="en-US" w:eastAsia="zh-CN"/>
              </w:rPr>
              <w:t>5</w:t>
            </w:r>
            <w:r>
              <w:rPr>
                <w:rFonts w:hint="eastAsia" w:ascii="仿宋" w:hAnsi="仿宋" w:eastAsia="仿宋" w:cs="仿宋"/>
                <w:color w:val="auto"/>
                <w:sz w:val="21"/>
                <w:szCs w:val="21"/>
                <w:highlight w:val="none"/>
                <w:lang w:val="en-US" w:eastAsia="zh-CN"/>
              </w:rPr>
              <w:t xml:space="preserve">% </w:t>
            </w:r>
          </w:p>
          <w:p w14:paraId="3DF64A9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□定额收取：人民币</w:t>
            </w:r>
            <w:r>
              <w:rPr>
                <w:rFonts w:hint="eastAsia" w:ascii="仿宋" w:hAnsi="仿宋" w:eastAsia="仿宋" w:cs="仿宋"/>
                <w:color w:val="auto"/>
                <w:sz w:val="21"/>
                <w:szCs w:val="21"/>
                <w:highlight w:val="none"/>
                <w:u w:val="single"/>
                <w:lang w:val="en-US" w:eastAsia="zh-CN"/>
              </w:rPr>
              <w:t xml:space="preserve"> / </w:t>
            </w:r>
            <w:r>
              <w:rPr>
                <w:rFonts w:hint="eastAsia" w:ascii="仿宋" w:hAnsi="仿宋" w:eastAsia="仿宋" w:cs="仿宋"/>
                <w:color w:val="auto"/>
                <w:sz w:val="21"/>
                <w:szCs w:val="21"/>
                <w:highlight w:val="none"/>
                <w:lang w:val="en-US" w:eastAsia="zh-CN"/>
              </w:rPr>
              <w:t xml:space="preserve">元 </w:t>
            </w:r>
          </w:p>
          <w:p w14:paraId="4C369252">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（2）支付方式： </w:t>
            </w:r>
          </w:p>
          <w:p w14:paraId="16E6DA6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转账/电汇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支票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汇票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本票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保险 </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rPr>
              <w:t xml:space="preserve">保函 </w:t>
            </w:r>
          </w:p>
          <w:p w14:paraId="139515CD">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（3）收款户名：</w:t>
            </w:r>
            <w:r>
              <w:rPr>
                <w:rFonts w:hint="eastAsia" w:ascii="仿宋" w:hAnsi="仿宋" w:eastAsia="仿宋" w:cs="仿宋"/>
                <w:color w:val="auto"/>
                <w:sz w:val="21"/>
                <w:szCs w:val="21"/>
                <w:highlight w:val="none"/>
                <w:u w:val="single"/>
                <w:lang w:val="en-US" w:eastAsia="zh-CN"/>
              </w:rPr>
              <w:t>牟定县水务局</w:t>
            </w:r>
            <w:r>
              <w:rPr>
                <w:rFonts w:hint="eastAsia" w:ascii="仿宋" w:hAnsi="仿宋" w:eastAsia="仿宋" w:cs="仿宋"/>
                <w:color w:val="auto"/>
                <w:sz w:val="21"/>
                <w:szCs w:val="21"/>
                <w:highlight w:val="none"/>
                <w:lang w:val="en-US" w:eastAsia="zh-CN"/>
              </w:rPr>
              <w:t xml:space="preserve"> </w:t>
            </w:r>
          </w:p>
          <w:p w14:paraId="598E4790">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（4）开户银行：</w:t>
            </w:r>
            <w:r>
              <w:rPr>
                <w:rFonts w:hint="eastAsia" w:ascii="仿宋" w:hAnsi="仿宋" w:eastAsia="仿宋" w:cs="仿宋"/>
                <w:color w:val="auto"/>
                <w:sz w:val="21"/>
                <w:szCs w:val="21"/>
                <w:highlight w:val="none"/>
                <w:u w:val="single"/>
                <w:lang w:val="en-US" w:eastAsia="zh-CN"/>
              </w:rPr>
              <w:t xml:space="preserve">            </w:t>
            </w:r>
          </w:p>
          <w:p w14:paraId="47E89873">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（5）收款账号：</w:t>
            </w:r>
            <w:r>
              <w:rPr>
                <w:rFonts w:hint="eastAsia" w:ascii="仿宋" w:hAnsi="仿宋" w:eastAsia="仿宋" w:cs="仿宋"/>
                <w:color w:val="auto"/>
                <w:sz w:val="21"/>
                <w:szCs w:val="21"/>
                <w:highlight w:val="none"/>
                <w:u w:val="single"/>
                <w:lang w:val="en-US" w:eastAsia="zh-CN"/>
              </w:rPr>
              <w:t xml:space="preserve">            </w:t>
            </w:r>
          </w:p>
          <w:p w14:paraId="4F8C6887">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（6）缴纳时间：</w:t>
            </w:r>
            <w:r>
              <w:rPr>
                <w:rFonts w:hint="eastAsia" w:ascii="仿宋" w:hAnsi="仿宋" w:eastAsia="仿宋" w:cs="仿宋"/>
                <w:color w:val="auto"/>
                <w:sz w:val="21"/>
                <w:szCs w:val="21"/>
                <w:highlight w:val="none"/>
                <w:u w:val="single"/>
                <w:lang w:val="en-US" w:eastAsia="zh-CN"/>
              </w:rPr>
              <w:t>中标人在收到中标（成交）通知书30日内向采购人提交履约保证金。</w:t>
            </w:r>
          </w:p>
          <w:p w14:paraId="4D2C3CA8">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sz w:val="21"/>
                <w:szCs w:val="21"/>
                <w:highlight w:val="none"/>
                <w:u w:val="single"/>
                <w:lang w:eastAsia="zh-CN"/>
              </w:rPr>
            </w:pPr>
            <w:r>
              <w:rPr>
                <w:rFonts w:hint="eastAsia" w:ascii="仿宋" w:hAnsi="仿宋" w:eastAsia="仿宋" w:cs="仿宋"/>
                <w:color w:val="auto"/>
                <w:sz w:val="21"/>
                <w:szCs w:val="21"/>
                <w:highlight w:val="none"/>
                <w:lang w:val="en-US" w:eastAsia="zh-CN"/>
              </w:rPr>
              <w:t>（7）退还时间：</w:t>
            </w:r>
            <w:r>
              <w:rPr>
                <w:rFonts w:hint="eastAsia" w:ascii="仿宋" w:hAnsi="仿宋" w:eastAsia="仿宋" w:cs="仿宋"/>
                <w:color w:val="auto"/>
                <w:sz w:val="21"/>
                <w:szCs w:val="21"/>
                <w:highlight w:val="none"/>
                <w:u w:val="single"/>
                <w:lang w:val="en-US" w:eastAsia="zh-CN"/>
              </w:rPr>
              <w:t>项目终验合格后，由中标人书面申请，经采购人审核无误后30个工作日内无息退还履约保证金。</w:t>
            </w:r>
          </w:p>
          <w:p w14:paraId="669FF37A">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注意事项： </w:t>
            </w:r>
          </w:p>
          <w:p w14:paraId="4AEABBE1">
            <w:pPr>
              <w:keepNext w:val="0"/>
              <w:keepLines w:val="0"/>
              <w:pageBreakBefore w:val="0"/>
              <w:widowControl w:val="0"/>
              <w:kinsoku/>
              <w:wordWrap w:val="0"/>
              <w:overflowPunct/>
              <w:topLinePunct/>
              <w:autoSpaceDE/>
              <w:autoSpaceDN/>
              <w:bidi w:val="0"/>
              <w:adjustRightInd/>
              <w:snapToGrid/>
              <w:spacing w:line="20" w:lineRule="atLeast"/>
              <w:ind w:left="0" w:right="0" w:rightChars="0" w:firstLine="422" w:firstLineChars="20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（1）以上各类机构出具的以担保函、保证保险承担责任的方式均须满足无条件见索即付条件。 </w:t>
            </w:r>
          </w:p>
          <w:p w14:paraId="1FCDC75C">
            <w:pPr>
              <w:keepNext w:val="0"/>
              <w:keepLines w:val="0"/>
              <w:pageBreakBefore w:val="0"/>
              <w:widowControl w:val="0"/>
              <w:kinsoku/>
              <w:wordWrap w:val="0"/>
              <w:overflowPunct/>
              <w:topLinePunct/>
              <w:autoSpaceDE/>
              <w:autoSpaceDN/>
              <w:bidi w:val="0"/>
              <w:adjustRightInd/>
              <w:snapToGrid/>
              <w:spacing w:line="20" w:lineRule="atLeast"/>
              <w:ind w:right="0" w:rightChars="0" w:firstLine="422"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（2）以担保函、保证保险形式缴纳履约保证金的，受益人和收取单位须为采购人。 </w:t>
            </w:r>
            <w:r>
              <w:rPr>
                <w:rFonts w:hint="eastAsia" w:ascii="仿宋" w:hAnsi="仿宋" w:eastAsia="仿宋" w:cs="仿宋"/>
                <w:color w:val="auto"/>
                <w:sz w:val="21"/>
                <w:szCs w:val="21"/>
                <w:highlight w:val="none"/>
                <w:lang w:val="en-US" w:eastAsia="zh-CN"/>
              </w:rPr>
              <w:t xml:space="preserve"> </w:t>
            </w:r>
          </w:p>
        </w:tc>
      </w:tr>
      <w:tr w14:paraId="78FBD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1936" w:type="dxa"/>
            <w:noWrap w:val="0"/>
            <w:vAlign w:val="center"/>
          </w:tcPr>
          <w:p w14:paraId="6DA5ECD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采购代理服务费</w:t>
            </w:r>
          </w:p>
        </w:tc>
        <w:tc>
          <w:tcPr>
            <w:tcW w:w="7699" w:type="dxa"/>
            <w:noWrap w:val="0"/>
            <w:vAlign w:val="center"/>
          </w:tcPr>
          <w:p w14:paraId="747F66A2">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收费对象：</w:t>
            </w:r>
          </w:p>
          <w:p w14:paraId="7331543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采购人</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■中标人</w:t>
            </w:r>
          </w:p>
          <w:p w14:paraId="06A486F4">
            <w:pPr>
              <w:pStyle w:val="10"/>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2.收费标准：</w:t>
            </w:r>
            <w:r>
              <w:rPr>
                <w:rFonts w:hint="eastAsia" w:ascii="仿宋" w:hAnsi="仿宋" w:eastAsia="仿宋" w:cs="仿宋"/>
                <w:snapToGrid w:val="0"/>
                <w:color w:val="auto"/>
                <w:kern w:val="0"/>
                <w:sz w:val="21"/>
                <w:szCs w:val="21"/>
                <w:highlight w:val="none"/>
                <w:lang w:val="en-US" w:eastAsia="zh-CN" w:bidi="ar-SA"/>
              </w:rPr>
              <w:t>按人民币大写：柒仟元整（小写：¥7000.00元）收取</w:t>
            </w:r>
            <w:r>
              <w:rPr>
                <w:rFonts w:hint="eastAsia" w:cs="仿宋"/>
                <w:snapToGrid w:val="0"/>
                <w:color w:val="auto"/>
                <w:kern w:val="0"/>
                <w:sz w:val="21"/>
                <w:szCs w:val="21"/>
                <w:highlight w:val="none"/>
                <w:lang w:val="en-US" w:eastAsia="zh-CN" w:bidi="ar-SA"/>
              </w:rPr>
              <w:t>。</w:t>
            </w:r>
          </w:p>
          <w:p w14:paraId="0F16C31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缴纳时间：中标人应在接受“中标通知书”</w:t>
            </w:r>
            <w:r>
              <w:rPr>
                <w:rFonts w:hint="eastAsia" w:ascii="仿宋" w:hAnsi="仿宋" w:eastAsia="仿宋" w:cs="仿宋"/>
                <w:color w:val="auto"/>
                <w:sz w:val="21"/>
                <w:szCs w:val="21"/>
                <w:highlight w:val="none"/>
                <w:lang w:val="en-US" w:eastAsia="zh-CN"/>
              </w:rPr>
              <w:t>时向采购</w:t>
            </w:r>
            <w:r>
              <w:rPr>
                <w:rFonts w:hint="eastAsia" w:ascii="仿宋" w:hAnsi="仿宋" w:eastAsia="仿宋" w:cs="仿宋"/>
                <w:color w:val="auto"/>
                <w:sz w:val="21"/>
                <w:szCs w:val="21"/>
                <w:highlight w:val="none"/>
                <w:lang w:eastAsia="zh-CN"/>
              </w:rPr>
              <w:t>代理机构</w:t>
            </w:r>
            <w:r>
              <w:rPr>
                <w:rFonts w:hint="eastAsia" w:ascii="仿宋" w:hAnsi="仿宋" w:eastAsia="仿宋" w:cs="仿宋"/>
                <w:color w:val="auto"/>
                <w:sz w:val="21"/>
                <w:szCs w:val="21"/>
                <w:highlight w:val="none"/>
              </w:rPr>
              <w:t>一次付清代理服务费。</w:t>
            </w:r>
          </w:p>
          <w:p w14:paraId="342EDDCD">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Chars="200" w:right="0" w:rightChars="0"/>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4.缴纳方式：银行转账。</w:t>
            </w:r>
          </w:p>
        </w:tc>
      </w:tr>
      <w:tr w14:paraId="0B4BC0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A22B5D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信用信息查询</w:t>
            </w:r>
          </w:p>
        </w:tc>
        <w:tc>
          <w:tcPr>
            <w:tcW w:w="7699" w:type="dxa"/>
            <w:noWrap w:val="0"/>
            <w:vAlign w:val="center"/>
          </w:tcPr>
          <w:p w14:paraId="4C24A715">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kern w:val="2"/>
                <w:sz w:val="21"/>
                <w:szCs w:val="21"/>
                <w:highlight w:val="none"/>
                <w:lang w:val="zh-CN" w:eastAsia="zh-CN" w:bidi="ar-SA"/>
              </w:rPr>
              <w:t>信用信息查询渠道及截止时间：采购代理机构将在开标后评标会议开始前通过“信用中国”网站</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www.creditchina.gov.cn</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、中国政府采购网</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www.ccgp.gov.cn</w:t>
            </w:r>
            <w:r>
              <w:rPr>
                <w:rFonts w:hint="eastAsia" w:cs="仿宋"/>
                <w:color w:val="auto"/>
                <w:kern w:val="2"/>
                <w:sz w:val="21"/>
                <w:szCs w:val="21"/>
                <w:highlight w:val="none"/>
                <w:lang w:val="zh-CN" w:eastAsia="zh-CN" w:bidi="ar-SA"/>
              </w:rPr>
              <w:t>）</w:t>
            </w:r>
            <w:r>
              <w:rPr>
                <w:rFonts w:hint="eastAsia" w:ascii="仿宋" w:hAnsi="仿宋" w:eastAsia="仿宋" w:cs="仿宋"/>
                <w:color w:val="auto"/>
                <w:kern w:val="2"/>
                <w:sz w:val="21"/>
                <w:szCs w:val="21"/>
                <w:highlight w:val="none"/>
                <w:lang w:val="zh-CN" w:eastAsia="zh-CN" w:bidi="ar-SA"/>
              </w:rPr>
              <w:t>渠道查询投标人接受资格审查时的信用记录。</w:t>
            </w:r>
          </w:p>
          <w:p w14:paraId="43D299B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2.</w:t>
            </w:r>
            <w:r>
              <w:rPr>
                <w:rFonts w:hint="eastAsia" w:ascii="仿宋" w:hAnsi="仿宋" w:eastAsia="仿宋" w:cs="仿宋"/>
                <w:color w:val="auto"/>
                <w:kern w:val="2"/>
                <w:sz w:val="21"/>
                <w:szCs w:val="21"/>
                <w:highlight w:val="none"/>
                <w:lang w:val="zh-CN" w:eastAsia="zh-CN" w:bidi="ar-SA"/>
              </w:rPr>
              <w:t>信用信息查询记录和证据留存的具体方式：采购代理机构在“信用中国”网站（www.creditchina.gov.cn）</w:t>
            </w:r>
            <w:r>
              <w:rPr>
                <w:rFonts w:hint="eastAsia" w:ascii="仿宋" w:hAnsi="仿宋" w:eastAsia="仿宋" w:cs="仿宋"/>
                <w:color w:val="auto"/>
                <w:kern w:val="2"/>
                <w:sz w:val="21"/>
                <w:szCs w:val="21"/>
                <w:highlight w:val="none"/>
                <w:lang w:val="en-US" w:eastAsia="zh-CN" w:bidi="ar-SA"/>
              </w:rPr>
              <w:t>或中国执行公开网（https://zxgk.court.gov.cn/）</w:t>
            </w:r>
            <w:r>
              <w:rPr>
                <w:rFonts w:hint="eastAsia" w:ascii="仿宋" w:hAnsi="仿宋" w:eastAsia="仿宋" w:cs="仿宋"/>
                <w:color w:val="auto"/>
                <w:kern w:val="2"/>
                <w:sz w:val="21"/>
                <w:szCs w:val="21"/>
                <w:highlight w:val="none"/>
                <w:lang w:val="zh-CN" w:eastAsia="zh-CN" w:bidi="ar-SA"/>
              </w:rPr>
              <w:t>对投标人进行失信被执行人、重大税收违法失信主体和政府采购严重违法失信行为记录名单的信用信息查询；在中国政府采购网（www.ccgp.gov.cn）对投标人进行“政府采购严重违法失信行为信息记录”的信用信息查询。查询的投标人信用记录、查询结果经确认后将与采购文件一起存档。</w:t>
            </w:r>
          </w:p>
          <w:p w14:paraId="338F8D87">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color w:val="auto"/>
                <w:kern w:val="2"/>
                <w:sz w:val="21"/>
                <w:szCs w:val="21"/>
                <w:highlight w:val="none"/>
                <w:lang w:val="zh-CN" w:eastAsia="zh-CN" w:bidi="ar-SA"/>
              </w:rPr>
            </w:pPr>
            <w:r>
              <w:rPr>
                <w:rFonts w:hint="eastAsia" w:ascii="仿宋" w:hAnsi="仿宋" w:eastAsia="仿宋" w:cs="仿宋"/>
                <w:color w:val="auto"/>
                <w:kern w:val="2"/>
                <w:sz w:val="21"/>
                <w:szCs w:val="21"/>
                <w:highlight w:val="none"/>
                <w:lang w:val="en-US" w:eastAsia="zh-CN" w:bidi="ar-SA"/>
              </w:rPr>
              <w:t>3.</w:t>
            </w:r>
            <w:r>
              <w:rPr>
                <w:rFonts w:hint="eastAsia" w:ascii="仿宋" w:hAnsi="仿宋" w:eastAsia="仿宋" w:cs="仿宋"/>
                <w:color w:val="auto"/>
                <w:kern w:val="2"/>
                <w:sz w:val="21"/>
                <w:szCs w:val="21"/>
                <w:highlight w:val="none"/>
                <w:lang w:val="zh-CN" w:eastAsia="zh-CN" w:bidi="ar-SA"/>
              </w:rPr>
              <w:t>信用信息的使用规则：经查询列入失信被执行人名单或者重大税收违法案件当事人名单或者政府采购严重违法失信行为记录名单的投标人将被拒绝参与政府采购活动。</w:t>
            </w:r>
          </w:p>
          <w:p w14:paraId="788BF26B">
            <w:pPr>
              <w:pStyle w:val="10"/>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kern w:val="2"/>
                <w:sz w:val="21"/>
                <w:szCs w:val="21"/>
                <w:highlight w:val="none"/>
                <w:lang w:val="en-US" w:eastAsia="zh-CN" w:bidi="ar-SA"/>
              </w:rPr>
              <w:t>4.</w:t>
            </w:r>
            <w:r>
              <w:rPr>
                <w:rFonts w:hint="eastAsia" w:ascii="仿宋" w:hAnsi="仿宋" w:eastAsia="仿宋" w:cs="仿宋"/>
                <w:color w:val="auto"/>
                <w:kern w:val="2"/>
                <w:sz w:val="21"/>
                <w:szCs w:val="21"/>
                <w:highlight w:val="none"/>
                <w:lang w:val="zh-CN" w:eastAsia="zh-CN" w:bidi="ar-SA"/>
              </w:rPr>
              <w:t>联合体信用信息查询：两个以上的自然人、法人或者其他组织组成一个联合体，以一个投标人的身份共同参加政府采购活动的，应当对所有联合体成员进行信用记录查询，联合体成员存在不良信用记录的，视同联合体存在不良信用记录。</w:t>
            </w:r>
          </w:p>
        </w:tc>
      </w:tr>
      <w:tr w14:paraId="64476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2B7DD22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en-US" w:eastAsia="zh-CN"/>
              </w:rPr>
              <w:t>方案讲解演示</w:t>
            </w:r>
          </w:p>
        </w:tc>
        <w:tc>
          <w:tcPr>
            <w:tcW w:w="7699" w:type="dxa"/>
            <w:noWrap w:val="0"/>
            <w:vAlign w:val="center"/>
          </w:tcPr>
          <w:p w14:paraId="67807ABF">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不组织</w:t>
            </w:r>
          </w:p>
          <w:p w14:paraId="65B050D4">
            <w:pPr>
              <w:keepNext w:val="0"/>
              <w:keepLines w:val="0"/>
              <w:pageBreakBefore w:val="0"/>
              <w:widowControl w:val="0"/>
              <w:tabs>
                <w:tab w:val="left" w:pos="7665"/>
              </w:tabs>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组织</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具体要求</w:t>
            </w:r>
            <w:r>
              <w:rPr>
                <w:rFonts w:hint="eastAsia" w:ascii="仿宋" w:hAnsi="仿宋" w:eastAsia="仿宋" w:cs="仿宋"/>
                <w:color w:val="auto"/>
                <w:sz w:val="21"/>
                <w:szCs w:val="21"/>
                <w:highlight w:val="none"/>
                <w:u w:val="single"/>
                <w:lang w:val="en-US" w:eastAsia="zh-CN"/>
              </w:rPr>
              <w:t xml:space="preserve">                </w:t>
            </w:r>
          </w:p>
        </w:tc>
      </w:tr>
      <w:tr w14:paraId="3355F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7793062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en-US" w:eastAsia="en-US" w:bidi="ar-SA"/>
              </w:rPr>
            </w:pPr>
            <w:r>
              <w:rPr>
                <w:rFonts w:hint="eastAsia" w:ascii="仿宋" w:hAnsi="仿宋" w:eastAsia="仿宋" w:cs="仿宋"/>
                <w:color w:val="auto"/>
                <w:sz w:val="21"/>
                <w:szCs w:val="21"/>
                <w:highlight w:val="none"/>
                <w:lang w:val="zh-CN"/>
              </w:rPr>
              <w:t>承诺提醒</w:t>
            </w:r>
          </w:p>
        </w:tc>
        <w:tc>
          <w:tcPr>
            <w:tcW w:w="7699" w:type="dxa"/>
            <w:noWrap w:val="0"/>
            <w:vAlign w:val="center"/>
          </w:tcPr>
          <w:p w14:paraId="0011DD55">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zh-CN" w:eastAsia="zh-CN" w:bidi="ar-SA"/>
              </w:rPr>
              <w:t>关于</w:t>
            </w:r>
            <w:r>
              <w:rPr>
                <w:rFonts w:hint="eastAsia" w:ascii="仿宋" w:hAnsi="仿宋" w:eastAsia="仿宋"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针对本项目提出的相关资格或实质性要求的承诺（包括但不限于依法缴纳税收和社会保障资金），项目采购活动结束后，采购人或</w:t>
            </w:r>
            <w:r>
              <w:rPr>
                <w:rFonts w:hint="eastAsia" w:ascii="仿宋" w:hAnsi="仿宋" w:eastAsia="仿宋" w:cs="仿宋"/>
                <w:color w:val="auto"/>
                <w:kern w:val="2"/>
                <w:sz w:val="21"/>
                <w:szCs w:val="21"/>
                <w:highlight w:val="none"/>
                <w:lang w:val="en-US" w:eastAsia="zh-CN" w:bidi="ar-SA"/>
              </w:rPr>
              <w:t>采购</w:t>
            </w:r>
            <w:r>
              <w:rPr>
                <w:rFonts w:hint="eastAsia" w:ascii="仿宋" w:hAnsi="仿宋" w:eastAsia="仿宋" w:cs="仿宋"/>
                <w:color w:val="auto"/>
                <w:kern w:val="2"/>
                <w:sz w:val="21"/>
                <w:szCs w:val="21"/>
                <w:highlight w:val="none"/>
                <w:lang w:val="zh-CN" w:eastAsia="zh-CN" w:bidi="ar-SA"/>
              </w:rPr>
              <w:t>代理机构如有必要将核实</w:t>
            </w:r>
            <w:r>
              <w:rPr>
                <w:rFonts w:hint="eastAsia" w:ascii="仿宋" w:hAnsi="仿宋" w:eastAsia="仿宋" w:cs="仿宋"/>
                <w:color w:val="auto"/>
                <w:kern w:val="2"/>
                <w:sz w:val="21"/>
                <w:szCs w:val="21"/>
                <w:highlight w:val="none"/>
                <w:lang w:val="en-US" w:eastAsia="zh-CN" w:bidi="ar-SA"/>
              </w:rPr>
              <w:t>投标人</w:t>
            </w:r>
            <w:r>
              <w:rPr>
                <w:rFonts w:hint="eastAsia" w:ascii="仿宋" w:hAnsi="仿宋" w:eastAsia="仿宋" w:cs="仿宋"/>
                <w:color w:val="auto"/>
                <w:kern w:val="2"/>
                <w:sz w:val="21"/>
                <w:szCs w:val="21"/>
                <w:highlight w:val="none"/>
                <w:lang w:val="zh-CN" w:eastAsia="zh-CN" w:bidi="ar-SA"/>
              </w:rPr>
              <w:t>所作承诺的真实性，如提供虚假承诺将报告监管部门严肃追究法律责任。</w:t>
            </w:r>
          </w:p>
        </w:tc>
      </w:tr>
      <w:tr w14:paraId="2AE1C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E336D2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2"/>
                <w:sz w:val="21"/>
                <w:szCs w:val="21"/>
                <w:highlight w:val="none"/>
                <w:lang w:val="zh-CN" w:eastAsia="zh-CN" w:bidi="ar-SA"/>
              </w:rPr>
            </w:pPr>
            <w:r>
              <w:rPr>
                <w:rFonts w:hint="eastAsia" w:ascii="仿宋" w:hAnsi="仿宋" w:eastAsia="仿宋" w:cs="仿宋"/>
                <w:color w:val="auto"/>
                <w:sz w:val="21"/>
                <w:szCs w:val="21"/>
                <w:highlight w:val="none"/>
                <w:lang w:val="en-US" w:eastAsia="zh-CN"/>
              </w:rPr>
              <w:t>定义</w:t>
            </w:r>
          </w:p>
        </w:tc>
        <w:tc>
          <w:tcPr>
            <w:tcW w:w="7699" w:type="dxa"/>
            <w:noWrap w:val="0"/>
            <w:vAlign w:val="center"/>
          </w:tcPr>
          <w:p w14:paraId="4F8A077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en-US" w:eastAsia="zh-CN" w:bidi="ar"/>
              </w:rPr>
              <w:t>1.</w:t>
            </w:r>
            <w:r>
              <w:rPr>
                <w:rFonts w:hint="eastAsia" w:ascii="仿宋" w:hAnsi="仿宋" w:eastAsia="仿宋" w:cs="仿宋"/>
                <w:b/>
                <w:bCs/>
                <w:color w:val="auto"/>
                <w:kern w:val="0"/>
                <w:sz w:val="21"/>
                <w:szCs w:val="21"/>
                <w:highlight w:val="none"/>
                <w:lang w:bidi="ar"/>
              </w:rPr>
              <w:t>原件：</w:t>
            </w:r>
            <w:r>
              <w:rPr>
                <w:rFonts w:hint="eastAsia" w:ascii="仿宋" w:hAnsi="仿宋" w:eastAsia="仿宋" w:cs="仿宋"/>
                <w:color w:val="auto"/>
                <w:kern w:val="0"/>
                <w:sz w:val="21"/>
                <w:szCs w:val="21"/>
                <w:highlight w:val="none"/>
                <w:lang w:bidi="ar"/>
              </w:rPr>
              <w:t>最初产生的区别于复制件（或复印件）的原始文件或文件的原本。</w:t>
            </w:r>
          </w:p>
          <w:p w14:paraId="239C1045">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2.</w:t>
            </w:r>
            <w:r>
              <w:rPr>
                <w:rFonts w:hint="eastAsia" w:ascii="仿宋" w:hAnsi="仿宋" w:eastAsia="仿宋" w:cs="仿宋"/>
                <w:b/>
                <w:bCs/>
                <w:color w:val="auto"/>
                <w:kern w:val="0"/>
                <w:sz w:val="21"/>
                <w:szCs w:val="21"/>
                <w:highlight w:val="none"/>
                <w:lang w:bidi="ar"/>
              </w:rPr>
              <w:t>书面形式：</w:t>
            </w:r>
            <w:r>
              <w:rPr>
                <w:rFonts w:hint="eastAsia" w:ascii="仿宋" w:hAnsi="仿宋" w:eastAsia="仿宋" w:cs="仿宋"/>
                <w:color w:val="auto"/>
                <w:kern w:val="0"/>
                <w:sz w:val="21"/>
                <w:szCs w:val="21"/>
                <w:highlight w:val="none"/>
                <w:lang w:bidi="ar"/>
              </w:rPr>
              <w:t>包括文字的打印或复印件、传真、信函、电传、电报、电子邮件、</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云南省政府采购网》《政府采购云平台</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kern w:val="0"/>
                <w:sz w:val="21"/>
                <w:szCs w:val="21"/>
                <w:highlight w:val="none"/>
                <w:lang w:bidi="ar"/>
              </w:rPr>
              <w:t>发布的公告等可以有形地表现所载内容的形式。</w:t>
            </w:r>
          </w:p>
          <w:p w14:paraId="3499716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val="zh-CN" w:bidi="ar"/>
              </w:rPr>
            </w:pPr>
            <w:r>
              <w:rPr>
                <w:rFonts w:hint="eastAsia" w:ascii="仿宋" w:hAnsi="仿宋" w:eastAsia="仿宋" w:cs="仿宋"/>
                <w:b/>
                <w:bCs/>
                <w:color w:val="auto"/>
                <w:kern w:val="0"/>
                <w:sz w:val="21"/>
                <w:szCs w:val="21"/>
                <w:highlight w:val="none"/>
                <w:lang w:val="zh-CN" w:eastAsia="zh-CN" w:bidi="ar"/>
              </w:rPr>
              <w:t>3.</w:t>
            </w:r>
            <w:r>
              <w:rPr>
                <w:rFonts w:hint="eastAsia" w:ascii="仿宋" w:hAnsi="仿宋" w:eastAsia="仿宋" w:cs="仿宋"/>
                <w:b/>
                <w:bCs/>
                <w:color w:val="auto"/>
                <w:kern w:val="0"/>
                <w:sz w:val="21"/>
                <w:szCs w:val="21"/>
                <w:highlight w:val="none"/>
                <w:lang w:bidi="ar"/>
              </w:rPr>
              <w:t>证明文件的清晰度和可读性</w:t>
            </w:r>
            <w:r>
              <w:rPr>
                <w:rFonts w:hint="eastAsia" w:ascii="仿宋" w:hAnsi="仿宋" w:eastAsia="仿宋" w:cs="仿宋"/>
                <w:color w:val="auto"/>
                <w:kern w:val="0"/>
                <w:sz w:val="21"/>
                <w:szCs w:val="21"/>
                <w:highlight w:val="none"/>
                <w:lang w:bidi="ar"/>
              </w:rPr>
              <w:t>：</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所提供的证明文件应清晰、完整地表达信息，并保证文本和图表的清晰度和可读性。如果证明文件因未提供或因无法辨识确认无法正确表达信息、阅读困难等情况的发生，</w:t>
            </w:r>
            <w:r>
              <w:rPr>
                <w:rFonts w:hint="eastAsia" w:ascii="仿宋" w:hAnsi="仿宋" w:eastAsia="仿宋" w:cs="仿宋"/>
                <w:color w:val="auto"/>
                <w:sz w:val="21"/>
                <w:szCs w:val="21"/>
                <w:highlight w:val="none"/>
              </w:rPr>
              <w:t>则</w:t>
            </w:r>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委员会有权视具体情形评分时予以处理，乃至作出不利于</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的认定</w:t>
            </w:r>
            <w:r>
              <w:rPr>
                <w:rFonts w:hint="eastAsia" w:ascii="仿宋" w:hAnsi="仿宋" w:eastAsia="仿宋" w:cs="仿宋"/>
                <w:color w:val="auto"/>
                <w:kern w:val="0"/>
                <w:sz w:val="21"/>
                <w:szCs w:val="21"/>
                <w:highlight w:val="none"/>
                <w:lang w:bidi="ar"/>
              </w:rPr>
              <w:t>。（涉及商业秘密的可以做模糊处理）</w:t>
            </w:r>
          </w:p>
          <w:p w14:paraId="11B48200">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color w:val="auto"/>
                <w:kern w:val="0"/>
                <w:sz w:val="21"/>
                <w:szCs w:val="21"/>
                <w:highlight w:val="none"/>
                <w:lang w:bidi="ar"/>
              </w:rPr>
            </w:pPr>
            <w:r>
              <w:rPr>
                <w:rFonts w:hint="eastAsia" w:ascii="仿宋" w:hAnsi="仿宋" w:eastAsia="仿宋" w:cs="仿宋"/>
                <w:b/>
                <w:bCs/>
                <w:color w:val="auto"/>
                <w:kern w:val="0"/>
                <w:sz w:val="21"/>
                <w:szCs w:val="21"/>
                <w:highlight w:val="none"/>
                <w:lang w:val="zh-CN" w:eastAsia="zh-CN" w:bidi="ar"/>
              </w:rPr>
              <w:t>4.</w:t>
            </w:r>
            <w:r>
              <w:rPr>
                <w:rFonts w:hint="eastAsia" w:ascii="仿宋" w:hAnsi="仿宋" w:eastAsia="仿宋" w:cs="仿宋"/>
                <w:b/>
                <w:bCs/>
                <w:color w:val="auto"/>
                <w:kern w:val="0"/>
                <w:sz w:val="21"/>
                <w:szCs w:val="21"/>
                <w:highlight w:val="none"/>
                <w:lang w:bidi="ar"/>
              </w:rPr>
              <w:t>证明文件的完整性：</w:t>
            </w:r>
            <w:r>
              <w:rPr>
                <w:rFonts w:hint="eastAsia" w:ascii="仿宋" w:hAnsi="仿宋" w:eastAsia="仿宋" w:cs="仿宋"/>
                <w:color w:val="auto"/>
                <w:kern w:val="0"/>
                <w:sz w:val="21"/>
                <w:szCs w:val="21"/>
                <w:highlight w:val="none"/>
                <w:lang w:eastAsia="zh-CN" w:bidi="ar"/>
              </w:rPr>
              <w:t>投标人</w:t>
            </w:r>
            <w:r>
              <w:rPr>
                <w:rFonts w:hint="eastAsia" w:ascii="仿宋" w:hAnsi="仿宋" w:eastAsia="仿宋" w:cs="仿宋"/>
                <w:color w:val="auto"/>
                <w:kern w:val="0"/>
                <w:sz w:val="21"/>
                <w:szCs w:val="21"/>
                <w:highlight w:val="none"/>
                <w:lang w:bidi="ar"/>
              </w:rPr>
              <w:t>所提供的证明文件应保证文件完整，包括所有必要的页码和附件。如有多份复印件，应确保每份复制品均为完整的副本。</w:t>
            </w:r>
          </w:p>
          <w:p w14:paraId="530B8B3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firstLine="422" w:firstLineChars="200"/>
              <w:jc w:val="left"/>
              <w:rPr>
                <w:rFonts w:hint="eastAsia" w:ascii="仿宋" w:hAnsi="仿宋" w:eastAsia="仿宋" w:cs="仿宋"/>
                <w:snapToGrid w:val="0"/>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zh-CN" w:eastAsia="zh-CN" w:bidi="ar"/>
              </w:rPr>
              <w:t>5.</w:t>
            </w:r>
            <w:r>
              <w:rPr>
                <w:rFonts w:hint="eastAsia" w:ascii="仿宋" w:hAnsi="仿宋" w:eastAsia="仿宋" w:cs="仿宋"/>
                <w:b/>
                <w:bCs/>
                <w:color w:val="auto"/>
                <w:kern w:val="0"/>
                <w:sz w:val="21"/>
                <w:szCs w:val="21"/>
                <w:highlight w:val="none"/>
                <w:lang w:val="en-US" w:eastAsia="zh-CN" w:bidi="ar"/>
              </w:rPr>
              <w:t>时限（年份、月份等）计算：</w:t>
            </w:r>
            <w:r>
              <w:rPr>
                <w:rFonts w:hint="eastAsia" w:ascii="仿宋" w:hAnsi="仿宋" w:eastAsia="仿宋" w:cs="仿宋"/>
                <w:color w:val="auto"/>
                <w:kern w:val="0"/>
                <w:sz w:val="21"/>
                <w:szCs w:val="21"/>
                <w:highlight w:val="none"/>
                <w:lang w:val="en-US" w:eastAsia="zh-CN" w:bidi="ar"/>
              </w:rPr>
              <w:t>系指从开标之日向前追溯X年/月（“X”为“一”及以后整数）起算。</w:t>
            </w:r>
          </w:p>
        </w:tc>
      </w:tr>
      <w:tr w14:paraId="06C75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47684A6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zh-CN"/>
              </w:rPr>
              <w:t>重要提示</w:t>
            </w:r>
          </w:p>
        </w:tc>
        <w:tc>
          <w:tcPr>
            <w:tcW w:w="7699" w:type="dxa"/>
            <w:noWrap w:val="0"/>
            <w:vAlign w:val="center"/>
          </w:tcPr>
          <w:p w14:paraId="4FE4E25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.中标人应在规定期限内提交履约担保并与采购人签订合同，若中标人未能在规定期限内提交履约担保或签订合同，采购人有权取消中标人中标资格，并将相关违约行为报送监管部门，实施信用惩戒；</w:t>
            </w:r>
          </w:p>
          <w:p w14:paraId="1BE27CC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.合同签订后，中标人存在规定时间内不组织人员进场开工，不履行供货、安装或服务义务等情况，采购人有权解除合同，并追究违约责任，同时将相关违约行为报送监管部门，记不良行为记录，实施信用惩戒；</w:t>
            </w:r>
          </w:p>
          <w:p w14:paraId="52C788CE">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中标人中标后被监管部门查实存在违法行为，不满足中标条件的或经查实不具备投标人参加政府采购活动应当具备的法定条件，或要求的特殊资格的，由采购人取消中标资格或有权解除合同（并做好项目后续工作），并追究其法律责任。</w:t>
            </w:r>
          </w:p>
          <w:p w14:paraId="0C94FE7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.中标人在中标项目发生投诉、信访举报案件、履约存在争议时，拒绝协助配合执法部门调查案件的，采购人可以取消其中标资格或解除合同，并追究其违约责任。</w:t>
            </w:r>
          </w:p>
        </w:tc>
      </w:tr>
      <w:tr w14:paraId="3ADB1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6D1D354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color w:val="auto"/>
                <w:kern w:val="0"/>
                <w:sz w:val="21"/>
                <w:szCs w:val="21"/>
                <w:highlight w:val="none"/>
                <w:lang w:val="en-US" w:eastAsia="zh-CN"/>
              </w:rPr>
            </w:pPr>
            <w:r>
              <w:rPr>
                <w:rFonts w:hint="eastAsia" w:ascii="仿宋" w:hAnsi="仿宋" w:eastAsia="仿宋" w:cs="仿宋"/>
                <w:b w:val="0"/>
                <w:bCs w:val="0"/>
                <w:color w:val="auto"/>
                <w:kern w:val="0"/>
                <w:sz w:val="21"/>
                <w:szCs w:val="21"/>
                <w:highlight w:val="none"/>
                <w:lang w:val="en-US" w:eastAsia="zh-CN"/>
              </w:rPr>
              <w:t>进口产品的说明</w:t>
            </w:r>
          </w:p>
          <w:p w14:paraId="28DDEB6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val="0"/>
                <w:snapToGrid w:val="0"/>
                <w:color w:val="auto"/>
                <w:kern w:val="0"/>
                <w:sz w:val="21"/>
                <w:szCs w:val="21"/>
                <w:highlight w:val="none"/>
                <w:lang w:val="en-US" w:eastAsia="zh-CN" w:bidi="ar-SA"/>
              </w:rPr>
            </w:pPr>
            <w:r>
              <w:rPr>
                <w:rFonts w:hint="eastAsia" w:ascii="仿宋" w:hAnsi="仿宋" w:eastAsia="仿宋" w:cs="仿宋"/>
                <w:b w:val="0"/>
                <w:bCs w:val="0"/>
                <w:color w:val="auto"/>
                <w:kern w:val="0"/>
                <w:sz w:val="21"/>
                <w:szCs w:val="21"/>
                <w:highlight w:val="none"/>
                <w:lang w:val="en-US" w:eastAsia="zh-CN"/>
              </w:rPr>
              <w:t>（适用于货物类）</w:t>
            </w:r>
          </w:p>
        </w:tc>
        <w:tc>
          <w:tcPr>
            <w:tcW w:w="7699" w:type="dxa"/>
            <w:noWrap w:val="0"/>
            <w:vAlign w:val="center"/>
          </w:tcPr>
          <w:p w14:paraId="6D91D8B4">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1.进口产品是指通过中国海关报关验放进入中国境内且产自关境外的产品</w:t>
            </w:r>
            <w:r>
              <w:rPr>
                <w:rFonts w:hint="eastAsia" w:ascii="仿宋" w:hAnsi="仿宋" w:eastAsia="仿宋" w:cs="仿宋"/>
                <w:bCs/>
                <w:color w:val="auto"/>
                <w:kern w:val="2"/>
                <w:sz w:val="21"/>
                <w:szCs w:val="21"/>
                <w:highlight w:val="none"/>
                <w:lang w:val="en-US" w:eastAsia="zh-CN"/>
              </w:rPr>
              <w:t>。</w:t>
            </w:r>
          </w:p>
          <w:p w14:paraId="31E138E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420" w:firstLineChars="200"/>
              <w:jc w:val="left"/>
              <w:textAlignment w:val="auto"/>
              <w:rPr>
                <w:rFonts w:hint="eastAsia" w:ascii="仿宋" w:hAnsi="仿宋" w:eastAsia="仿宋" w:cs="仿宋"/>
                <w:bCs/>
                <w:color w:val="auto"/>
                <w:kern w:val="2"/>
                <w:sz w:val="21"/>
                <w:szCs w:val="21"/>
                <w:highlight w:val="none"/>
                <w:lang w:val="en-US" w:eastAsia="zh-CN"/>
              </w:rPr>
            </w:pPr>
            <w:r>
              <w:rPr>
                <w:rFonts w:hint="eastAsia" w:ascii="仿宋" w:hAnsi="仿宋" w:eastAsia="仿宋" w:cs="仿宋"/>
                <w:bCs/>
                <w:color w:val="auto"/>
                <w:kern w:val="2"/>
                <w:sz w:val="21"/>
                <w:szCs w:val="21"/>
                <w:highlight w:val="none"/>
                <w:lang w:val="en-US" w:eastAsia="zh-CN" w:bidi="ar-SA"/>
              </w:rPr>
              <w:t>2.</w:t>
            </w:r>
            <w:r>
              <w:rPr>
                <w:rFonts w:hint="eastAsia" w:ascii="仿宋" w:hAnsi="仿宋" w:eastAsia="仿宋" w:cs="仿宋"/>
                <w:bCs/>
                <w:color w:val="auto"/>
                <w:kern w:val="2"/>
                <w:sz w:val="21"/>
                <w:szCs w:val="21"/>
                <w:highlight w:val="none"/>
                <w:lang w:val="en-US" w:eastAsia="zh-CN"/>
              </w:rPr>
              <w:t>零配件全部进口或者部分进口，在国内组装成成品的产品不属于进口产品。国内组装后一般会贴上国内的品牌，属于国产产品。</w:t>
            </w:r>
          </w:p>
          <w:p w14:paraId="725FE2A7">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Cs/>
                <w:snapToGrid w:val="0"/>
                <w:color w:val="auto"/>
                <w:kern w:val="2"/>
                <w:sz w:val="21"/>
                <w:szCs w:val="21"/>
                <w:highlight w:val="none"/>
                <w:lang w:val="en-US" w:eastAsia="zh-CN" w:bidi="ar-SA"/>
              </w:rPr>
            </w:pPr>
            <w:r>
              <w:rPr>
                <w:rFonts w:hint="eastAsia" w:ascii="仿宋" w:hAnsi="仿宋" w:eastAsia="仿宋" w:cs="仿宋"/>
                <w:bCs/>
                <w:color w:val="auto"/>
                <w:kern w:val="2"/>
                <w:sz w:val="21"/>
                <w:szCs w:val="21"/>
                <w:highlight w:val="none"/>
                <w:lang w:val="en-US" w:eastAsia="zh-CN"/>
              </w:rPr>
              <w:t>注：不涉及采购进口产品时，投标人不得提供进口产品进行响应；涉及采购进口产品时，如国产产品满足采购需求，也可提供国产产品进行响应。</w:t>
            </w:r>
          </w:p>
        </w:tc>
      </w:tr>
      <w:tr w14:paraId="4B378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3FE405A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zh-CN" w:eastAsia="en-US" w:bidi="ar-SA"/>
              </w:rPr>
            </w:pPr>
            <w:r>
              <w:rPr>
                <w:rFonts w:hint="eastAsia" w:ascii="仿宋" w:hAnsi="仿宋" w:eastAsia="仿宋" w:cs="仿宋"/>
                <w:color w:val="auto"/>
                <w:sz w:val="21"/>
                <w:szCs w:val="21"/>
                <w:highlight w:val="none"/>
                <w:lang w:val="en-US" w:eastAsia="zh-CN"/>
              </w:rPr>
              <w:t>知识产权</w:t>
            </w:r>
          </w:p>
        </w:tc>
        <w:tc>
          <w:tcPr>
            <w:tcW w:w="7699" w:type="dxa"/>
            <w:noWrap w:val="0"/>
            <w:vAlign w:val="center"/>
          </w:tcPr>
          <w:p w14:paraId="5043FACD">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 xml:space="preserve">（1）构成本招标文件各个组成部分的文件，未经采购人书面同意，投标人不得擅自复印和用于非本招标项目所需的其他目的。如因此导致采购人损失的，投标人须承担全部赔偿责任。 </w:t>
            </w:r>
          </w:p>
          <w:p w14:paraId="172F464E">
            <w:pPr>
              <w:pStyle w:val="10"/>
              <w:keepNext w:val="0"/>
              <w:keepLines w:val="0"/>
              <w:pageBreakBefore w:val="0"/>
              <w:widowControl w:val="0"/>
              <w:kinsoku/>
              <w:wordWrap w:val="0"/>
              <w:overflowPunct/>
              <w:topLinePunct/>
              <w:autoSpaceDE/>
              <w:autoSpaceDN/>
              <w:bidi w:val="0"/>
              <w:adjustRightInd/>
              <w:snapToGrid/>
              <w:spacing w:line="20" w:lineRule="atLeast"/>
              <w:ind w:left="0" w:right="0" w:rightChars="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val="en-US" w:eastAsia="zh-CN" w:bidi="ar-SA"/>
              </w:rPr>
              <w:t>（2）采购人在中华人民共和国境内使用中标货物（服务）、资料、技术、服务或其任何一部分时，履行合同义务后，享有不受限制的无偿使用权，不会产生因第三方提出侵犯其专利权、商标权或其他知识产权而引起的法律或经济纠纷。如投标人不拥有相应的知识产权，则在投标报价中必须包括合法获取该知识产权的一切相关费用。如因此导致采购人损失的，投标人须承担全部赔偿责任。</w:t>
            </w:r>
          </w:p>
        </w:tc>
      </w:tr>
      <w:tr w14:paraId="243B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6BBB58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sz w:val="21"/>
                <w:szCs w:val="21"/>
                <w:highlight w:val="none"/>
                <w:lang w:val="en-US" w:eastAsia="zh-CN"/>
              </w:rPr>
              <w:t>采购活动中串通投标行为认定</w:t>
            </w:r>
          </w:p>
        </w:tc>
        <w:tc>
          <w:tcPr>
            <w:tcW w:w="7699" w:type="dxa"/>
            <w:noWrap w:val="0"/>
            <w:vAlign w:val="center"/>
          </w:tcPr>
          <w:p w14:paraId="04BBD473">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kern w:val="0"/>
                <w:sz w:val="21"/>
                <w:szCs w:val="21"/>
                <w:highlight w:val="none"/>
                <w:lang w:val="en-US" w:eastAsia="zh-CN" w:bidi="ar"/>
              </w:rPr>
              <w:t xml:space="preserve">根据《政府采购货物和服务招标投标管理办法》（财政部令第87号）第三十七条规定有下列情形之一的，视为投标人串通投标，其投标无效： </w:t>
            </w:r>
          </w:p>
          <w:p w14:paraId="146748D9">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（一）不同投标人的投标文件由同一单位或者个人编制； </w:t>
            </w:r>
          </w:p>
          <w:p w14:paraId="5FD09B45">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（二）不同投标人委托同一单位或者个人办理投标事宜； </w:t>
            </w:r>
          </w:p>
          <w:p w14:paraId="1478712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（三）不同投标人的投标文件载明的项目管理成员或者联系人员为同一人； </w:t>
            </w:r>
          </w:p>
          <w:p w14:paraId="0E17BE8E">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（四）不同投标人的投标文件异常一致或者投标报价呈规律性差异； </w:t>
            </w:r>
          </w:p>
          <w:p w14:paraId="7719A34D">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 xml:space="preserve">（五）不同投标人的投标文件相互混装； </w:t>
            </w:r>
          </w:p>
          <w:p w14:paraId="01A5FC80">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（六）不同投标人的投标保证金从同一单位或者个人的账户转出；</w:t>
            </w:r>
          </w:p>
          <w:p w14:paraId="31A2CC67">
            <w:pPr>
              <w:keepNext w:val="0"/>
              <w:keepLines w:val="0"/>
              <w:pageBreakBefore w:val="0"/>
              <w:widowControl w:val="0"/>
              <w:suppressLineNumbers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color w:val="auto"/>
                <w:kern w:val="0"/>
                <w:sz w:val="21"/>
                <w:szCs w:val="21"/>
                <w:highlight w:val="none"/>
                <w:lang w:val="en-US" w:eastAsia="zh-CN" w:bidi="ar"/>
              </w:rPr>
              <w:t>（七）不同投标人的电子投标文件在同一台电脑上编制（芯片序列号、硬盘序列号、网卡序列号一致，视为由同一台电脑编制）、加密或者上传。</w:t>
            </w:r>
          </w:p>
        </w:tc>
      </w:tr>
      <w:tr w14:paraId="015A3C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581BAB5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公平竞争</w:t>
            </w:r>
          </w:p>
        </w:tc>
        <w:tc>
          <w:tcPr>
            <w:tcW w:w="7699" w:type="dxa"/>
            <w:noWrap w:val="0"/>
            <w:vAlign w:val="center"/>
          </w:tcPr>
          <w:p w14:paraId="120461BF">
            <w:pPr>
              <w:keepNext w:val="0"/>
              <w:keepLines w:val="0"/>
              <w:pageBreakBefore w:val="0"/>
              <w:widowControl w:val="0"/>
              <w:suppressLineNumbers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bidi="ar"/>
              </w:rPr>
              <w:t>投标人应遵循公平竞争的原则，不得恶意串通，妨碍其他投标人的竞争行为，不得损害采购人或者其他投标人的合法权益。</w:t>
            </w:r>
          </w:p>
        </w:tc>
      </w:tr>
      <w:tr w14:paraId="7BA1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936" w:type="dxa"/>
            <w:noWrap w:val="0"/>
            <w:vAlign w:val="center"/>
          </w:tcPr>
          <w:p w14:paraId="01308A4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询问、质疑联系方式</w:t>
            </w:r>
          </w:p>
        </w:tc>
        <w:tc>
          <w:tcPr>
            <w:tcW w:w="7699" w:type="dxa"/>
            <w:noWrap w:val="0"/>
            <w:vAlign w:val="center"/>
          </w:tcPr>
          <w:p w14:paraId="0BEEFB6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lang w:val="en-US" w:eastAsia="zh-CN"/>
              </w:rPr>
              <w:t>接收部门：云南陈源项目管理有限公司</w:t>
            </w:r>
          </w:p>
          <w:p w14:paraId="1F5AFEF7">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通讯地址：云南省楚雄彝族自治州楚雄市茶花大道施家小区20号</w:t>
            </w:r>
          </w:p>
          <w:p w14:paraId="6FD4F539">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联系人： 杨工、陈工</w:t>
            </w:r>
          </w:p>
          <w:p w14:paraId="00560A32">
            <w:pPr>
              <w:keepNext w:val="0"/>
              <w:keepLines w:val="0"/>
              <w:pageBreakBefore w:val="0"/>
              <w:widowControl w:val="0"/>
              <w:kinsoku/>
              <w:wordWrap w:val="0"/>
              <w:overflowPunct/>
              <w:topLinePunct/>
              <w:autoSpaceDE/>
              <w:autoSpaceDN/>
              <w:bidi w:val="0"/>
              <w:adjustRightInd/>
              <w:snapToGrid/>
              <w:spacing w:line="240" w:lineRule="auto"/>
              <w:ind w:left="0" w:leftChars="0" w:right="0" w:rightChars="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联系电话：15812143049、13987827181</w:t>
            </w:r>
          </w:p>
          <w:p w14:paraId="4249B99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sz w:val="21"/>
                <w:szCs w:val="21"/>
                <w:highlight w:val="none"/>
                <w:lang w:val="en-US" w:eastAsia="zh-CN"/>
              </w:rPr>
              <w:t>电子邮箱：</w:t>
            </w:r>
            <w:r>
              <w:rPr>
                <w:rFonts w:hint="eastAsia" w:ascii="仿宋" w:hAnsi="仿宋" w:eastAsia="仿宋" w:cs="仿宋"/>
                <w:color w:val="auto"/>
                <w:sz w:val="21"/>
                <w:szCs w:val="21"/>
                <w:highlight w:val="none"/>
                <w:u w:val="none"/>
                <w:lang w:val="en-US" w:eastAsia="zh-CN"/>
              </w:rPr>
              <w:t>402975250@qq.com</w:t>
            </w:r>
          </w:p>
        </w:tc>
      </w:tr>
      <w:bookmarkEnd w:id="383"/>
      <w:bookmarkEnd w:id="384"/>
      <w:bookmarkEnd w:id="385"/>
      <w:bookmarkEnd w:id="386"/>
    </w:tbl>
    <w:p w14:paraId="52830D03">
      <w:pP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387" w:name="_Toc389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br w:type="page"/>
      </w:r>
    </w:p>
    <w:p w14:paraId="5A0594BF">
      <w:pPr>
        <w:keepNext w:val="0"/>
        <w:keepLines w:val="0"/>
        <w:pageBreakBefore w:val="0"/>
        <w:widowControl w:val="0"/>
        <w:kinsoku/>
        <w:wordWrap w:val="0"/>
        <w:overflowPunct/>
        <w:topLinePunct/>
        <w:autoSpaceDE/>
        <w:autoSpaceDN/>
        <w:bidi w:val="0"/>
        <w:adjustRightInd/>
        <w:snapToGrid/>
        <w:spacing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二、</w:t>
      </w:r>
      <w:bookmarkEnd w:id="387"/>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总则</w:t>
      </w:r>
    </w:p>
    <w:p w14:paraId="02B3EC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388" w:name="bookmark12"/>
      <w:bookmarkEnd w:id="388"/>
      <w:bookmarkStart w:id="389" w:name="_Toc481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1.适用范围</w:t>
      </w:r>
      <w:bookmarkEnd w:id="389"/>
    </w:p>
    <w:p w14:paraId="7F08873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1.1</w:t>
      </w:r>
      <w:r>
        <w:rPr>
          <w:rFonts w:hint="eastAsia" w:ascii="仿宋" w:hAnsi="仿宋" w:eastAsia="仿宋" w:cs="仿宋"/>
          <w:color w:val="auto"/>
          <w:spacing w:val="0"/>
          <w:w w:val="100"/>
          <w:position w:val="0"/>
          <w:sz w:val="21"/>
          <w:szCs w:val="21"/>
          <w:highlight w:val="none"/>
          <w:lang w:val="en-US" w:eastAsia="zh-CN"/>
        </w:rPr>
        <w:t>包括</w:t>
      </w:r>
      <w:r>
        <w:rPr>
          <w:rFonts w:hint="eastAsia" w:ascii="仿宋" w:hAnsi="仿宋" w:eastAsia="仿宋" w:cs="仿宋"/>
          <w:color w:val="auto"/>
          <w:spacing w:val="0"/>
          <w:w w:val="100"/>
          <w:position w:val="0"/>
          <w:sz w:val="21"/>
          <w:szCs w:val="21"/>
          <w:highlight w:val="none"/>
          <w:lang w:eastAsia="zh-CN"/>
        </w:rPr>
        <w:t>本招标文件中所述</w:t>
      </w:r>
      <w:r>
        <w:rPr>
          <w:rFonts w:hint="eastAsia" w:ascii="仿宋" w:hAnsi="仿宋" w:eastAsia="仿宋" w:cs="仿宋"/>
          <w:color w:val="auto"/>
          <w:spacing w:val="0"/>
          <w:w w:val="100"/>
          <w:position w:val="0"/>
          <w:sz w:val="21"/>
          <w:szCs w:val="21"/>
          <w:highlight w:val="none"/>
          <w:lang w:val="en-US" w:eastAsia="zh-CN"/>
        </w:rPr>
        <w:t>所有货物的供货、包装运输（包括卸车及就位至采购人指定的安装地点）、安装、调试、技术服务、培训、售后服务等所有内容。</w:t>
      </w:r>
    </w:p>
    <w:p w14:paraId="2809219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390" w:name="bookmark13"/>
      <w:bookmarkEnd w:id="390"/>
      <w:bookmarkStart w:id="391" w:name="_Toc3085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2.定义</w:t>
      </w:r>
      <w:bookmarkEnd w:id="391"/>
    </w:p>
    <w:p w14:paraId="46B0978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2.1采购人：详见“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77CFF93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2.2采购代理机构：详见“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5E47D65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2.3投标人：是指响应招标、参加投标竞争的法人、其他组织或者自然人。</w:t>
      </w:r>
    </w:p>
    <w:p w14:paraId="5E9746D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outlineLvl w:val="1"/>
        <w:rPr>
          <w:rFonts w:hint="eastAsia" w:ascii="仿宋" w:hAnsi="仿宋" w:eastAsia="仿宋" w:cs="仿宋"/>
          <w:color w:val="auto"/>
          <w:spacing w:val="0"/>
          <w:w w:val="100"/>
          <w:position w:val="0"/>
          <w:sz w:val="21"/>
          <w:szCs w:val="21"/>
          <w:highlight w:val="none"/>
          <w:lang w:eastAsia="zh-CN"/>
        </w:rPr>
      </w:pPr>
      <w:bookmarkStart w:id="392" w:name="bookmark14"/>
      <w:bookmarkEnd w:id="392"/>
      <w:bookmarkStart w:id="393" w:name="_Toc464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3.合格投标人</w:t>
      </w:r>
      <w:bookmarkEnd w:id="393"/>
    </w:p>
    <w:p w14:paraId="75899A9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3.1投标人的资格条件：详见“第一章</w:t>
      </w:r>
      <w:r>
        <w:rPr>
          <w:rFonts w:hint="eastAsia" w:ascii="仿宋" w:hAnsi="仿宋" w:eastAsia="仿宋" w:cs="仿宋"/>
          <w:color w:val="auto"/>
          <w:spacing w:val="0"/>
          <w:w w:val="100"/>
          <w:position w:val="0"/>
          <w:sz w:val="21"/>
          <w:szCs w:val="21"/>
          <w:highlight w:val="none"/>
          <w:lang w:val="en-US" w:eastAsia="zh-CN"/>
        </w:rPr>
        <w:t xml:space="preserve"> 招标公告</w:t>
      </w:r>
      <w:r>
        <w:rPr>
          <w:rFonts w:hint="eastAsia" w:ascii="仿宋" w:hAnsi="仿宋" w:eastAsia="仿宋" w:cs="仿宋"/>
          <w:color w:val="auto"/>
          <w:spacing w:val="0"/>
          <w:w w:val="100"/>
          <w:position w:val="0"/>
          <w:sz w:val="21"/>
          <w:szCs w:val="21"/>
          <w:highlight w:val="none"/>
          <w:lang w:eastAsia="zh-CN"/>
        </w:rPr>
        <w:t>”。</w:t>
      </w:r>
    </w:p>
    <w:p w14:paraId="29B017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3.2联合体投标</w:t>
      </w:r>
    </w:p>
    <w:p w14:paraId="32045DB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3.2.1是否接受联合体投标：详见“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729A743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3.2.2两个以上的自然人、法人或者其他组织可以组成一个联合体，以一个投标人的身份共同参加政府采购。以联合体形式进行政府采购的，参加联合体的投标人均应当具备投标人的资格条件，并应当向采购人提交联合协议，载明联合体各方承担的工作和义务。联合体各方应当共同与采购人签订采购合同，就采购合同约定的事项对采购人承担连带责任。否则，将导致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投标无效。（适用于联合体投标）</w:t>
      </w:r>
    </w:p>
    <w:p w14:paraId="356D95C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3.2.3联合体各方均应当满足相应的资格条件，项目中有特定资质要求的，联合体当中承担此项工作的投标人必须具备相应的资质。联合体中标后，必须由联合体中具备“相应”资质的投标人承担，否则将承担违约责任，并赔偿因违约给采购人造成的一切损失。</w:t>
      </w:r>
    </w:p>
    <w:p w14:paraId="24B811A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3.2.4以联合体参加投标的，联合体中有同类资质的投标人按联合体分工承担相同工作的，应当按照资质等级较低的投标人确定资质等级。</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15844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3.2.5联合体各方不得再单独参加或者与其他投标人另外组成联合体参加同一合同项下的政府采购活动。</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7BA3245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394" w:name="bookmark15"/>
      <w:bookmarkEnd w:id="394"/>
      <w:bookmarkStart w:id="395" w:name="_Toc2058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4.投标费用</w:t>
      </w:r>
      <w:bookmarkEnd w:id="395"/>
    </w:p>
    <w:p w14:paraId="7C706FB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4.1投标人应自行承担所有与准备和参加投标有关的全部费用。不论投标的结果如何，采</w:t>
      </w:r>
      <w:r>
        <w:rPr>
          <w:rFonts w:hint="eastAsia" w:ascii="仿宋" w:hAnsi="仿宋" w:eastAsia="仿宋" w:cs="仿宋"/>
          <w:color w:val="auto"/>
          <w:spacing w:val="0"/>
          <w:w w:val="100"/>
          <w:position w:val="0"/>
          <w:sz w:val="21"/>
          <w:szCs w:val="21"/>
          <w:highlight w:val="none"/>
          <w:lang w:val="en-US" w:eastAsia="zh-CN"/>
        </w:rPr>
        <w:t>购代理机构均无义务和责任承担这些费用。</w:t>
      </w:r>
    </w:p>
    <w:p w14:paraId="3F8F394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396" w:name="bookmark16"/>
      <w:bookmarkEnd w:id="396"/>
      <w:bookmarkStart w:id="397" w:name="_Toc2916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5.投标人代表</w:t>
      </w:r>
      <w:bookmarkEnd w:id="397"/>
    </w:p>
    <w:p w14:paraId="578C8FD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5.1指全权代表投标人参加投标活动并签署投标文件的人。如果投标人代表不是法定代表人，须持有《法定代表人授权书》。</w:t>
      </w:r>
    </w:p>
    <w:p w14:paraId="019A1C1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398" w:name="bookmark17"/>
      <w:bookmarkEnd w:id="398"/>
      <w:bookmarkStart w:id="399" w:name="_Toc1625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6.招标文件的构成</w:t>
      </w:r>
      <w:bookmarkEnd w:id="399"/>
    </w:p>
    <w:p w14:paraId="3B0CFD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6.1要求提供的货物和附属服务、招标过程和合同条款在招标文件中均有说明。</w:t>
      </w:r>
    </w:p>
    <w:p w14:paraId="650F0D3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招标文件共六章，各章的内容如下：</w:t>
      </w:r>
    </w:p>
    <w:p w14:paraId="3216CC4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_Toc30181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第一章 招标公告</w:t>
      </w:r>
      <w:r>
        <w:rPr>
          <w:rFonts w:hint="eastAsia" w:ascii="仿宋" w:hAnsi="仿宋" w:eastAsia="仿宋" w:cs="仿宋"/>
          <w:color w:val="auto"/>
          <w:spacing w:val="0"/>
          <w:position w:val="0"/>
          <w:sz w:val="21"/>
          <w:szCs w:val="21"/>
          <w:highlight w:val="none"/>
          <w:lang w:eastAsia="zh-CN"/>
        </w:rPr>
        <w:fldChar w:fldCharType="end"/>
      </w:r>
    </w:p>
    <w:p w14:paraId="4D2CD7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_Toc18879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第二章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投标人须知前附表</w:t>
      </w:r>
      <w:r>
        <w:rPr>
          <w:rFonts w:hint="eastAsia" w:ascii="仿宋" w:hAnsi="仿宋" w:eastAsia="仿宋" w:cs="仿宋"/>
          <w:color w:val="auto"/>
          <w:spacing w:val="0"/>
          <w:position w:val="0"/>
          <w:sz w:val="21"/>
          <w:szCs w:val="21"/>
          <w:highlight w:val="none"/>
          <w:lang w:eastAsia="zh-CN"/>
        </w:rPr>
        <w:fldChar w:fldCharType="end"/>
      </w:r>
    </w:p>
    <w:p w14:paraId="612B431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_Toc31368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第三章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评审办法</w:t>
      </w:r>
      <w:r>
        <w:rPr>
          <w:rFonts w:hint="eastAsia" w:ascii="仿宋" w:hAnsi="仿宋" w:eastAsia="仿宋" w:cs="仿宋"/>
          <w:color w:val="auto"/>
          <w:spacing w:val="0"/>
          <w:position w:val="0"/>
          <w:sz w:val="21"/>
          <w:szCs w:val="21"/>
          <w:highlight w:val="none"/>
          <w:lang w:eastAsia="zh-CN"/>
        </w:rPr>
        <w:fldChar w:fldCharType="end"/>
      </w:r>
    </w:p>
    <w:p w14:paraId="40FE3C8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_Toc12077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第四章 采购需求及要求</w:t>
      </w:r>
      <w:r>
        <w:rPr>
          <w:rFonts w:hint="eastAsia" w:ascii="仿宋" w:hAnsi="仿宋" w:eastAsia="仿宋" w:cs="仿宋"/>
          <w:color w:val="auto"/>
          <w:spacing w:val="0"/>
          <w:position w:val="0"/>
          <w:sz w:val="21"/>
          <w:szCs w:val="21"/>
          <w:highlight w:val="none"/>
          <w:lang w:eastAsia="zh-CN"/>
        </w:rPr>
        <w:fldChar w:fldCharType="end"/>
      </w:r>
    </w:p>
    <w:p w14:paraId="6BC0DF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val="en-US" w:eastAsia="zh-CN"/>
        </w:rPr>
        <w:t>第五章</w:t>
      </w:r>
      <w:r>
        <w:rPr>
          <w:rFonts w:hint="eastAsia" w:ascii="仿宋" w:hAnsi="仿宋" w:eastAsia="仿宋" w:cs="仿宋"/>
          <w:color w:val="auto"/>
          <w:spacing w:val="0"/>
          <w:position w:val="0"/>
          <w:sz w:val="21"/>
          <w:szCs w:val="21"/>
          <w:highlight w:val="none"/>
          <w:lang w:eastAsia="zh-CN"/>
        </w:rPr>
        <w:t xml:space="preserve"> 拟签订的合同文本</w:t>
      </w:r>
    </w:p>
    <w:p w14:paraId="157B6A9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position w:val="0"/>
          <w:sz w:val="21"/>
          <w:szCs w:val="21"/>
          <w:highlight w:val="none"/>
          <w:lang w:eastAsia="zh-CN"/>
        </w:rPr>
      </w:pPr>
      <w:r>
        <w:rPr>
          <w:rFonts w:hint="eastAsia" w:ascii="仿宋" w:hAnsi="仿宋" w:eastAsia="仿宋" w:cs="仿宋"/>
          <w:color w:val="auto"/>
          <w:spacing w:val="0"/>
          <w:position w:val="0"/>
          <w:sz w:val="21"/>
          <w:szCs w:val="21"/>
          <w:highlight w:val="none"/>
          <w:lang w:eastAsia="zh-CN"/>
        </w:rPr>
        <w:fldChar w:fldCharType="begin"/>
      </w:r>
      <w:r>
        <w:rPr>
          <w:rFonts w:hint="eastAsia" w:ascii="仿宋" w:hAnsi="仿宋" w:eastAsia="仿宋" w:cs="仿宋"/>
          <w:color w:val="auto"/>
          <w:spacing w:val="0"/>
          <w:position w:val="0"/>
          <w:sz w:val="21"/>
          <w:szCs w:val="21"/>
          <w:highlight w:val="none"/>
          <w:lang w:eastAsia="zh-CN"/>
        </w:rPr>
        <w:instrText xml:space="preserve"> HYPERLINK \l _Toc30036 </w:instrText>
      </w:r>
      <w:r>
        <w:rPr>
          <w:rFonts w:hint="eastAsia" w:ascii="仿宋" w:hAnsi="仿宋" w:eastAsia="仿宋" w:cs="仿宋"/>
          <w:color w:val="auto"/>
          <w:spacing w:val="0"/>
          <w:position w:val="0"/>
          <w:sz w:val="21"/>
          <w:szCs w:val="21"/>
          <w:highlight w:val="none"/>
          <w:lang w:eastAsia="zh-CN"/>
        </w:rPr>
        <w:fldChar w:fldCharType="separate"/>
      </w:r>
      <w:r>
        <w:rPr>
          <w:rFonts w:hint="eastAsia" w:ascii="仿宋" w:hAnsi="仿宋" w:eastAsia="仿宋" w:cs="仿宋"/>
          <w:color w:val="auto"/>
          <w:spacing w:val="0"/>
          <w:position w:val="0"/>
          <w:sz w:val="21"/>
          <w:szCs w:val="21"/>
          <w:highlight w:val="none"/>
          <w:lang w:eastAsia="zh-CN"/>
        </w:rPr>
        <w:t>第六章</w:t>
      </w:r>
      <w:r>
        <w:rPr>
          <w:rFonts w:hint="eastAsia" w:ascii="仿宋" w:hAnsi="仿宋" w:eastAsia="仿宋" w:cs="仿宋"/>
          <w:color w:val="auto"/>
          <w:spacing w:val="0"/>
          <w:position w:val="0"/>
          <w:sz w:val="21"/>
          <w:szCs w:val="21"/>
          <w:highlight w:val="none"/>
          <w:lang w:val="en-US" w:eastAsia="zh-CN"/>
        </w:rPr>
        <w:t xml:space="preserve"> </w:t>
      </w:r>
      <w:r>
        <w:rPr>
          <w:rFonts w:hint="eastAsia" w:ascii="仿宋" w:hAnsi="仿宋" w:eastAsia="仿宋" w:cs="仿宋"/>
          <w:color w:val="auto"/>
          <w:spacing w:val="0"/>
          <w:position w:val="0"/>
          <w:sz w:val="21"/>
          <w:szCs w:val="21"/>
          <w:highlight w:val="none"/>
          <w:lang w:eastAsia="zh-CN"/>
        </w:rPr>
        <w:t>投标文件格式</w:t>
      </w:r>
      <w:r>
        <w:rPr>
          <w:rFonts w:hint="eastAsia" w:ascii="仿宋" w:hAnsi="仿宋" w:eastAsia="仿宋" w:cs="仿宋"/>
          <w:color w:val="auto"/>
          <w:spacing w:val="0"/>
          <w:position w:val="0"/>
          <w:sz w:val="21"/>
          <w:szCs w:val="21"/>
          <w:highlight w:val="none"/>
          <w:lang w:eastAsia="zh-CN"/>
        </w:rPr>
        <w:tab/>
      </w:r>
      <w:r>
        <w:rPr>
          <w:rFonts w:hint="eastAsia" w:ascii="仿宋" w:hAnsi="仿宋" w:eastAsia="仿宋" w:cs="仿宋"/>
          <w:color w:val="auto"/>
          <w:spacing w:val="0"/>
          <w:position w:val="0"/>
          <w:sz w:val="21"/>
          <w:szCs w:val="21"/>
          <w:highlight w:val="none"/>
          <w:lang w:eastAsia="zh-CN"/>
        </w:rPr>
        <w:fldChar w:fldCharType="end"/>
      </w:r>
    </w:p>
    <w:p w14:paraId="4D39508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6.2除非有特殊要求，招标文件不单独提供招标货物和附属售后服务使用地的自然环境、气候条件、公用设施等情况，投标人被视为熟悉上述与履行合同有关的一切情况。</w:t>
      </w:r>
    </w:p>
    <w:p w14:paraId="1F9BC22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00" w:name="_Toc1116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7.投标人应当提交的资格、资信证明文件</w:t>
      </w:r>
      <w:bookmarkEnd w:id="400"/>
    </w:p>
    <w:p w14:paraId="556D127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7.1</w:t>
      </w:r>
      <w:r>
        <w:rPr>
          <w:rFonts w:hint="eastAsia" w:ascii="仿宋" w:hAnsi="仿宋" w:eastAsia="仿宋" w:cs="仿宋"/>
          <w:color w:val="auto"/>
          <w:spacing w:val="0"/>
          <w:w w:val="100"/>
          <w:position w:val="0"/>
          <w:sz w:val="21"/>
          <w:szCs w:val="21"/>
          <w:highlight w:val="none"/>
          <w:lang w:eastAsia="zh-CN"/>
        </w:rPr>
        <w:t>具有独立承担民事责任的能力的资格证明文件；</w:t>
      </w:r>
    </w:p>
    <w:p w14:paraId="009CF7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具有良好的商业信誉和健全的财务会计制度的证明文件；</w:t>
      </w:r>
    </w:p>
    <w:p w14:paraId="55FDD3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具有履行合同所必需的设备和专业技术能力的证明文件；</w:t>
      </w:r>
    </w:p>
    <w:p w14:paraId="3AC5D5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有依法缴纳税收和社会保障资金的良好记录的证明文件；</w:t>
      </w:r>
    </w:p>
    <w:p w14:paraId="3F55A05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参加政府采购</w:t>
      </w:r>
      <w:r>
        <w:rPr>
          <w:rFonts w:hint="eastAsia" w:ascii="仿宋" w:hAnsi="仿宋" w:eastAsia="仿宋" w:cs="仿宋"/>
          <w:color w:val="auto"/>
          <w:spacing w:val="0"/>
          <w:w w:val="100"/>
          <w:position w:val="0"/>
          <w:sz w:val="21"/>
          <w:szCs w:val="21"/>
          <w:highlight w:val="none"/>
          <w:lang w:val="en-US" w:eastAsia="zh-CN"/>
        </w:rPr>
        <w:t>活动</w:t>
      </w:r>
      <w:r>
        <w:rPr>
          <w:rFonts w:hint="eastAsia" w:ascii="仿宋" w:hAnsi="仿宋" w:eastAsia="仿宋" w:cs="仿宋"/>
          <w:color w:val="auto"/>
          <w:spacing w:val="0"/>
          <w:w w:val="100"/>
          <w:position w:val="0"/>
          <w:sz w:val="21"/>
          <w:szCs w:val="21"/>
          <w:highlight w:val="none"/>
          <w:lang w:eastAsia="zh-CN"/>
        </w:rPr>
        <w:t>前三年内，在经营活动中没有重大违法记录的证明文件；</w:t>
      </w:r>
    </w:p>
    <w:p w14:paraId="5710643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6法律、行政法规规定的其他条件</w:t>
      </w:r>
      <w:r>
        <w:rPr>
          <w:rFonts w:hint="eastAsia" w:ascii="仿宋" w:hAnsi="仿宋" w:eastAsia="仿宋" w:cs="仿宋"/>
          <w:color w:val="auto"/>
          <w:spacing w:val="0"/>
          <w:w w:val="100"/>
          <w:position w:val="0"/>
          <w:sz w:val="21"/>
          <w:szCs w:val="21"/>
          <w:highlight w:val="none"/>
          <w:lang w:eastAsia="zh-CN"/>
        </w:rPr>
        <w:t>的证明文件；</w:t>
      </w:r>
    </w:p>
    <w:p w14:paraId="6AFBAD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b w:val="0"/>
          <w:bCs/>
          <w:color w:val="auto"/>
          <w:spacing w:val="0"/>
          <w:w w:val="100"/>
          <w:position w:val="0"/>
          <w:sz w:val="21"/>
          <w:szCs w:val="21"/>
          <w:highlight w:val="none"/>
        </w:rPr>
        <w:t>本项目的特定资格证明材料</w:t>
      </w:r>
      <w:r>
        <w:rPr>
          <w:rFonts w:hint="eastAsia" w:ascii="仿宋" w:hAnsi="仿宋" w:eastAsia="仿宋" w:cs="仿宋"/>
          <w:color w:val="auto"/>
          <w:spacing w:val="0"/>
          <w:w w:val="100"/>
          <w:position w:val="0"/>
          <w:sz w:val="21"/>
          <w:szCs w:val="21"/>
          <w:highlight w:val="none"/>
          <w:lang w:val="en-US" w:eastAsia="zh-CN"/>
        </w:rPr>
        <w:t>；</w:t>
      </w:r>
    </w:p>
    <w:p w14:paraId="59173DC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7.</w:t>
      </w:r>
      <w:r>
        <w:rPr>
          <w:rFonts w:hint="eastAsia" w:ascii="仿宋" w:hAnsi="仿宋" w:eastAsia="仿宋" w:cs="仿宋"/>
          <w:color w:val="auto"/>
          <w:spacing w:val="0"/>
          <w:w w:val="100"/>
          <w:position w:val="0"/>
          <w:sz w:val="21"/>
          <w:szCs w:val="21"/>
          <w:highlight w:val="none"/>
          <w:lang w:val="en-US" w:eastAsia="zh-CN"/>
        </w:rPr>
        <w:t>8</w:t>
      </w:r>
      <w:bookmarkStart w:id="401" w:name="_Toc8006"/>
      <w:bookmarkStart w:id="402" w:name="_Toc89951843"/>
      <w:r>
        <w:rPr>
          <w:rFonts w:hint="eastAsia" w:ascii="仿宋" w:hAnsi="仿宋" w:eastAsia="仿宋" w:cs="仿宋"/>
          <w:color w:val="auto"/>
          <w:spacing w:val="0"/>
          <w:w w:val="100"/>
          <w:position w:val="0"/>
          <w:sz w:val="21"/>
          <w:szCs w:val="21"/>
          <w:highlight w:val="none"/>
          <w:lang w:val="en-US" w:eastAsia="zh-CN"/>
        </w:rPr>
        <w:t>投标保证金</w:t>
      </w:r>
      <w:bookmarkEnd w:id="401"/>
      <w:bookmarkEnd w:id="402"/>
      <w:r>
        <w:rPr>
          <w:rFonts w:hint="eastAsia" w:ascii="仿宋" w:hAnsi="仿宋" w:eastAsia="仿宋" w:cs="仿宋"/>
          <w:color w:val="auto"/>
          <w:spacing w:val="0"/>
          <w:w w:val="100"/>
          <w:position w:val="0"/>
          <w:sz w:val="21"/>
          <w:szCs w:val="21"/>
          <w:highlight w:val="none"/>
          <w:lang w:val="en-US" w:eastAsia="zh-CN"/>
        </w:rPr>
        <w:t>缴纳证明；</w:t>
      </w:r>
    </w:p>
    <w:p w14:paraId="18BD9D95">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03" w:name="bookmark19"/>
      <w:bookmarkEnd w:id="403"/>
      <w:bookmarkStart w:id="404" w:name="_Toc26458"/>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为落实政府采购政策，采购标的需满足的要求，以及投标人须提供的证明材料</w:t>
      </w:r>
      <w:bookmarkEnd w:id="404"/>
    </w:p>
    <w:p w14:paraId="67D35D7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8.1中小企业参加投标</w:t>
      </w:r>
    </w:p>
    <w:p w14:paraId="177AF56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8.1.1中小企业（含中型、小型、微型企业，下同）应当符合以下条件：</w:t>
      </w:r>
    </w:p>
    <w:p w14:paraId="5D1F4A4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在中华人民共和国境内依法设立的，符合国务院批准的中小企业划分标准（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50A69C8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（2）货物由中小企业制造，即货物由中小企业生产且使用该中小企业商号或者注册商标；本项所称货物不包括使用大型企业注册商标的货物；</w:t>
      </w:r>
    </w:p>
    <w:p w14:paraId="4E91361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（3）小型、微型企业提供中型企业制造的货物的，视同为中型企业；</w:t>
      </w:r>
    </w:p>
    <w:p w14:paraId="6130833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（4）在货物采购项目中，投标人提供的货物既有中小企业制造货物，也有大型企业制造货物的，不享受中小企业扶持政策；</w:t>
      </w:r>
    </w:p>
    <w:p w14:paraId="2F1B1B1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（5）以联合体形式参加政府采购活动，联合体各方均为中小企业的，联合体视同中小企业。其中，联合体各方均为小微企业的，联合体视同小微企业；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（适用于联合体投标）</w:t>
      </w:r>
    </w:p>
    <w:p w14:paraId="552011B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（6）组成联合体或者接受分包合同的中小企业与联合体内其他企业、分包</w:t>
      </w:r>
      <w:r>
        <w:rPr>
          <w:rFonts w:hint="eastAsia" w:ascii="仿宋" w:hAnsi="仿宋" w:eastAsia="仿宋" w:cs="仿宋"/>
          <w:color w:val="auto"/>
          <w:spacing w:val="0"/>
          <w:w w:val="100"/>
          <w:position w:val="0"/>
          <w:sz w:val="21"/>
          <w:szCs w:val="21"/>
          <w:highlight w:val="none"/>
          <w:lang w:eastAsia="zh-CN"/>
        </w:rPr>
        <w:t>企业之间不得存在直接控股、管理关系。</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适用于涉及中小企业的联合体投标或者允许合同分</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包的采购项目）</w:t>
      </w:r>
    </w:p>
    <w:p w14:paraId="7E8169D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8.1.2投标人提供的货物为中小企业制造的，投标时提供招标文件</w:t>
      </w:r>
      <w:r>
        <w:rPr>
          <w:rFonts w:hint="eastAsia" w:ascii="仿宋" w:hAnsi="仿宋" w:eastAsia="仿宋" w:cs="仿宋"/>
          <w:color w:val="auto"/>
          <w:spacing w:val="0"/>
          <w:w w:val="100"/>
          <w:position w:val="0"/>
          <w:sz w:val="21"/>
          <w:szCs w:val="21"/>
          <w:highlight w:val="none"/>
          <w:lang w:val="en-US" w:eastAsia="zh-CN"/>
        </w:rPr>
        <w:t>规定的</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中小企业声明</w:t>
      </w:r>
      <w:r>
        <w:rPr>
          <w:rFonts w:hint="eastAsia" w:ascii="仿宋" w:hAnsi="仿宋" w:eastAsia="仿宋" w:cs="仿宋"/>
          <w:color w:val="auto"/>
          <w:spacing w:val="0"/>
          <w:w w:val="100"/>
          <w:position w:val="0"/>
          <w:sz w:val="21"/>
          <w:szCs w:val="21"/>
          <w:highlight w:val="none"/>
          <w:lang w:eastAsia="zh-CN"/>
        </w:rPr>
        <w:t>函》，并对声明函的真实性负责，</w:t>
      </w:r>
      <w:r>
        <w:rPr>
          <w:rFonts w:hint="eastAsia" w:ascii="仿宋" w:hAnsi="仿宋" w:eastAsia="仿宋" w:cs="仿宋"/>
          <w:color w:val="auto"/>
          <w:spacing w:val="0"/>
          <w:w w:val="100"/>
          <w:position w:val="0"/>
          <w:sz w:val="21"/>
          <w:szCs w:val="21"/>
          <w:highlight w:val="none"/>
          <w:lang w:val="en-US" w:eastAsia="zh-CN"/>
        </w:rPr>
        <w:t>未提供</w:t>
      </w:r>
      <w:r>
        <w:rPr>
          <w:rFonts w:hint="eastAsia" w:ascii="仿宋" w:hAnsi="仿宋" w:eastAsia="仿宋" w:cs="仿宋"/>
          <w:color w:val="auto"/>
          <w:spacing w:val="0"/>
          <w:w w:val="100"/>
          <w:position w:val="0"/>
          <w:sz w:val="21"/>
          <w:szCs w:val="21"/>
          <w:highlight w:val="none"/>
          <w:lang w:eastAsia="zh-CN"/>
        </w:rPr>
        <w:t>不予享受预留份额、评审中价格扣除等政府采购促进中小企业发展的政府采购政策。投标人提供的《</w:t>
      </w:r>
      <w:r>
        <w:rPr>
          <w:rFonts w:hint="eastAsia" w:ascii="仿宋" w:hAnsi="仿宋" w:eastAsia="仿宋" w:cs="仿宋"/>
          <w:color w:val="auto"/>
          <w:spacing w:val="0"/>
          <w:w w:val="100"/>
          <w:position w:val="0"/>
          <w:sz w:val="21"/>
          <w:szCs w:val="21"/>
          <w:highlight w:val="none"/>
          <w:lang w:val="en-US" w:eastAsia="zh-CN"/>
        </w:rPr>
        <w:t>中小企业</w:t>
      </w:r>
      <w:r>
        <w:rPr>
          <w:rFonts w:hint="eastAsia" w:ascii="仿宋" w:hAnsi="仿宋" w:eastAsia="仿宋" w:cs="仿宋"/>
          <w:color w:val="auto"/>
          <w:spacing w:val="0"/>
          <w:w w:val="100"/>
          <w:position w:val="0"/>
          <w:sz w:val="21"/>
          <w:szCs w:val="21"/>
          <w:highlight w:val="none"/>
          <w:lang w:eastAsia="zh-CN"/>
        </w:rPr>
        <w:t>声明函》与事实不符的，依照《中华人民共和国政府采购法》第七十七条第一款的规定追究法律责任。</w:t>
      </w:r>
    </w:p>
    <w:p w14:paraId="6514C9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8.2监狱企业参加投标</w:t>
      </w:r>
    </w:p>
    <w:p w14:paraId="3ACCA96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8.2.1监狱企业应当符合以下条件</w:t>
      </w:r>
    </w:p>
    <w:p w14:paraId="3F5F317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1DB79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8.2.2监狱企业参加投标须提供的证明材料</w:t>
      </w:r>
    </w:p>
    <w:p w14:paraId="6771209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监狱企业参加政府采购活动时，应当提供由省级以上监狱管理局、戒毒管理局（含新疆生产建设兵团）出具的属于监狱企业的证明文件，</w:t>
      </w:r>
      <w:r>
        <w:rPr>
          <w:rFonts w:hint="eastAsia" w:ascii="仿宋" w:hAnsi="仿宋" w:eastAsia="仿宋" w:cs="仿宋"/>
          <w:color w:val="auto"/>
          <w:spacing w:val="0"/>
          <w:w w:val="100"/>
          <w:position w:val="0"/>
          <w:sz w:val="21"/>
          <w:szCs w:val="21"/>
          <w:highlight w:val="none"/>
          <w:lang w:val="en-US" w:eastAsia="zh-CN"/>
        </w:rPr>
        <w:t>未提供</w:t>
      </w:r>
      <w:r>
        <w:rPr>
          <w:rFonts w:hint="eastAsia" w:ascii="仿宋" w:hAnsi="仿宋" w:eastAsia="仿宋" w:cs="仿宋"/>
          <w:color w:val="auto"/>
          <w:spacing w:val="0"/>
          <w:w w:val="100"/>
          <w:position w:val="0"/>
          <w:sz w:val="21"/>
          <w:szCs w:val="21"/>
          <w:highlight w:val="none"/>
          <w:lang w:eastAsia="zh-CN"/>
        </w:rPr>
        <w:t>不予享受预留份额、评审价格扣除等政府采购促进中小企业发展的政府采购政策。</w:t>
      </w:r>
    </w:p>
    <w:p w14:paraId="5FE4123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8.3残疾人福利性单位参加投标</w:t>
      </w:r>
    </w:p>
    <w:p w14:paraId="41C2EF4A">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8.3.1享受政府采购支持政策的残疾人福利性单位应当同时满足以下条件：</w:t>
      </w:r>
    </w:p>
    <w:p w14:paraId="3515B2D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（1）安置的残疾人占本单位在职职工人数的比例不低于25%（含25%），并且安置的残疾人人数不少于10人（含10人）；</w:t>
      </w:r>
    </w:p>
    <w:p w14:paraId="47844E89">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（2）依法与安置的每位残疾人签订了一年以上（含一年）的劳动合同或服务协议；</w:t>
      </w:r>
    </w:p>
    <w:p w14:paraId="10C16EF5">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（3）为安置的每位残疾人按月足额缴纳了基本养老保险、基本医疗保险、失业保险、工伤保险和生育保险等社会保险费；</w:t>
      </w:r>
    </w:p>
    <w:p w14:paraId="6358525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（4）通过银行等金融机构向安置的每位残疾人，按月支付了不低于单位所在区县</w:t>
      </w:r>
      <w:r>
        <w:rPr>
          <w:rFonts w:hint="eastAsia" w:ascii="仿宋" w:hAnsi="仿宋" w:eastAsia="仿宋" w:cs="仿宋"/>
          <w:color w:val="auto"/>
          <w:spacing w:val="0"/>
          <w:w w:val="100"/>
          <w:position w:val="0"/>
          <w:sz w:val="21"/>
          <w:szCs w:val="21"/>
          <w:highlight w:val="none"/>
          <w:lang w:val="en-US" w:eastAsia="zh-CN"/>
        </w:rPr>
        <w:t>适</w:t>
      </w:r>
      <w:r>
        <w:rPr>
          <w:rFonts w:hint="eastAsia" w:ascii="仿宋" w:hAnsi="仿宋" w:eastAsia="仿宋" w:cs="仿宋"/>
          <w:color w:val="auto"/>
          <w:spacing w:val="0"/>
          <w:w w:val="100"/>
          <w:position w:val="0"/>
          <w:sz w:val="21"/>
          <w:szCs w:val="21"/>
          <w:highlight w:val="none"/>
          <w:lang w:eastAsia="zh-CN"/>
        </w:rPr>
        <w:t>用的经省级人民政府批准的月最低工资标准的工资；</w:t>
      </w:r>
    </w:p>
    <w:p w14:paraId="2FCF687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（5）提供本单位制造的货物、承担的工程或者服务（以下简称产品），或者提供其他残疾人福利性单位制造的货物（不包括使用非残疾人福利性单位注册商标的货</w:t>
      </w:r>
      <w:r>
        <w:rPr>
          <w:rFonts w:hint="eastAsia" w:ascii="仿宋" w:hAnsi="仿宋" w:eastAsia="仿宋" w:cs="仿宋"/>
          <w:color w:val="auto"/>
          <w:spacing w:val="0"/>
          <w:w w:val="100"/>
          <w:position w:val="0"/>
          <w:sz w:val="21"/>
          <w:szCs w:val="21"/>
          <w:highlight w:val="none"/>
          <w:lang w:val="en-US" w:eastAsia="zh-CN"/>
        </w:rPr>
        <w:t>物）。</w:t>
      </w:r>
    </w:p>
    <w:p w14:paraId="3B5F92B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8.3.2前款所称残疾人是指法定劳动年龄内，持有《中华人民共和国残疾人证》或者《</w:t>
      </w:r>
      <w:r>
        <w:rPr>
          <w:rFonts w:hint="eastAsia" w:ascii="仿宋" w:hAnsi="仿宋" w:eastAsia="仿宋" w:cs="仿宋"/>
          <w:color w:val="auto"/>
          <w:spacing w:val="0"/>
          <w:w w:val="100"/>
          <w:position w:val="0"/>
          <w:sz w:val="21"/>
          <w:szCs w:val="21"/>
          <w:highlight w:val="none"/>
          <w:lang w:val="en-US" w:eastAsia="zh-CN"/>
        </w:rPr>
        <w:t>中华人民共和国残疾军人证（1至8级）》的自然人，包括具有劳动条件和劳动意愿的精神残疾人。在职职工人数是指与残疾人福利性单位建立劳动关系并依法签订劳动合同或者服务协议的雇员人数。</w:t>
      </w:r>
    </w:p>
    <w:p w14:paraId="2008A92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8.3.3残疾人福利性单位参加投标须提供的证明材料：</w:t>
      </w:r>
    </w:p>
    <w:p w14:paraId="58DB46F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（1）符合条件的残疾人福利性单位在参加政府采购活动时，提供《残疾人福利性单位声明函》，并对声明函的真实性负</w:t>
      </w:r>
      <w:r>
        <w:rPr>
          <w:rFonts w:hint="eastAsia" w:ascii="仿宋" w:hAnsi="仿宋" w:eastAsia="仿宋" w:cs="仿宋"/>
          <w:color w:val="auto"/>
          <w:spacing w:val="0"/>
          <w:w w:val="100"/>
          <w:position w:val="0"/>
          <w:sz w:val="21"/>
          <w:szCs w:val="21"/>
          <w:highlight w:val="none"/>
          <w:lang w:val="en-US" w:eastAsia="zh-CN"/>
        </w:rPr>
        <w:t>责，未提供</w:t>
      </w:r>
      <w:r>
        <w:rPr>
          <w:rFonts w:hint="eastAsia" w:ascii="仿宋" w:hAnsi="仿宋" w:eastAsia="仿宋" w:cs="仿宋"/>
          <w:color w:val="auto"/>
          <w:spacing w:val="0"/>
          <w:w w:val="100"/>
          <w:position w:val="0"/>
          <w:sz w:val="21"/>
          <w:szCs w:val="21"/>
          <w:highlight w:val="none"/>
          <w:lang w:eastAsia="zh-CN"/>
        </w:rPr>
        <w:t>不予享受预留份额、评审中价格扣除等政府采购促进中小企业发展的政府采购政策</w:t>
      </w:r>
      <w:r>
        <w:rPr>
          <w:rFonts w:hint="eastAsia" w:ascii="仿宋" w:hAnsi="仿宋" w:eastAsia="仿宋" w:cs="仿宋"/>
          <w:color w:val="auto"/>
          <w:spacing w:val="0"/>
          <w:w w:val="100"/>
          <w:position w:val="0"/>
          <w:sz w:val="21"/>
          <w:szCs w:val="21"/>
          <w:highlight w:val="none"/>
          <w:lang w:val="en-US" w:eastAsia="zh-CN"/>
        </w:rPr>
        <w:t>；</w:t>
      </w:r>
    </w:p>
    <w:p w14:paraId="5B63837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（2）投标人提供的《残疾人福利性单位声明函》与事实不符的，依照《中华人民共和国政府采购法</w:t>
      </w:r>
      <w:r>
        <w:rPr>
          <w:rFonts w:hint="eastAsia" w:ascii="仿宋" w:hAnsi="仿宋" w:eastAsia="仿宋" w:cs="仿宋"/>
          <w:color w:val="auto"/>
          <w:spacing w:val="0"/>
          <w:w w:val="100"/>
          <w:position w:val="0"/>
          <w:sz w:val="21"/>
          <w:szCs w:val="21"/>
          <w:highlight w:val="none"/>
          <w:lang w:val="en-US" w:eastAsia="zh-CN"/>
        </w:rPr>
        <w:t>》第七十七条第一款的规定追究法律责任。</w:t>
      </w:r>
    </w:p>
    <w:p w14:paraId="20CF2E0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8.4本项目是否专门面向中小企业预留采购份额见第一章“招标公告”。采购标的对应的中小企业划分标准所属行业见第二章“</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w:t>
      </w:r>
    </w:p>
    <w:p w14:paraId="4114F68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8.4.1对小型和微型企业、监狱企业、残疾人福利性单位产品参加投标享受的政策。</w:t>
      </w:r>
    </w:p>
    <w:p w14:paraId="225EE54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4.2</w:t>
      </w:r>
      <w:r>
        <w:rPr>
          <w:rFonts w:hint="eastAsia" w:ascii="仿宋" w:hAnsi="仿宋" w:eastAsia="仿宋" w:cs="仿宋"/>
          <w:color w:val="auto"/>
          <w:spacing w:val="0"/>
          <w:w w:val="100"/>
          <w:position w:val="0"/>
          <w:sz w:val="21"/>
          <w:szCs w:val="21"/>
          <w:highlight w:val="none"/>
          <w:lang w:eastAsia="zh-CN"/>
        </w:rPr>
        <w:t>非专门面向中小企业</w:t>
      </w:r>
      <w:r>
        <w:rPr>
          <w:rFonts w:hint="eastAsia" w:ascii="仿宋" w:hAnsi="仿宋" w:eastAsia="仿宋" w:cs="仿宋"/>
          <w:color w:val="auto"/>
          <w:spacing w:val="0"/>
          <w:w w:val="100"/>
          <w:position w:val="0"/>
          <w:sz w:val="21"/>
          <w:szCs w:val="21"/>
          <w:highlight w:val="none"/>
          <w:lang w:val="en-US" w:eastAsia="zh-CN"/>
        </w:rPr>
        <w:t>采购的项目</w:t>
      </w:r>
      <w:r>
        <w:rPr>
          <w:rFonts w:hint="eastAsia" w:ascii="仿宋" w:hAnsi="仿宋" w:eastAsia="仿宋" w:cs="仿宋"/>
          <w:color w:val="auto"/>
          <w:spacing w:val="0"/>
          <w:w w:val="100"/>
          <w:position w:val="0"/>
          <w:sz w:val="21"/>
          <w:szCs w:val="21"/>
          <w:highlight w:val="none"/>
          <w:lang w:eastAsia="zh-CN"/>
        </w:rPr>
        <w:t>，小微企业报价给予</w:t>
      </w:r>
      <w:r>
        <w:rPr>
          <w:rFonts w:hint="eastAsia" w:ascii="仿宋" w:hAnsi="仿宋" w:eastAsia="仿宋" w:cs="仿宋"/>
          <w:color w:val="auto"/>
          <w:spacing w:val="0"/>
          <w:w w:val="100"/>
          <w:position w:val="0"/>
          <w:sz w:val="21"/>
          <w:szCs w:val="21"/>
          <w:highlight w:val="none"/>
          <w:lang w:val="en-US" w:eastAsia="zh-CN"/>
        </w:rPr>
        <w:t>价格</w:t>
      </w:r>
      <w:r>
        <w:rPr>
          <w:rFonts w:hint="eastAsia" w:ascii="仿宋" w:hAnsi="仿宋" w:eastAsia="仿宋" w:cs="仿宋"/>
          <w:color w:val="auto"/>
          <w:spacing w:val="0"/>
          <w:w w:val="100"/>
          <w:position w:val="0"/>
          <w:sz w:val="21"/>
          <w:szCs w:val="21"/>
          <w:highlight w:val="none"/>
          <w:lang w:eastAsia="zh-CN"/>
        </w:rPr>
        <w:t>扣除</w:t>
      </w:r>
      <w:r>
        <w:rPr>
          <w:rFonts w:hint="eastAsia" w:ascii="仿宋" w:hAnsi="仿宋" w:eastAsia="仿宋" w:cs="仿宋"/>
          <w:color w:val="auto"/>
          <w:spacing w:val="0"/>
          <w:w w:val="100"/>
          <w:position w:val="0"/>
          <w:sz w:val="21"/>
          <w:szCs w:val="21"/>
          <w:highlight w:val="none"/>
          <w:lang w:val="en-US" w:eastAsia="zh-CN"/>
        </w:rPr>
        <w:t>优惠</w:t>
      </w:r>
      <w:r>
        <w:rPr>
          <w:rFonts w:hint="eastAsia" w:ascii="仿宋" w:hAnsi="仿宋" w:eastAsia="仿宋" w:cs="仿宋"/>
          <w:color w:val="auto"/>
          <w:spacing w:val="0"/>
          <w:w w:val="100"/>
          <w:position w:val="0"/>
          <w:sz w:val="21"/>
          <w:szCs w:val="21"/>
          <w:highlight w:val="none"/>
          <w:lang w:eastAsia="zh-CN"/>
        </w:rPr>
        <w:t>，用扣除后的价格参加评审。</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（适用于非专门面向中小企业。对于专门面向中小企业采购的项目或者采购包，不再执行价格评审优惠，享受政策内容详见第二章“投标人须知前附表”）</w:t>
      </w:r>
    </w:p>
    <w:p w14:paraId="5279BBE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8.4</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监狱企业视同小型、微型企业，享受预留份额、评审中价格扣除等政府促进中小</w:t>
      </w:r>
      <w:r>
        <w:rPr>
          <w:rFonts w:hint="eastAsia" w:ascii="仿宋" w:hAnsi="仿宋" w:eastAsia="仿宋" w:cs="仿宋"/>
          <w:color w:val="auto"/>
          <w:spacing w:val="0"/>
          <w:w w:val="100"/>
          <w:position w:val="0"/>
          <w:sz w:val="21"/>
          <w:szCs w:val="21"/>
          <w:highlight w:val="none"/>
          <w:lang w:val="en-US" w:eastAsia="zh-CN"/>
        </w:rPr>
        <w:t>企业</w:t>
      </w:r>
      <w:r>
        <w:rPr>
          <w:rFonts w:hint="eastAsia" w:ascii="仿宋" w:hAnsi="仿宋" w:eastAsia="仿宋" w:cs="仿宋"/>
          <w:color w:val="auto"/>
          <w:spacing w:val="0"/>
          <w:w w:val="100"/>
          <w:position w:val="0"/>
          <w:sz w:val="21"/>
          <w:szCs w:val="21"/>
          <w:highlight w:val="none"/>
          <w:lang w:eastAsia="zh-CN"/>
        </w:rPr>
        <w:t>发展的政府采购政策。</w:t>
      </w:r>
    </w:p>
    <w:p w14:paraId="49E0B97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8.4.4残疾人福利性单位视同小型、微型企业，享受预留份额、评审中价格扣除等政府促进中小企业发展的政府采购政策。福利性单位属于小型、微型企业的，不重复享受政策。</w:t>
      </w:r>
    </w:p>
    <w:p w14:paraId="1A228B7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b/>
          <w:bCs/>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8.4.5</w:t>
      </w:r>
      <w:r>
        <w:rPr>
          <w:rFonts w:hint="eastAsia" w:ascii="仿宋" w:hAnsi="仿宋" w:eastAsia="仿宋" w:cs="仿宋"/>
          <w:color w:val="auto"/>
          <w:spacing w:val="0"/>
          <w:w w:val="100"/>
          <w:position w:val="0"/>
          <w:sz w:val="21"/>
          <w:szCs w:val="21"/>
          <w:highlight w:val="none"/>
          <w:lang w:eastAsia="zh-CN"/>
        </w:rPr>
        <w:t>接受大中型企业与小微企业组成联合体或者允许大中型企业向一家或多家小微企业分包，对于联合协议或者分包意向协议约定小微型企业的合同份额占到联合体协议合同总金额30%以上的，可给予联合体价格扣除</w:t>
      </w:r>
      <w:r>
        <w:rPr>
          <w:rFonts w:hint="eastAsia" w:ascii="仿宋" w:hAnsi="仿宋" w:eastAsia="仿宋" w:cs="仿宋"/>
          <w:color w:val="auto"/>
          <w:spacing w:val="0"/>
          <w:w w:val="100"/>
          <w:position w:val="0"/>
          <w:sz w:val="21"/>
          <w:szCs w:val="21"/>
          <w:highlight w:val="none"/>
          <w:lang w:val="en-US" w:eastAsia="zh-CN"/>
        </w:rPr>
        <w:t>优惠</w:t>
      </w:r>
      <w:r>
        <w:rPr>
          <w:rFonts w:hint="eastAsia" w:ascii="仿宋" w:hAnsi="仿宋" w:eastAsia="仿宋" w:cs="仿宋"/>
          <w:color w:val="auto"/>
          <w:spacing w:val="0"/>
          <w:w w:val="100"/>
          <w:position w:val="0"/>
          <w:sz w:val="21"/>
          <w:szCs w:val="21"/>
          <w:highlight w:val="none"/>
          <w:lang w:eastAsia="zh-CN"/>
        </w:rPr>
        <w:t>，用扣除后的价格参加评审。</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（适用于非专门面向中小企业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采购且允许</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联合体投标或合同分包的</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项目</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，如专门面向中小企业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采购不享受价格评审优惠</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p>
    <w:p w14:paraId="15D325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rPr>
        <w:t>联合体各方均为小型、微型企业的，联合体视同为小型、微型企业。</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2F8975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rPr>
        <w:t>组成联合体的大中型企业和其他自然人、法人或者其他组织，与小型、微型企业之间不得存在投资关系。</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（适用于联合体投标）</w:t>
      </w:r>
    </w:p>
    <w:p w14:paraId="12C62F2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8.</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5</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节能产品、环境标志产品参加投标</w:t>
      </w:r>
    </w:p>
    <w:p w14:paraId="00F33C3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D9340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49C37F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8.5.3如本项目采购产品属于实施政府强制采购品目清单范围的节能产品，则投标人所投产品必须获得国家确定的认证机构出具的、处于有效期之内的节能产品认证证书</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彩色扫描件，否则投标无效。</w:t>
      </w:r>
    </w:p>
    <w:p w14:paraId="1842C3C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rPr>
        <w:t>8.5.4非政府强制采购的节能产品或环境标志产品，依据品目清单和认证证书实施政府优先采购。优先采购的具体规定见第六章《评审方法》</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（如涉及）</w:t>
      </w:r>
      <w:r>
        <w:rPr>
          <w:rFonts w:hint="eastAsia" w:ascii="仿宋" w:hAnsi="仿宋" w:eastAsia="仿宋" w:cs="仿宋"/>
          <w:color w:val="auto"/>
          <w:spacing w:val="0"/>
          <w:w w:val="100"/>
          <w:position w:val="0"/>
          <w:sz w:val="21"/>
          <w:szCs w:val="21"/>
          <w:highlight w:val="none"/>
          <w:lang w:val="en-US" w:eastAsia="zh-CN"/>
        </w:rPr>
        <w:t>。</w:t>
      </w:r>
    </w:p>
    <w:p w14:paraId="7E65E502">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8.</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招标文件对节能产品、环境标志产品另有规定的从其规定。</w:t>
      </w:r>
    </w:p>
    <w:p w14:paraId="73BA0985">
      <w:pPr>
        <w:pStyle w:val="27"/>
        <w:keepNext w:val="0"/>
        <w:keepLines w:val="0"/>
        <w:pageBreakBefore w:val="0"/>
        <w:widowControl w:val="0"/>
        <w:kinsoku/>
        <w:wordWrap w:val="0"/>
        <w:overflowPunct/>
        <w:topLinePunct/>
        <w:autoSpaceDE/>
        <w:autoSpaceDN/>
        <w:bidi w:val="0"/>
        <w:adjustRightInd/>
        <w:snapToGrid/>
        <w:spacing w:after="0" w:line="20" w:lineRule="atLeast"/>
        <w:ind w:left="0" w:right="0" w:rightChars="0" w:firstLine="422" w:firstLineChars="200"/>
        <w:contextualSpacing/>
        <w:jc w:val="left"/>
        <w:textAlignment w:val="auto"/>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b/>
          <w:bCs/>
          <w:color w:val="auto"/>
          <w:spacing w:val="0"/>
          <w:w w:val="100"/>
          <w:position w:val="0"/>
          <w:sz w:val="21"/>
          <w:szCs w:val="21"/>
          <w:highlight w:val="none"/>
          <w:lang w:val="en-US" w:eastAsia="zh-CN"/>
        </w:rPr>
        <w:t>8.6</w:t>
      </w:r>
      <w:r>
        <w:rPr>
          <w:rFonts w:hint="eastAsia" w:ascii="仿宋" w:hAnsi="仿宋" w:eastAsia="仿宋" w:cs="仿宋"/>
          <w:b/>
          <w:bCs/>
          <w:snapToGrid w:val="0"/>
          <w:color w:val="auto"/>
          <w:kern w:val="0"/>
          <w:sz w:val="21"/>
          <w:szCs w:val="21"/>
          <w:highlight w:val="none"/>
          <w:u w:val="none"/>
          <w:lang w:val="en-US" w:eastAsia="zh-CN"/>
        </w:rPr>
        <w:t>对本国产品的支持政策</w:t>
      </w:r>
    </w:p>
    <w:p w14:paraId="76486B1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w:t>
      </w:r>
      <w:r>
        <w:rPr>
          <w:rFonts w:hint="eastAsia" w:ascii="仿宋" w:hAnsi="仿宋" w:eastAsia="仿宋" w:cs="仿宋"/>
          <w:b w:val="0"/>
          <w:bCs w:val="0"/>
          <w:snapToGrid w:val="0"/>
          <w:color w:val="auto"/>
          <w:kern w:val="0"/>
          <w:sz w:val="21"/>
          <w:szCs w:val="21"/>
          <w:highlight w:val="none"/>
          <w:u w:val="none"/>
          <w:lang w:val="en-US" w:eastAsia="zh-CN"/>
        </w:rPr>
        <w:t>规定，政府采购活动中既有本国产品又有非本国产品参与竞争的，依法对本国产品给予价格评审优惠，对本国产品的报价给予20%的价格扣除，用扣除后的价格参与评审。</w:t>
      </w:r>
    </w:p>
    <w:p w14:paraId="51444A68">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default" w:ascii="仿宋" w:hAnsi="仿宋" w:eastAsia="仿宋" w:cs="仿宋"/>
          <w:color w:val="auto"/>
          <w:spacing w:val="0"/>
          <w:w w:val="100"/>
          <w:position w:val="0"/>
          <w:sz w:val="21"/>
          <w:szCs w:val="21"/>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00B125C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05" w:name="bookmark20"/>
      <w:bookmarkEnd w:id="405"/>
      <w:bookmarkStart w:id="406" w:name="_Toc30887"/>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采购需求标准</w:t>
      </w:r>
      <w:bookmarkEnd w:id="406"/>
    </w:p>
    <w:p w14:paraId="05C7C28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9.1商品包装、快递包装政府采购需求标准（试行）</w:t>
      </w:r>
    </w:p>
    <w:p w14:paraId="0194DA8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及要求》。</w:t>
      </w:r>
    </w:p>
    <w:p w14:paraId="4572D10F">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9.2绿色数据中心政府采购需求标准（试行）</w:t>
      </w:r>
    </w:p>
    <w:p w14:paraId="526CA26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为加快数据中心绿色转型，根据财政部生态环境部工业和信息化部关于印发《绿色数据中心政府采购需求标准（试行）》的通知（财库〔2023〕7号），本项目如涉及绿色数据中心，则具体要求见第五章《采购需求及要求》。</w:t>
      </w:r>
    </w:p>
    <w:p w14:paraId="0B6161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07" w:name="_Toc2686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10.招标文件的修改</w:t>
      </w:r>
      <w:bookmarkEnd w:id="407"/>
    </w:p>
    <w:p w14:paraId="6021233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10.1采购代理机构可以对已发出的招标文件进行必要澄清或者修改，澄清或者修改的内容可能影响投标文件编制的，采购代理机构在投标截止时间至少15日前，在</w:t>
      </w:r>
      <w:r>
        <w:rPr>
          <w:rFonts w:hint="eastAsia" w:ascii="仿宋" w:hAnsi="仿宋" w:eastAsia="仿宋" w:cs="仿宋"/>
          <w:strike w:val="0"/>
          <w:dstrike w:val="0"/>
          <w:color w:val="auto"/>
          <w:spacing w:val="0"/>
          <w:w w:val="100"/>
          <w:position w:val="0"/>
          <w:sz w:val="21"/>
          <w:szCs w:val="21"/>
          <w:highlight w:val="none"/>
          <w:lang w:val="en-US" w:eastAsia="zh-CN"/>
        </w:rPr>
        <w:t>原公告发布媒体</w:t>
      </w:r>
      <w:r>
        <w:rPr>
          <w:rFonts w:hint="eastAsia" w:ascii="仿宋" w:hAnsi="仿宋" w:eastAsia="仿宋" w:cs="仿宋"/>
          <w:color w:val="auto"/>
          <w:spacing w:val="0"/>
          <w:w w:val="100"/>
          <w:position w:val="0"/>
          <w:sz w:val="21"/>
          <w:szCs w:val="21"/>
          <w:highlight w:val="none"/>
          <w:lang w:eastAsia="zh-CN"/>
        </w:rPr>
        <w:t>上发布更正公告，上传答疑澄清文件。不足15日的，采购代理机构应当顺延提交投标文件的截止时间。</w:t>
      </w:r>
    </w:p>
    <w:p w14:paraId="6C5AA6CC">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10.2已下载招标文件的投标人必须在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）上下载答疑澄清文件。投标人因未下载答疑澄清文件、由此可能引起的投标文件递交失败、解密失败、内容缺失等相关后果由投标人自行承担。</w:t>
      </w:r>
    </w:p>
    <w:p w14:paraId="7F2E5D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10.3当招标文件和澄清文件在同一内容的表述上不一致时，以最后发出的文件为准。</w:t>
      </w:r>
    </w:p>
    <w:p w14:paraId="3EE018CC">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08" w:name="_Toc6238"/>
      <w:r>
        <w:rPr>
          <w:rFonts w:hint="eastAsia" w:ascii="仿宋" w:hAnsi="仿宋" w:eastAsia="仿宋" w:cs="仿宋"/>
          <w:color w:val="auto"/>
          <w:spacing w:val="0"/>
          <w:w w:val="100"/>
          <w:position w:val="0"/>
          <w:sz w:val="21"/>
          <w:szCs w:val="21"/>
          <w:highlight w:val="none"/>
          <w:lang w:eastAsia="zh-CN"/>
        </w:rPr>
        <w:t>10.4更正或者修改的内容是招标文件的组成部分，并对投标人具有约束力。</w:t>
      </w:r>
      <w:bookmarkEnd w:id="408"/>
    </w:p>
    <w:p w14:paraId="0BDA700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09" w:name="_Toc1269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三、投标</w:t>
      </w:r>
      <w:bookmarkEnd w:id="409"/>
    </w:p>
    <w:p w14:paraId="252DBD0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0" w:name="_Toc3676"/>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11.投标文件的编制</w:t>
      </w:r>
      <w:bookmarkEnd w:id="410"/>
    </w:p>
    <w:p w14:paraId="2CDBAAD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11.1投标人应当按照招标文件的要求编制投标文件。投标文件应当对招标文件提出的要求和条件做出明确响应。</w:t>
      </w:r>
    </w:p>
    <w:p w14:paraId="40874A3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11.2招标文件中注明不可以采购进口产品的（见“第一章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招标公告”），不允许提供进口产品参与采购活动。提供进口产品参与采购活动的，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被视为投标无效。</w:t>
      </w:r>
    </w:p>
    <w:p w14:paraId="4DDBC0C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bookmarkStart w:id="411" w:name="_Toc6121"/>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12.投标文件计量单位</w:t>
      </w:r>
      <w:bookmarkEnd w:id="411"/>
    </w:p>
    <w:p w14:paraId="0B0E54B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12.1投标文件中所使用的计量单位，除招标文件中有特殊要求外，均应采用国家法定计量单位。</w:t>
      </w:r>
    </w:p>
    <w:p w14:paraId="1868E05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13.提供相同品牌产品的不同投标人参加同一合同项下投标的，参加评标、获得中标人推荐资格的认定</w:t>
      </w:r>
    </w:p>
    <w:p w14:paraId="071F5AE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13.1采用最低评标价法的采购项目，提供相同品牌产品的不同投标人参加同一合同项下投标的，以其中通过资格审查、符合性审查且报价最低的参加评标；报价相同的，由采购人或者采购人委托评标委员会按照投标人须知前附表规定的方式确定一个参加评标的投标人，其他投标无效。</w:t>
      </w:r>
    </w:p>
    <w:p w14:paraId="3A2F80D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13.2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投标人须知前附表规定的方式确定一个投标人获得中标人推荐资格，其他同品牌投标人不获得中标人推荐资格。</w:t>
      </w:r>
    </w:p>
    <w:p w14:paraId="6423320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13.3非单一产品采购项目，多家投标人提供的核心产品品牌相同的，依据招标文件规定的评分办法，按13.1或13.2条规定处理。核心产品见“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3C0CADF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2" w:name="_Toc415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14.投标文件的构成</w:t>
      </w:r>
      <w:bookmarkEnd w:id="412"/>
    </w:p>
    <w:p w14:paraId="2885C68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14.1投标文件应由下列部分构成。</w:t>
      </w:r>
    </w:p>
    <w:p w14:paraId="25413D4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格式详见“第</w:t>
      </w:r>
      <w:r>
        <w:rPr>
          <w:rFonts w:hint="eastAsia" w:ascii="仿宋" w:hAnsi="仿宋" w:eastAsia="仿宋" w:cs="仿宋"/>
          <w:color w:val="auto"/>
          <w:spacing w:val="0"/>
          <w:w w:val="100"/>
          <w:position w:val="0"/>
          <w:sz w:val="21"/>
          <w:szCs w:val="21"/>
          <w:highlight w:val="none"/>
          <w:lang w:val="en-US" w:eastAsia="zh-CN"/>
        </w:rPr>
        <w:t>六</w:t>
      </w:r>
      <w:r>
        <w:rPr>
          <w:rFonts w:hint="eastAsia" w:ascii="仿宋" w:hAnsi="仿宋" w:eastAsia="仿宋" w:cs="仿宋"/>
          <w:color w:val="auto"/>
          <w:spacing w:val="0"/>
          <w:w w:val="100"/>
          <w:position w:val="0"/>
          <w:sz w:val="21"/>
          <w:szCs w:val="21"/>
          <w:highlight w:val="none"/>
          <w:lang w:eastAsia="zh-CN"/>
        </w:rPr>
        <w:t>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投标文件格式”</w:t>
      </w:r>
    </w:p>
    <w:p w14:paraId="3EBDED9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14.2投标人应编写投标文件目录及页码。</w:t>
      </w:r>
    </w:p>
    <w:p w14:paraId="6998234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3" w:name="_Toc19211"/>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15.投标报价</w:t>
      </w:r>
      <w:bookmarkEnd w:id="413"/>
    </w:p>
    <w:p w14:paraId="4C8D306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15.1所有投标均以人民币报价，</w:t>
      </w:r>
      <w:r>
        <w:rPr>
          <w:rFonts w:hint="eastAsia" w:ascii="仿宋" w:hAnsi="仿宋" w:eastAsia="仿宋" w:cs="仿宋"/>
          <w:color w:val="auto"/>
          <w:spacing w:val="0"/>
          <w:w w:val="100"/>
          <w:position w:val="0"/>
          <w:sz w:val="21"/>
          <w:szCs w:val="21"/>
          <w:highlight w:val="none"/>
          <w:lang w:val="en-US" w:eastAsia="zh-CN"/>
        </w:rPr>
        <w:t>投标报价</w:t>
      </w:r>
      <w:r>
        <w:rPr>
          <w:rFonts w:hint="eastAsia" w:ascii="仿宋" w:hAnsi="仿宋" w:eastAsia="仿宋" w:cs="仿宋"/>
          <w:color w:val="auto"/>
          <w:spacing w:val="0"/>
          <w:w w:val="100"/>
          <w:position w:val="0"/>
          <w:sz w:val="21"/>
          <w:szCs w:val="21"/>
          <w:highlight w:val="none"/>
          <w:lang w:eastAsia="zh-CN"/>
        </w:rPr>
        <w:t>应包括为完成本项目所发生的一切费用和税费，报价内容包含招标文件规定的货物</w:t>
      </w:r>
      <w:r>
        <w:rPr>
          <w:rFonts w:hint="eastAsia" w:ascii="仿宋" w:hAnsi="仿宋" w:eastAsia="仿宋" w:cs="仿宋"/>
          <w:color w:val="auto"/>
          <w:spacing w:val="0"/>
          <w:w w:val="100"/>
          <w:position w:val="0"/>
          <w:sz w:val="21"/>
          <w:szCs w:val="21"/>
          <w:highlight w:val="none"/>
          <w:lang w:val="en-US" w:eastAsia="zh-CN"/>
        </w:rPr>
        <w:t>及</w:t>
      </w:r>
      <w:r>
        <w:rPr>
          <w:rFonts w:hint="eastAsia" w:ascii="仿宋" w:hAnsi="仿宋" w:eastAsia="仿宋" w:cs="仿宋"/>
          <w:color w:val="auto"/>
          <w:spacing w:val="0"/>
          <w:w w:val="100"/>
          <w:position w:val="0"/>
          <w:sz w:val="21"/>
          <w:szCs w:val="21"/>
          <w:highlight w:val="none"/>
          <w:lang w:eastAsia="zh-CN"/>
        </w:rPr>
        <w:t>附属售后服务，标准附件，备品备件，专用工具，安装、调试、检验，培训，技术服务，</w:t>
      </w:r>
      <w:r>
        <w:rPr>
          <w:rFonts w:hint="eastAsia" w:ascii="仿宋" w:hAnsi="仿宋" w:eastAsia="仿宋" w:cs="仿宋"/>
          <w:color w:val="auto"/>
          <w:spacing w:val="0"/>
          <w:w w:val="100"/>
          <w:position w:val="0"/>
          <w:sz w:val="21"/>
          <w:szCs w:val="21"/>
          <w:highlight w:val="none"/>
          <w:lang w:val="en-US" w:eastAsia="zh-CN"/>
        </w:rPr>
        <w:t>采购代理服务费，</w:t>
      </w:r>
      <w:r>
        <w:rPr>
          <w:rFonts w:hint="eastAsia" w:ascii="仿宋" w:hAnsi="仿宋" w:eastAsia="仿宋" w:cs="仿宋"/>
          <w:color w:val="auto"/>
          <w:spacing w:val="0"/>
          <w:w w:val="100"/>
          <w:position w:val="0"/>
          <w:sz w:val="21"/>
          <w:szCs w:val="21"/>
          <w:highlight w:val="none"/>
          <w:lang w:eastAsia="zh-CN"/>
        </w:rPr>
        <w:t>运至最终目的地的运费和保险费等一切相关费用。</w:t>
      </w:r>
    </w:p>
    <w:p w14:paraId="6348B4C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15.2投标人要按开标一览表（统一格式）和分项报价表（统一格式）的内容填写产品单价、总价及其他事项。投标总价中不得包含招标文件要求以外的内容，否则，在评标时不予核减。若投标人不同意，投标无效。</w:t>
      </w:r>
    </w:p>
    <w:p w14:paraId="6C2555F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15.3投标总价中如缺漏招标文件所要求的内容，投标人中标后须提供，且中标价以投标报价为准。若投标人不同意，</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1BB0A87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rPr>
        <w:t>15.4投标人所报的投标价在合同执行过程中是固定不变的，不得以任何理由予以变更。投标人应对所有招标内容进行投标，且只提供最优方案一套，投标人提交任何包含价格调整要求的投标将按非实质性响应投标，</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7B1076FB">
      <w:pPr>
        <w:keepNext w:val="0"/>
        <w:keepLines w:val="0"/>
        <w:pageBreakBefore w:val="0"/>
        <w:widowControl/>
        <w:kinsoku w:val="0"/>
        <w:wordWrap/>
        <w:overflowPunct/>
        <w:topLinePunct w:val="0"/>
        <w:autoSpaceDE w:val="0"/>
        <w:autoSpaceDN w:val="0"/>
        <w:bidi w:val="0"/>
        <w:adjustRightInd/>
        <w:snapToGrid/>
        <w:spacing w:line="404" w:lineRule="exact"/>
        <w:ind w:firstLine="420" w:firstLineChars="200"/>
        <w:textAlignment w:val="baseline"/>
        <w:rPr>
          <w:rFonts w:hint="eastAsia" w:ascii="仿宋" w:hAnsi="仿宋" w:eastAsia="仿宋" w:cs="仿宋"/>
          <w:color w:val="auto"/>
          <w:spacing w:val="0"/>
          <w:w w:val="100"/>
          <w:position w:val="0"/>
          <w:szCs w:val="21"/>
          <w:highlight w:val="none"/>
          <w:lang w:eastAsia="zh-CN"/>
        </w:rPr>
      </w:pPr>
      <w:r>
        <w:rPr>
          <w:rFonts w:hint="eastAsia" w:ascii="仿宋" w:hAnsi="仿宋" w:eastAsia="仿宋" w:cs="仿宋"/>
          <w:color w:val="auto"/>
          <w:highlight w:val="none"/>
          <w:lang w:val="en-US" w:eastAsia="zh-CN"/>
        </w:rPr>
        <w:t xml:space="preserve">15.5 </w:t>
      </w:r>
      <w:r>
        <w:rPr>
          <w:rFonts w:hint="eastAsia" w:ascii="仿宋" w:hAnsi="仿宋" w:eastAsia="仿宋" w:cs="仿宋"/>
          <w:color w:val="auto"/>
          <w:highlight w:val="none"/>
          <w:lang w:eastAsia="zh-CN"/>
        </w:rPr>
        <w:t>有关本项目实施所涉及的一切费用均计入报价。采购人将以合同形式有偿取得货物或服务，不接受投标人给予的赠品、回扣或者与采购无关的其他商品、服务，不得出现“0元”“免费赠送”等形式的无偿报价，否则视为投标文件含有采购人不能接受的附加条件，投标人不能作出合理解释的，视为投标文件含有采购人不能接受的附加条件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0FC4B1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w:t>
      </w:r>
      <w:r>
        <w:rPr>
          <w:rFonts w:hint="eastAsia" w:ascii="仿宋" w:hAnsi="仿宋" w:eastAsia="仿宋" w:cs="仿宋"/>
          <w:color w:val="auto"/>
          <w:spacing w:val="0"/>
          <w:w w:val="100"/>
          <w:position w:val="0"/>
          <w:sz w:val="21"/>
          <w:szCs w:val="21"/>
          <w:highlight w:val="none"/>
          <w:lang w:val="en-US" w:eastAsia="zh-CN"/>
        </w:rPr>
        <w:t xml:space="preserve">6 </w:t>
      </w:r>
      <w:r>
        <w:rPr>
          <w:rFonts w:hint="eastAsia" w:ascii="仿宋" w:hAnsi="仿宋" w:eastAsia="仿宋" w:cs="仿宋"/>
          <w:color w:val="auto"/>
          <w:spacing w:val="0"/>
          <w:w w:val="100"/>
          <w:position w:val="0"/>
          <w:sz w:val="21"/>
          <w:szCs w:val="21"/>
          <w:highlight w:val="none"/>
          <w:lang w:eastAsia="zh-CN"/>
        </w:rPr>
        <w:t>投标人如需用外汇购入某些投标货物，须折合人民币（包含进口环节税）计入总报价中。</w:t>
      </w:r>
    </w:p>
    <w:p w14:paraId="6112AC0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15.</w:t>
      </w:r>
      <w:r>
        <w:rPr>
          <w:rFonts w:hint="eastAsia" w:ascii="仿宋" w:hAnsi="仿宋" w:eastAsia="仿宋" w:cs="仿宋"/>
          <w:color w:val="auto"/>
          <w:spacing w:val="0"/>
          <w:w w:val="100"/>
          <w:position w:val="0"/>
          <w:sz w:val="21"/>
          <w:szCs w:val="21"/>
          <w:highlight w:val="none"/>
          <w:lang w:val="en-US" w:eastAsia="zh-CN"/>
        </w:rPr>
        <w:t>7 投标人不能提供任何有选择性或可调整的报价（招标文件另有规定的除外），否则</w:t>
      </w:r>
      <w:r>
        <w:rPr>
          <w:rFonts w:hint="eastAsia" w:ascii="仿宋" w:hAnsi="仿宋" w:eastAsia="仿宋" w:cs="仿宋"/>
          <w:b/>
          <w:bCs/>
          <w:color w:val="auto"/>
          <w:spacing w:val="0"/>
          <w:w w:val="100"/>
          <w:position w:val="0"/>
          <w:sz w:val="21"/>
          <w:szCs w:val="21"/>
          <w:highlight w:val="none"/>
          <w:lang w:val="en-US" w:eastAsia="zh-CN"/>
        </w:rPr>
        <w:t>其投标无效</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p>
    <w:p w14:paraId="440F10C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4" w:name="bookmark29"/>
      <w:bookmarkEnd w:id="414"/>
      <w:bookmarkStart w:id="415" w:name="_Toc1766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16.投标保证金</w:t>
      </w:r>
      <w:bookmarkEnd w:id="415"/>
    </w:p>
    <w:p w14:paraId="4B171E5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1</w:t>
      </w:r>
      <w:r>
        <w:rPr>
          <w:rFonts w:hint="eastAsia" w:ascii="仿宋" w:hAnsi="仿宋" w:eastAsia="仿宋" w:cs="仿宋"/>
          <w:color w:val="auto"/>
          <w:spacing w:val="0"/>
          <w:w w:val="100"/>
          <w:position w:val="0"/>
          <w:sz w:val="21"/>
          <w:szCs w:val="21"/>
          <w:highlight w:val="none"/>
          <w:lang w:eastAsia="zh-CN"/>
        </w:rPr>
        <w:t>投标人须在投标文件递交截止时间之前向采购代理机构提交投标保证金，并作为其投标文件的一部分，详见“投标人须知前附表”。联合体投标的，可以由联合体中的一方或者共同提交投标保证金，以一方名义提交投标保证金的，对联合体各方均具有约束力。</w:t>
      </w:r>
      <w:r>
        <w:rPr>
          <w:rFonts w:hint="eastAsia" w:ascii="仿宋" w:hAnsi="仿宋" w:eastAsia="仿宋" w:cs="仿宋"/>
          <w:b/>
          <w:bCs/>
          <w:color w:val="auto"/>
          <w:spacing w:val="0"/>
          <w:w w:val="100"/>
          <w:position w:val="0"/>
          <w:sz w:val="21"/>
          <w:szCs w:val="21"/>
          <w:highlight w:val="none"/>
          <w:lang w:eastAsia="zh-CN"/>
        </w:rPr>
        <w:t>（适用联合体投标）</w:t>
      </w:r>
    </w:p>
    <w:p w14:paraId="32A1EB7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16.2任何未按“投标人须知第16.1条”要求提交投标保证金的投标文件，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p>
    <w:p w14:paraId="260B1B6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16.3投标保证金有效期同投标有效期。</w:t>
      </w:r>
    </w:p>
    <w:p w14:paraId="0C984F53">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16.4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2B118A2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自中标通知书发出之日起5个工作日内退还未中标人的投标保证金，自采购合同签订之日起5个工作日内退还中标人的投标保证金。</w:t>
      </w:r>
    </w:p>
    <w:p w14:paraId="2B2BD5B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16.6</w:t>
      </w:r>
      <w:r>
        <w:rPr>
          <w:rFonts w:hint="eastAsia" w:ascii="仿宋" w:hAnsi="仿宋" w:eastAsia="仿宋" w:cs="仿宋"/>
          <w:color w:val="auto"/>
          <w:spacing w:val="0"/>
          <w:w w:val="100"/>
          <w:position w:val="0"/>
          <w:sz w:val="21"/>
          <w:szCs w:val="21"/>
          <w:highlight w:val="none"/>
          <w:lang w:eastAsia="zh-CN"/>
        </w:rPr>
        <w:t>投标人在投标截止时间前撤回已提交的投标文件的，采购代理机构自收到投标人书面撤回通知之日起5个工作日内退还已收取的投标保证金；但因投标人自身原因导致无法及时退还的除外。</w:t>
      </w:r>
    </w:p>
    <w:p w14:paraId="7B17780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color w:val="auto"/>
          <w:spacing w:val="0"/>
          <w:w w:val="100"/>
          <w:position w:val="0"/>
          <w:sz w:val="21"/>
          <w:szCs w:val="21"/>
          <w:highlight w:val="none"/>
          <w:lang w:eastAsia="zh-CN"/>
        </w:rPr>
        <w:t>采购人或者采购代理机构逾期退还投标保证金的，除应当退还投标保证金本金外，还应当按中</w:t>
      </w:r>
      <w:r>
        <w:rPr>
          <w:rFonts w:hint="eastAsia" w:ascii="仿宋" w:hAnsi="仿宋" w:eastAsia="仿宋" w:cs="仿宋"/>
          <w:color w:val="auto"/>
          <w:spacing w:val="0"/>
          <w:w w:val="100"/>
          <w:position w:val="0"/>
          <w:sz w:val="21"/>
          <w:szCs w:val="21"/>
          <w:highlight w:val="none"/>
          <w:lang w:val="en-US" w:eastAsia="zh-CN"/>
        </w:rPr>
        <w:t>国</w:t>
      </w:r>
      <w:r>
        <w:rPr>
          <w:rFonts w:hint="eastAsia" w:ascii="仿宋" w:hAnsi="仿宋" w:eastAsia="仿宋" w:cs="仿宋"/>
          <w:color w:val="auto"/>
          <w:spacing w:val="0"/>
          <w:w w:val="100"/>
          <w:position w:val="0"/>
          <w:sz w:val="21"/>
          <w:szCs w:val="21"/>
          <w:highlight w:val="none"/>
          <w:lang w:eastAsia="zh-CN"/>
        </w:rPr>
        <w:t>人民银行同期贷款基准利率上浮20%后的利率支付超期资金占用费，但因投标人自身原因导致无法及时退还的除外。</w:t>
      </w:r>
    </w:p>
    <w:p w14:paraId="6136870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16.8终止招标项目已经收取投标保证金的，自终止采购活动后5个工作日内退还已收取的投标保证金。</w:t>
      </w:r>
    </w:p>
    <w:p w14:paraId="6A9C96C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16.</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投标保证金不予退</w:t>
      </w:r>
      <w:r>
        <w:rPr>
          <w:rFonts w:hint="eastAsia" w:ascii="仿宋" w:hAnsi="仿宋" w:eastAsia="仿宋" w:cs="仿宋"/>
          <w:color w:val="auto"/>
          <w:spacing w:val="0"/>
          <w:w w:val="100"/>
          <w:position w:val="0"/>
          <w:sz w:val="21"/>
          <w:szCs w:val="21"/>
          <w:highlight w:val="none"/>
          <w:lang w:val="en-US" w:eastAsia="zh-CN"/>
        </w:rPr>
        <w:t>还的情形</w:t>
      </w:r>
      <w:r>
        <w:rPr>
          <w:rFonts w:hint="eastAsia" w:ascii="仿宋" w:hAnsi="仿宋" w:eastAsia="仿宋" w:cs="仿宋"/>
          <w:color w:val="auto"/>
          <w:spacing w:val="0"/>
          <w:w w:val="100"/>
          <w:position w:val="0"/>
          <w:sz w:val="21"/>
          <w:szCs w:val="21"/>
          <w:highlight w:val="none"/>
          <w:lang w:eastAsia="zh-CN"/>
        </w:rPr>
        <w:t>：投标有效期内投标人撤销投标文件的，采购人或者采购代理机构可以不退还投标保证金。</w:t>
      </w:r>
    </w:p>
    <w:p w14:paraId="2724054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6" w:name="_Toc19497"/>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17.投标有效期</w:t>
      </w:r>
      <w:bookmarkEnd w:id="416"/>
    </w:p>
    <w:p w14:paraId="1437D0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17.1投标有效期从提交投标文件的截止之日起算。投标文件中承诺的投标有效期应不少于招标文件中载明的投标有效期。并在投标文件中承诺的投标有效期内保持有效。招标文件中载明的投标有效期详见“投标人须知前附表”，投标有效期不足的投标，</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highlight w:val="none"/>
          <w:lang w:eastAsia="zh-CN"/>
        </w:rPr>
        <w:t>。</w:t>
      </w:r>
    </w:p>
    <w:p w14:paraId="230DCE9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17.2在特殊情况下，采购代理机构可延长投标有效期。延长投标有效期在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发布，延期函以网上公告的形式通知所有已参加投标的投标人。已参加投标的投标人应以书面形式答复采购代理机构，同意延长有效期的投标人不能修改其投标文件，有关投标保证金的规定在投标有效期的延长期内继续有效。</w:t>
      </w:r>
    </w:p>
    <w:p w14:paraId="2CD5A50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17" w:name="bookmark31"/>
      <w:bookmarkEnd w:id="417"/>
      <w:bookmarkStart w:id="418" w:name="_Toc2837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18.投标文件的递交</w:t>
      </w:r>
      <w:bookmarkEnd w:id="418"/>
    </w:p>
    <w:p w14:paraId="357B36C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18.1投标截止时间</w:t>
      </w:r>
    </w:p>
    <w:p w14:paraId="1B58F9B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18.1.1投标截止时间详见“第一章</w:t>
      </w:r>
      <w:r>
        <w:rPr>
          <w:rFonts w:hint="eastAsia" w:ascii="仿宋" w:hAnsi="仿宋" w:eastAsia="仿宋" w:cs="仿宋"/>
          <w:color w:val="auto"/>
          <w:spacing w:val="0"/>
          <w:w w:val="100"/>
          <w:position w:val="0"/>
          <w:sz w:val="21"/>
          <w:szCs w:val="21"/>
          <w:highlight w:val="none"/>
          <w:lang w:val="en-US" w:eastAsia="zh-CN"/>
        </w:rPr>
        <w:t xml:space="preserve"> </w:t>
      </w:r>
      <w:r>
        <w:rPr>
          <w:rFonts w:hint="eastAsia" w:ascii="仿宋" w:hAnsi="仿宋" w:eastAsia="仿宋" w:cs="仿宋"/>
          <w:color w:val="auto"/>
          <w:spacing w:val="0"/>
          <w:w w:val="100"/>
          <w:position w:val="0"/>
          <w:sz w:val="21"/>
          <w:szCs w:val="21"/>
          <w:highlight w:val="none"/>
          <w:lang w:eastAsia="zh-CN"/>
        </w:rPr>
        <w:t>招标公告”。</w:t>
      </w:r>
    </w:p>
    <w:p w14:paraId="5CF9ED9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18.1.2电子版投标文件必须在招标文件规定的投标截止时间前上传到政采云平台（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否则投标无效。</w:t>
      </w:r>
    </w:p>
    <w:p w14:paraId="66D4AD2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18.1.3采购代理机构推迟投标截止时间，在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）发布延期公告，延期函以网上公告的形式通知所有已下载招标文件的投标人。在</w:t>
      </w:r>
      <w:r>
        <w:rPr>
          <w:rFonts w:hint="eastAsia" w:ascii="仿宋" w:hAnsi="仿宋" w:eastAsia="仿宋" w:cs="仿宋"/>
          <w:color w:val="auto"/>
          <w:spacing w:val="0"/>
          <w:w w:val="100"/>
          <w:position w:val="0"/>
          <w:sz w:val="21"/>
          <w:szCs w:val="21"/>
          <w:highlight w:val="none"/>
          <w:lang w:val="en-US" w:eastAsia="zh-CN"/>
        </w:rPr>
        <w:t>此</w:t>
      </w:r>
      <w:r>
        <w:rPr>
          <w:rFonts w:hint="eastAsia" w:ascii="仿宋" w:hAnsi="仿宋" w:eastAsia="仿宋" w:cs="仿宋"/>
          <w:color w:val="auto"/>
          <w:spacing w:val="0"/>
          <w:w w:val="100"/>
          <w:position w:val="0"/>
          <w:sz w:val="21"/>
          <w:szCs w:val="21"/>
          <w:highlight w:val="none"/>
          <w:lang w:eastAsia="zh-CN"/>
        </w:rPr>
        <w:t>情况下，采购代理机构、采购人和投标人受投标截止时间制约的所有权利和义务均应延长至新的投标截止时间。</w:t>
      </w:r>
    </w:p>
    <w:p w14:paraId="6539AA4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18.2迟交的投标文件</w:t>
      </w:r>
    </w:p>
    <w:p w14:paraId="4B317C41">
      <w:pPr>
        <w:pStyle w:val="11"/>
        <w:keepNext w:val="0"/>
        <w:keepLines w:val="0"/>
        <w:pageBreakBefore w:val="0"/>
        <w:widowControl w:val="0"/>
        <w:kinsoku/>
        <w:wordWrap w:val="0"/>
        <w:overflowPunct/>
        <w:topLinePunct/>
        <w:autoSpaceDE/>
        <w:autoSpaceDN/>
        <w:bidi w:val="0"/>
        <w:adjustRightInd/>
        <w:snapToGrid/>
        <w:spacing w:beforeAutospacing="0" w:after="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kern w:val="0"/>
          <w:position w:val="0"/>
          <w:sz w:val="21"/>
          <w:szCs w:val="21"/>
          <w:highlight w:val="none"/>
          <w:lang w:val="en-US" w:eastAsia="zh-CN" w:bidi="ar-SA"/>
        </w:rPr>
        <w:t>18.2.1在投标截止时间以后送达的投标文件，采购代理机构将拒绝接收。</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（适用于见面开标方式）</w:t>
      </w:r>
    </w:p>
    <w:p w14:paraId="7211A9E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val="en-US" w:eastAsia="zh-CN"/>
        </w:rPr>
        <w:t>18.2.2未在投标截止时间前上传加密电子投标文件的，视为投标无效。</w:t>
      </w:r>
      <w:r>
        <w:rPr>
          <w:rFonts w:hint="eastAsia" w:ascii="仿宋" w:hAnsi="仿宋" w:eastAsia="仿宋" w:cs="仿宋"/>
          <w:snapToGrid w:val="0"/>
          <w:color w:val="auto"/>
          <w:spacing w:val="0"/>
          <w:w w:val="100"/>
          <w:kern w:val="0"/>
          <w:position w:val="0"/>
          <w:sz w:val="21"/>
          <w:szCs w:val="21"/>
          <w:highlight w:val="none"/>
          <w:lang w:val="en-US" w:eastAsia="zh-CN" w:bidi="ar-SA"/>
          <w14:textOutline w14:w="4356" w14:cap="sq" w14:cmpd="sng" w14:algn="ctr">
            <w14:solidFill>
              <w14:srgbClr w14:val="000000"/>
            </w14:solidFill>
            <w14:prstDash w14:val="solid"/>
            <w14:bevel/>
          </w14:textOutline>
        </w:rPr>
        <w:t>（适用于不见面开标方式）</w:t>
      </w:r>
    </w:p>
    <w:p w14:paraId="25619AB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18.3投标文件的修改和撤回</w:t>
      </w:r>
    </w:p>
    <w:p w14:paraId="33D10750">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18.3.1在投标截止时间前，投标人修改或撤回投标文件的，投标人可以在政采云平台（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）上重新上传修改后的投标文件或撤回其投标。</w:t>
      </w:r>
    </w:p>
    <w:p w14:paraId="02588723">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18.3.2</w:t>
      </w:r>
      <w:r>
        <w:rPr>
          <w:rFonts w:hint="eastAsia" w:ascii="仿宋" w:hAnsi="仿宋" w:eastAsia="仿宋" w:cs="仿宋"/>
          <w:color w:val="auto"/>
          <w:spacing w:val="0"/>
          <w:w w:val="100"/>
          <w:position w:val="0"/>
          <w:sz w:val="21"/>
          <w:szCs w:val="21"/>
          <w:highlight w:val="none"/>
          <w:lang w:val="en-US" w:eastAsia="zh-CN"/>
        </w:rPr>
        <w:t>投标有效期内，投标人不得撤销或修改其投标文件</w:t>
      </w:r>
      <w:r>
        <w:rPr>
          <w:rFonts w:hint="eastAsia" w:ascii="仿宋" w:hAnsi="仿宋" w:eastAsia="仿宋" w:cs="仿宋"/>
          <w:color w:val="auto"/>
          <w:spacing w:val="0"/>
          <w:w w:val="100"/>
          <w:position w:val="0"/>
          <w:sz w:val="21"/>
          <w:szCs w:val="21"/>
          <w:highlight w:val="none"/>
          <w:lang w:eastAsia="zh-CN"/>
        </w:rPr>
        <w:t>，否则不予退还其交纳的投标保证金。</w:t>
      </w:r>
    </w:p>
    <w:p w14:paraId="387AB7A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18.4原件及样品递交要求</w:t>
      </w:r>
      <w:r>
        <w:rPr>
          <w:rFonts w:hint="eastAsia" w:ascii="仿宋" w:hAnsi="仿宋" w:eastAsia="仿宋" w:cs="仿宋"/>
          <w:b/>
          <w:bCs/>
          <w:color w:val="auto"/>
          <w:spacing w:val="0"/>
          <w:w w:val="100"/>
          <w:position w:val="0"/>
          <w:sz w:val="21"/>
          <w:szCs w:val="21"/>
          <w:highlight w:val="none"/>
          <w:lang w:val="en-US" w:eastAsia="zh-CN"/>
        </w:rPr>
        <w:t>（若有）</w:t>
      </w:r>
      <w:r>
        <w:rPr>
          <w:rFonts w:hint="eastAsia" w:ascii="仿宋" w:hAnsi="仿宋" w:eastAsia="仿宋" w:cs="仿宋"/>
          <w:color w:val="auto"/>
          <w:spacing w:val="0"/>
          <w:w w:val="100"/>
          <w:position w:val="0"/>
          <w:sz w:val="21"/>
          <w:szCs w:val="21"/>
          <w:highlight w:val="none"/>
          <w:lang w:val="en-US" w:eastAsia="zh-CN"/>
        </w:rPr>
        <w:t>：招标文件要求提供材料原件、样品佐证的，所提供的物品必须在投标文件递交截止时间前递交至开标地点，逾期不予接收。具体要求详见“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val="en-US" w:eastAsia="zh-CN"/>
        </w:rPr>
        <w:t>”</w:t>
      </w:r>
    </w:p>
    <w:p w14:paraId="72A17A4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19" w:name="_Toc2899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19.分包的规定</w:t>
      </w:r>
      <w:bookmarkEnd w:id="419"/>
    </w:p>
    <w:p w14:paraId="430A58D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19.1本项目是否允许分包：详见“</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552ADEBD">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19.2在中标后将中标项目的非主体、非关键性工作分包的，应当在投标文件中载明分包承担主体，分包承担主体应当具备相应资质条件且不得再次分包。</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（适用于允许分包）</w:t>
      </w:r>
    </w:p>
    <w:p w14:paraId="60F017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20" w:name="bookmark33"/>
      <w:bookmarkEnd w:id="420"/>
      <w:bookmarkStart w:id="421" w:name="_Toc12761"/>
      <w:r>
        <w:rPr>
          <w:rFonts w:hint="eastAsia" w:ascii="仿宋" w:hAnsi="仿宋" w:eastAsia="仿宋" w:cs="仿宋"/>
          <w:color w:val="auto"/>
          <w:spacing w:val="0"/>
          <w:w w:val="100"/>
          <w:position w:val="0"/>
          <w:sz w:val="21"/>
          <w:szCs w:val="21"/>
          <w:highlight w:val="none"/>
          <w:lang w:eastAsia="zh-CN"/>
        </w:rPr>
        <w:t>19.3</w:t>
      </w:r>
      <w:r>
        <w:rPr>
          <w:rFonts w:hint="eastAsia" w:ascii="仿宋" w:hAnsi="仿宋" w:eastAsia="仿宋" w:cs="仿宋"/>
          <w:color w:val="auto"/>
          <w:spacing w:val="0"/>
          <w:w w:val="100"/>
          <w:position w:val="0"/>
          <w:sz w:val="21"/>
          <w:szCs w:val="21"/>
          <w:highlight w:val="none"/>
          <w:lang w:val="en-US" w:eastAsia="zh-CN"/>
        </w:rPr>
        <w:t>依据《政府采购促进中小企业发展管理办法》规定享受扶持政策获得政府采购合同的，小微企业不得将合同分包给大中型企业，中型企业不得将合同分包给大型企业。</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（适用于允许分包）</w:t>
      </w:r>
      <w:bookmarkEnd w:id="421"/>
    </w:p>
    <w:p w14:paraId="0DBBCE8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2" w:name="_Toc1718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20.恶意串通等行为的处理及串通投标情形的认定</w:t>
      </w:r>
      <w:bookmarkEnd w:id="422"/>
    </w:p>
    <w:p w14:paraId="7575880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20.1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4BC84C9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20.2有下列情形之一的，视为投标人串通投标，其</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b w:val="0"/>
          <w:bCs w:val="0"/>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w:t>
      </w:r>
      <w:r>
        <w:rPr>
          <w:rFonts w:hint="eastAsia" w:ascii="仿宋" w:hAnsi="仿宋" w:eastAsia="仿宋" w:cs="仿宋"/>
          <w:b w:val="0"/>
          <w:bCs w:val="0"/>
          <w:color w:val="auto"/>
          <w:sz w:val="21"/>
          <w:szCs w:val="21"/>
          <w:highlight w:val="none"/>
          <w:lang w:val="en-US" w:eastAsia="zh-CN"/>
        </w:rPr>
        <w:t>详见</w:t>
      </w:r>
      <w:r>
        <w:rPr>
          <w:rFonts w:hint="eastAsia" w:ascii="仿宋" w:hAnsi="仿宋" w:eastAsia="仿宋" w:cs="仿宋"/>
          <w:b/>
          <w:bCs/>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6CD4EACC">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3" w:name="bookmark34"/>
      <w:bookmarkEnd w:id="423"/>
      <w:bookmarkStart w:id="424" w:name="_Toc2219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四、</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开标</w:t>
      </w:r>
      <w:bookmarkEnd w:id="424"/>
      <w:bookmarkStart w:id="425" w:name="bookmark35"/>
      <w:bookmarkEnd w:id="425"/>
    </w:p>
    <w:p w14:paraId="219A1DF6">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26" w:name="_Toc17335"/>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21.开标</w:t>
      </w:r>
      <w:bookmarkEnd w:id="426"/>
    </w:p>
    <w:p w14:paraId="55FA894D">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27" w:name="_Toc19365"/>
      <w:r>
        <w:rPr>
          <w:rFonts w:hint="eastAsia" w:ascii="仿宋" w:hAnsi="仿宋" w:eastAsia="仿宋" w:cs="仿宋"/>
          <w:color w:val="auto"/>
          <w:spacing w:val="0"/>
          <w:w w:val="100"/>
          <w:position w:val="0"/>
          <w:sz w:val="21"/>
          <w:szCs w:val="21"/>
          <w:highlight w:val="none"/>
          <w:lang w:eastAsia="zh-CN"/>
        </w:rPr>
        <w:t>21.1开标：本项目</w:t>
      </w:r>
      <w:r>
        <w:rPr>
          <w:rFonts w:hint="eastAsia" w:ascii="仿宋" w:hAnsi="仿宋" w:eastAsia="仿宋" w:cs="仿宋"/>
          <w:color w:val="auto"/>
          <w:spacing w:val="0"/>
          <w:w w:val="100"/>
          <w:position w:val="0"/>
          <w:sz w:val="21"/>
          <w:szCs w:val="21"/>
          <w:highlight w:val="none"/>
          <w:lang w:val="en-US" w:eastAsia="zh-CN"/>
        </w:rPr>
        <w:t>开标方式及</w:t>
      </w:r>
      <w:r>
        <w:rPr>
          <w:rFonts w:hint="eastAsia" w:ascii="仿宋" w:hAnsi="仿宋" w:eastAsia="仿宋" w:cs="仿宋"/>
          <w:color w:val="auto"/>
          <w:spacing w:val="0"/>
          <w:w w:val="100"/>
          <w:position w:val="0"/>
          <w:sz w:val="21"/>
          <w:szCs w:val="21"/>
          <w:highlight w:val="none"/>
          <w:lang w:eastAsia="zh-CN"/>
        </w:rPr>
        <w:t>开标注意事项详见第</w:t>
      </w:r>
      <w:r>
        <w:rPr>
          <w:rFonts w:hint="eastAsia" w:ascii="仿宋" w:hAnsi="仿宋" w:eastAsia="仿宋" w:cs="仿宋"/>
          <w:color w:val="auto"/>
          <w:spacing w:val="0"/>
          <w:w w:val="100"/>
          <w:position w:val="0"/>
          <w:sz w:val="21"/>
          <w:szCs w:val="21"/>
          <w:highlight w:val="none"/>
          <w:lang w:val="en-US" w:eastAsia="zh-CN"/>
        </w:rPr>
        <w:t>一</w:t>
      </w:r>
      <w:r>
        <w:rPr>
          <w:rFonts w:hint="eastAsia" w:ascii="仿宋" w:hAnsi="仿宋" w:eastAsia="仿宋" w:cs="仿宋"/>
          <w:color w:val="auto"/>
          <w:spacing w:val="0"/>
          <w:w w:val="100"/>
          <w:position w:val="0"/>
          <w:sz w:val="21"/>
          <w:szCs w:val="21"/>
          <w:highlight w:val="none"/>
          <w:lang w:eastAsia="zh-CN"/>
        </w:rPr>
        <w:t>章“</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招标公告</w:t>
      </w:r>
      <w:r>
        <w:rPr>
          <w:rFonts w:hint="eastAsia" w:ascii="仿宋" w:hAnsi="仿宋" w:eastAsia="仿宋" w:cs="仿宋"/>
          <w:color w:val="auto"/>
          <w:spacing w:val="0"/>
          <w:w w:val="100"/>
          <w:position w:val="0"/>
          <w:sz w:val="21"/>
          <w:szCs w:val="21"/>
          <w:highlight w:val="none"/>
          <w:lang w:eastAsia="zh-CN"/>
        </w:rPr>
        <w:t>”。</w:t>
      </w:r>
      <w:bookmarkEnd w:id="427"/>
    </w:p>
    <w:p w14:paraId="0459754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21.2开标由采购代理机构主持，邀请</w:t>
      </w:r>
      <w:r>
        <w:rPr>
          <w:rFonts w:hint="eastAsia" w:ascii="仿宋" w:hAnsi="仿宋" w:eastAsia="仿宋" w:cs="仿宋"/>
          <w:color w:val="auto"/>
          <w:spacing w:val="0"/>
          <w:w w:val="100"/>
          <w:position w:val="0"/>
          <w:sz w:val="21"/>
          <w:szCs w:val="21"/>
          <w:highlight w:val="none"/>
          <w:lang w:val="en-US" w:eastAsia="zh-CN"/>
        </w:rPr>
        <w:t>采购人</w:t>
      </w:r>
      <w:r>
        <w:rPr>
          <w:rFonts w:hint="eastAsia" w:ascii="仿宋" w:hAnsi="仿宋" w:eastAsia="仿宋" w:cs="仿宋"/>
          <w:color w:val="auto"/>
          <w:spacing w:val="0"/>
          <w:w w:val="100"/>
          <w:position w:val="0"/>
          <w:sz w:val="21"/>
          <w:szCs w:val="21"/>
          <w:highlight w:val="none"/>
          <w:lang w:eastAsia="zh-CN"/>
        </w:rPr>
        <w:t>参加。评标委员会成员不得参加开标活动。</w:t>
      </w:r>
    </w:p>
    <w:p w14:paraId="5F7C8D8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21.3</w:t>
      </w:r>
      <w:r>
        <w:rPr>
          <w:rFonts w:hint="eastAsia" w:ascii="仿宋" w:hAnsi="仿宋" w:eastAsia="仿宋" w:cs="仿宋"/>
          <w:color w:val="auto"/>
          <w:spacing w:val="0"/>
          <w:w w:val="100"/>
          <w:position w:val="0"/>
          <w:sz w:val="21"/>
          <w:szCs w:val="21"/>
          <w:highlight w:val="none"/>
          <w:lang w:val="en-US" w:eastAsia="zh-CN"/>
        </w:rPr>
        <w:t>投标人未在规定时间内使用CA数字证书完成解密投标文件的，</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投标无效。</w:t>
      </w:r>
    </w:p>
    <w:p w14:paraId="6324219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21.4开标时，采购代理机构将宣读投标人名称、投标</w:t>
      </w:r>
      <w:r>
        <w:rPr>
          <w:rFonts w:hint="eastAsia" w:ascii="仿宋" w:hAnsi="仿宋" w:eastAsia="仿宋" w:cs="仿宋"/>
          <w:color w:val="auto"/>
          <w:spacing w:val="0"/>
          <w:w w:val="100"/>
          <w:position w:val="0"/>
          <w:sz w:val="21"/>
          <w:szCs w:val="21"/>
          <w:highlight w:val="none"/>
          <w:lang w:val="en-US" w:eastAsia="zh-CN"/>
        </w:rPr>
        <w:t>报</w:t>
      </w:r>
      <w:r>
        <w:rPr>
          <w:rFonts w:hint="eastAsia" w:ascii="仿宋" w:hAnsi="仿宋" w:eastAsia="仿宋" w:cs="仿宋"/>
          <w:color w:val="auto"/>
          <w:spacing w:val="0"/>
          <w:w w:val="100"/>
          <w:position w:val="0"/>
          <w:sz w:val="21"/>
          <w:szCs w:val="21"/>
          <w:highlight w:val="none"/>
          <w:lang w:eastAsia="zh-CN"/>
        </w:rPr>
        <w:t>价以及其</w:t>
      </w:r>
      <w:r>
        <w:rPr>
          <w:rFonts w:hint="eastAsia" w:ascii="仿宋" w:hAnsi="仿宋" w:eastAsia="仿宋" w:cs="仿宋"/>
          <w:color w:val="auto"/>
          <w:spacing w:val="0"/>
          <w:w w:val="100"/>
          <w:position w:val="0"/>
          <w:sz w:val="21"/>
          <w:szCs w:val="21"/>
          <w:highlight w:val="none"/>
          <w:lang w:val="en-US" w:eastAsia="zh-CN"/>
        </w:rPr>
        <w:t>他内容。</w:t>
      </w:r>
    </w:p>
    <w:p w14:paraId="0ACEE8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投标人不足3家的，不得开标。</w:t>
      </w:r>
    </w:p>
    <w:p w14:paraId="4D9FC9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21.5开标过程应当由采购代理机构负责记录，并随</w:t>
      </w:r>
      <w:r>
        <w:rPr>
          <w:rFonts w:hint="eastAsia" w:ascii="仿宋" w:hAnsi="仿宋" w:eastAsia="仿宋" w:cs="仿宋"/>
          <w:color w:val="auto"/>
          <w:spacing w:val="0"/>
          <w:w w:val="100"/>
          <w:position w:val="0"/>
          <w:sz w:val="21"/>
          <w:szCs w:val="21"/>
          <w:highlight w:val="none"/>
          <w:lang w:val="en-US" w:eastAsia="zh-CN"/>
        </w:rPr>
        <w:t>招标</w:t>
      </w:r>
      <w:r>
        <w:rPr>
          <w:rFonts w:hint="eastAsia" w:ascii="仿宋" w:hAnsi="仿宋" w:eastAsia="仿宋" w:cs="仿宋"/>
          <w:color w:val="auto"/>
          <w:spacing w:val="0"/>
          <w:w w:val="100"/>
          <w:position w:val="0"/>
          <w:sz w:val="21"/>
          <w:szCs w:val="21"/>
          <w:highlight w:val="none"/>
          <w:lang w:eastAsia="zh-CN"/>
        </w:rPr>
        <w:t>文件一并存档。投标人代表对开标过程和开标记录有疑义，以及认为采购人、采购代理机构相关工作人员有需要回避的情形的，应当场提出询问或者回避申请。采购人、采购代理机构对投标人代表提出的询问或者回避申请应当及时处理。投标人未参加开标的，视同认可开标结</w:t>
      </w:r>
      <w:r>
        <w:rPr>
          <w:rFonts w:hint="eastAsia" w:ascii="仿宋" w:hAnsi="仿宋" w:eastAsia="仿宋" w:cs="仿宋"/>
          <w:color w:val="auto"/>
          <w:spacing w:val="0"/>
          <w:w w:val="100"/>
          <w:position w:val="0"/>
          <w:sz w:val="21"/>
          <w:szCs w:val="21"/>
          <w:highlight w:val="none"/>
          <w:lang w:val="en-US" w:eastAsia="zh-CN"/>
        </w:rPr>
        <w:t>果。</w:t>
      </w:r>
    </w:p>
    <w:p w14:paraId="61D42C5B">
      <w:pPr>
        <w:keepNext w:val="0"/>
        <w:keepLines w:val="0"/>
        <w:pageBreakBefore w:val="0"/>
        <w:widowControl w:val="0"/>
        <w:numPr>
          <w:ilvl w:val="0"/>
          <w:numId w:val="0"/>
        </w:numPr>
        <w:kinsoku/>
        <w:wordWrap w:val="0"/>
        <w:overflowPunct/>
        <w:topLinePunct/>
        <w:autoSpaceDE/>
        <w:autoSpaceDN/>
        <w:bidi w:val="0"/>
        <w:adjustRightInd/>
        <w:snapToGrid/>
        <w:spacing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8" w:name="_Toc1339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五、评标</w:t>
      </w:r>
      <w:bookmarkEnd w:id="428"/>
    </w:p>
    <w:p w14:paraId="53F5EE70">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29" w:name="bookmark37"/>
      <w:bookmarkEnd w:id="429"/>
      <w:bookmarkStart w:id="430" w:name="_Toc28804"/>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22.评标</w:t>
      </w:r>
      <w:bookmarkEnd w:id="430"/>
    </w:p>
    <w:p w14:paraId="46BD6C2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22.1公开招标采购项目开标结束后，采购人或者采购代理机构应当依法对投标人的资格进行审查。</w:t>
      </w:r>
    </w:p>
    <w:p w14:paraId="24C584F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合格投标人不足3家的，不得评标。</w:t>
      </w:r>
    </w:p>
    <w:p w14:paraId="62B4B15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lang w:eastAsia="zh-CN"/>
        </w:rPr>
        <w:t>评标委员会</w:t>
      </w:r>
    </w:p>
    <w:p w14:paraId="3D0422EB">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评标由依照有关法规组建的评标委员会负责。</w:t>
      </w:r>
    </w:p>
    <w:p w14:paraId="04E7C87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3</w:t>
      </w:r>
      <w:r>
        <w:rPr>
          <w:rFonts w:hint="eastAsia" w:ascii="仿宋" w:hAnsi="仿宋" w:eastAsia="仿宋" w:cs="仿宋"/>
          <w:color w:val="auto"/>
          <w:spacing w:val="0"/>
          <w:w w:val="100"/>
          <w:position w:val="0"/>
          <w:sz w:val="21"/>
          <w:szCs w:val="21"/>
          <w:highlight w:val="none"/>
          <w:lang w:eastAsia="zh-CN"/>
        </w:rPr>
        <w:t>评标委员会应当对符合资格的投标人的投标文件进行符合性审查，以确定其是否满足招标文件的实质性要求。</w:t>
      </w:r>
    </w:p>
    <w:p w14:paraId="6BC154D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4</w:t>
      </w:r>
      <w:r>
        <w:rPr>
          <w:rFonts w:hint="eastAsia" w:ascii="仿宋" w:hAnsi="仿宋" w:eastAsia="仿宋" w:cs="仿宋"/>
          <w:color w:val="auto"/>
          <w:spacing w:val="0"/>
          <w:w w:val="100"/>
          <w:position w:val="0"/>
          <w:sz w:val="21"/>
          <w:szCs w:val="21"/>
          <w:highlight w:val="none"/>
          <w:lang w:eastAsia="zh-CN"/>
        </w:rPr>
        <w:t>对于投标文件中含义不明确、同类问题表述不一致或者有明显文字和计算错误的内容，评标委员会应当以书面形式要求投标人做出必要的澄清、说明或者补正。</w:t>
      </w:r>
    </w:p>
    <w:p w14:paraId="57C986A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投标人的澄清、说明或者补正应当采用书面形式，并加盖公章，或者由法定代表人或其授权的代表签字。投标人的澄清、说明或者补正不得超出投标文件的范围或者改变投标文件的实质性内容。</w:t>
      </w:r>
    </w:p>
    <w:p w14:paraId="299F3EA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5</w:t>
      </w:r>
      <w:r>
        <w:rPr>
          <w:rFonts w:hint="eastAsia" w:ascii="仿宋" w:hAnsi="仿宋" w:eastAsia="仿宋" w:cs="仿宋"/>
          <w:color w:val="auto"/>
          <w:spacing w:val="0"/>
          <w:w w:val="100"/>
          <w:position w:val="0"/>
          <w:sz w:val="21"/>
          <w:szCs w:val="21"/>
          <w:highlight w:val="none"/>
          <w:lang w:eastAsia="zh-CN"/>
        </w:rPr>
        <w:t>评标委员会应当按照招标文件中规定的评标方法和标准，对符合性审查合格的投标文件进行商务和技术评估，综合比较与评价。</w:t>
      </w:r>
    </w:p>
    <w:p w14:paraId="131BF3F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6</w:t>
      </w:r>
      <w:r>
        <w:rPr>
          <w:rFonts w:hint="eastAsia" w:ascii="仿宋" w:hAnsi="仿宋" w:eastAsia="仿宋" w:cs="仿宋"/>
          <w:color w:val="auto"/>
          <w:spacing w:val="0"/>
          <w:w w:val="100"/>
          <w:position w:val="0"/>
          <w:sz w:val="21"/>
          <w:szCs w:val="21"/>
          <w:highlight w:val="none"/>
          <w:lang w:eastAsia="zh-CN"/>
        </w:rPr>
        <w:t>评标委员会根据全体评标成员签字的原始评标记录和评标结果编写评标报告。</w:t>
      </w:r>
    </w:p>
    <w:p w14:paraId="35700821">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7</w:t>
      </w:r>
      <w:r>
        <w:rPr>
          <w:rFonts w:hint="eastAsia" w:ascii="仿宋" w:hAnsi="仿宋" w:eastAsia="仿宋" w:cs="仿宋"/>
          <w:color w:val="auto"/>
          <w:spacing w:val="0"/>
          <w:w w:val="100"/>
          <w:position w:val="0"/>
          <w:sz w:val="21"/>
          <w:szCs w:val="21"/>
          <w:highlight w:val="none"/>
          <w:lang w:eastAsia="zh-CN"/>
        </w:rPr>
        <w:t>投标文件报价出现前后不一致的，除招标文件另有规定外，按照下列规定修正：</w:t>
      </w:r>
    </w:p>
    <w:p w14:paraId="2EB0504B">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（1）投标文件中开标一览表（报价表）内容与投标文件中相应内容不一致的，以开标一览表（报价表）为准；</w:t>
      </w:r>
    </w:p>
    <w:p w14:paraId="244BC08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（2）大写金额和小写金额不一致的，以大写金额为准；</w:t>
      </w:r>
    </w:p>
    <w:p w14:paraId="685C20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（3）单价金额小数点或者百分比有明显错位的，以开标一览表的总价为准，并修改单价；</w:t>
      </w:r>
    </w:p>
    <w:p w14:paraId="0A568DF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（4）总价金额与按单价汇总金额不一致的，以单价金额计算结果为准。</w:t>
      </w:r>
    </w:p>
    <w:p w14:paraId="5F94BA66">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同时出现两种以上不一致的，按照前款规定的顺序修正。修正后的报价按照投标人的澄清、说明或者补正应当采用书面形式，并加盖公章，或者由法定代表人或其授权的代表签字。投标人的澄清、说明或者补正不得超出投标文件的范围或者改变投标文件的实质性内容的规定经投标人确认后产生约束力，投标人不确认的，其投标无效。</w:t>
      </w:r>
    </w:p>
    <w:p w14:paraId="6311CC7A">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评标委员会认为投标人的报价明显低于其他通过符合性审查投标人的报价，有可能影响产品质量或者不能诚信履约的，应当要求其在询标环节规定的合理时间内提供书面说明，必要时提交相关证明材料；投标人不能证明其报价合理性的，评标委员会应当将其作</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为无效投标处理。</w:t>
      </w:r>
    </w:p>
    <w:p w14:paraId="4EBFC34E">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w:t>
      </w:r>
      <w:r>
        <w:rPr>
          <w:rFonts w:hint="eastAsia" w:ascii="仿宋" w:hAnsi="仿宋" w:eastAsia="仿宋" w:cs="仿宋"/>
          <w:color w:val="auto"/>
          <w:spacing w:val="0"/>
          <w:w w:val="100"/>
          <w:position w:val="0"/>
          <w:sz w:val="21"/>
          <w:szCs w:val="21"/>
          <w:highlight w:val="none"/>
          <w:lang w:val="en-US" w:eastAsia="zh-CN"/>
        </w:rPr>
        <w:t>9</w:t>
      </w:r>
      <w:r>
        <w:rPr>
          <w:rFonts w:hint="eastAsia" w:ascii="仿宋" w:hAnsi="仿宋" w:eastAsia="仿宋" w:cs="仿宋"/>
          <w:color w:val="auto"/>
          <w:spacing w:val="0"/>
          <w:w w:val="100"/>
          <w:position w:val="0"/>
          <w:sz w:val="21"/>
          <w:szCs w:val="21"/>
          <w:highlight w:val="none"/>
          <w:lang w:eastAsia="zh-CN"/>
        </w:rPr>
        <w:t>投标人存在下列情况之一的，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投标无效</w:t>
      </w:r>
      <w:r>
        <w:rPr>
          <w:rFonts w:hint="eastAsia" w:ascii="仿宋" w:hAnsi="仿宋" w:eastAsia="仿宋" w:cs="仿宋"/>
          <w:color w:val="auto"/>
          <w:spacing w:val="0"/>
          <w:w w:val="100"/>
          <w:position w:val="0"/>
          <w:sz w:val="21"/>
          <w:szCs w:val="21"/>
          <w:highlight w:val="none"/>
          <w:lang w:eastAsia="zh-CN"/>
        </w:rPr>
        <w:t>：</w:t>
      </w:r>
    </w:p>
    <w:p w14:paraId="61343CD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（1）未按照招标文件的规定提交投标保证金的；</w:t>
      </w:r>
    </w:p>
    <w:p w14:paraId="07C5F8FC">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（2）投标文件未按招标文件要求签署、盖章的；</w:t>
      </w:r>
    </w:p>
    <w:p w14:paraId="653D4C4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（3）不具备招标文件中规定的资格要求的；</w:t>
      </w:r>
    </w:p>
    <w:p w14:paraId="0B0A2BE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（4）报价超过招标文件中规定的预算金额或者最高限价的；</w:t>
      </w:r>
    </w:p>
    <w:p w14:paraId="4439AA3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（5）投标文件含有采购人不能接受的附加条件的；</w:t>
      </w:r>
    </w:p>
    <w:p w14:paraId="25879F11">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（6）法律法规和招标文件规定的其他无效情形。</w:t>
      </w:r>
    </w:p>
    <w:p w14:paraId="33595FB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0</w:t>
      </w:r>
      <w:r>
        <w:rPr>
          <w:rFonts w:hint="eastAsia" w:ascii="仿宋" w:hAnsi="仿宋" w:eastAsia="仿宋" w:cs="仿宋"/>
          <w:color w:val="auto"/>
          <w:spacing w:val="0"/>
          <w:w w:val="100"/>
          <w:position w:val="0"/>
          <w:sz w:val="21"/>
          <w:szCs w:val="21"/>
          <w:highlight w:val="none"/>
          <w:lang w:eastAsia="zh-CN"/>
        </w:rPr>
        <w:t>在招标采购中，出现下列情形之一的，</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应予废标：</w:t>
      </w:r>
    </w:p>
    <w:p w14:paraId="1184CEB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（1）符合专业条件的投标人或者对招标文件作实质响应的投标人不足三家的；</w:t>
      </w:r>
    </w:p>
    <w:p w14:paraId="3C3CAF77">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（2）出现影响采购公正的违法、违规行为的；</w:t>
      </w:r>
    </w:p>
    <w:p w14:paraId="0051AB99">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（3）投标人的报价均超过了采购预算，采购人不能支付的；</w:t>
      </w:r>
    </w:p>
    <w:p w14:paraId="5E5CED84">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（4）因重大变故，采购任务取消。</w:t>
      </w:r>
    </w:p>
    <w:p w14:paraId="1A5403A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1</w:t>
      </w:r>
      <w:r>
        <w:rPr>
          <w:rFonts w:hint="eastAsia" w:ascii="仿宋" w:hAnsi="仿宋" w:eastAsia="仿宋" w:cs="仿宋"/>
          <w:color w:val="auto"/>
          <w:spacing w:val="0"/>
          <w:w w:val="100"/>
          <w:position w:val="0"/>
          <w:sz w:val="21"/>
          <w:szCs w:val="21"/>
          <w:highlight w:val="none"/>
          <w:lang w:eastAsia="zh-CN"/>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7174FB5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textAlignment w:val="auto"/>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22.1</w:t>
      </w:r>
      <w:r>
        <w:rPr>
          <w:rFonts w:hint="eastAsia" w:ascii="仿宋" w:hAnsi="仿宋" w:eastAsia="仿宋" w:cs="仿宋"/>
          <w:color w:val="auto"/>
          <w:spacing w:val="0"/>
          <w:w w:val="100"/>
          <w:position w:val="0"/>
          <w:sz w:val="21"/>
          <w:szCs w:val="21"/>
          <w:highlight w:val="none"/>
          <w:lang w:val="en-US" w:eastAsia="zh-CN"/>
        </w:rPr>
        <w:t>2</w:t>
      </w:r>
      <w:r>
        <w:rPr>
          <w:rFonts w:hint="eastAsia" w:ascii="仿宋" w:hAnsi="仿宋" w:eastAsia="仿宋" w:cs="仿宋"/>
          <w:color w:val="auto"/>
          <w:spacing w:val="0"/>
          <w:w w:val="100"/>
          <w:position w:val="0"/>
          <w:sz w:val="21"/>
          <w:szCs w:val="21"/>
          <w:highlight w:val="none"/>
        </w:rPr>
        <w:t>评标委员会决定投标的实质性响应，只根据投标本身的真实无误的</w:t>
      </w:r>
      <w:r>
        <w:rPr>
          <w:rFonts w:hint="eastAsia" w:ascii="仿宋" w:hAnsi="仿宋" w:eastAsia="仿宋" w:cs="仿宋"/>
          <w:color w:val="auto"/>
          <w:spacing w:val="0"/>
          <w:w w:val="100"/>
          <w:position w:val="0"/>
          <w:sz w:val="21"/>
          <w:szCs w:val="21"/>
          <w:highlight w:val="none"/>
          <w:lang w:val="en-US" w:eastAsia="zh-CN"/>
        </w:rPr>
        <w:t>内</w:t>
      </w:r>
      <w:r>
        <w:rPr>
          <w:rFonts w:hint="eastAsia" w:ascii="仿宋" w:hAnsi="仿宋" w:eastAsia="仿宋" w:cs="仿宋"/>
          <w:color w:val="auto"/>
          <w:spacing w:val="0"/>
          <w:w w:val="100"/>
          <w:position w:val="0"/>
          <w:sz w:val="21"/>
          <w:szCs w:val="21"/>
          <w:highlight w:val="none"/>
        </w:rPr>
        <w:t>容，评审工作不依据外部的证据，但投标有不真实不正确的内容时除外。</w:t>
      </w:r>
    </w:p>
    <w:p w14:paraId="4AF3ECB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31" w:name="bookmark38"/>
      <w:bookmarkEnd w:id="431"/>
      <w:bookmarkStart w:id="432" w:name="_Toc1283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23.评标方法和评标标准</w:t>
      </w:r>
      <w:bookmarkEnd w:id="432"/>
    </w:p>
    <w:p w14:paraId="161589AB">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23.1</w:t>
      </w:r>
      <w:r>
        <w:rPr>
          <w:rFonts w:hint="eastAsia" w:ascii="仿宋" w:hAnsi="仿宋" w:eastAsia="仿宋" w:cs="仿宋"/>
          <w:color w:val="auto"/>
          <w:sz w:val="21"/>
          <w:szCs w:val="21"/>
          <w:highlight w:val="none"/>
          <w:lang w:eastAsia="zh-CN"/>
        </w:rPr>
        <w:t>评标方法：货物、工程、服务招标采购的评标方法采用最低评标价法、综合评分法。</w:t>
      </w:r>
    </w:p>
    <w:p w14:paraId="1015A8D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本项目评分方法：详见</w:t>
      </w:r>
      <w:r>
        <w:rPr>
          <w:rFonts w:hint="eastAsia" w:ascii="仿宋" w:hAnsi="仿宋" w:eastAsia="仿宋" w:cs="仿宋"/>
          <w:b/>
          <w:bCs/>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p>
    <w:p w14:paraId="25A9291F">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23.1.1</w:t>
      </w:r>
      <w:r>
        <w:rPr>
          <w:rFonts w:hint="eastAsia" w:ascii="仿宋" w:hAnsi="仿宋" w:eastAsia="仿宋" w:cs="仿宋"/>
          <w:color w:val="auto"/>
          <w:sz w:val="21"/>
          <w:szCs w:val="21"/>
          <w:highlight w:val="none"/>
          <w:lang w:eastAsia="zh-CN"/>
        </w:rPr>
        <w:t>最低评标价法：是指以价格为主要因素确定中标候选投标人的评标方法，即在全部满足招标文件实质性要求前提下，依据统一的价格要素评定最低报价，以提出最低报价的投标人作为中标候选投标人或者中标投标人的评标方法。</w:t>
      </w:r>
      <w:r>
        <w:rPr>
          <w:rFonts w:hint="eastAsia" w:ascii="仿宋" w:hAnsi="仿宋" w:eastAsia="仿宋" w:cs="仿宋"/>
          <w:color w:val="auto"/>
          <w:sz w:val="21"/>
          <w:szCs w:val="21"/>
          <w:highlight w:val="none"/>
          <w:lang w:eastAsia="zh-CN"/>
        </w:rPr>
        <w:br w:type="textWrapping"/>
      </w:r>
      <w:r>
        <w:rPr>
          <w:rFonts w:hint="eastAsia" w:ascii="仿宋" w:hAnsi="仿宋" w:eastAsia="仿宋" w:cs="仿宋"/>
          <w:color w:val="auto"/>
          <w:sz w:val="21"/>
          <w:szCs w:val="21"/>
          <w:highlight w:val="none"/>
          <w:lang w:eastAsia="zh-CN"/>
        </w:rPr>
        <w:t>最低评标价法适用于标准定制商品及通用服务项目。</w:t>
      </w:r>
    </w:p>
    <w:p w14:paraId="1936C57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23.1.2</w:t>
      </w:r>
      <w:r>
        <w:rPr>
          <w:rFonts w:hint="eastAsia" w:ascii="仿宋" w:hAnsi="仿宋" w:eastAsia="仿宋" w:cs="仿宋"/>
          <w:color w:val="auto"/>
          <w:sz w:val="21"/>
          <w:szCs w:val="21"/>
          <w:highlight w:val="none"/>
          <w:lang w:eastAsia="zh-CN"/>
        </w:rPr>
        <w:t>综合评分法：是指在最大限度地满足招标文件实质性要求前提下，按照招标文件中规定的各项因素进行综合评审后，以评标总得分最高的投标人作为中标候选投标人或者中标投标人的评标方法。</w:t>
      </w:r>
    </w:p>
    <w:p w14:paraId="3FC1B0F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综合评分的主要因素是：投标报价、技术或者服务水平、履约能力、售后服务等。上述因素应当在招标文件中事先规定。</w:t>
      </w:r>
    </w:p>
    <w:p w14:paraId="7025416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评标时，评标委员会各成员应当独立对每个有效投标人的标书进行评价、打分，然后汇总每个投标人每项评分因素的得分。</w:t>
      </w:r>
    </w:p>
    <w:p w14:paraId="535502AD">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23.2</w:t>
      </w:r>
      <w:r>
        <w:rPr>
          <w:rFonts w:hint="eastAsia" w:ascii="仿宋" w:hAnsi="仿宋" w:eastAsia="仿宋" w:cs="仿宋"/>
          <w:color w:val="auto"/>
          <w:sz w:val="21"/>
          <w:szCs w:val="21"/>
          <w:highlight w:val="none"/>
          <w:lang w:val="en-US" w:eastAsia="zh-CN"/>
        </w:rPr>
        <w:t>评审过程中评标委员会需要投标人对投标、投标文件作出澄清、说明或者补正的。评标委员会和投标人应当通过电子交易平台交换数据电文，不接受线下提供的补正资料。给予投标人提交澄清说明或补正的时间不得少于30分钟，投标人已经明确表示澄清说明或补正完毕的除外。因投标人自身原因导致错过澄清，应承担其不利后果。</w:t>
      </w:r>
    </w:p>
    <w:p w14:paraId="1D01D057">
      <w:pPr>
        <w:keepNext w:val="0"/>
        <w:keepLines w:val="0"/>
        <w:pageBreakBefore w:val="0"/>
        <w:widowControl w:val="0"/>
        <w:numPr>
          <w:ilvl w:val="0"/>
          <w:numId w:val="0"/>
        </w:numPr>
        <w:kinsoku/>
        <w:wordWrap w:val="0"/>
        <w:overflowPunct/>
        <w:topLinePunct/>
        <w:autoSpaceDE/>
        <w:autoSpaceDN/>
        <w:bidi w:val="0"/>
        <w:adjustRightInd/>
        <w:snapToGrid/>
        <w:spacing w:beforeAutospacing="0" w:afterAutospacing="0" w:line="404" w:lineRule="exact"/>
        <w:ind w:left="0" w:right="0" w:rightChars="0" w:firstLine="422"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33" w:name="_Toc16364"/>
      <w:r>
        <w:rPr>
          <w:rFonts w:hint="eastAsia" w:ascii="仿宋" w:hAnsi="仿宋" w:eastAsia="仿宋" w:cs="仿宋"/>
          <w:b/>
          <w:bCs/>
          <w:snapToGrid w:val="0"/>
          <w:color w:val="auto"/>
          <w:spacing w:val="0"/>
          <w:w w:val="100"/>
          <w:position w:val="0"/>
          <w:sz w:val="21"/>
          <w:szCs w:val="21"/>
          <w:highlight w:val="none"/>
          <w:lang w:val="en-US" w:eastAsia="zh-CN" w:bidi="ar-SA"/>
          <w14:textOutline w14:w="4356" w14:cap="sq" w14:cmpd="sng" w14:algn="ctr">
            <w14:solidFill>
              <w14:srgbClr w14:val="000000"/>
            </w14:solidFill>
            <w14:prstDash w14:val="solid"/>
            <w14:bevel/>
          </w14:textOutline>
        </w:rPr>
        <w:t>六、</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意外情况的情形和处理</w:t>
      </w:r>
      <w:bookmarkEnd w:id="433"/>
    </w:p>
    <w:p w14:paraId="1F8B31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34" w:name="_Toc16132"/>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24.意外情况的情形</w:t>
      </w:r>
      <w:bookmarkEnd w:id="434"/>
    </w:p>
    <w:p w14:paraId="717B1CA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5" w:name="_Toc10036"/>
      <w:r>
        <w:rPr>
          <w:rFonts w:hint="eastAsia" w:ascii="仿宋" w:hAnsi="仿宋" w:eastAsia="仿宋" w:cs="仿宋"/>
          <w:color w:val="auto"/>
          <w:spacing w:val="0"/>
          <w:w w:val="100"/>
          <w:position w:val="0"/>
          <w:sz w:val="21"/>
          <w:szCs w:val="21"/>
          <w:highlight w:val="none"/>
          <w:lang w:val="en-US" w:eastAsia="zh-CN"/>
        </w:rPr>
        <w:t>24.1</w:t>
      </w:r>
      <w:r>
        <w:rPr>
          <w:rFonts w:hint="eastAsia" w:ascii="仿宋" w:hAnsi="仿宋" w:eastAsia="仿宋" w:cs="仿宋"/>
          <w:color w:val="auto"/>
          <w:spacing w:val="0"/>
          <w:w w:val="100"/>
          <w:position w:val="0"/>
          <w:sz w:val="21"/>
          <w:szCs w:val="21"/>
          <w:highlight w:val="none"/>
          <w:lang w:eastAsia="zh-CN"/>
        </w:rPr>
        <w:t>因客观原因造成电子化政府采购系统无法正常运行或者无法保证采购活动信息安全，应采取意外情况的处理措施。意外情况包括以下情形：</w:t>
      </w:r>
      <w:bookmarkEnd w:id="435"/>
    </w:p>
    <w:p w14:paraId="49FBEE2A">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6" w:name="_Toc25132"/>
      <w:r>
        <w:rPr>
          <w:rFonts w:hint="eastAsia" w:ascii="仿宋" w:hAnsi="仿宋" w:eastAsia="仿宋" w:cs="仿宋"/>
          <w:color w:val="auto"/>
          <w:spacing w:val="0"/>
          <w:w w:val="100"/>
          <w:position w:val="0"/>
          <w:sz w:val="21"/>
          <w:szCs w:val="21"/>
          <w:highlight w:val="none"/>
          <w:lang w:eastAsia="zh-CN"/>
        </w:rPr>
        <w:t>（1）网络系统及其他设备发生故障，导致无法访问网站或无法使用电子化政府采购系统的；</w:t>
      </w:r>
      <w:bookmarkEnd w:id="436"/>
    </w:p>
    <w:p w14:paraId="7C39F39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7" w:name="_Toc10974"/>
      <w:r>
        <w:rPr>
          <w:rFonts w:hint="eastAsia" w:ascii="仿宋" w:hAnsi="仿宋" w:eastAsia="仿宋" w:cs="仿宋"/>
          <w:color w:val="auto"/>
          <w:spacing w:val="0"/>
          <w:w w:val="100"/>
          <w:position w:val="0"/>
          <w:sz w:val="21"/>
          <w:szCs w:val="21"/>
          <w:highlight w:val="none"/>
          <w:lang w:eastAsia="zh-CN"/>
        </w:rPr>
        <w:t>（2）电子化政府采购系统的软件或网络数据库出现错误，导致无法正常操作的；</w:t>
      </w:r>
      <w:bookmarkEnd w:id="437"/>
    </w:p>
    <w:p w14:paraId="6EDEC556">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8" w:name="_Toc10089"/>
      <w:r>
        <w:rPr>
          <w:rFonts w:hint="eastAsia" w:ascii="仿宋" w:hAnsi="仿宋" w:eastAsia="仿宋" w:cs="仿宋"/>
          <w:color w:val="auto"/>
          <w:spacing w:val="0"/>
          <w:w w:val="100"/>
          <w:position w:val="0"/>
          <w:sz w:val="21"/>
          <w:szCs w:val="21"/>
          <w:highlight w:val="none"/>
          <w:lang w:eastAsia="zh-CN"/>
        </w:rPr>
        <w:t>（3）电子化政府采购系统发现有安全漏洞，有潜在泄密危险的；</w:t>
      </w:r>
      <w:bookmarkEnd w:id="438"/>
    </w:p>
    <w:p w14:paraId="3084BDF5">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39" w:name="_Toc9106"/>
      <w:r>
        <w:rPr>
          <w:rFonts w:hint="eastAsia" w:ascii="仿宋" w:hAnsi="仿宋" w:eastAsia="仿宋" w:cs="仿宋"/>
          <w:color w:val="auto"/>
          <w:spacing w:val="0"/>
          <w:w w:val="100"/>
          <w:position w:val="0"/>
          <w:sz w:val="21"/>
          <w:szCs w:val="21"/>
          <w:highlight w:val="none"/>
          <w:lang w:eastAsia="zh-CN"/>
        </w:rPr>
        <w:t>（4）其他无法保证采购活动正常进行的。</w:t>
      </w:r>
      <w:bookmarkEnd w:id="439"/>
    </w:p>
    <w:p w14:paraId="571BE607">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pPr>
      <w:bookmarkStart w:id="440" w:name="bookmark42"/>
      <w:bookmarkEnd w:id="440"/>
      <w:bookmarkStart w:id="441" w:name="_Toc1450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25.</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意外情况的处理</w:t>
      </w:r>
      <w:bookmarkEnd w:id="441"/>
    </w:p>
    <w:p w14:paraId="298EE96E">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42" w:name="_Toc32743"/>
      <w:r>
        <w:rPr>
          <w:rFonts w:hint="eastAsia" w:ascii="仿宋" w:hAnsi="仿宋" w:eastAsia="仿宋" w:cs="仿宋"/>
          <w:color w:val="auto"/>
          <w:spacing w:val="0"/>
          <w:w w:val="100"/>
          <w:position w:val="0"/>
          <w:sz w:val="21"/>
          <w:szCs w:val="21"/>
          <w:highlight w:val="none"/>
          <w:lang w:eastAsia="zh-CN"/>
        </w:rPr>
        <w:t>出现</w:t>
      </w:r>
      <w:r>
        <w:rPr>
          <w:rFonts w:hint="eastAsia" w:ascii="仿宋" w:hAnsi="仿宋" w:eastAsia="仿宋" w:cs="仿宋"/>
          <w:color w:val="auto"/>
          <w:spacing w:val="0"/>
          <w:w w:val="100"/>
          <w:position w:val="0"/>
          <w:sz w:val="21"/>
          <w:szCs w:val="21"/>
          <w:highlight w:val="none"/>
          <w:lang w:val="en-US" w:eastAsia="zh-CN"/>
        </w:rPr>
        <w:t>24.1</w:t>
      </w:r>
      <w:r>
        <w:rPr>
          <w:rFonts w:hint="eastAsia" w:ascii="仿宋" w:hAnsi="仿宋" w:eastAsia="仿宋" w:cs="仿宋"/>
          <w:color w:val="auto"/>
          <w:spacing w:val="0"/>
          <w:w w:val="100"/>
          <w:position w:val="0"/>
          <w:sz w:val="21"/>
          <w:szCs w:val="21"/>
          <w:highlight w:val="none"/>
          <w:lang w:eastAsia="zh-CN"/>
        </w:rPr>
        <w:t>情况，故障当日（工作时间内）可排除的，电子化政府采购恢复进行；如故障当日无法排除的，采购活动终止，重新组织采购活动。</w:t>
      </w:r>
      <w:bookmarkEnd w:id="442"/>
    </w:p>
    <w:p w14:paraId="3A9EA78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eastAsia="zh-CN"/>
        </w:rPr>
      </w:pPr>
      <w:bookmarkStart w:id="443" w:name="_Toc27922"/>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七、中标和合同</w:t>
      </w:r>
      <w:bookmarkEnd w:id="443"/>
    </w:p>
    <w:p w14:paraId="21533A88">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44" w:name="bookmark43"/>
      <w:bookmarkEnd w:id="444"/>
      <w:bookmarkStart w:id="445" w:name="_Toc6539"/>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26.中标人的确定</w:t>
      </w:r>
      <w:bookmarkEnd w:id="445"/>
    </w:p>
    <w:p w14:paraId="374410E1">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eastAsia="zh-CN"/>
        </w:rPr>
        <w:t>26.1采购人应当自收到评标报告之日起5个工作日内，在评标报告确定的中标候选人名单</w:t>
      </w:r>
      <w:r>
        <w:rPr>
          <w:rFonts w:hint="eastAsia" w:ascii="仿宋" w:hAnsi="仿宋" w:eastAsia="仿宋" w:cs="仿宋"/>
          <w:color w:val="auto"/>
          <w:spacing w:val="0"/>
          <w:w w:val="100"/>
          <w:position w:val="0"/>
          <w:sz w:val="21"/>
          <w:szCs w:val="21"/>
          <w:highlight w:val="none"/>
          <w:lang w:val="en-US" w:eastAsia="zh-CN"/>
        </w:rPr>
        <w:t>中按顺序确定中标人。</w:t>
      </w:r>
    </w:p>
    <w:p w14:paraId="2FEAAE12">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46" w:name="bookmark44"/>
      <w:bookmarkEnd w:id="446"/>
      <w:bookmarkStart w:id="447" w:name="_Toc1693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27.中标结果公告</w:t>
      </w:r>
      <w:bookmarkEnd w:id="447"/>
    </w:p>
    <w:p w14:paraId="40263CD4">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jc w:val="both"/>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val="en-US" w:eastAsia="zh-CN"/>
        </w:rPr>
        <w:t>27.1</w:t>
      </w:r>
      <w:r>
        <w:rPr>
          <w:rFonts w:hint="eastAsia" w:ascii="仿宋" w:hAnsi="仿宋" w:eastAsia="仿宋" w:cs="仿宋"/>
          <w:color w:val="auto"/>
          <w:spacing w:val="0"/>
          <w:w w:val="100"/>
          <w:position w:val="0"/>
          <w:sz w:val="21"/>
          <w:szCs w:val="21"/>
          <w:highlight w:val="none"/>
          <w:lang w:eastAsia="zh-CN"/>
        </w:rPr>
        <w:t>中标人确定后，采购代理机构在</w:t>
      </w:r>
      <w:r>
        <w:rPr>
          <w:rFonts w:hint="eastAsia" w:ascii="仿宋" w:hAnsi="仿宋" w:eastAsia="仿宋" w:cs="仿宋"/>
          <w:color w:val="auto"/>
          <w:spacing w:val="0"/>
          <w:w w:val="100"/>
          <w:position w:val="0"/>
          <w:sz w:val="21"/>
          <w:szCs w:val="21"/>
          <w:highlight w:val="none"/>
          <w:lang w:val="en-US" w:eastAsia="zh-CN"/>
        </w:rPr>
        <w:t>云南省政府采购网</w:t>
      </w:r>
      <w:r>
        <w:rPr>
          <w:rFonts w:hint="eastAsia" w:ascii="仿宋" w:hAnsi="仿宋" w:eastAsia="仿宋" w:cs="仿宋"/>
          <w:color w:val="auto"/>
          <w:spacing w:val="0"/>
          <w:w w:val="100"/>
          <w:position w:val="0"/>
          <w:sz w:val="21"/>
          <w:szCs w:val="21"/>
          <w:highlight w:val="none"/>
          <w:lang w:eastAsia="zh-CN"/>
        </w:rPr>
        <w:t>（网址</w:t>
      </w:r>
      <w:r>
        <w:rPr>
          <w:rFonts w:hint="eastAsia" w:ascii="仿宋" w:hAnsi="仿宋" w:eastAsia="仿宋" w:cs="仿宋"/>
          <w:color w:val="auto"/>
          <w:spacing w:val="0"/>
          <w:w w:val="100"/>
          <w:position w:val="0"/>
          <w:sz w:val="21"/>
          <w:szCs w:val="21"/>
          <w:highlight w:val="none"/>
          <w:u w:val="none"/>
          <w:lang w:val="en-US" w:eastAsia="zh-CN"/>
        </w:rPr>
        <w:t>http://www.yngp.com/</w:t>
      </w:r>
      <w:r>
        <w:rPr>
          <w:rFonts w:hint="eastAsia" w:ascii="仿宋" w:hAnsi="仿宋" w:eastAsia="仿宋" w:cs="仿宋"/>
          <w:color w:val="auto"/>
          <w:spacing w:val="0"/>
          <w:w w:val="100"/>
          <w:position w:val="0"/>
          <w:sz w:val="21"/>
          <w:szCs w:val="21"/>
          <w:highlight w:val="none"/>
          <w:lang w:eastAsia="zh-CN"/>
        </w:rPr>
        <w:t>）和政采云平台（</w:t>
      </w:r>
      <w:r>
        <w:rPr>
          <w:rFonts w:hint="eastAsia" w:ascii="仿宋" w:hAnsi="仿宋" w:eastAsia="仿宋" w:cs="仿宋"/>
          <w:color w:val="auto"/>
          <w:spacing w:val="0"/>
          <w:w w:val="100"/>
          <w:position w:val="0"/>
          <w:sz w:val="21"/>
          <w:szCs w:val="21"/>
          <w:highlight w:val="none"/>
          <w:u w:val="none"/>
          <w:lang w:eastAsia="zh-CN"/>
        </w:rPr>
        <w:t>http：/www.zcygov.cn</w:t>
      </w:r>
      <w:r>
        <w:rPr>
          <w:rFonts w:hint="eastAsia" w:ascii="仿宋" w:hAnsi="仿宋" w:eastAsia="仿宋" w:cs="仿宋"/>
          <w:color w:val="auto"/>
          <w:spacing w:val="0"/>
          <w:w w:val="100"/>
          <w:position w:val="0"/>
          <w:sz w:val="21"/>
          <w:szCs w:val="21"/>
          <w:highlight w:val="none"/>
          <w:lang w:eastAsia="zh-CN"/>
        </w:rPr>
        <w:t>）上公告中标结果，中标公告期限为1个工作日。</w:t>
      </w:r>
    </w:p>
    <w:p w14:paraId="57E965D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48" w:name="bookmark45"/>
      <w:bookmarkEnd w:id="448"/>
      <w:bookmarkStart w:id="449" w:name="_Toc2470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28.履约保证金</w:t>
      </w:r>
      <w:bookmarkEnd w:id="449"/>
    </w:p>
    <w:p w14:paraId="3AC1947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28.1中标人在与采购人签订采购合同时，应向采购人提交“</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”规定的履约保证金。</w:t>
      </w:r>
    </w:p>
    <w:p w14:paraId="5EEA4657">
      <w:pPr>
        <w:keepNext w:val="0"/>
        <w:keepLines w:val="0"/>
        <w:pageBreakBefore w:val="0"/>
        <w:widowControl w:val="0"/>
        <w:kinsoku/>
        <w:wordWrap w:val="0"/>
        <w:overflowPunct/>
        <w:topLinePunct/>
        <w:autoSpaceDE/>
        <w:autoSpaceDN/>
        <w:bidi w:val="0"/>
        <w:adjustRightInd/>
        <w:snapToGrid/>
        <w:spacing w:before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28.2履约保证金用于补偿因中标人不能完成其合同义务而使采购人蒙受的损失。</w:t>
      </w:r>
    </w:p>
    <w:p w14:paraId="77BD227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50" w:name="bookmark46"/>
      <w:bookmarkEnd w:id="450"/>
      <w:bookmarkStart w:id="451" w:name="_Toc5720"/>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29.签订合同</w:t>
      </w:r>
      <w:bookmarkEnd w:id="451"/>
    </w:p>
    <w:p w14:paraId="37AE92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29.1中标人应按中标通知书规定的时间与采购人签订合同，否则按拒绝签订合同处理。</w:t>
      </w:r>
    </w:p>
    <w:p w14:paraId="1452C6E1">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29.2招标文件、中标人的投标文件及评标过程中有关澄清文件均为签订合同的依据。</w:t>
      </w:r>
    </w:p>
    <w:p w14:paraId="1344B00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29.3中标通知书是合同的一个组成部分。</w:t>
      </w:r>
    </w:p>
    <w:p w14:paraId="6CB6486E">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29.4采购人与中标人应当根据合同的约定依法履行合同义务。</w:t>
      </w:r>
    </w:p>
    <w:p w14:paraId="2CA005B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政府采购合同的履行、违约责任和解决争议的方法等适用《中华人民共和国民法典》。</w:t>
      </w:r>
      <w:bookmarkStart w:id="452" w:name="bookmark40"/>
      <w:bookmarkEnd w:id="452"/>
      <w:bookmarkStart w:id="453" w:name="bookmark39"/>
      <w:bookmarkEnd w:id="453"/>
    </w:p>
    <w:p w14:paraId="7B4DB632">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29.5采购人应当加强对中标人的履约管理，并按照采购合同约定，及时向中标人支付采购资金。对于中标人违反采购合同约定的行为，采购人应当及时处理，依法追究其违约责任。</w:t>
      </w:r>
    </w:p>
    <w:p w14:paraId="268DB9E0">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29.6合同履行中，采购人需追加与合同标的相同的货物的，在不改变合同其他条款的前提下，可以与中标人协商签订补充合同，但所有补充合同的采购金额不得超过原合同采购金额的百分之十。</w:t>
      </w:r>
    </w:p>
    <w:p w14:paraId="622E7108">
      <w:pPr>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29.7中标人拒绝与采购人签订合同的，采购人可以按照评审报告推荐的中标候选人名单排序，确定下一候选人为中标人，也可以重新开展政府采购活动；拒绝签订政府采购合同的中标人视为撤销投标文件，不予退还其交纳的投标保证金。</w:t>
      </w:r>
    </w:p>
    <w:p w14:paraId="7FCA6575">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29.</w:t>
      </w:r>
      <w:r>
        <w:rPr>
          <w:rFonts w:hint="eastAsia" w:ascii="仿宋" w:hAnsi="仿宋" w:eastAsia="仿宋" w:cs="仿宋"/>
          <w:color w:val="auto"/>
          <w:spacing w:val="0"/>
          <w:w w:val="100"/>
          <w:position w:val="0"/>
          <w:sz w:val="21"/>
          <w:szCs w:val="21"/>
          <w:highlight w:val="none"/>
          <w:lang w:val="en-US" w:eastAsia="zh-CN"/>
        </w:rPr>
        <w:t>8</w:t>
      </w:r>
      <w:r>
        <w:rPr>
          <w:rFonts w:hint="eastAsia" w:ascii="仿宋" w:hAnsi="仿宋" w:eastAsia="仿宋" w:cs="仿宋"/>
          <w:color w:val="auto"/>
          <w:spacing w:val="0"/>
          <w:w w:val="100"/>
          <w:position w:val="0"/>
          <w:sz w:val="21"/>
          <w:szCs w:val="21"/>
          <w:highlight w:val="none"/>
          <w:lang w:eastAsia="zh-CN"/>
        </w:rPr>
        <w:t>中标人与采购人签订合同</w:t>
      </w:r>
      <w:r>
        <w:rPr>
          <w:rFonts w:hint="eastAsia" w:ascii="仿宋" w:hAnsi="仿宋" w:eastAsia="仿宋" w:cs="仿宋"/>
          <w:color w:val="auto"/>
          <w:spacing w:val="0"/>
          <w:w w:val="100"/>
          <w:position w:val="0"/>
          <w:sz w:val="21"/>
          <w:szCs w:val="21"/>
          <w:highlight w:val="none"/>
          <w:lang w:val="en-US" w:eastAsia="zh-CN"/>
        </w:rPr>
        <w:t>后两个工作日内</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val="en-US" w:eastAsia="zh-CN"/>
        </w:rPr>
        <w:t>将采购合同彩色扫描件交予采购代理机构，以便退还投标保证金</w:t>
      </w:r>
      <w:r>
        <w:rPr>
          <w:rFonts w:hint="eastAsia" w:ascii="仿宋" w:hAnsi="仿宋" w:eastAsia="仿宋" w:cs="仿宋"/>
          <w:color w:val="auto"/>
          <w:spacing w:val="0"/>
          <w:w w:val="100"/>
          <w:position w:val="0"/>
          <w:sz w:val="21"/>
          <w:szCs w:val="21"/>
          <w:highlight w:val="none"/>
          <w:lang w:eastAsia="zh-CN"/>
        </w:rPr>
        <w:t>。</w:t>
      </w:r>
    </w:p>
    <w:p w14:paraId="0DA2241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textAlignment w:val="baseline"/>
        <w:outlineLvl w:val="1"/>
        <w:rPr>
          <w:rFonts w:hint="eastAsia" w:ascii="仿宋" w:hAnsi="仿宋" w:eastAsia="仿宋" w:cs="仿宋"/>
          <w:color w:val="auto"/>
          <w:spacing w:val="0"/>
          <w:w w:val="100"/>
          <w:position w:val="0"/>
          <w:sz w:val="21"/>
          <w:szCs w:val="21"/>
          <w:highlight w:val="none"/>
          <w:lang w:val="en-US" w:eastAsia="zh-CN"/>
        </w:rPr>
      </w:pPr>
      <w:bookmarkStart w:id="454" w:name="bookmark47"/>
      <w:bookmarkEnd w:id="454"/>
      <w:bookmarkStart w:id="455" w:name="_Toc30113"/>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八、询问、质疑</w:t>
      </w:r>
      <w:bookmarkEnd w:id="455"/>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和投诉</w:t>
      </w:r>
    </w:p>
    <w:p w14:paraId="2BEBC8A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bookmarkStart w:id="456" w:name="bookmark28"/>
      <w:bookmarkEnd w:id="456"/>
      <w:bookmarkStart w:id="457" w:name="bookmark41"/>
      <w:bookmarkEnd w:id="457"/>
      <w:bookmarkStart w:id="458" w:name="bookmark25"/>
      <w:bookmarkEnd w:id="458"/>
      <w:bookmarkStart w:id="459" w:name="bookmark30"/>
      <w:bookmarkEnd w:id="459"/>
      <w:bookmarkStart w:id="460" w:name="bookmark27"/>
      <w:bookmarkEnd w:id="460"/>
      <w:bookmarkStart w:id="461" w:name="bookmark22"/>
      <w:bookmarkEnd w:id="461"/>
      <w:bookmarkStart w:id="462" w:name="bookmark21"/>
      <w:bookmarkEnd w:id="462"/>
      <w:bookmarkStart w:id="463" w:name="bookmark23"/>
      <w:bookmarkEnd w:id="463"/>
      <w:bookmarkStart w:id="464" w:name="bookmark32"/>
      <w:bookmarkEnd w:id="464"/>
      <w:bookmarkStart w:id="465" w:name="bookmark36"/>
      <w:bookmarkEnd w:id="465"/>
      <w:bookmarkStart w:id="466" w:name="bookmark24"/>
      <w:bookmarkEnd w:id="466"/>
      <w:bookmarkStart w:id="467" w:name="bookmark48"/>
      <w:bookmarkEnd w:id="467"/>
      <w:bookmarkStart w:id="468" w:name="_Toc31338"/>
      <w:bookmarkStart w:id="469" w:name="_Toc21802"/>
      <w:r>
        <w:rPr>
          <w:rFonts w:hint="eastAsia" w:ascii="仿宋" w:hAnsi="仿宋" w:eastAsia="仿宋" w:cs="仿宋"/>
          <w:b/>
          <w:bCs/>
          <w:color w:val="auto"/>
          <w:spacing w:val="0"/>
          <w:w w:val="100"/>
          <w:position w:val="0"/>
          <w:sz w:val="21"/>
          <w:szCs w:val="21"/>
          <w:highlight w:val="none"/>
          <w:lang w:val="en-US" w:eastAsia="zh-CN"/>
        </w:rPr>
        <w:t>30.询问</w:t>
      </w:r>
      <w:bookmarkEnd w:id="468"/>
    </w:p>
    <w:p w14:paraId="4AE7892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30.根据《中华人民共和国政府采购法》第五十一条“投标人对政府采购活动事项有疑问的，可以向采购人提出询问，采购人应当及时作出答复，但答复的内容不得涉及商业秘密。”及《中华人民共和国政府采购法实施条例》第五十二条“投标人对政府采购活动事项有疑问的，可以向采购人提出询问，采购人应当及时作出答复，但答复的内容不得涉及商业秘密。”。进行答复。</w:t>
      </w:r>
    </w:p>
    <w:p w14:paraId="316C1F2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31.质疑</w:t>
      </w:r>
    </w:p>
    <w:p w14:paraId="3D058668">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31.1投标人认为招标文件、采购过程、中标或者成交结果使自己的合法权益受到损害的，在知道或者应知其权益受到损害之日起7个工作日内，可以向采购人、采购代理机构提出质疑。</w:t>
      </w:r>
    </w:p>
    <w:p w14:paraId="09101F7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“知道或者应知其权益受到损害之日”是指：</w:t>
      </w:r>
      <w:r>
        <w:rPr>
          <w:rFonts w:hint="eastAsia" w:ascii="仿宋" w:hAnsi="仿宋" w:eastAsia="仿宋" w:cs="仿宋"/>
          <w:color w:val="auto"/>
          <w:spacing w:val="0"/>
          <w:w w:val="100"/>
          <w:position w:val="0"/>
          <w:sz w:val="21"/>
          <w:szCs w:val="21"/>
          <w:highlight w:val="none"/>
          <w:lang w:val="en-US" w:eastAsia="zh-CN"/>
        </w:rPr>
        <w:tab/>
      </w:r>
    </w:p>
    <w:p w14:paraId="294C836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（一）对可以质疑的招标文件提出质疑的，为收到招标文件之日或者招标文件公告期限届满之日；</w:t>
      </w:r>
    </w:p>
    <w:p w14:paraId="10C0B48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（二）对采购过程提出质疑的，为各采购程序环节结束之日；</w:t>
      </w:r>
    </w:p>
    <w:p w14:paraId="57E83EE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（三）对中标或者成交结果提出质疑的，为中标或者成交结果公告期限届满之日。</w:t>
      </w:r>
    </w:p>
    <w:p w14:paraId="7F60ABC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投标人针对同一采购程序环节的质疑应当在法定质疑期内一次性提出，提出质疑时应当有明确的请求和必要的证明材料；法定质疑期内针对同一采购程序环节再次提出的质疑，采购人、采购代理机构有权不予答复。</w:t>
      </w:r>
    </w:p>
    <w:p w14:paraId="7BAE6F22">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bookmarkStart w:id="470" w:name="_Toc144646680"/>
      <w:bookmarkStart w:id="471" w:name="_Toc145067578"/>
      <w:r>
        <w:rPr>
          <w:rFonts w:hint="eastAsia" w:ascii="仿宋" w:hAnsi="仿宋" w:eastAsia="仿宋" w:cs="仿宋"/>
          <w:color w:val="auto"/>
          <w:spacing w:val="0"/>
          <w:w w:val="100"/>
          <w:position w:val="0"/>
          <w:sz w:val="21"/>
          <w:szCs w:val="21"/>
          <w:highlight w:val="none"/>
          <w:lang w:val="en-US" w:eastAsia="zh-CN"/>
        </w:rPr>
        <w:t>31.2</w:t>
      </w:r>
      <w:bookmarkEnd w:id="470"/>
      <w:bookmarkEnd w:id="471"/>
      <w:bookmarkStart w:id="472" w:name="_Toc144646686"/>
      <w:bookmarkStart w:id="473" w:name="_Toc145067584"/>
      <w:r>
        <w:rPr>
          <w:rFonts w:hint="eastAsia" w:ascii="仿宋" w:hAnsi="仿宋" w:eastAsia="仿宋" w:cs="仿宋"/>
          <w:color w:val="auto"/>
          <w:spacing w:val="0"/>
          <w:w w:val="100"/>
          <w:position w:val="0"/>
          <w:sz w:val="21"/>
          <w:szCs w:val="21"/>
          <w:highlight w:val="none"/>
          <w:lang w:val="en-US" w:eastAsia="zh-CN"/>
        </w:rPr>
        <w:t>本项目实行全流程电子化交易和在线监督，投标人询问、质疑可通过线上方式进行，也可采用线下纸质书面方式进行。</w:t>
      </w:r>
    </w:p>
    <w:p w14:paraId="72D529A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31.3根据系统功能和要求，直接参与具体项目交易的投标人可线上询问、质疑，使用CA数字证书通过“政采云”平台（https://www.zcygov.cn/）“投标人”模块进行提交。</w:t>
      </w:r>
    </w:p>
    <w:p w14:paraId="3BE3B7DF">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31.4采购人及采购代理机构对线上询问、质疑的，采用线上方式进行受理答复，对采用线下询问、质疑的，采用线下方式进行受理答复。</w:t>
      </w:r>
    </w:p>
    <w:p w14:paraId="754FC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31.5就同一内容同时进行线上询问、质疑和提交纸质询问、质疑的，以线上答复为主，通过在线答复后不再进行书面答复。</w:t>
      </w:r>
    </w:p>
    <w:bookmarkEnd w:id="472"/>
    <w:bookmarkEnd w:id="473"/>
    <w:p w14:paraId="10205D5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31.6质疑内容不得含有虚假、恶意成分。当事人对自己提出的主张，有责任提供证据，提出质疑时应同时提交相关证据材料和注明事实的确切来源。</w:t>
      </w:r>
    </w:p>
    <w:p w14:paraId="6FAAF14D">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31.7投标人提供的质疑函应符合中华人民共和国财政部第94号令《政府采购质疑和投诉办法》的规定。投标人提供的质疑函（质疑函应当使用中文。相关当事人提供外文书证或者外国语视听资料的，应当附有中文译本，由翻译机构盖章或者翻译人员签名）应当包括以下主要内容：</w:t>
      </w:r>
    </w:p>
    <w:p w14:paraId="51AFD08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（1）投标人的姓名或者名称、地址、邮编、联系人及联系电话；</w:t>
      </w:r>
    </w:p>
    <w:p w14:paraId="6F33E75B">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（2）质疑项目的名称、编号；</w:t>
      </w:r>
    </w:p>
    <w:p w14:paraId="172EAAB4">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（3）具体、明确的质疑事项和与质疑事项相关的请求；</w:t>
      </w:r>
    </w:p>
    <w:p w14:paraId="28F7B859">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（4）事实依据；</w:t>
      </w:r>
    </w:p>
    <w:p w14:paraId="21C4EA4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（5）必要的法律依据；</w:t>
      </w:r>
    </w:p>
    <w:p w14:paraId="04D920E6">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（6）提出质疑的日期。</w:t>
      </w:r>
    </w:p>
    <w:p w14:paraId="0C32535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31.8投标人为自然人的，应当由本人签字；投标人为法人或者其他组织的，应当由法定代表人、主要负责人，或者其授权代表签字或者盖章，并加盖公章。</w:t>
      </w:r>
    </w:p>
    <w:p w14:paraId="4D1D89C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质疑书实行实名制，并提交由法定代表人或其授权代理人签字并加盖单位公章的原件。</w:t>
      </w:r>
    </w:p>
    <w:p w14:paraId="659A98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接收质疑函的方式：书面方式。</w:t>
      </w:r>
    </w:p>
    <w:p w14:paraId="03F0C653">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31.9采购人、采购代理机构将在收到投标人的书面质疑后七个工作日内作出答复，并以书面形式通知质疑投标人和其他有关投标人，质疑答复的内容不涉及商业秘密。</w:t>
      </w:r>
    </w:p>
    <w:p w14:paraId="44574310">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31.10参与政府采购活动的投标人对评审过程、中标或者成交结果提出质疑的，采购人或采购代理机构可以组织原评审委员会协助答复质疑事项，并依据评审委员会出具的意见进行答复。质疑答复导致中标结果改变的，采购人或采购代理机构应当将相关情况书面报财政部门备案。</w:t>
      </w:r>
    </w:p>
    <w:p w14:paraId="6C1F62BA">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2" w:firstLineChars="200"/>
        <w:jc w:val="both"/>
        <w:outlineLvl w:val="1"/>
        <w:rPr>
          <w:rFonts w:hint="eastAsia" w:ascii="仿宋" w:hAnsi="仿宋" w:eastAsia="仿宋" w:cs="仿宋"/>
          <w:b/>
          <w:bCs/>
          <w:color w:val="auto"/>
          <w:spacing w:val="0"/>
          <w:w w:val="100"/>
          <w:position w:val="0"/>
          <w:sz w:val="21"/>
          <w:szCs w:val="21"/>
          <w:highlight w:val="none"/>
          <w:lang w:val="en-US" w:eastAsia="zh-CN"/>
        </w:rPr>
      </w:pPr>
      <w:r>
        <w:rPr>
          <w:rFonts w:hint="eastAsia" w:ascii="仿宋" w:hAnsi="仿宋" w:eastAsia="仿宋" w:cs="仿宋"/>
          <w:b/>
          <w:bCs/>
          <w:color w:val="auto"/>
          <w:spacing w:val="0"/>
          <w:w w:val="100"/>
          <w:position w:val="0"/>
          <w:sz w:val="21"/>
          <w:szCs w:val="21"/>
          <w:highlight w:val="none"/>
          <w:lang w:val="en-US" w:eastAsia="zh-CN"/>
        </w:rPr>
        <w:t>32.投诉</w:t>
      </w:r>
    </w:p>
    <w:p w14:paraId="4BAD57EE">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32.1投诉必须首先经过质疑程序。质疑人对采购人、采购代理机构的答复不满意，或者采购人、采购代理机构未在规定的时间内作出答复的，可以在答复期满后15个工作日内书面向同级财政部门提出投诉。</w:t>
      </w:r>
    </w:p>
    <w:p w14:paraId="35607487">
      <w:pPr>
        <w:keepNext w:val="0"/>
        <w:keepLines w:val="0"/>
        <w:pageBreakBefore w:val="0"/>
        <w:widowControl w:val="0"/>
        <w:kinsoku/>
        <w:wordWrap w:val="0"/>
        <w:overflowPunct/>
        <w:topLinePunct/>
        <w:autoSpaceDE/>
        <w:autoSpaceDN/>
        <w:bidi w:val="0"/>
        <w:adjustRightInd/>
        <w:snapToGrid/>
        <w:spacing w:afterAutospacing="0" w:line="404" w:lineRule="exact"/>
        <w:ind w:left="0" w:leftChars="0" w:right="0" w:firstLine="420" w:firstLineChars="200"/>
        <w:jc w:val="both"/>
        <w:outlineLvl w:val="1"/>
        <w:rPr>
          <w:rFonts w:hint="eastAsia" w:ascii="仿宋" w:hAnsi="仿宋" w:eastAsia="仿宋" w:cs="仿宋"/>
          <w:color w:val="auto"/>
          <w:spacing w:val="0"/>
          <w:w w:val="100"/>
          <w:position w:val="0"/>
          <w:sz w:val="21"/>
          <w:szCs w:val="21"/>
          <w:highlight w:val="none"/>
          <w:lang w:val="en-US" w:eastAsia="zh-CN"/>
        </w:rPr>
      </w:pPr>
      <w:r>
        <w:rPr>
          <w:rFonts w:hint="eastAsia" w:ascii="仿宋" w:hAnsi="仿宋" w:eastAsia="仿宋" w:cs="仿宋"/>
          <w:color w:val="auto"/>
          <w:spacing w:val="0"/>
          <w:w w:val="100"/>
          <w:position w:val="0"/>
          <w:sz w:val="21"/>
          <w:szCs w:val="21"/>
          <w:highlight w:val="none"/>
          <w:lang w:val="en-US" w:eastAsia="zh-CN"/>
        </w:rPr>
        <w:t>32.2质疑函、投诉书须使用财政部制定的范本文件。质疑函、投诉书格式：投标人可在中国政府采购网“http://www.ccgp.gov.cn/”下载专区自行下载。</w:t>
      </w:r>
    </w:p>
    <w:p w14:paraId="221CA449">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right="0" w:firstLine="420" w:firstLineChars="200"/>
        <w:jc w:val="both"/>
        <w:outlineLvl w:val="1"/>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九、</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其他事项</w:t>
      </w:r>
      <w:bookmarkEnd w:id="469"/>
    </w:p>
    <w:p w14:paraId="307CFD24">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eastAsia="zh-CN"/>
        </w:rPr>
      </w:pPr>
      <w:bookmarkStart w:id="474" w:name="_Toc32408"/>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3</w:t>
      </w:r>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1</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.采购代理服务费</w:t>
      </w:r>
      <w:bookmarkEnd w:id="474"/>
    </w:p>
    <w:p w14:paraId="0AB4E5F5">
      <w:pPr>
        <w:keepNext w:val="0"/>
        <w:keepLines w:val="0"/>
        <w:pageBreakBefore w:val="0"/>
        <w:widowControl w:val="0"/>
        <w:kinsoku/>
        <w:wordWrap w:val="0"/>
        <w:overflowPunct/>
        <w:topLinePunct/>
        <w:autoSpaceDE/>
        <w:autoSpaceDN/>
        <w:bidi w:val="0"/>
        <w:adjustRightInd/>
        <w:snapToGrid/>
        <w:spacing w:beforeAutospacing="0" w:afterAutospacing="0" w:line="404" w:lineRule="exact"/>
        <w:ind w:left="0" w:leftChars="0" w:right="0" w:firstLine="420" w:firstLineChars="200"/>
        <w:textAlignment w:val="baseline"/>
        <w:rPr>
          <w:rFonts w:hint="eastAsia" w:ascii="仿宋" w:hAnsi="仿宋" w:eastAsia="仿宋" w:cs="仿宋"/>
          <w:color w:val="auto"/>
          <w:spacing w:val="0"/>
          <w:w w:val="100"/>
          <w:position w:val="0"/>
          <w:sz w:val="21"/>
          <w:szCs w:val="21"/>
          <w:highlight w:val="none"/>
          <w:lang w:eastAsia="zh-CN"/>
        </w:rPr>
      </w:pPr>
      <w:r>
        <w:rPr>
          <w:rFonts w:hint="eastAsia" w:ascii="仿宋" w:hAnsi="仿宋" w:eastAsia="仿宋" w:cs="仿宋"/>
          <w:color w:val="auto"/>
          <w:spacing w:val="0"/>
          <w:w w:val="100"/>
          <w:position w:val="0"/>
          <w:sz w:val="21"/>
          <w:szCs w:val="21"/>
          <w:highlight w:val="none"/>
          <w:lang w:eastAsia="zh-CN"/>
        </w:rPr>
        <w:t>如为中标人支付采购代理服务费，须按“</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”规定的收费标准</w:t>
      </w:r>
      <w:r>
        <w:rPr>
          <w:rFonts w:hint="eastAsia" w:ascii="仿宋" w:hAnsi="仿宋" w:eastAsia="仿宋" w:cs="仿宋"/>
          <w:color w:val="auto"/>
          <w:spacing w:val="0"/>
          <w:w w:val="100"/>
          <w:position w:val="0"/>
          <w:sz w:val="21"/>
          <w:szCs w:val="21"/>
          <w:highlight w:val="none"/>
          <w:lang w:val="en-US" w:eastAsia="zh-CN"/>
        </w:rPr>
        <w:t>及缴纳时间</w:t>
      </w:r>
      <w:r>
        <w:rPr>
          <w:rFonts w:hint="eastAsia" w:ascii="仿宋" w:hAnsi="仿宋" w:eastAsia="仿宋" w:cs="仿宋"/>
          <w:color w:val="auto"/>
          <w:spacing w:val="0"/>
          <w:w w:val="100"/>
          <w:position w:val="0"/>
          <w:sz w:val="21"/>
          <w:szCs w:val="21"/>
          <w:highlight w:val="none"/>
          <w:lang w:eastAsia="zh-CN"/>
        </w:rPr>
        <w:t>，向采购代理机构缴纳采购代理服务费。</w:t>
      </w:r>
    </w:p>
    <w:p w14:paraId="45C36F11">
      <w:pPr>
        <w:keepNext w:val="0"/>
        <w:keepLines w:val="0"/>
        <w:pageBreakBefore w:val="0"/>
        <w:widowControl w:val="0"/>
        <w:numPr>
          <w:ilvl w:val="0"/>
          <w:numId w:val="0"/>
        </w:numPr>
        <w:kinsoku/>
        <w:wordWrap w:val="0"/>
        <w:overflowPunct/>
        <w:topLinePunct/>
        <w:autoSpaceDE/>
        <w:autoSpaceDN/>
        <w:bidi w:val="0"/>
        <w:adjustRightInd/>
        <w:snapToGrid/>
        <w:spacing w:beforeAutospacing="0" w:line="404" w:lineRule="exact"/>
        <w:ind w:left="0" w:leftChars="0" w:right="0" w:firstLine="420" w:firstLineChars="200"/>
        <w:textAlignment w:val="baseline"/>
        <w:outlineLvl w:val="1"/>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75" w:name="_Toc14204"/>
      <w:r>
        <w:rPr>
          <w:rFonts w:hint="eastAsia" w:ascii="仿宋" w:hAnsi="仿宋" w:eastAsia="仿宋" w:cs="仿宋"/>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32.适用法律</w:t>
      </w:r>
      <w:bookmarkEnd w:id="475"/>
    </w:p>
    <w:p w14:paraId="0742E041">
      <w:pPr>
        <w:pStyle w:val="13"/>
        <w:keepNext w:val="0"/>
        <w:keepLines w:val="0"/>
        <w:pageBreakBefore w:val="0"/>
        <w:widowControl w:val="0"/>
        <w:kinsoku/>
        <w:wordWrap w:val="0"/>
        <w:overflowPunct/>
        <w:topLinePunct/>
        <w:autoSpaceDE/>
        <w:autoSpaceDN/>
        <w:bidi w:val="0"/>
        <w:adjustRightInd/>
        <w:snapToGrid/>
        <w:spacing w:line="404" w:lineRule="exact"/>
        <w:ind w:left="0" w:leftChars="0" w:right="0" w:firstLine="420" w:firstLineChars="200"/>
        <w:jc w:val="left"/>
        <w:textAlignment w:val="baseline"/>
        <w:rPr>
          <w:rFonts w:hint="eastAsia" w:ascii="仿宋" w:hAnsi="仿宋" w:eastAsia="仿宋" w:cs="仿宋"/>
          <w:bCs/>
          <w:color w:val="auto"/>
          <w:spacing w:val="0"/>
          <w:w w:val="100"/>
          <w:position w:val="0"/>
          <w:sz w:val="21"/>
          <w:szCs w:val="21"/>
          <w:highlight w:val="none"/>
        </w:rPr>
      </w:pPr>
      <w:r>
        <w:rPr>
          <w:rFonts w:hint="eastAsia" w:ascii="仿宋" w:hAnsi="仿宋" w:eastAsia="仿宋" w:cs="仿宋"/>
          <w:bCs/>
          <w:color w:val="auto"/>
          <w:spacing w:val="0"/>
          <w:w w:val="100"/>
          <w:position w:val="0"/>
          <w:sz w:val="21"/>
          <w:szCs w:val="21"/>
          <w:highlight w:val="none"/>
        </w:rPr>
        <w:t>采购代理机构及投标人的一切招标投标活动均适用于《中华人民共和国政府采购</w:t>
      </w:r>
      <w:r>
        <w:rPr>
          <w:rFonts w:hint="eastAsia" w:ascii="仿宋" w:hAnsi="仿宋" w:eastAsia="仿宋" w:cs="仿宋"/>
          <w:bCs/>
          <w:color w:val="auto"/>
          <w:spacing w:val="0"/>
          <w:w w:val="100"/>
          <w:position w:val="0"/>
          <w:sz w:val="21"/>
          <w:szCs w:val="21"/>
          <w:highlight w:val="none"/>
          <w:lang w:val="en-US" w:eastAsia="zh-CN"/>
        </w:rPr>
        <w:t>法</w:t>
      </w:r>
      <w:r>
        <w:rPr>
          <w:rFonts w:hint="eastAsia" w:ascii="仿宋" w:hAnsi="仿宋" w:eastAsia="仿宋" w:cs="仿宋"/>
          <w:bCs/>
          <w:color w:val="auto"/>
          <w:spacing w:val="0"/>
          <w:w w:val="100"/>
          <w:position w:val="0"/>
          <w:sz w:val="21"/>
          <w:szCs w:val="21"/>
          <w:highlight w:val="none"/>
        </w:rPr>
        <w:t>》及相关规定。</w:t>
      </w:r>
    </w:p>
    <w:p w14:paraId="5C5584DA">
      <w:pPr>
        <w:keepNext w:val="0"/>
        <w:keepLines w:val="0"/>
        <w:pageBreakBefore w:val="0"/>
        <w:widowControl w:val="0"/>
        <w:numPr>
          <w:ilvl w:val="0"/>
          <w:numId w:val="0"/>
        </w:numPr>
        <w:kinsoku/>
        <w:wordWrap w:val="0"/>
        <w:overflowPunct/>
        <w:topLinePunct/>
        <w:autoSpaceDE/>
        <w:autoSpaceDN/>
        <w:bidi w:val="0"/>
        <w:adjustRightInd/>
        <w:snapToGrid/>
        <w:spacing w:line="404" w:lineRule="exact"/>
        <w:ind w:left="0" w:leftChars="0" w:right="0" w:firstLine="420" w:firstLineChars="200"/>
        <w:textAlignment w:val="baseline"/>
        <w:outlineLvl w:val="1"/>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bookmarkStart w:id="476" w:name="_Toc7541"/>
      <w:r>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t>33.解释权</w:t>
      </w:r>
      <w:bookmarkEnd w:id="476"/>
    </w:p>
    <w:p w14:paraId="4E67ADC5">
      <w:pPr>
        <w:pStyle w:val="3"/>
        <w:keepNext w:val="0"/>
        <w:keepLines w:val="0"/>
        <w:pageBreakBefore w:val="0"/>
        <w:widowControl w:val="0"/>
        <w:kinsoku/>
        <w:wordWrap w:val="0"/>
        <w:overflowPunct/>
        <w:topLinePunct/>
        <w:autoSpaceDE/>
        <w:autoSpaceDN/>
        <w:bidi w:val="0"/>
        <w:adjustRightInd/>
        <w:snapToGrid/>
        <w:spacing w:before="0" w:after="0" w:line="404" w:lineRule="exact"/>
        <w:ind w:left="0" w:leftChars="0" w:right="0" w:firstLine="420" w:firstLineChars="200"/>
        <w:jc w:val="both"/>
        <w:textAlignment w:val="auto"/>
        <w:rPr>
          <w:rFonts w:hint="eastAsia" w:ascii="仿宋" w:hAnsi="仿宋" w:eastAsia="仿宋" w:cs="仿宋"/>
          <w:b w:val="0"/>
          <w:bCs w:val="0"/>
          <w:color w:val="auto"/>
          <w:spacing w:val="0"/>
          <w:w w:val="100"/>
          <w:position w:val="0"/>
          <w:sz w:val="21"/>
          <w:szCs w:val="21"/>
          <w:highlight w:val="none"/>
        </w:rPr>
      </w:pPr>
      <w:bookmarkStart w:id="477" w:name="_Toc26893"/>
      <w:r>
        <w:rPr>
          <w:rFonts w:hint="eastAsia" w:ascii="仿宋" w:hAnsi="仿宋" w:eastAsia="仿宋" w:cs="仿宋"/>
          <w:b w:val="0"/>
          <w:bCs w:val="0"/>
          <w:color w:val="auto"/>
          <w:spacing w:val="0"/>
          <w:w w:val="100"/>
          <w:position w:val="0"/>
          <w:sz w:val="21"/>
          <w:szCs w:val="21"/>
          <w:highlight w:val="none"/>
        </w:rPr>
        <w:t>本招标文件是根据国家有关</w:t>
      </w:r>
      <w:r>
        <w:rPr>
          <w:rFonts w:hint="eastAsia" w:ascii="仿宋" w:hAnsi="仿宋" w:eastAsia="仿宋" w:cs="仿宋"/>
          <w:b w:val="0"/>
          <w:bCs w:val="0"/>
          <w:color w:val="auto"/>
          <w:spacing w:val="0"/>
          <w:w w:val="100"/>
          <w:position w:val="0"/>
          <w:sz w:val="21"/>
          <w:szCs w:val="21"/>
          <w:highlight w:val="none"/>
          <w:lang w:eastAsia="zh-CN"/>
        </w:rPr>
        <w:t>法律法规</w:t>
      </w:r>
      <w:r>
        <w:rPr>
          <w:rFonts w:hint="eastAsia" w:ascii="仿宋" w:hAnsi="仿宋" w:eastAsia="仿宋" w:cs="仿宋"/>
          <w:b w:val="0"/>
          <w:bCs w:val="0"/>
          <w:color w:val="auto"/>
          <w:spacing w:val="0"/>
          <w:w w:val="100"/>
          <w:position w:val="0"/>
          <w:sz w:val="21"/>
          <w:szCs w:val="21"/>
          <w:highlight w:val="none"/>
        </w:rPr>
        <w:t>以及政府采购管理有关规定编制，招标文件的最终解释权</w:t>
      </w:r>
      <w:bookmarkStart w:id="478" w:name="_Hlk99122309"/>
      <w:r>
        <w:rPr>
          <w:rFonts w:hint="eastAsia" w:ascii="仿宋" w:hAnsi="仿宋" w:eastAsia="仿宋" w:cs="仿宋"/>
          <w:b w:val="0"/>
          <w:bCs w:val="0"/>
          <w:color w:val="auto"/>
          <w:spacing w:val="0"/>
          <w:w w:val="100"/>
          <w:position w:val="0"/>
          <w:sz w:val="21"/>
          <w:szCs w:val="21"/>
          <w:highlight w:val="none"/>
        </w:rPr>
        <w:t>属于采购人、采购代理机构。</w:t>
      </w:r>
      <w:bookmarkEnd w:id="477"/>
      <w:bookmarkEnd w:id="478"/>
      <w:bookmarkStart w:id="479" w:name="_Toc27765"/>
      <w:bookmarkStart w:id="480" w:name="_Toc9107"/>
      <w:bookmarkStart w:id="481" w:name="_Toc24756"/>
      <w:bookmarkStart w:id="482" w:name="_Toc8087"/>
    </w:p>
    <w:bookmarkEnd w:id="479"/>
    <w:bookmarkEnd w:id="480"/>
    <w:bookmarkEnd w:id="481"/>
    <w:bookmarkEnd w:id="482"/>
    <w:p w14:paraId="2A35F7FF">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z w:val="32"/>
          <w:szCs w:val="32"/>
          <w:highlight w:val="none"/>
          <w:lang w:val="en-US" w:eastAsia="zh-CN"/>
        </w:rPr>
      </w:pPr>
      <w:bookmarkStart w:id="483" w:name="_Toc2054"/>
    </w:p>
    <w:p w14:paraId="79B1FF15">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z w:val="32"/>
          <w:szCs w:val="32"/>
          <w:highlight w:val="none"/>
          <w:lang w:val="en-US" w:eastAsia="zh-CN"/>
        </w:rPr>
        <w:sectPr>
          <w:footerReference r:id="rId4"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4A043204">
      <w:pPr>
        <w:pStyle w:val="2"/>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baseline"/>
        <w:rPr>
          <w:rFonts w:hint="eastAsia" w:ascii="仿宋" w:hAnsi="仿宋" w:eastAsia="仿宋" w:cs="仿宋"/>
          <w:color w:val="auto"/>
          <w:spacing w:val="0"/>
          <w:w w:val="100"/>
          <w:position w:val="0"/>
          <w:szCs w:val="21"/>
          <w:highlight w:val="none"/>
          <w:lang w:eastAsia="zh-CN"/>
        </w:rPr>
      </w:pPr>
      <w:r>
        <w:rPr>
          <w:rFonts w:hint="eastAsia" w:ascii="仿宋" w:hAnsi="仿宋" w:eastAsia="仿宋" w:cs="仿宋"/>
          <w:color w:val="auto"/>
          <w:sz w:val="32"/>
          <w:szCs w:val="32"/>
          <w:highlight w:val="none"/>
          <w:lang w:val="en-US" w:eastAsia="zh-CN"/>
        </w:rPr>
        <w:t xml:space="preserve">第三章 </w:t>
      </w:r>
      <w:bookmarkEnd w:id="483"/>
      <w:r>
        <w:rPr>
          <w:rFonts w:hint="eastAsia" w:ascii="仿宋" w:hAnsi="仿宋" w:eastAsia="仿宋" w:cs="仿宋"/>
          <w:color w:val="auto"/>
          <w:sz w:val="32"/>
          <w:szCs w:val="32"/>
          <w:highlight w:val="none"/>
          <w:lang w:val="en-US" w:eastAsia="zh-CN"/>
        </w:rPr>
        <w:t>评审办法</w:t>
      </w:r>
    </w:p>
    <w:p w14:paraId="71ACFCD0">
      <w:pPr>
        <w:pStyle w:val="3"/>
        <w:keepNext w:val="0"/>
        <w:keepLines w:val="0"/>
        <w:pageBreakBefore w:val="0"/>
        <w:widowControl w:val="0"/>
        <w:kinsoku/>
        <w:wordWrap w:val="0"/>
        <w:overflowPunct/>
        <w:topLinePunct/>
        <w:autoSpaceDE/>
        <w:autoSpaceDN/>
        <w:bidi w:val="0"/>
        <w:adjustRightInd/>
        <w:snapToGrid/>
        <w:spacing w:before="0" w:after="0" w:line="360" w:lineRule="auto"/>
        <w:ind w:left="0" w:leftChars="0" w:right="0" w:firstLine="482" w:firstLineChars="200"/>
        <w:jc w:val="center"/>
        <w:textAlignment w:val="auto"/>
        <w:outlineLvl w:val="1"/>
        <w:rPr>
          <w:rFonts w:hint="eastAsia" w:ascii="仿宋" w:hAnsi="仿宋" w:eastAsia="仿宋" w:cs="仿宋"/>
          <w:color w:val="auto"/>
          <w:sz w:val="21"/>
          <w:szCs w:val="21"/>
          <w:highlight w:val="none"/>
          <w:lang w:eastAsia="zh-CN"/>
        </w:rPr>
      </w:pPr>
      <w:bookmarkStart w:id="484" w:name="_Toc25184"/>
      <w:bookmarkStart w:id="485" w:name="_Toc25340"/>
      <w:bookmarkStart w:id="486" w:name="_Toc28596"/>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eastAsia="zh-CN"/>
        </w:rPr>
        <w:t>资格审查</w:t>
      </w:r>
      <w:r>
        <w:rPr>
          <w:rFonts w:hint="eastAsia" w:ascii="仿宋" w:hAnsi="仿宋" w:eastAsia="仿宋" w:cs="仿宋"/>
          <w:color w:val="auto"/>
          <w:sz w:val="24"/>
          <w:szCs w:val="24"/>
          <w:highlight w:val="none"/>
          <w:lang w:val="en-US" w:eastAsia="zh-CN"/>
        </w:rPr>
        <w:t>标准</w:t>
      </w:r>
      <w:bookmarkEnd w:id="484"/>
      <w:bookmarkEnd w:id="485"/>
      <w:bookmarkEnd w:id="486"/>
    </w:p>
    <w:tbl>
      <w:tblPr>
        <w:tblStyle w:val="20"/>
        <w:tblW w:w="9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5406"/>
        <w:gridCol w:w="2633"/>
      </w:tblGrid>
      <w:tr w14:paraId="63615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1630" w:type="dxa"/>
            <w:tcBorders>
              <w:tl2br w:val="nil"/>
              <w:tr2bl w:val="nil"/>
            </w:tcBorders>
            <w:noWrap w:val="0"/>
            <w:vAlign w:val="center"/>
          </w:tcPr>
          <w:p w14:paraId="413E06F5">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b/>
                <w:color w:val="auto"/>
                <w:sz w:val="21"/>
                <w:szCs w:val="21"/>
                <w:highlight w:val="none"/>
                <w:lang w:val="en-US" w:eastAsia="zh-CN"/>
              </w:rPr>
              <w:t>类型</w:t>
            </w:r>
          </w:p>
        </w:tc>
        <w:tc>
          <w:tcPr>
            <w:tcW w:w="5406" w:type="dxa"/>
            <w:tcBorders>
              <w:tl2br w:val="nil"/>
              <w:tr2bl w:val="nil"/>
            </w:tcBorders>
            <w:noWrap w:val="0"/>
            <w:vAlign w:val="center"/>
          </w:tcPr>
          <w:p w14:paraId="3CA13AF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审查要求</w:t>
            </w:r>
          </w:p>
        </w:tc>
        <w:tc>
          <w:tcPr>
            <w:tcW w:w="2633" w:type="dxa"/>
            <w:tcBorders>
              <w:tl2br w:val="nil"/>
              <w:tr2bl w:val="nil"/>
            </w:tcBorders>
            <w:noWrap w:val="0"/>
            <w:vAlign w:val="center"/>
          </w:tcPr>
          <w:p w14:paraId="0459CF31">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要求说明</w:t>
            </w:r>
          </w:p>
        </w:tc>
      </w:tr>
      <w:tr w14:paraId="5AFE6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253DE33D">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营业执照等证明材料</w:t>
            </w:r>
          </w:p>
        </w:tc>
        <w:tc>
          <w:tcPr>
            <w:tcW w:w="5406" w:type="dxa"/>
            <w:tcBorders>
              <w:tl2br w:val="nil"/>
              <w:tr2bl w:val="nil"/>
            </w:tcBorders>
            <w:shd w:val="clear" w:color="auto" w:fill="auto"/>
            <w:noWrap w:val="0"/>
            <w:vAlign w:val="center"/>
          </w:tcPr>
          <w:p w14:paraId="12C4FB4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snapToGrid w:val="0"/>
                <w:color w:val="auto"/>
                <w:kern w:val="2"/>
                <w:sz w:val="21"/>
                <w:szCs w:val="21"/>
                <w:highlight w:val="none"/>
                <w:lang w:val="en-US" w:eastAsia="zh-CN" w:bidi="ar-SA"/>
              </w:rPr>
            </w:pPr>
            <w:r>
              <w:rPr>
                <w:rFonts w:hint="eastAsia" w:ascii="仿宋" w:hAnsi="仿宋" w:eastAsia="仿宋" w:cs="仿宋"/>
                <w:b w:val="0"/>
                <w:bCs/>
                <w:color w:val="auto"/>
                <w:sz w:val="21"/>
                <w:szCs w:val="21"/>
                <w:highlight w:val="none"/>
                <w:lang w:eastAsia="zh-CN"/>
              </w:rPr>
              <w:t>具有独立承担民事责任能力的法人或其他组织，提供有效存续的营业执照或事业单位法人证书或非企业专业服务机构执业许可证或民办非企业单位登记证书或自然人的身份证明。</w:t>
            </w:r>
          </w:p>
        </w:tc>
        <w:tc>
          <w:tcPr>
            <w:tcW w:w="2633" w:type="dxa"/>
            <w:tcBorders>
              <w:tl2br w:val="nil"/>
              <w:tr2bl w:val="nil"/>
            </w:tcBorders>
            <w:shd w:val="clear" w:color="auto" w:fill="auto"/>
            <w:noWrap w:val="0"/>
            <w:vAlign w:val="center"/>
          </w:tcPr>
          <w:p w14:paraId="7E0FD422">
            <w:pPr>
              <w:keepNext w:val="0"/>
              <w:keepLines w:val="0"/>
              <w:pageBreakBefore w:val="0"/>
              <w:widowControl w:val="0"/>
              <w:kinsoku/>
              <w:wordWrap w:val="0"/>
              <w:overflowPunct/>
              <w:topLinePunct/>
              <w:autoSpaceDE/>
              <w:autoSpaceDN/>
              <w:bidi w:val="0"/>
              <w:adjustRightInd/>
              <w:snapToGrid/>
              <w:spacing w:line="20" w:lineRule="atLeast"/>
              <w:ind w:right="0" w:rightChars="0" w:firstLine="0" w:firstLineChars="0"/>
              <w:jc w:val="center"/>
              <w:textAlignment w:val="auto"/>
              <w:rPr>
                <w:rFonts w:hint="eastAsia" w:ascii="仿宋" w:hAnsi="仿宋" w:eastAsia="仿宋" w:cs="仿宋"/>
                <w:b w:val="0"/>
                <w:bCs/>
                <w:snapToGrid w:val="0"/>
                <w:color w:val="auto"/>
                <w:kern w:val="2"/>
                <w:sz w:val="21"/>
                <w:szCs w:val="21"/>
                <w:highlight w:val="none"/>
                <w:u w:val="single"/>
                <w:lang w:val="en-US" w:eastAsia="zh-CN" w:bidi="ar-SA"/>
              </w:rPr>
            </w:pPr>
            <w:r>
              <w:rPr>
                <w:rFonts w:hint="eastAsia" w:ascii="仿宋" w:hAnsi="仿宋" w:eastAsia="仿宋" w:cs="仿宋"/>
                <w:b w:val="0"/>
                <w:bCs/>
                <w:color w:val="auto"/>
                <w:sz w:val="21"/>
                <w:szCs w:val="21"/>
                <w:highlight w:val="none"/>
                <w:lang w:val="en-US" w:eastAsia="zh-CN"/>
              </w:rPr>
              <w:t>提供材料扫描件或电子证照，应完整地体现出材料或电子证照全部内容。</w:t>
            </w:r>
          </w:p>
        </w:tc>
      </w:tr>
      <w:tr w14:paraId="634DE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630" w:type="dxa"/>
            <w:tcBorders>
              <w:tl2br w:val="nil"/>
              <w:tr2bl w:val="nil"/>
            </w:tcBorders>
            <w:noWrap w:val="0"/>
            <w:vAlign w:val="center"/>
          </w:tcPr>
          <w:p w14:paraId="11CB15AC">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财务报表证明材料</w:t>
            </w:r>
          </w:p>
        </w:tc>
        <w:tc>
          <w:tcPr>
            <w:tcW w:w="5406" w:type="dxa"/>
            <w:tcBorders>
              <w:tl2br w:val="nil"/>
              <w:tr2bl w:val="nil"/>
            </w:tcBorders>
            <w:noWrap w:val="0"/>
            <w:vAlign w:val="center"/>
          </w:tcPr>
          <w:p w14:paraId="17E6EEF0">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jc w:val="left"/>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p>
        </w:tc>
        <w:tc>
          <w:tcPr>
            <w:tcW w:w="2633" w:type="dxa"/>
            <w:tcBorders>
              <w:tl2br w:val="nil"/>
              <w:tr2bl w:val="nil"/>
            </w:tcBorders>
            <w:noWrap w:val="0"/>
            <w:vAlign w:val="center"/>
          </w:tcPr>
          <w:p w14:paraId="7D5B143D">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sz w:val="21"/>
                <w:szCs w:val="21"/>
                <w:highlight w:val="none"/>
                <w:lang w:eastAsia="zh-CN"/>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3AE6D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0DC5B559">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Cs/>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noWrap w:val="0"/>
            <w:vAlign w:val="center"/>
          </w:tcPr>
          <w:p w14:paraId="62D7F86A">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投标人</w:t>
            </w:r>
            <w:r>
              <w:rPr>
                <w:rFonts w:hint="eastAsia" w:ascii="仿宋" w:hAnsi="仿宋" w:eastAsia="仿宋" w:cs="仿宋"/>
                <w:b w:val="0"/>
                <w:bCs/>
                <w:color w:val="auto"/>
                <w:kern w:val="0"/>
                <w:sz w:val="21"/>
                <w:szCs w:val="21"/>
                <w:highlight w:val="none"/>
                <w:lang w:bidi="ar"/>
              </w:rPr>
              <w:t>应具有履行合同相应的专业团队、设备等。</w:t>
            </w:r>
          </w:p>
        </w:tc>
        <w:tc>
          <w:tcPr>
            <w:tcW w:w="2633" w:type="dxa"/>
            <w:tcBorders>
              <w:tl2br w:val="nil"/>
              <w:tr2bl w:val="nil"/>
            </w:tcBorders>
            <w:noWrap w:val="0"/>
            <w:vAlign w:val="center"/>
          </w:tcPr>
          <w:p w14:paraId="33A0F5F2">
            <w:pPr>
              <w:keepNext w:val="0"/>
              <w:keepLines w:val="0"/>
              <w:pageBreakBefore w:val="0"/>
              <w:widowControl w:val="0"/>
              <w:kinsoku/>
              <w:wordWrap w:val="0"/>
              <w:overflowPunct/>
              <w:topLinePunct/>
              <w:autoSpaceDE/>
              <w:autoSpaceDN/>
              <w:bidi w:val="0"/>
              <w:adjustRightInd/>
              <w:snapToGrid/>
              <w:spacing w:line="20" w:lineRule="atLeast"/>
              <w:ind w:right="0" w:firstLine="0" w:firstLineChars="0"/>
              <w:jc w:val="center"/>
              <w:textAlignment w:val="auto"/>
              <w:rPr>
                <w:rFonts w:hint="eastAsia" w:ascii="仿宋" w:hAnsi="仿宋" w:eastAsia="仿宋" w:cs="仿宋"/>
                <w:b w:val="0"/>
                <w:bCs/>
                <w:color w:val="auto"/>
                <w:kern w:val="0"/>
                <w:sz w:val="21"/>
                <w:szCs w:val="21"/>
                <w:highlight w:val="none"/>
                <w:lang w:val="en-US" w:eastAsia="zh-CN" w:bidi="ar"/>
              </w:rPr>
            </w:pPr>
            <w:r>
              <w:rPr>
                <w:rFonts w:hint="eastAsia" w:ascii="仿宋" w:hAnsi="仿宋" w:eastAsia="仿宋" w:cs="仿宋"/>
                <w:b w:val="0"/>
                <w:bCs/>
                <w:color w:val="auto"/>
                <w:kern w:val="0"/>
                <w:sz w:val="21"/>
                <w:szCs w:val="21"/>
                <w:highlight w:val="none"/>
                <w:lang w:bidi="ar"/>
              </w:rPr>
              <w:t>须附相关证明材料或承诺书</w:t>
            </w:r>
            <w:r>
              <w:rPr>
                <w:rFonts w:hint="eastAsia" w:ascii="仿宋" w:hAnsi="仿宋" w:eastAsia="仿宋" w:cs="仿宋"/>
                <w:b w:val="0"/>
                <w:bCs/>
                <w:color w:val="auto"/>
                <w:kern w:val="0"/>
                <w:sz w:val="21"/>
                <w:szCs w:val="21"/>
                <w:highlight w:val="none"/>
                <w:lang w:eastAsia="zh-CN" w:bidi="ar"/>
              </w:rPr>
              <w:t>。</w:t>
            </w:r>
          </w:p>
        </w:tc>
      </w:tr>
      <w:tr w14:paraId="0499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1630" w:type="dxa"/>
            <w:tcBorders>
              <w:tl2br w:val="nil"/>
              <w:tr2bl w:val="nil"/>
            </w:tcBorders>
            <w:noWrap w:val="0"/>
            <w:vAlign w:val="center"/>
          </w:tcPr>
          <w:p w14:paraId="41B84757">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noWrap w:val="0"/>
            <w:vAlign w:val="center"/>
          </w:tcPr>
          <w:p w14:paraId="0EAE59F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有依法缴纳税收和社会保障资金的良好记录</w:t>
            </w:r>
          </w:p>
          <w:p w14:paraId="57F1557C">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①税收缴纳证明：提供截至投标文件递交截止日前六个月内已缴纳至少1个月的纳税证明或完税证明（成立未满3个月的，提供成立以来的纳税证明或完税证明凭证或相关情况说明）；依法免税的投标人应提供相关文件证明；（注：依法免税或零申报的投标人应提供相关文件证明）</w:t>
            </w:r>
          </w:p>
          <w:p w14:paraId="0E8B8D13">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（复印件加盖投标人公章或提供网上可查询的网址信息）</w:t>
            </w:r>
          </w:p>
          <w:p w14:paraId="2FDF7CCE">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②社会保障资金缴纳证明：提供截至投标文件递交截止日前六个月内已缴纳至少1个月的社会保障资金缴存单据或社保机构开具的社会保险参保缴费情况证明（成立未满3个月的，提供成立以来的社会保障资金缴纳凭证或相关情况说明）。依法不需要缴纳社会保障资金的投标人应提供相关文件证明；</w:t>
            </w:r>
          </w:p>
          <w:p w14:paraId="24EBEE9A">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（复印件加盖投标人公章或提供网上可查询的网址信息）</w:t>
            </w:r>
          </w:p>
        </w:tc>
        <w:tc>
          <w:tcPr>
            <w:tcW w:w="2633" w:type="dxa"/>
            <w:tcBorders>
              <w:tl2br w:val="nil"/>
              <w:tr2bl w:val="nil"/>
            </w:tcBorders>
            <w:noWrap w:val="0"/>
            <w:vAlign w:val="center"/>
          </w:tcPr>
          <w:p w14:paraId="188CA9D1">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left="0" w:right="0" w:rightChars="0" w:firstLine="0" w:firstLineChars="0"/>
              <w:jc w:val="center"/>
              <w:textAlignment w:val="auto"/>
              <w:rPr>
                <w:rFonts w:hint="eastAsia" w:ascii="仿宋" w:hAnsi="仿宋" w:eastAsia="仿宋" w:cs="仿宋"/>
                <w:b w:val="0"/>
                <w:bCs/>
                <w:color w:val="auto"/>
                <w:sz w:val="21"/>
                <w:szCs w:val="21"/>
                <w:highlight w:val="none"/>
                <w:lang w:val="en-US" w:eastAsia="zh-CN" w:bidi="ar-SA"/>
              </w:rPr>
            </w:pPr>
            <w:r>
              <w:rPr>
                <w:rFonts w:hint="eastAsia" w:ascii="仿宋" w:hAnsi="仿宋" w:eastAsia="仿宋" w:cs="仿宋"/>
                <w:b w:val="0"/>
                <w:bCs/>
                <w:color w:val="auto"/>
                <w:sz w:val="21"/>
                <w:szCs w:val="21"/>
                <w:highlight w:val="none"/>
                <w:lang w:val="en-US" w:eastAsia="zh-CN"/>
              </w:rPr>
              <w:t>提供的材料</w:t>
            </w:r>
            <w:r>
              <w:rPr>
                <w:rFonts w:hint="eastAsia" w:ascii="仿宋" w:hAnsi="仿宋" w:eastAsia="仿宋" w:cs="仿宋"/>
                <w:b w:val="0"/>
                <w:bCs/>
                <w:color w:val="auto"/>
                <w:sz w:val="21"/>
                <w:szCs w:val="21"/>
                <w:highlight w:val="none"/>
                <w:lang w:eastAsia="zh-CN"/>
              </w:rPr>
              <w:t>合法有效，</w:t>
            </w:r>
            <w:r>
              <w:rPr>
                <w:rFonts w:hint="eastAsia" w:ascii="仿宋" w:hAnsi="仿宋" w:eastAsia="仿宋" w:cs="仿宋"/>
                <w:b w:val="0"/>
                <w:bCs/>
                <w:color w:val="auto"/>
                <w:sz w:val="21"/>
                <w:szCs w:val="21"/>
                <w:highlight w:val="none"/>
                <w:lang w:val="en-US" w:eastAsia="zh-CN"/>
              </w:rPr>
              <w:t>应完整地体现出材料或电子证照全部内容。</w:t>
            </w:r>
          </w:p>
        </w:tc>
      </w:tr>
      <w:tr w14:paraId="5F0FA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30" w:type="dxa"/>
            <w:tcBorders>
              <w:tl2br w:val="nil"/>
              <w:tr2bl w:val="nil"/>
            </w:tcBorders>
            <w:noWrap w:val="0"/>
            <w:vAlign w:val="center"/>
          </w:tcPr>
          <w:p w14:paraId="59246DDE">
            <w:pPr>
              <w:keepNext w:val="0"/>
              <w:keepLines w:val="0"/>
              <w:pageBreakBefore w:val="0"/>
              <w:widowControl w:val="0"/>
              <w:kinsoku/>
              <w:wordWrap w:val="0"/>
              <w:overflowPunct/>
              <w:topLinePunct/>
              <w:autoSpaceDE/>
              <w:autoSpaceDN/>
              <w:bidi w:val="0"/>
              <w:adjustRightInd/>
              <w:snapToGrid/>
              <w:spacing w:line="20" w:lineRule="atLeast"/>
              <w:ind w:left="0" w:leftChars="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基本资质证明材料</w:t>
            </w:r>
          </w:p>
        </w:tc>
        <w:tc>
          <w:tcPr>
            <w:tcW w:w="5406" w:type="dxa"/>
            <w:tcBorders>
              <w:tl2br w:val="nil"/>
              <w:tr2bl w:val="nil"/>
            </w:tcBorders>
            <w:shd w:val="clear" w:color="auto" w:fill="auto"/>
            <w:noWrap w:val="0"/>
            <w:vAlign w:val="center"/>
          </w:tcPr>
          <w:p w14:paraId="78AA12E6">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投标人参加政府采购活动前三年内，在经营活动中没有重大违法记录</w:t>
            </w:r>
          </w:p>
        </w:tc>
        <w:tc>
          <w:tcPr>
            <w:tcW w:w="2633" w:type="dxa"/>
            <w:tcBorders>
              <w:tl2br w:val="nil"/>
              <w:tr2bl w:val="nil"/>
            </w:tcBorders>
            <w:shd w:val="clear" w:color="auto" w:fill="auto"/>
            <w:noWrap w:val="0"/>
            <w:vAlign w:val="center"/>
          </w:tcPr>
          <w:p w14:paraId="3F1BDE37">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r>
              <w:rPr>
                <w:rFonts w:hint="eastAsia" w:ascii="仿宋" w:hAnsi="仿宋" w:eastAsia="仿宋" w:cs="仿宋"/>
                <w:b w:val="0"/>
                <w:bCs/>
                <w:color w:val="auto"/>
                <w:kern w:val="0"/>
                <w:sz w:val="21"/>
                <w:szCs w:val="21"/>
                <w:highlight w:val="none"/>
                <w:lang w:val="en-US" w:eastAsia="zh-CN" w:bidi="ar"/>
              </w:rPr>
              <w:t>据实</w:t>
            </w:r>
            <w:r>
              <w:rPr>
                <w:rFonts w:hint="eastAsia" w:ascii="仿宋" w:hAnsi="仿宋" w:eastAsia="仿宋" w:cs="仿宋"/>
                <w:b w:val="0"/>
                <w:bCs/>
                <w:color w:val="auto"/>
                <w:sz w:val="21"/>
                <w:szCs w:val="21"/>
                <w:highlight w:val="none"/>
              </w:rPr>
              <w:t>提供</w:t>
            </w:r>
            <w:r>
              <w:rPr>
                <w:rFonts w:hint="eastAsia" w:ascii="仿宋" w:hAnsi="仿宋" w:eastAsia="仿宋" w:cs="仿宋"/>
                <w:b w:val="0"/>
                <w:bCs/>
                <w:color w:val="auto"/>
                <w:sz w:val="21"/>
                <w:szCs w:val="21"/>
                <w:highlight w:val="none"/>
                <w:lang w:eastAsia="zh-CN"/>
              </w:rPr>
              <w:t>《参加采购活动前三年内在经营活动中没有重大违法记录的书面声明》</w:t>
            </w:r>
            <w:r>
              <w:rPr>
                <w:rFonts w:hint="eastAsia" w:ascii="仿宋" w:hAnsi="仿宋" w:eastAsia="仿宋" w:cs="仿宋"/>
                <w:b w:val="0"/>
                <w:bCs/>
                <w:color w:val="auto"/>
                <w:sz w:val="21"/>
                <w:szCs w:val="21"/>
                <w:highlight w:val="none"/>
              </w:rPr>
              <w:t>。</w:t>
            </w:r>
          </w:p>
        </w:tc>
      </w:tr>
      <w:tr w14:paraId="732DC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tcBorders>
              <w:tl2br w:val="nil"/>
              <w:tr2bl w:val="nil"/>
            </w:tcBorders>
            <w:shd w:val="clear" w:color="auto" w:fill="auto"/>
            <w:noWrap w:val="0"/>
            <w:vAlign w:val="center"/>
          </w:tcPr>
          <w:p w14:paraId="2AB9CA9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其他证明材料</w:t>
            </w:r>
          </w:p>
        </w:tc>
        <w:tc>
          <w:tcPr>
            <w:tcW w:w="5406" w:type="dxa"/>
            <w:tcBorders>
              <w:tl2br w:val="nil"/>
              <w:tr2bl w:val="nil"/>
            </w:tcBorders>
            <w:shd w:val="clear" w:color="auto" w:fill="auto"/>
            <w:noWrap w:val="0"/>
            <w:vAlign w:val="center"/>
          </w:tcPr>
          <w:p w14:paraId="35FF7FBD">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法律、行政法规规定的其他条件</w:t>
            </w:r>
          </w:p>
        </w:tc>
        <w:tc>
          <w:tcPr>
            <w:tcW w:w="2633" w:type="dxa"/>
            <w:tcBorders>
              <w:tl2br w:val="nil"/>
              <w:tr2bl w:val="nil"/>
            </w:tcBorders>
            <w:shd w:val="clear" w:color="auto" w:fill="auto"/>
            <w:noWrap w:val="0"/>
            <w:vAlign w:val="center"/>
          </w:tcPr>
          <w:p w14:paraId="609BE1CC">
            <w:pPr>
              <w:pStyle w:val="10"/>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据实提供《未被列入失信被执行人、重大税收违法案件当事人、政府采购严重违法失信行为名单的承诺函》《资格声明函》《无串通投标行为的承诺函》。</w:t>
            </w:r>
          </w:p>
        </w:tc>
      </w:tr>
      <w:tr w14:paraId="0968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tcBorders>
              <w:tl2br w:val="nil"/>
              <w:tr2bl w:val="nil"/>
            </w:tcBorders>
            <w:shd w:val="clear" w:color="auto" w:fill="auto"/>
            <w:noWrap w:val="0"/>
            <w:vAlign w:val="center"/>
          </w:tcPr>
          <w:p w14:paraId="387CA3BB">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落实政府采购政策需满足的资格要求</w:t>
            </w:r>
          </w:p>
        </w:tc>
        <w:tc>
          <w:tcPr>
            <w:tcW w:w="5406" w:type="dxa"/>
            <w:tcBorders>
              <w:tl2br w:val="nil"/>
              <w:tr2bl w:val="nil"/>
            </w:tcBorders>
            <w:shd w:val="clear" w:color="auto" w:fill="auto"/>
            <w:noWrap w:val="0"/>
            <w:vAlign w:val="center"/>
          </w:tcPr>
          <w:p w14:paraId="4CAE5FD9">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无</w:t>
            </w:r>
          </w:p>
        </w:tc>
        <w:tc>
          <w:tcPr>
            <w:tcW w:w="2633" w:type="dxa"/>
            <w:tcBorders>
              <w:tl2br w:val="nil"/>
              <w:tr2bl w:val="nil"/>
            </w:tcBorders>
            <w:shd w:val="clear" w:color="auto" w:fill="auto"/>
            <w:noWrap w:val="0"/>
            <w:vAlign w:val="center"/>
          </w:tcPr>
          <w:p w14:paraId="424710C3">
            <w:pPr>
              <w:pStyle w:val="10"/>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color w:val="auto"/>
                <w:sz w:val="21"/>
                <w:szCs w:val="21"/>
                <w:highlight w:val="none"/>
                <w:lang w:val="en-US" w:eastAsia="zh-CN"/>
              </w:rPr>
            </w:pPr>
          </w:p>
        </w:tc>
      </w:tr>
      <w:tr w14:paraId="0CBE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tcBorders>
              <w:tl2br w:val="nil"/>
              <w:tr2bl w:val="nil"/>
            </w:tcBorders>
            <w:shd w:val="clear" w:color="auto" w:fill="auto"/>
            <w:noWrap w:val="0"/>
            <w:vAlign w:val="center"/>
          </w:tcPr>
          <w:p w14:paraId="5DBA4714">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textAlignment w:val="auto"/>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eastAsia="zh-CN"/>
              </w:rPr>
              <w:t>本项目的特定资格要求</w:t>
            </w:r>
          </w:p>
        </w:tc>
        <w:tc>
          <w:tcPr>
            <w:tcW w:w="5406" w:type="dxa"/>
            <w:tcBorders>
              <w:tl2br w:val="nil"/>
              <w:tr2bl w:val="nil"/>
            </w:tcBorders>
            <w:shd w:val="clear" w:color="auto" w:fill="auto"/>
            <w:noWrap w:val="0"/>
            <w:vAlign w:val="center"/>
          </w:tcPr>
          <w:p w14:paraId="532D4CF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firstLine="420" w:firstLineChars="200"/>
              <w:jc w:val="left"/>
              <w:textAlignment w:val="auto"/>
              <w:rPr>
                <w:rFonts w:hint="eastAsia" w:ascii="仿宋" w:hAnsi="仿宋" w:eastAsia="仿宋" w:cs="仿宋"/>
                <w:b w:val="0"/>
                <w:bCs/>
                <w:color w:val="auto"/>
                <w:sz w:val="21"/>
                <w:szCs w:val="21"/>
                <w:highlight w:val="none"/>
                <w:lang w:val="en-US" w:eastAsia="zh-CN"/>
              </w:rPr>
            </w:pPr>
            <w:r>
              <w:rPr>
                <w:rFonts w:hint="eastAsia" w:ascii="仿宋" w:hAnsi="仿宋" w:eastAsia="仿宋" w:cs="仿宋"/>
                <w:b w:val="0"/>
                <w:bCs/>
                <w:color w:val="auto"/>
                <w:sz w:val="21"/>
                <w:szCs w:val="21"/>
                <w:highlight w:val="none"/>
                <w:lang w:val="en-US" w:eastAsia="zh-CN"/>
              </w:rPr>
              <w:t>无</w:t>
            </w:r>
          </w:p>
        </w:tc>
        <w:tc>
          <w:tcPr>
            <w:tcW w:w="2633" w:type="dxa"/>
            <w:tcBorders>
              <w:tl2br w:val="nil"/>
              <w:tr2bl w:val="nil"/>
            </w:tcBorders>
            <w:shd w:val="clear" w:color="auto" w:fill="auto"/>
            <w:noWrap w:val="0"/>
            <w:vAlign w:val="center"/>
          </w:tcPr>
          <w:p w14:paraId="68170E32">
            <w:pPr>
              <w:pStyle w:val="10"/>
              <w:keepNext w:val="0"/>
              <w:keepLines w:val="0"/>
              <w:pageBreakBefore w:val="0"/>
              <w:widowControl w:val="0"/>
              <w:tabs>
                <w:tab w:val="left" w:pos="2412"/>
              </w:tabs>
              <w:kinsoku/>
              <w:wordWrap w:val="0"/>
              <w:overflowPunct/>
              <w:topLinePunct/>
              <w:autoSpaceDE/>
              <w:autoSpaceDN/>
              <w:bidi w:val="0"/>
              <w:adjustRightInd/>
              <w:snapToGrid/>
              <w:spacing w:line="20" w:lineRule="atLeast"/>
              <w:ind w:left="0" w:leftChars="0" w:right="0" w:rightChars="0" w:firstLine="0" w:firstLineChars="0"/>
              <w:jc w:val="center"/>
              <w:textAlignment w:val="auto"/>
              <w:rPr>
                <w:rFonts w:hint="eastAsia" w:ascii="仿宋" w:hAnsi="仿宋" w:eastAsia="仿宋" w:cs="仿宋"/>
                <w:b w:val="0"/>
                <w:bCs/>
                <w:snapToGrid w:val="0"/>
                <w:color w:val="auto"/>
                <w:sz w:val="21"/>
                <w:szCs w:val="21"/>
                <w:highlight w:val="none"/>
                <w:lang w:val="en-US" w:eastAsia="zh-CN" w:bidi="ar-SA"/>
              </w:rPr>
            </w:pPr>
          </w:p>
        </w:tc>
      </w:tr>
    </w:tbl>
    <w:p w14:paraId="09D60436">
      <w:pPr>
        <w:keepNext w:val="0"/>
        <w:keepLines w:val="0"/>
        <w:pageBreakBefore w:val="0"/>
        <w:widowControl w:val="0"/>
        <w:kinsoku/>
        <w:wordWrap w:val="0"/>
        <w:overflowPunct/>
        <w:topLinePunct/>
        <w:autoSpaceDE/>
        <w:autoSpaceDN/>
        <w:bidi w:val="0"/>
        <w:adjustRightInd/>
        <w:snapToGrid/>
        <w:spacing w:line="20" w:lineRule="atLeast"/>
        <w:ind w:left="0" w:leftChars="0" w:right="0" w:firstLine="420" w:firstLineChars="200"/>
        <w:textAlignment w:val="auto"/>
        <w:rPr>
          <w:rFonts w:hint="eastAsia" w:ascii="仿宋" w:hAnsi="仿宋" w:eastAsia="仿宋" w:cs="仿宋"/>
          <w:b/>
          <w:color w:val="auto"/>
          <w:sz w:val="21"/>
          <w:szCs w:val="21"/>
          <w:highlight w:val="none"/>
          <w:lang w:eastAsia="zh-CN"/>
        </w:rPr>
      </w:pPr>
      <w:r>
        <w:rPr>
          <w:rFonts w:hint="eastAsia" w:ascii="仿宋" w:hAnsi="仿宋" w:eastAsia="仿宋" w:cs="仿宋"/>
          <w:color w:val="auto"/>
          <w:sz w:val="21"/>
          <w:szCs w:val="21"/>
          <w:highlight w:val="none"/>
          <w:lang w:eastAsia="zh-CN"/>
        </w:rPr>
        <w:t>公开招标采购项目开标结束后，采购人或采购代理机构依据招标文件的规定，对投标人的资格进行审查。合格投标人不足3家的，不得评审，只有通过资格审查的投标文件才能进入评审。</w:t>
      </w:r>
    </w:p>
    <w:p w14:paraId="0BC70245">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30"/>
          <w:rFonts w:hint="eastAsia" w:ascii="仿宋" w:hAnsi="仿宋" w:eastAsia="仿宋" w:cs="仿宋"/>
          <w:b/>
          <w:bCs/>
          <w:color w:val="auto"/>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bookmarkStart w:id="487" w:name="_Toc19870"/>
      <w:bookmarkStart w:id="488" w:name="_Toc29461"/>
      <w:bookmarkStart w:id="489" w:name="_Toc12957"/>
      <w:bookmarkStart w:id="490" w:name="_Toc22184"/>
      <w:bookmarkStart w:id="491" w:name="_Toc927"/>
    </w:p>
    <w:p w14:paraId="43C93CE6">
      <w:pPr>
        <w:keepNext w:val="0"/>
        <w:keepLines w:val="0"/>
        <w:pageBreakBefore w:val="0"/>
        <w:widowControl w:val="0"/>
        <w:kinsoku/>
        <w:wordWrap w:val="0"/>
        <w:overflowPunct/>
        <w:topLinePunct/>
        <w:autoSpaceDE/>
        <w:autoSpaceDN/>
        <w:bidi w:val="0"/>
        <w:adjustRightInd/>
        <w:snapToGrid/>
        <w:spacing w:line="360" w:lineRule="auto"/>
        <w:ind w:left="0" w:right="0" w:firstLine="482" w:firstLineChars="200"/>
        <w:jc w:val="center"/>
        <w:outlineLvl w:val="1"/>
        <w:rPr>
          <w:rStyle w:val="30"/>
          <w:rFonts w:hint="eastAsia" w:ascii="仿宋" w:hAnsi="仿宋" w:eastAsia="仿宋" w:cs="仿宋"/>
          <w:b/>
          <w:bCs/>
          <w:color w:val="auto"/>
          <w:sz w:val="32"/>
          <w:szCs w:val="32"/>
          <w:highlight w:val="none"/>
          <w:lang w:eastAsia="zh-CN"/>
        </w:rPr>
      </w:pPr>
      <w:r>
        <w:rPr>
          <w:rStyle w:val="30"/>
          <w:rFonts w:hint="eastAsia" w:ascii="仿宋" w:hAnsi="仿宋" w:eastAsia="仿宋" w:cs="仿宋"/>
          <w:b/>
          <w:bCs/>
          <w:color w:val="auto"/>
          <w:sz w:val="24"/>
          <w:szCs w:val="24"/>
          <w:highlight w:val="none"/>
          <w:lang w:val="en-US" w:eastAsia="zh-CN"/>
        </w:rPr>
        <w:t>二、</w:t>
      </w:r>
      <w:r>
        <w:rPr>
          <w:rStyle w:val="30"/>
          <w:rFonts w:hint="eastAsia" w:ascii="仿宋" w:hAnsi="仿宋" w:eastAsia="仿宋" w:cs="仿宋"/>
          <w:b/>
          <w:bCs/>
          <w:color w:val="auto"/>
          <w:sz w:val="24"/>
          <w:szCs w:val="24"/>
          <w:highlight w:val="none"/>
          <w:lang w:eastAsia="zh-CN"/>
        </w:rPr>
        <w:t>符合性评审标准</w:t>
      </w:r>
      <w:bookmarkEnd w:id="487"/>
      <w:bookmarkEnd w:id="488"/>
      <w:bookmarkEnd w:id="489"/>
    </w:p>
    <w:bookmarkEnd w:id="490"/>
    <w:bookmarkEnd w:id="491"/>
    <w:p w14:paraId="17A6D3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rPr>
      </w:pPr>
      <w:bookmarkStart w:id="492" w:name="_Toc36621972"/>
      <w:bookmarkStart w:id="493" w:name="_Toc522249415"/>
      <w:bookmarkStart w:id="494" w:name="_Toc522705438"/>
      <w:bookmarkStart w:id="495" w:name="_Toc532025724"/>
      <w:bookmarkStart w:id="496" w:name="_Toc510168199"/>
      <w:bookmarkStart w:id="497" w:name="_Toc24531792"/>
      <w:bookmarkStart w:id="498" w:name="_Toc427534"/>
      <w:bookmarkStart w:id="499" w:name="_Toc532026507"/>
      <w:bookmarkStart w:id="500" w:name="_Toc510164803"/>
      <w:bookmarkStart w:id="501" w:name="_Toc512145677"/>
      <w:bookmarkStart w:id="502" w:name="_Toc510168028"/>
      <w:bookmarkStart w:id="503" w:name="_Toc521313388"/>
      <w:bookmarkStart w:id="504" w:name="_Toc510164598"/>
      <w:bookmarkStart w:id="505" w:name="_Toc522249814"/>
      <w:bookmarkStart w:id="506" w:name="_Toc522792533"/>
      <w:bookmarkStart w:id="507" w:name="_Toc535053841"/>
      <w:bookmarkStart w:id="508" w:name="_Toc535054230"/>
      <w:bookmarkStart w:id="509" w:name="_Toc532026899"/>
      <w:bookmarkStart w:id="510" w:name="_Toc524152292"/>
      <w:bookmarkStart w:id="511" w:name="_Toc510164551"/>
      <w:bookmarkStart w:id="512" w:name="_Toc510164454"/>
      <w:r>
        <w:rPr>
          <w:rFonts w:hint="eastAsia" w:ascii="仿宋" w:hAnsi="仿宋" w:eastAsia="仿宋" w:cs="仿宋"/>
          <w:color w:val="auto"/>
          <w:sz w:val="21"/>
          <w:szCs w:val="21"/>
          <w:highlight w:val="none"/>
          <w:lang w:eastAsia="zh-CN"/>
        </w:rPr>
        <w:t>评审</w:t>
      </w:r>
      <w:r>
        <w:rPr>
          <w:rFonts w:hint="eastAsia" w:ascii="仿宋" w:hAnsi="仿宋" w:eastAsia="仿宋" w:cs="仿宋"/>
          <w:color w:val="auto"/>
          <w:sz w:val="21"/>
          <w:szCs w:val="21"/>
          <w:highlight w:val="none"/>
        </w:rPr>
        <w:t>委员会对符合资格审查的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的投标文件进行符合性审查，以确定其是否满足</w:t>
      </w:r>
      <w:r>
        <w:rPr>
          <w:rFonts w:hint="eastAsia" w:ascii="仿宋" w:hAnsi="仿宋" w:eastAsia="仿宋" w:cs="仿宋"/>
          <w:color w:val="auto"/>
          <w:sz w:val="21"/>
          <w:szCs w:val="21"/>
          <w:highlight w:val="none"/>
          <w:lang w:eastAsia="zh-CN"/>
        </w:rPr>
        <w:t>招标文件</w:t>
      </w:r>
      <w:r>
        <w:rPr>
          <w:rFonts w:hint="eastAsia" w:ascii="仿宋" w:hAnsi="仿宋" w:eastAsia="仿宋" w:cs="仿宋"/>
          <w:color w:val="auto"/>
          <w:sz w:val="21"/>
          <w:szCs w:val="21"/>
          <w:highlight w:val="none"/>
        </w:rPr>
        <w:t>的实质性要求。有下列情形投标文件不能通过符合性评审，未通过符合性评审的</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将不进入综合评分</w:t>
      </w:r>
      <w:r>
        <w:rPr>
          <w:rFonts w:hint="eastAsia" w:ascii="仿宋" w:hAnsi="仿宋" w:eastAsia="仿宋" w:cs="仿宋"/>
          <w:color w:val="auto"/>
          <w:sz w:val="21"/>
          <w:szCs w:val="21"/>
          <w:highlight w:val="none"/>
          <w:lang w:eastAsia="zh-CN"/>
        </w:rPr>
        <w:t>。</w:t>
      </w:r>
    </w:p>
    <w:tbl>
      <w:tblPr>
        <w:tblStyle w:val="20"/>
        <w:tblW w:w="96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9"/>
        <w:gridCol w:w="7701"/>
      </w:tblGrid>
      <w:tr w14:paraId="06BC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79F07EA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内 容</w:t>
            </w:r>
          </w:p>
        </w:tc>
        <w:tc>
          <w:tcPr>
            <w:tcW w:w="7701" w:type="dxa"/>
            <w:noWrap w:val="0"/>
            <w:vAlign w:val="center"/>
          </w:tcPr>
          <w:p w14:paraId="7E37291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jc w:val="center"/>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评 审 标 准</w:t>
            </w:r>
          </w:p>
        </w:tc>
      </w:tr>
      <w:tr w14:paraId="23AC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3BD6AB0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投标文件格式</w:t>
            </w:r>
          </w:p>
        </w:tc>
        <w:tc>
          <w:tcPr>
            <w:tcW w:w="7701" w:type="dxa"/>
            <w:noWrap w:val="0"/>
            <w:vAlign w:val="center"/>
          </w:tcPr>
          <w:p w14:paraId="1CEF7D9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 第六章 投标文件格式“实质性格式”要求编制的。</w:t>
            </w:r>
          </w:p>
        </w:tc>
      </w:tr>
      <w:tr w14:paraId="77012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01CB620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投标文件的签署</w:t>
            </w:r>
          </w:p>
        </w:tc>
        <w:tc>
          <w:tcPr>
            <w:tcW w:w="7701" w:type="dxa"/>
            <w:noWrap w:val="0"/>
            <w:vAlign w:val="center"/>
          </w:tcPr>
          <w:p w14:paraId="0BBF4C13">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投标文件未按招标文件要求签署、盖章的。</w:t>
            </w:r>
          </w:p>
        </w:tc>
      </w:tr>
      <w:tr w14:paraId="7F9B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8B6303C">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投标报价</w:t>
            </w:r>
          </w:p>
        </w:tc>
        <w:tc>
          <w:tcPr>
            <w:tcW w:w="7701" w:type="dxa"/>
            <w:noWrap w:val="0"/>
            <w:vAlign w:val="center"/>
          </w:tcPr>
          <w:p w14:paraId="512F74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eastAsia="zh-CN"/>
              </w:rPr>
              <w:t>投标报价超过招标文件中规定的预算金额或者最高限价的；</w:t>
            </w:r>
          </w:p>
        </w:tc>
      </w:tr>
      <w:tr w14:paraId="6E8D7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0D70BB6">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投标有效期</w:t>
            </w:r>
          </w:p>
        </w:tc>
        <w:tc>
          <w:tcPr>
            <w:tcW w:w="7701" w:type="dxa"/>
            <w:noWrap w:val="0"/>
            <w:vAlign w:val="center"/>
          </w:tcPr>
          <w:p w14:paraId="14A76511">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投标文件未按招标文件要求</w:t>
            </w:r>
            <w:r>
              <w:rPr>
                <w:rFonts w:hint="eastAsia" w:ascii="仿宋" w:hAnsi="仿宋" w:eastAsia="仿宋" w:cs="仿宋"/>
                <w:color w:val="auto"/>
                <w:sz w:val="21"/>
                <w:szCs w:val="21"/>
                <w:highlight w:val="none"/>
                <w:lang w:val="en-US" w:eastAsia="zh-CN"/>
              </w:rPr>
              <w:t>确定投标有效期</w:t>
            </w:r>
            <w:r>
              <w:rPr>
                <w:rFonts w:hint="eastAsia" w:ascii="仿宋" w:hAnsi="仿宋" w:eastAsia="仿宋" w:cs="仿宋"/>
                <w:color w:val="auto"/>
                <w:sz w:val="21"/>
                <w:szCs w:val="21"/>
                <w:highlight w:val="none"/>
                <w:lang w:eastAsia="zh-CN"/>
              </w:rPr>
              <w:t>的。</w:t>
            </w:r>
          </w:p>
        </w:tc>
      </w:tr>
      <w:tr w14:paraId="5611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612ED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实质性条款</w:t>
            </w:r>
          </w:p>
        </w:tc>
        <w:tc>
          <w:tcPr>
            <w:tcW w:w="7701" w:type="dxa"/>
            <w:noWrap w:val="0"/>
            <w:vAlign w:val="center"/>
          </w:tcPr>
          <w:p w14:paraId="704E1CD8">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未实质性响应招标文件中标注★条款内容的。</w:t>
            </w:r>
          </w:p>
        </w:tc>
      </w:tr>
      <w:tr w14:paraId="4984F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25C7F7F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投标保证金</w:t>
            </w:r>
          </w:p>
        </w:tc>
        <w:tc>
          <w:tcPr>
            <w:tcW w:w="7701" w:type="dxa"/>
            <w:noWrap w:val="0"/>
            <w:vAlign w:val="center"/>
          </w:tcPr>
          <w:p w14:paraId="16B2E874">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未</w:t>
            </w:r>
            <w:r>
              <w:rPr>
                <w:rFonts w:hint="eastAsia" w:ascii="仿宋" w:hAnsi="仿宋" w:eastAsia="仿宋" w:cs="仿宋"/>
                <w:color w:val="auto"/>
                <w:sz w:val="21"/>
                <w:szCs w:val="21"/>
                <w:highlight w:val="none"/>
                <w:lang w:eastAsia="zh-CN"/>
              </w:rPr>
              <w:t>按照招标文件的规定提交投标保证金。</w:t>
            </w:r>
          </w:p>
        </w:tc>
      </w:tr>
      <w:tr w14:paraId="20E48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3" w:hRule="atLeast"/>
          <w:jc w:val="center"/>
        </w:trPr>
        <w:tc>
          <w:tcPr>
            <w:tcW w:w="1989" w:type="dxa"/>
            <w:noWrap w:val="0"/>
            <w:vAlign w:val="center"/>
          </w:tcPr>
          <w:p w14:paraId="026AB95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rPr>
              <w:t>无串通投标情形</w:t>
            </w:r>
          </w:p>
        </w:tc>
        <w:tc>
          <w:tcPr>
            <w:tcW w:w="7701" w:type="dxa"/>
            <w:noWrap w:val="0"/>
            <w:vAlign w:val="center"/>
          </w:tcPr>
          <w:p w14:paraId="7DF58092">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有下列情形之一的，视为</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串通投标：</w:t>
            </w:r>
          </w:p>
          <w:p w14:paraId="4AC1765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①不同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的投标文件由同一单位或者个人编制；</w:t>
            </w:r>
          </w:p>
          <w:p w14:paraId="251EB11B">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②不同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委托同一单位或者个人办理投标事宜；</w:t>
            </w:r>
          </w:p>
          <w:p w14:paraId="378C11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③不同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的投标文件载明的项目管理成员或者联系人员为同一人；</w:t>
            </w:r>
          </w:p>
          <w:p w14:paraId="7BCC8CD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④不同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的投标文件异常一致或者投标报价呈规律性差异；</w:t>
            </w:r>
          </w:p>
          <w:p w14:paraId="1EF8079F">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⑤不同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的投标文件相互混装；</w:t>
            </w:r>
          </w:p>
          <w:p w14:paraId="7143CDB5">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⑥不同</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的投标保证金从同一单位或者个人的账户转出</w:t>
            </w:r>
            <w:r>
              <w:rPr>
                <w:rFonts w:hint="eastAsia" w:ascii="仿宋" w:hAnsi="仿宋" w:eastAsia="仿宋" w:cs="仿宋"/>
                <w:color w:val="auto"/>
                <w:sz w:val="21"/>
                <w:szCs w:val="21"/>
                <w:highlight w:val="none"/>
                <w:lang w:eastAsia="zh-CN"/>
              </w:rPr>
              <w:t>；</w:t>
            </w:r>
          </w:p>
          <w:p w14:paraId="3E63716D">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rPr>
              <w:t>⑦其他围标串标的情形</w:t>
            </w:r>
            <w:r>
              <w:rPr>
                <w:rFonts w:hint="eastAsia" w:ascii="仿宋" w:hAnsi="仿宋" w:eastAsia="仿宋" w:cs="仿宋"/>
                <w:color w:val="auto"/>
                <w:sz w:val="21"/>
                <w:szCs w:val="21"/>
                <w:highlight w:val="none"/>
                <w:lang w:eastAsia="zh-CN"/>
              </w:rPr>
              <w:t>。</w:t>
            </w:r>
          </w:p>
        </w:tc>
      </w:tr>
      <w:tr w14:paraId="5253D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1FFDCF89">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leftChars="0" w:right="0" w:firstLine="0" w:firstLineChars="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val="0"/>
                <w:bCs w:val="0"/>
                <w:snapToGrid w:val="0"/>
                <w:color w:val="auto"/>
                <w:kern w:val="0"/>
                <w:sz w:val="21"/>
                <w:szCs w:val="21"/>
                <w:highlight w:val="none"/>
                <w:lang w:val="en-US" w:eastAsia="zh-CN" w:bidi="ar-SA"/>
              </w:rPr>
              <w:t>权利义务</w:t>
            </w:r>
          </w:p>
        </w:tc>
        <w:tc>
          <w:tcPr>
            <w:tcW w:w="7701" w:type="dxa"/>
            <w:noWrap w:val="0"/>
            <w:vAlign w:val="center"/>
          </w:tcPr>
          <w:p w14:paraId="4DF26D90">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val="0"/>
                <w:bCs w:val="0"/>
                <w:snapToGrid w:val="0"/>
                <w:color w:val="auto"/>
                <w:kern w:val="0"/>
                <w:sz w:val="21"/>
                <w:szCs w:val="21"/>
                <w:highlight w:val="none"/>
                <w:lang w:val="en-US" w:eastAsia="zh-CN" w:bidi="ar-SA"/>
              </w:rPr>
              <w:t>投标文件中应对“第五章 合同条款及格式”中规定的相应权利及义务进行响应。</w:t>
            </w:r>
            <w:r>
              <w:rPr>
                <w:rFonts w:hint="eastAsia" w:ascii="仿宋" w:hAnsi="仿宋" w:eastAsia="仿宋" w:cs="仿宋"/>
                <w:color w:val="auto"/>
                <w:sz w:val="21"/>
                <w:szCs w:val="21"/>
                <w:highlight w:val="none"/>
              </w:rPr>
              <w:t>投标文件含有采购人不能接受的附加条件的</w:t>
            </w:r>
            <w:r>
              <w:rPr>
                <w:rFonts w:hint="eastAsia" w:ascii="仿宋" w:hAnsi="仿宋" w:eastAsia="仿宋" w:cs="仿宋"/>
                <w:color w:val="auto"/>
                <w:sz w:val="21"/>
                <w:szCs w:val="21"/>
                <w:highlight w:val="none"/>
                <w:lang w:eastAsia="zh-CN"/>
              </w:rPr>
              <w:t>。</w:t>
            </w:r>
          </w:p>
        </w:tc>
      </w:tr>
      <w:tr w14:paraId="0FEF5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989" w:type="dxa"/>
            <w:noWrap w:val="0"/>
            <w:vAlign w:val="center"/>
          </w:tcPr>
          <w:p w14:paraId="4935FE57">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jc w:val="center"/>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rPr>
              <w:t>其他无效情形</w:t>
            </w:r>
          </w:p>
        </w:tc>
        <w:tc>
          <w:tcPr>
            <w:tcW w:w="7701" w:type="dxa"/>
            <w:noWrap w:val="0"/>
            <w:vAlign w:val="center"/>
          </w:tcPr>
          <w:p w14:paraId="5875829E">
            <w:pPr>
              <w:keepNext w:val="0"/>
              <w:keepLines w:val="0"/>
              <w:pageBreakBefore w:val="0"/>
              <w:widowControl w:val="0"/>
              <w:kinsoku/>
              <w:wordWrap w:val="0"/>
              <w:overflowPunct/>
              <w:topLinePunct/>
              <w:autoSpaceDE/>
              <w:autoSpaceDN/>
              <w:bidi w:val="0"/>
              <w:adjustRightInd/>
              <w:snapToGrid/>
              <w:spacing w:beforeAutospacing="0" w:afterAutospacing="0" w:line="20" w:lineRule="atLeast"/>
              <w:ind w:left="0" w:right="0" w:firstLine="420" w:firstLineChars="200"/>
              <w:textAlignment w:val="auto"/>
              <w:rPr>
                <w:rFonts w:hint="eastAsia" w:ascii="仿宋" w:hAnsi="仿宋" w:eastAsia="仿宋" w:cs="仿宋"/>
                <w:snapToGrid w:val="0"/>
                <w:color w:val="auto"/>
                <w:kern w:val="0"/>
                <w:sz w:val="21"/>
                <w:szCs w:val="21"/>
                <w:highlight w:val="none"/>
                <w:lang w:val="en-US" w:eastAsia="zh-CN" w:bidi="ar-SA"/>
              </w:rPr>
            </w:pPr>
            <w:r>
              <w:rPr>
                <w:rFonts w:hint="eastAsia" w:ascii="仿宋" w:hAnsi="仿宋" w:eastAsia="仿宋" w:cs="仿宋"/>
                <w:snapToGrid w:val="0"/>
                <w:color w:val="auto"/>
                <w:kern w:val="0"/>
                <w:sz w:val="21"/>
                <w:szCs w:val="21"/>
                <w:highlight w:val="none"/>
                <w:lang w:eastAsia="zh-CN"/>
              </w:rPr>
              <w:t>法律法规</w:t>
            </w:r>
            <w:r>
              <w:rPr>
                <w:rFonts w:hint="eastAsia" w:ascii="仿宋" w:hAnsi="仿宋" w:eastAsia="仿宋" w:cs="仿宋"/>
                <w:snapToGrid w:val="0"/>
                <w:color w:val="auto"/>
                <w:kern w:val="0"/>
                <w:sz w:val="21"/>
                <w:szCs w:val="21"/>
                <w:highlight w:val="none"/>
              </w:rPr>
              <w:t>和</w:t>
            </w:r>
            <w:r>
              <w:rPr>
                <w:rFonts w:hint="eastAsia" w:ascii="仿宋" w:hAnsi="仿宋" w:eastAsia="仿宋" w:cs="仿宋"/>
                <w:snapToGrid w:val="0"/>
                <w:color w:val="auto"/>
                <w:kern w:val="0"/>
                <w:sz w:val="21"/>
                <w:szCs w:val="21"/>
                <w:highlight w:val="none"/>
                <w:lang w:eastAsia="zh-CN"/>
              </w:rPr>
              <w:t>招标文件</w:t>
            </w:r>
            <w:r>
              <w:rPr>
                <w:rFonts w:hint="eastAsia" w:ascii="仿宋" w:hAnsi="仿宋" w:eastAsia="仿宋" w:cs="仿宋"/>
                <w:snapToGrid w:val="0"/>
                <w:color w:val="auto"/>
                <w:kern w:val="0"/>
                <w:sz w:val="21"/>
                <w:szCs w:val="21"/>
                <w:highlight w:val="none"/>
              </w:rPr>
              <w:t>规定的其他无效情形。</w:t>
            </w:r>
          </w:p>
        </w:tc>
      </w:t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tbl>
    <w:p w14:paraId="347BEAE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bookmarkStart w:id="513" w:name="_Toc29344"/>
      <w:bookmarkStart w:id="514" w:name="_Toc13039"/>
    </w:p>
    <w:p w14:paraId="22DCBBBE">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ind w:left="0" w:leftChars="0" w:right="0" w:firstLine="482" w:firstLineChars="200"/>
        <w:jc w:val="center"/>
        <w:textAlignment w:val="baseline"/>
        <w:rPr>
          <w:rFonts w:hint="eastAsia" w:ascii="仿宋" w:hAnsi="仿宋" w:eastAsia="仿宋" w:cs="仿宋"/>
          <w:b/>
          <w:bCs/>
          <w:color w:val="auto"/>
          <w:spacing w:val="0"/>
          <w:w w:val="100"/>
          <w:position w:val="0"/>
          <w:sz w:val="24"/>
          <w:szCs w:val="24"/>
          <w:highlight w:val="none"/>
          <w:lang w:val="en-US" w:eastAsia="zh-CN"/>
        </w:rPr>
      </w:pPr>
      <w:r>
        <w:rPr>
          <w:rFonts w:hint="eastAsia" w:ascii="仿宋" w:hAnsi="仿宋" w:eastAsia="仿宋" w:cs="仿宋"/>
          <w:b/>
          <w:bCs/>
          <w:color w:val="auto"/>
          <w:spacing w:val="0"/>
          <w:w w:val="100"/>
          <w:position w:val="0"/>
          <w:sz w:val="24"/>
          <w:szCs w:val="24"/>
          <w:highlight w:val="none"/>
          <w:lang w:val="en-US" w:eastAsia="zh-CN"/>
        </w:rPr>
        <w:t>三、评分标准</w:t>
      </w:r>
      <w:bookmarkEnd w:id="513"/>
      <w:bookmarkEnd w:id="514"/>
    </w:p>
    <w:p w14:paraId="5606D739">
      <w:pPr>
        <w:pStyle w:val="3"/>
        <w:keepNext w:val="0"/>
        <w:keepLines w:val="0"/>
        <w:pageBreakBefore w:val="0"/>
        <w:widowControl w:val="0"/>
        <w:kinsoku/>
        <w:wordWrap w:val="0"/>
        <w:overflowPunct/>
        <w:topLinePunct/>
        <w:autoSpaceDE/>
        <w:autoSpaceDN/>
        <w:bidi w:val="0"/>
        <w:adjustRightInd/>
        <w:snapToGrid/>
        <w:spacing w:before="0" w:after="0" w:line="20" w:lineRule="atLeast"/>
        <w:ind w:left="0" w:right="0"/>
        <w:jc w:val="center"/>
        <w:textAlignment w:val="auto"/>
        <w:outlineLvl w:val="2"/>
        <w:rPr>
          <w:rFonts w:hint="eastAsia" w:ascii="仿宋" w:hAnsi="仿宋" w:eastAsia="仿宋" w:cs="仿宋"/>
          <w:i w:val="0"/>
          <w:iCs w:val="0"/>
          <w:color w:val="auto"/>
          <w:sz w:val="24"/>
          <w:szCs w:val="24"/>
          <w:highlight w:val="none"/>
          <w:lang w:eastAsia="zh-CN"/>
        </w:rPr>
      </w:pPr>
      <w:bookmarkStart w:id="515" w:name="_Toc10981"/>
      <w:bookmarkStart w:id="516" w:name="_Toc6308"/>
      <w:bookmarkStart w:id="517" w:name="_Toc8449"/>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投标报价</w:t>
      </w:r>
      <w:r>
        <w:rPr>
          <w:rFonts w:hint="eastAsia" w:ascii="仿宋" w:hAnsi="仿宋" w:eastAsia="仿宋" w:cs="仿宋"/>
          <w:color w:val="auto"/>
          <w:sz w:val="24"/>
          <w:szCs w:val="24"/>
          <w:highlight w:val="none"/>
          <w:lang w:val="en-US" w:eastAsia="zh-CN"/>
        </w:rPr>
        <w:t>评分标准（</w:t>
      </w:r>
      <w:r>
        <w:rPr>
          <w:rFonts w:hint="eastAsia" w:ascii="仿宋" w:hAnsi="仿宋" w:eastAsia="仿宋" w:cs="仿宋"/>
          <w:i w:val="0"/>
          <w:iCs w:val="0"/>
          <w:color w:val="auto"/>
          <w:sz w:val="24"/>
          <w:szCs w:val="24"/>
          <w:highlight w:val="none"/>
          <w:lang w:val="en-US" w:eastAsia="zh-CN"/>
        </w:rPr>
        <w:t>满分</w:t>
      </w:r>
      <w:r>
        <w:rPr>
          <w:rFonts w:hint="eastAsia" w:ascii="仿宋" w:hAnsi="仿宋" w:eastAsia="仿宋" w:cs="仿宋"/>
          <w:i w:val="0"/>
          <w:iCs w:val="0"/>
          <w:color w:val="auto"/>
          <w:sz w:val="24"/>
          <w:szCs w:val="24"/>
          <w:highlight w:val="none"/>
          <w:u w:val="single"/>
          <w:lang w:val="en-US" w:eastAsia="zh-CN"/>
        </w:rPr>
        <w:t>30</w:t>
      </w:r>
      <w:r>
        <w:rPr>
          <w:rFonts w:hint="eastAsia" w:ascii="仿宋" w:hAnsi="仿宋" w:eastAsia="仿宋" w:cs="仿宋"/>
          <w:i w:val="0"/>
          <w:iCs w:val="0"/>
          <w:color w:val="auto"/>
          <w:sz w:val="24"/>
          <w:szCs w:val="24"/>
          <w:highlight w:val="none"/>
          <w:lang w:val="en-US" w:eastAsia="zh-CN"/>
        </w:rPr>
        <w:t>分）</w:t>
      </w:r>
      <w:bookmarkEnd w:id="515"/>
      <w:bookmarkEnd w:id="516"/>
      <w:bookmarkEnd w:id="517"/>
    </w:p>
    <w:tbl>
      <w:tblPr>
        <w:tblStyle w:val="20"/>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7325"/>
        <w:gridCol w:w="869"/>
        <w:gridCol w:w="793"/>
      </w:tblGrid>
      <w:tr w14:paraId="1408E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0650DC23">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类型</w:t>
            </w:r>
          </w:p>
        </w:tc>
        <w:tc>
          <w:tcPr>
            <w:tcW w:w="7325" w:type="dxa"/>
            <w:vAlign w:val="center"/>
          </w:tcPr>
          <w:p w14:paraId="11A46E4E">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评分标准</w:t>
            </w:r>
          </w:p>
        </w:tc>
        <w:tc>
          <w:tcPr>
            <w:tcW w:w="869" w:type="dxa"/>
            <w:vAlign w:val="center"/>
          </w:tcPr>
          <w:p w14:paraId="5D811BEA">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b/>
                <w:bCs/>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lang w:val="en-US" w:eastAsia="zh-CN"/>
              </w:rPr>
              <w:t>分值</w:t>
            </w:r>
          </w:p>
        </w:tc>
        <w:tc>
          <w:tcPr>
            <w:tcW w:w="793" w:type="dxa"/>
            <w:shd w:val="clear" w:color="auto" w:fill="auto"/>
            <w:vAlign w:val="center"/>
          </w:tcPr>
          <w:p w14:paraId="61378431">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rPr>
              <w:t>打分方法</w:t>
            </w:r>
          </w:p>
        </w:tc>
      </w:tr>
      <w:tr w14:paraId="6F661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 w:hRule="atLeast"/>
          <w:jc w:val="center"/>
        </w:trPr>
        <w:tc>
          <w:tcPr>
            <w:tcW w:w="719" w:type="dxa"/>
            <w:vAlign w:val="center"/>
          </w:tcPr>
          <w:p w14:paraId="146A291D">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en-US" w:bidi="ar-SA"/>
              </w:rPr>
            </w:pPr>
            <w:r>
              <w:rPr>
                <w:rFonts w:hint="eastAsia" w:ascii="仿宋" w:hAnsi="仿宋" w:eastAsia="仿宋" w:cs="仿宋"/>
                <w:i w:val="0"/>
                <w:iCs w:val="0"/>
                <w:color w:val="auto"/>
                <w:sz w:val="21"/>
                <w:szCs w:val="21"/>
                <w:highlight w:val="none"/>
                <w:lang w:val="en-US" w:eastAsia="zh-CN"/>
              </w:rPr>
              <w:t>投标</w:t>
            </w:r>
            <w:r>
              <w:rPr>
                <w:rFonts w:hint="eastAsia" w:ascii="仿宋" w:hAnsi="仿宋" w:eastAsia="仿宋" w:cs="仿宋"/>
                <w:i w:val="0"/>
                <w:iCs w:val="0"/>
                <w:color w:val="auto"/>
                <w:sz w:val="21"/>
                <w:szCs w:val="21"/>
                <w:highlight w:val="none"/>
              </w:rPr>
              <w:t>报价</w:t>
            </w:r>
          </w:p>
        </w:tc>
        <w:tc>
          <w:tcPr>
            <w:tcW w:w="7325" w:type="dxa"/>
            <w:vAlign w:val="center"/>
          </w:tcPr>
          <w:p w14:paraId="537B6CD9">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投标报价计算公式= </w:t>
            </w:r>
            <w:r>
              <w:rPr>
                <w:rFonts w:hint="eastAsia" w:ascii="仿宋" w:hAnsi="仿宋" w:eastAsia="仿宋" w:cs="仿宋"/>
                <w:i w:val="0"/>
                <w:iCs w:val="0"/>
                <w:color w:val="auto"/>
                <w:position w:val="-26"/>
                <w:sz w:val="21"/>
                <w:szCs w:val="21"/>
                <w:highlight w:val="none"/>
              </w:rPr>
              <w:object>
                <v:shape id="_x0000_i1025" o:spt="75" alt="341228446826312" type="#_x0000_t75" style="height:31.5pt;width:66.95pt;" o:ole="t" filled="f" o:preferrelative="t" stroked="f" coordsize="21600,21600">
                  <v:path/>
                  <v:fill on="f" focussize="0,0"/>
                  <v:stroke on="f"/>
                  <v:imagedata r:id="rId28" o:title=""/>
                  <o:lock v:ext="edit" aspectratio="t"/>
                  <w10:wrap type="none"/>
                  <w10:anchorlock/>
                </v:shape>
                <o:OLEObject Type="Embed" ProgID="Equation.3" ShapeID="_x0000_i1025" DrawAspect="Content" ObjectID="_1468075725" r:id="rId27">
                  <o:LockedField>false</o:LockedField>
                </o:OLEObject>
              </w:object>
            </w:r>
            <w:r>
              <w:rPr>
                <w:rFonts w:hint="eastAsia" w:ascii="仿宋" w:hAnsi="仿宋" w:eastAsia="仿宋" w:cs="仿宋"/>
                <w:i w:val="0"/>
                <w:iCs w:val="0"/>
                <w:color w:val="auto"/>
                <w:sz w:val="21"/>
                <w:szCs w:val="21"/>
                <w:highlight w:val="none"/>
              </w:rPr>
              <w:t>×</w:t>
            </w:r>
            <w:r>
              <w:rPr>
                <w:rFonts w:hint="eastAsia" w:ascii="仿宋" w:hAnsi="仿宋" w:eastAsia="仿宋" w:cs="仿宋"/>
                <w:i w:val="0"/>
                <w:iCs w:val="0"/>
                <w:color w:val="auto"/>
                <w:sz w:val="21"/>
                <w:szCs w:val="21"/>
                <w:highlight w:val="none"/>
                <w:u w:val="none"/>
              </w:rPr>
              <w:t>30</w:t>
            </w:r>
          </w:p>
          <w:p w14:paraId="6A88C9CD">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即：</w:t>
            </w:r>
            <w:r>
              <w:rPr>
                <w:rFonts w:hint="eastAsia" w:ascii="仿宋" w:hAnsi="仿宋" w:eastAsia="仿宋" w:cs="仿宋"/>
                <w:i w:val="0"/>
                <w:iCs w:val="0"/>
                <w:color w:val="auto"/>
                <w:sz w:val="21"/>
                <w:szCs w:val="21"/>
                <w:highlight w:val="none"/>
                <w:lang w:val="en-US" w:eastAsia="zh-CN"/>
              </w:rPr>
              <w:t>F1</w:t>
            </w:r>
            <w:r>
              <w:rPr>
                <w:rFonts w:hint="eastAsia" w:ascii="仿宋" w:hAnsi="仿宋" w:eastAsia="仿宋" w:cs="仿宋"/>
                <w:i w:val="0"/>
                <w:iCs w:val="0"/>
                <w:color w:val="auto"/>
                <w:sz w:val="21"/>
                <w:szCs w:val="21"/>
                <w:highlight w:val="none"/>
              </w:rPr>
              <w:t>=[C/（B1，B2，…，Bn）]×</w:t>
            </w:r>
            <w:r>
              <w:rPr>
                <w:rFonts w:hint="eastAsia" w:ascii="仿宋" w:hAnsi="仿宋" w:eastAsia="仿宋" w:cs="仿宋"/>
                <w:i w:val="0"/>
                <w:iCs w:val="0"/>
                <w:color w:val="auto"/>
                <w:sz w:val="21"/>
                <w:szCs w:val="21"/>
                <w:highlight w:val="none"/>
                <w:u w:val="none"/>
              </w:rPr>
              <w:t>30</w:t>
            </w:r>
          </w:p>
          <w:p w14:paraId="7EEB7668">
            <w:pPr>
              <w:keepNext w:val="0"/>
              <w:keepLines w:val="0"/>
              <w:pageBreakBefore w:val="0"/>
              <w:widowControl w:val="0"/>
              <w:kinsoku/>
              <w:wordWrap w:val="0"/>
              <w:overflowPunct/>
              <w:topLinePunct/>
              <w:autoSpaceDE/>
              <w:autoSpaceDN/>
              <w:bidi w:val="0"/>
              <w:adjustRightInd/>
              <w:snapToGrid/>
              <w:spacing w:line="20" w:lineRule="atLeast"/>
              <w:ind w:left="0" w:right="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注：</w:t>
            </w:r>
            <w:r>
              <w:rPr>
                <w:rFonts w:hint="eastAsia" w:ascii="仿宋" w:hAnsi="仿宋" w:eastAsia="仿宋" w:cs="仿宋"/>
                <w:i w:val="0"/>
                <w:iCs w:val="0"/>
                <w:color w:val="auto"/>
                <w:sz w:val="21"/>
                <w:szCs w:val="21"/>
                <w:highlight w:val="none"/>
              </w:rPr>
              <w:t>C为</w:t>
            </w:r>
            <w:r>
              <w:rPr>
                <w:rFonts w:hint="eastAsia" w:ascii="仿宋" w:hAnsi="仿宋" w:eastAsia="仿宋" w:cs="仿宋"/>
                <w:i w:val="0"/>
                <w:iCs w:val="0"/>
                <w:color w:val="auto"/>
                <w:sz w:val="21"/>
                <w:szCs w:val="21"/>
                <w:highlight w:val="none"/>
                <w:lang w:eastAsia="zh-CN"/>
              </w:rPr>
              <w:t>评审</w:t>
            </w:r>
            <w:r>
              <w:rPr>
                <w:rFonts w:hint="eastAsia" w:ascii="仿宋" w:hAnsi="仿宋" w:eastAsia="仿宋" w:cs="仿宋"/>
                <w:i w:val="0"/>
                <w:iCs w:val="0"/>
                <w:color w:val="auto"/>
                <w:sz w:val="21"/>
                <w:szCs w:val="21"/>
                <w:highlight w:val="none"/>
              </w:rPr>
              <w:t>基准价，即经符合性评审合格且投标价格最低的投标报价；</w:t>
            </w:r>
          </w:p>
          <w:p w14:paraId="3FFEFB13">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B1，B2，…，Bn为第n个经符合性评审合格的投标报价。</w:t>
            </w:r>
          </w:p>
          <w:p w14:paraId="3C3A5FAC">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1.</w:t>
            </w:r>
            <w:r>
              <w:rPr>
                <w:rFonts w:hint="eastAsia" w:ascii="仿宋" w:hAnsi="仿宋" w:eastAsia="仿宋" w:cs="仿宋"/>
                <w:i w:val="0"/>
                <w:iCs w:val="0"/>
                <w:color w:val="auto"/>
                <w:sz w:val="21"/>
                <w:szCs w:val="21"/>
                <w:highlight w:val="none"/>
              </w:rPr>
              <w:t>在计算投标报价得分时，对小型或微型企业报价给予10%的扣除，用扣除后的价格参加评审。</w:t>
            </w:r>
          </w:p>
          <w:p w14:paraId="32CAFE6D">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2.</w:t>
            </w:r>
            <w:r>
              <w:rPr>
                <w:rFonts w:hint="eastAsia" w:ascii="仿宋" w:hAnsi="仿宋" w:eastAsia="仿宋" w:cs="仿宋"/>
                <w:i w:val="0"/>
                <w:iCs w:val="0"/>
                <w:color w:val="auto"/>
                <w:sz w:val="21"/>
                <w:szCs w:val="21"/>
                <w:highlight w:val="none"/>
              </w:rPr>
              <w:t>残疾人福利性单位、监狱企业视同小型、微型企业。</w:t>
            </w:r>
          </w:p>
          <w:p w14:paraId="7C3B263E">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3.</w:t>
            </w:r>
            <w:r>
              <w:rPr>
                <w:rFonts w:hint="eastAsia" w:ascii="仿宋" w:hAnsi="仿宋" w:eastAsia="仿宋" w:cs="仿宋"/>
                <w:i w:val="0"/>
                <w:iCs w:val="0"/>
                <w:color w:val="auto"/>
                <w:sz w:val="21"/>
                <w:szCs w:val="21"/>
                <w:highlight w:val="none"/>
              </w:rPr>
              <w:t>监狱企业或残疾人福利性单位属于小型、微型企业的，不重复计算，只进行一次价格扣除。</w:t>
            </w:r>
          </w:p>
          <w:p w14:paraId="31874825">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4.政府采购活动中既有本国产品又有非本国产品参与竞争的，依法对本国产品给予价格评审优惠，对本国产品的报价给予20%的价格扣除，用扣除后的价格参与评审。</w:t>
            </w:r>
          </w:p>
          <w:p w14:paraId="3C0B40A9">
            <w:pPr>
              <w:keepNext w:val="0"/>
              <w:keepLines w:val="0"/>
              <w:pageBreakBefore w:val="0"/>
              <w:widowControl w:val="0"/>
              <w:kinsoku/>
              <w:wordWrap w:val="0"/>
              <w:overflowPunct/>
              <w:topLinePunct/>
              <w:autoSpaceDE/>
              <w:autoSpaceDN/>
              <w:bidi w:val="0"/>
              <w:adjustRightInd/>
              <w:snapToGrid/>
              <w:spacing w:line="20" w:lineRule="atLeast"/>
              <w:ind w:left="0" w:right="0" w:firstLine="420" w:firstLineChars="200"/>
              <w:jc w:val="left"/>
              <w:textAlignment w:val="auto"/>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tc>
        <w:tc>
          <w:tcPr>
            <w:tcW w:w="869" w:type="dxa"/>
            <w:vAlign w:val="center"/>
          </w:tcPr>
          <w:p w14:paraId="58C15EF6">
            <w:pPr>
              <w:keepNext w:val="0"/>
              <w:keepLines w:val="0"/>
              <w:pageBreakBefore w:val="0"/>
              <w:widowControl w:val="0"/>
              <w:kinsoku/>
              <w:wordWrap w:val="0"/>
              <w:overflowPunct/>
              <w:topLinePunct/>
              <w:autoSpaceDE/>
              <w:autoSpaceDN/>
              <w:bidi w:val="0"/>
              <w:adjustRightInd/>
              <w:snapToGrid/>
              <w:spacing w:line="20" w:lineRule="atLeast"/>
              <w:ind w:left="0" w:right="0"/>
              <w:jc w:val="center"/>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b/>
                <w:bCs/>
                <w:i w:val="0"/>
                <w:iCs w:val="0"/>
                <w:color w:val="auto"/>
                <w:sz w:val="21"/>
                <w:szCs w:val="21"/>
                <w:highlight w:val="none"/>
                <w:u w:val="none"/>
                <w:lang w:val="en-US" w:eastAsia="zh-CN"/>
              </w:rPr>
              <w:t>30</w:t>
            </w:r>
            <w:r>
              <w:rPr>
                <w:rFonts w:hint="eastAsia" w:ascii="仿宋" w:hAnsi="仿宋" w:eastAsia="仿宋" w:cs="仿宋"/>
                <w:b/>
                <w:bCs/>
                <w:i w:val="0"/>
                <w:iCs w:val="0"/>
                <w:color w:val="auto"/>
                <w:sz w:val="21"/>
                <w:szCs w:val="21"/>
                <w:highlight w:val="none"/>
                <w:lang w:val="en-US" w:eastAsia="zh-CN"/>
              </w:rPr>
              <w:t>分</w:t>
            </w:r>
          </w:p>
        </w:tc>
        <w:tc>
          <w:tcPr>
            <w:tcW w:w="793" w:type="dxa"/>
            <w:shd w:val="clear" w:color="auto" w:fill="auto"/>
            <w:vAlign w:val="center"/>
          </w:tcPr>
          <w:p w14:paraId="3F254268">
            <w:pPr>
              <w:keepNext w:val="0"/>
              <w:keepLines w:val="0"/>
              <w:pageBreakBefore w:val="0"/>
              <w:widowControl w:val="0"/>
              <w:kinsoku/>
              <w:wordWrap w:val="0"/>
              <w:overflowPunct/>
              <w:topLinePunct/>
              <w:autoSpaceDE/>
              <w:autoSpaceDN/>
              <w:bidi w:val="0"/>
              <w:adjustRightInd/>
              <w:snapToGrid/>
              <w:spacing w:line="20" w:lineRule="atLeast"/>
              <w:ind w:left="0" w:leftChars="0" w:right="0" w:rightChars="0"/>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客观分</w:t>
            </w:r>
          </w:p>
        </w:tc>
      </w:tr>
    </w:tbl>
    <w:p w14:paraId="685C310E">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color w:val="auto"/>
          <w:sz w:val="24"/>
          <w:szCs w:val="24"/>
          <w:highlight w:val="none"/>
          <w:lang w:val="zh-CN" w:eastAsia="zh-CN"/>
        </w:rPr>
      </w:pPr>
      <w:bookmarkStart w:id="518" w:name="_Toc27135"/>
      <w:bookmarkStart w:id="519" w:name="_Toc27017"/>
    </w:p>
    <w:p w14:paraId="7A6485A1">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34EA0038">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pPr>
    </w:p>
    <w:p w14:paraId="6C0C20A3">
      <w:pPr>
        <w:keepNext w:val="0"/>
        <w:keepLines w:val="0"/>
        <w:pageBreakBefore w:val="0"/>
        <w:widowControl w:val="0"/>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zh-CN"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270355A4">
      <w:pPr>
        <w:keepNext w:val="0"/>
        <w:keepLines w:val="0"/>
        <w:pageBreakBefore w:val="0"/>
        <w:widowControl w:val="0"/>
        <w:numPr>
          <w:ilvl w:val="0"/>
          <w:numId w:val="3"/>
        </w:numPr>
        <w:kinsoku/>
        <w:wordWrap w:val="0"/>
        <w:overflowPunct/>
        <w:topLinePunct/>
        <w:autoSpaceDE/>
        <w:autoSpaceDN/>
        <w:bidi w:val="0"/>
        <w:adjustRightInd/>
        <w:snapToGrid/>
        <w:spacing w:line="20" w:lineRule="atLeast"/>
        <w:ind w:left="0" w:right="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zh-CN" w:eastAsia="zh-CN"/>
        </w:rPr>
        <w:t>商务技术</w:t>
      </w:r>
      <w:r>
        <w:rPr>
          <w:rFonts w:hint="eastAsia" w:ascii="仿宋" w:hAnsi="仿宋" w:eastAsia="仿宋" w:cs="仿宋"/>
          <w:b/>
          <w:bCs/>
          <w:color w:val="auto"/>
          <w:sz w:val="24"/>
          <w:szCs w:val="24"/>
          <w:highlight w:val="none"/>
          <w:lang w:val="zh-CN"/>
        </w:rPr>
        <w:t>评分</w:t>
      </w:r>
      <w:r>
        <w:rPr>
          <w:rFonts w:hint="eastAsia" w:ascii="仿宋" w:hAnsi="仿宋" w:eastAsia="仿宋" w:cs="仿宋"/>
          <w:b/>
          <w:bCs/>
          <w:color w:val="auto"/>
          <w:sz w:val="24"/>
          <w:szCs w:val="24"/>
          <w:highlight w:val="none"/>
          <w:lang w:val="en-US" w:eastAsia="zh-CN"/>
        </w:rPr>
        <w:t>标准（满分70分）</w:t>
      </w:r>
      <w:bookmarkEnd w:id="518"/>
      <w:bookmarkEnd w:id="519"/>
    </w:p>
    <w:tbl>
      <w:tblPr>
        <w:tblStyle w:val="20"/>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7330"/>
        <w:gridCol w:w="854"/>
        <w:gridCol w:w="774"/>
      </w:tblGrid>
      <w:tr w14:paraId="4D817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Align w:val="center"/>
          </w:tcPr>
          <w:p w14:paraId="4291CB87">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类型</w:t>
            </w:r>
          </w:p>
        </w:tc>
        <w:tc>
          <w:tcPr>
            <w:tcW w:w="7330" w:type="dxa"/>
            <w:vAlign w:val="center"/>
          </w:tcPr>
          <w:p w14:paraId="0C9B20C5">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 w:val="21"/>
                <w:szCs w:val="21"/>
                <w:highlight w:val="none"/>
              </w:rPr>
              <w:t>评分标准</w:t>
            </w:r>
          </w:p>
        </w:tc>
        <w:tc>
          <w:tcPr>
            <w:tcW w:w="854" w:type="dxa"/>
            <w:vAlign w:val="center"/>
          </w:tcPr>
          <w:p w14:paraId="764403D9">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分值</w:t>
            </w:r>
          </w:p>
        </w:tc>
        <w:tc>
          <w:tcPr>
            <w:tcW w:w="774" w:type="dxa"/>
            <w:vAlign w:val="center"/>
          </w:tcPr>
          <w:p w14:paraId="1B8A3922">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打分方法</w:t>
            </w:r>
          </w:p>
        </w:tc>
      </w:tr>
      <w:tr w14:paraId="7E42B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7" w:hRule="atLeast"/>
          <w:jc w:val="center"/>
        </w:trPr>
        <w:tc>
          <w:tcPr>
            <w:tcW w:w="684" w:type="dxa"/>
            <w:vAlign w:val="center"/>
          </w:tcPr>
          <w:p w14:paraId="65385E94">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textAlignment w:val="auto"/>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bidi="ar-SA"/>
              </w:rPr>
              <w:t>技术</w:t>
            </w:r>
          </w:p>
        </w:tc>
        <w:tc>
          <w:tcPr>
            <w:tcW w:w="7330" w:type="dxa"/>
            <w:vAlign w:val="center"/>
          </w:tcPr>
          <w:p w14:paraId="0499720D">
            <w:pPr>
              <w:keepNext w:val="0"/>
              <w:keepLines w:val="0"/>
              <w:pageBreakBefore w:val="0"/>
              <w:widowControl w:val="0"/>
              <w:kinsoku/>
              <w:wordWrap w:val="0"/>
              <w:overflowPunct/>
              <w:topLinePunct/>
              <w:autoSpaceDE/>
              <w:autoSpaceDN/>
              <w:bidi w:val="0"/>
              <w:adjustRightInd/>
              <w:snapToGrid/>
              <w:spacing w:line="360" w:lineRule="auto"/>
              <w:ind w:left="0" w:right="0"/>
              <w:rPr>
                <w:rFonts w:hint="eastAsia" w:ascii="仿宋" w:hAnsi="仿宋" w:eastAsia="仿宋" w:cs="仿宋"/>
                <w:b/>
                <w:bCs/>
                <w:color w:val="auto"/>
                <w:sz w:val="21"/>
                <w:szCs w:val="21"/>
                <w:highlight w:val="none"/>
                <w:lang w:val="en-US" w:eastAsia="zh-CN" w:bidi="ar-SA"/>
              </w:rPr>
            </w:pPr>
            <w:bookmarkStart w:id="520" w:name="OLE_LINK6"/>
            <w:r>
              <w:rPr>
                <w:rFonts w:hint="eastAsia" w:ascii="仿宋" w:hAnsi="仿宋" w:eastAsia="仿宋" w:cs="仿宋"/>
                <w:b/>
                <w:bCs/>
                <w:color w:val="auto"/>
                <w:sz w:val="21"/>
                <w:szCs w:val="21"/>
                <w:highlight w:val="none"/>
                <w:lang w:val="en-US" w:eastAsia="zh-CN" w:bidi="ar-SA"/>
              </w:rPr>
              <w:t>技术参数指标响应评审：</w:t>
            </w:r>
          </w:p>
          <w:bookmarkEnd w:id="520"/>
          <w:p w14:paraId="65226028">
            <w:pPr>
              <w:keepNext w:val="0"/>
              <w:keepLines w:val="0"/>
              <w:pageBreakBefore w:val="0"/>
              <w:widowControl w:val="0"/>
              <w:kinsoku/>
              <w:wordWrap w:val="0"/>
              <w:overflowPunct/>
              <w:topLinePunct/>
              <w:autoSpaceDE/>
              <w:autoSpaceDN/>
              <w:bidi w:val="0"/>
              <w:adjustRightInd/>
              <w:snapToGrid/>
              <w:spacing w:line="360" w:lineRule="auto"/>
              <w:ind w:left="0" w:right="0"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w:t>
            </w:r>
            <w:r>
              <w:rPr>
                <w:rFonts w:hint="eastAsia" w:ascii="仿宋" w:hAnsi="仿宋" w:eastAsia="仿宋" w:cs="仿宋"/>
                <w:bCs/>
                <w:color w:val="auto"/>
                <w:sz w:val="21"/>
                <w:szCs w:val="21"/>
                <w:highlight w:val="none"/>
                <w:lang w:eastAsia="zh-CN"/>
              </w:rPr>
              <w:t>招标文件</w:t>
            </w:r>
            <w:r>
              <w:rPr>
                <w:rFonts w:hint="eastAsia" w:ascii="仿宋" w:hAnsi="仿宋" w:eastAsia="仿宋" w:cs="仿宋"/>
                <w:bCs/>
                <w:color w:val="auto"/>
                <w:sz w:val="21"/>
                <w:szCs w:val="21"/>
                <w:highlight w:val="none"/>
              </w:rPr>
              <w:t>第四章</w:t>
            </w:r>
            <w:r>
              <w:rPr>
                <w:rFonts w:hint="eastAsia" w:ascii="仿宋" w:hAnsi="仿宋" w:eastAsia="仿宋" w:cs="仿宋"/>
                <w:bCs/>
                <w:color w:val="auto"/>
                <w:sz w:val="21"/>
                <w:szCs w:val="21"/>
                <w:highlight w:val="none"/>
                <w:lang w:val="en-US" w:eastAsia="zh-CN"/>
              </w:rPr>
              <w:t xml:space="preserve"> </w:t>
            </w:r>
            <w:r>
              <w:rPr>
                <w:rFonts w:hint="eastAsia" w:ascii="仿宋" w:hAnsi="仿宋" w:eastAsia="仿宋" w:cs="仿宋"/>
                <w:bCs/>
                <w:color w:val="auto"/>
                <w:sz w:val="21"/>
                <w:szCs w:val="21"/>
                <w:highlight w:val="none"/>
              </w:rPr>
              <w:t>采购需求及要求中的技术</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参数</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内容进行评审：</w:t>
            </w:r>
          </w:p>
          <w:p w14:paraId="0A5DD95D">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1.1标注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的条款为重要技术指标，</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1.00</w:t>
            </w:r>
            <w:r>
              <w:rPr>
                <w:rFonts w:hint="eastAsia" w:ascii="仿宋" w:hAnsi="仿宋" w:eastAsia="仿宋" w:cs="仿宋"/>
                <w:bCs/>
                <w:color w:val="auto"/>
                <w:sz w:val="21"/>
                <w:szCs w:val="21"/>
                <w:highlight w:val="none"/>
              </w:rPr>
              <w:t>分；</w:t>
            </w:r>
          </w:p>
          <w:p w14:paraId="0DE3829E">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bCs/>
                <w:color w:val="auto"/>
                <w:sz w:val="21"/>
                <w:szCs w:val="21"/>
                <w:highlight w:val="none"/>
              </w:rPr>
            </w:pPr>
            <w:r>
              <w:rPr>
                <w:rFonts w:hint="eastAsia" w:ascii="仿宋" w:hAnsi="仿宋" w:eastAsia="仿宋" w:cs="仿宋"/>
                <w:b/>
                <w:bCs w:val="0"/>
                <w:color w:val="auto"/>
                <w:sz w:val="21"/>
                <w:szCs w:val="21"/>
                <w:highlight w:val="none"/>
              </w:rPr>
              <w:t>1.2未标注</w:t>
            </w:r>
            <w:r>
              <w:rPr>
                <w:rFonts w:hint="eastAsia" w:ascii="仿宋" w:hAnsi="仿宋" w:eastAsia="仿宋" w:cs="仿宋"/>
                <w:b w:val="0"/>
                <w:bCs/>
                <w:color w:val="auto"/>
                <w:sz w:val="21"/>
                <w:szCs w:val="21"/>
                <w:highlight w:val="none"/>
              </w:rPr>
              <w:t>（</w:t>
            </w:r>
            <w:r>
              <w:rPr>
                <w:rFonts w:hint="eastAsia" w:ascii="仿宋" w:hAnsi="仿宋" w:eastAsia="仿宋" w:cs="仿宋"/>
                <w:bCs/>
                <w:color w:val="auto"/>
                <w:sz w:val="21"/>
                <w:szCs w:val="21"/>
                <w:highlight w:val="none"/>
              </w:rPr>
              <w:t>“</w:t>
            </w:r>
            <w:r>
              <w:rPr>
                <w:rFonts w:hint="eastAsia" w:ascii="仿宋" w:hAnsi="仿宋" w:eastAsia="仿宋" w:cs="仿宋"/>
                <w:color w:val="auto"/>
                <w:sz w:val="21"/>
                <w:szCs w:val="21"/>
                <w:highlight w:val="none"/>
              </w:rPr>
              <w:t>▲</w:t>
            </w:r>
            <w:r>
              <w:rPr>
                <w:rFonts w:hint="eastAsia" w:ascii="仿宋" w:hAnsi="仿宋" w:eastAsia="仿宋" w:cs="仿宋"/>
                <w:bCs/>
                <w:color w:val="auto"/>
                <w:sz w:val="21"/>
                <w:szCs w:val="21"/>
                <w:highlight w:val="none"/>
              </w:rPr>
              <w:t>”）的条款为一般技术条款，</w:t>
            </w:r>
            <w:r>
              <w:rPr>
                <w:rFonts w:hint="eastAsia" w:ascii="仿宋" w:hAnsi="仿宋" w:eastAsia="仿宋" w:cs="仿宋"/>
                <w:bCs/>
                <w:color w:val="auto"/>
                <w:sz w:val="21"/>
                <w:szCs w:val="21"/>
                <w:highlight w:val="none"/>
                <w:lang w:val="en-US" w:eastAsia="zh-CN"/>
              </w:rPr>
              <w:t>每</w:t>
            </w:r>
            <w:r>
              <w:rPr>
                <w:rFonts w:hint="eastAsia" w:ascii="仿宋" w:hAnsi="仿宋" w:eastAsia="仿宋" w:cs="仿宋"/>
                <w:bCs/>
                <w:color w:val="auto"/>
                <w:sz w:val="21"/>
                <w:szCs w:val="21"/>
                <w:highlight w:val="none"/>
              </w:rPr>
              <w:t>负偏离一条扣</w:t>
            </w:r>
            <w:r>
              <w:rPr>
                <w:rFonts w:hint="eastAsia" w:ascii="仿宋" w:hAnsi="仿宋" w:eastAsia="仿宋" w:cs="仿宋"/>
                <w:b/>
                <w:bCs w:val="0"/>
                <w:color w:val="auto"/>
                <w:sz w:val="21"/>
                <w:szCs w:val="21"/>
                <w:highlight w:val="none"/>
                <w:u w:val="single"/>
                <w:lang w:val="en-US" w:eastAsia="zh-CN"/>
              </w:rPr>
              <w:t>0.5</w:t>
            </w:r>
            <w:r>
              <w:rPr>
                <w:rFonts w:hint="eastAsia" w:ascii="仿宋" w:hAnsi="仿宋" w:eastAsia="仿宋" w:cs="仿宋"/>
                <w:bCs/>
                <w:color w:val="auto"/>
                <w:sz w:val="21"/>
                <w:szCs w:val="21"/>
                <w:highlight w:val="none"/>
              </w:rPr>
              <w:t>分。</w:t>
            </w:r>
          </w:p>
          <w:p w14:paraId="7E6DF486">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注：（1）“采购需求”中的重要技术指标（“▲”指标），除按要求填写技术规格偏离表外，还须提供证明材料，证明材料包括：招标文件技术指标内明确要求提供的证明材料，未明确的可提供所投产品主要技术指标、参数及性能的公开印刷的技术白皮书（非自行拟定）或制造商公开发布的印刷资料（彩页或产品宣传册）或检测（检验）报告或官方网站发布的技术资料截图或系统功能截图。不接受投标人自行临时编制、印刷、打印或者手写的技术支持资料，若投标文件中技术支持资料指标与技术规格偏离表应答不符或无上述技术支持资料，视为无证明材料。</w:t>
            </w:r>
          </w:p>
          <w:p w14:paraId="65973532">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（2）一般技术指标（未标注“▲”指标）若招标文件中明确要求提供证明材料的须按要求提供证明材料，未明确要求的须在技术规格偏离表上应答，偏离情况应如实填写“正偏离”或“负偏离”或“无偏离”。</w:t>
            </w:r>
          </w:p>
          <w:p w14:paraId="52B428E8">
            <w:pPr>
              <w:keepNext w:val="0"/>
              <w:keepLines w:val="0"/>
              <w:pageBreakBefore w:val="0"/>
              <w:widowControl w:val="0"/>
              <w:kinsoku/>
              <w:wordWrap w:val="0"/>
              <w:overflowPunct/>
              <w:topLinePunct/>
              <w:autoSpaceDE/>
              <w:autoSpaceDN/>
              <w:bidi w:val="0"/>
              <w:adjustRightInd/>
              <w:snapToGrid/>
              <w:spacing w:line="360" w:lineRule="auto"/>
              <w:ind w:left="0" w:right="0" w:firstLine="422" w:firstLineChars="200"/>
              <w:rPr>
                <w:rFonts w:hint="eastAsia" w:ascii="仿宋" w:hAnsi="仿宋" w:eastAsia="仿宋" w:cs="仿宋"/>
                <w:b/>
                <w:bCs/>
                <w:color w:val="auto"/>
                <w:sz w:val="21"/>
                <w:szCs w:val="21"/>
                <w:highlight w:val="none"/>
                <w:lang w:val="en-US" w:eastAsia="zh-CN" w:bidi="ar-SA"/>
              </w:rPr>
            </w:pPr>
            <w:r>
              <w:rPr>
                <w:rFonts w:hint="eastAsia" w:ascii="仿宋" w:hAnsi="仿宋" w:eastAsia="仿宋" w:cs="仿宋"/>
                <w:b/>
                <w:bCs w:val="0"/>
                <w:color w:val="auto"/>
                <w:sz w:val="21"/>
                <w:szCs w:val="21"/>
                <w:highlight w:val="none"/>
                <w:lang w:val="en-US" w:eastAsia="zh-CN"/>
              </w:rPr>
              <w:t>（3）若标注</w:t>
            </w:r>
            <w:r>
              <w:rPr>
                <w:rFonts w:hint="eastAsia" w:ascii="仿宋" w:hAnsi="仿宋" w:eastAsia="仿宋" w:cs="仿宋"/>
                <w:b/>
                <w:bCs w:val="0"/>
                <w:color w:val="auto"/>
                <w:sz w:val="21"/>
                <w:szCs w:val="21"/>
                <w:highlight w:val="none"/>
              </w:rPr>
              <w:t>“▲”</w:t>
            </w:r>
            <w:r>
              <w:rPr>
                <w:rFonts w:hint="eastAsia" w:ascii="仿宋" w:hAnsi="仿宋" w:eastAsia="仿宋" w:cs="仿宋"/>
                <w:b/>
                <w:bCs w:val="0"/>
                <w:color w:val="auto"/>
                <w:sz w:val="21"/>
                <w:szCs w:val="21"/>
                <w:highlight w:val="none"/>
                <w:lang w:val="en-US" w:eastAsia="zh-CN"/>
              </w:rPr>
              <w:t>的条款偏离超过5条或未标注</w:t>
            </w:r>
            <w:r>
              <w:rPr>
                <w:rFonts w:hint="eastAsia" w:ascii="仿宋" w:hAnsi="仿宋" w:eastAsia="仿宋" w:cs="仿宋"/>
                <w:b/>
                <w:bCs w:val="0"/>
                <w:color w:val="auto"/>
                <w:sz w:val="21"/>
                <w:szCs w:val="21"/>
                <w:highlight w:val="none"/>
              </w:rPr>
              <w:t>“▲”</w:t>
            </w:r>
            <w:r>
              <w:rPr>
                <w:rFonts w:hint="eastAsia" w:ascii="仿宋" w:hAnsi="仿宋" w:eastAsia="仿宋" w:cs="仿宋"/>
                <w:b/>
                <w:bCs w:val="0"/>
                <w:color w:val="auto"/>
                <w:sz w:val="21"/>
                <w:szCs w:val="21"/>
                <w:highlight w:val="none"/>
                <w:lang w:val="en-US" w:eastAsia="zh-CN"/>
              </w:rPr>
              <w:t>的一般技术条款超过20条，视为重大偏差，</w:t>
            </w:r>
            <w:r>
              <w:rPr>
                <w:rFonts w:hint="eastAsia" w:ascii="仿宋" w:hAnsi="仿宋" w:eastAsia="仿宋" w:cs="仿宋"/>
                <w:b/>
                <w:bCs/>
                <w:color w:val="auto"/>
                <w:sz w:val="21"/>
                <w:szCs w:val="21"/>
                <w:highlight w:val="none"/>
                <w:lang w:val="en-US" w:eastAsia="zh-CN" w:bidi="ar-SA"/>
              </w:rPr>
              <w:t>技术参数指标响应评审不得分</w:t>
            </w:r>
            <w:r>
              <w:rPr>
                <w:rFonts w:hint="eastAsia" w:ascii="仿宋" w:hAnsi="仿宋" w:eastAsia="仿宋" w:cs="仿宋"/>
                <w:b/>
                <w:bCs w:val="0"/>
                <w:color w:val="auto"/>
                <w:sz w:val="21"/>
                <w:szCs w:val="21"/>
                <w:highlight w:val="none"/>
                <w:lang w:val="en-US" w:eastAsia="zh-CN"/>
              </w:rPr>
              <w:t>。</w:t>
            </w:r>
          </w:p>
        </w:tc>
        <w:tc>
          <w:tcPr>
            <w:tcW w:w="854" w:type="dxa"/>
            <w:vAlign w:val="center"/>
          </w:tcPr>
          <w:p w14:paraId="3E8FDD3D">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0～42分</w:t>
            </w:r>
          </w:p>
        </w:tc>
        <w:tc>
          <w:tcPr>
            <w:tcW w:w="774" w:type="dxa"/>
            <w:vAlign w:val="center"/>
          </w:tcPr>
          <w:p w14:paraId="633F4806">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客观分</w:t>
            </w:r>
          </w:p>
        </w:tc>
      </w:tr>
      <w:tr w14:paraId="3E64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vMerge w:val="restart"/>
            <w:vAlign w:val="center"/>
          </w:tcPr>
          <w:p w14:paraId="2BF6D4A5">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商务</w:t>
            </w:r>
          </w:p>
        </w:tc>
        <w:tc>
          <w:tcPr>
            <w:tcW w:w="7330" w:type="dxa"/>
            <w:shd w:val="clear" w:color="auto" w:fill="auto"/>
            <w:vAlign w:val="center"/>
          </w:tcPr>
          <w:p w14:paraId="5202F5B5">
            <w:pPr>
              <w:pStyle w:val="10"/>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项目实施方案</w:t>
            </w:r>
            <w:r>
              <w:rPr>
                <w:rFonts w:hint="eastAsia" w:ascii="仿宋" w:hAnsi="仿宋" w:eastAsia="仿宋" w:cs="仿宋"/>
                <w:b/>
                <w:bCs/>
                <w:color w:val="auto"/>
                <w:sz w:val="21"/>
                <w:szCs w:val="21"/>
                <w:highlight w:val="none"/>
                <w:lang w:eastAsia="zh-CN"/>
              </w:rPr>
              <w:t>：</w:t>
            </w:r>
          </w:p>
          <w:p w14:paraId="4815D774">
            <w:pPr>
              <w:keepNext w:val="0"/>
              <w:keepLines w:val="0"/>
              <w:pageBreakBefore w:val="0"/>
              <w:widowControl w:val="0"/>
              <w:kinsoku/>
              <w:wordWrap w:val="0"/>
              <w:overflowPunct/>
              <w:topLinePunct/>
              <w:autoSpaceDE/>
              <w:autoSpaceDN/>
              <w:bidi w:val="0"/>
              <w:adjustRightInd/>
              <w:snapToGrid/>
              <w:spacing w:line="360" w:lineRule="auto"/>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方案包括：①安装</w:t>
            </w:r>
            <w:r>
              <w:rPr>
                <w:rFonts w:hint="eastAsia" w:ascii="仿宋" w:hAnsi="仿宋" w:eastAsia="仿宋" w:cs="仿宋"/>
                <w:bCs/>
                <w:color w:val="auto"/>
                <w:sz w:val="21"/>
                <w:szCs w:val="21"/>
                <w:highlight w:val="none"/>
                <w:lang w:val="en-US" w:eastAsia="zh-CN"/>
              </w:rPr>
              <w:t>调试实施</w:t>
            </w:r>
            <w:r>
              <w:rPr>
                <w:rFonts w:hint="eastAsia" w:ascii="仿宋" w:hAnsi="仿宋" w:eastAsia="仿宋" w:cs="仿宋"/>
                <w:bCs/>
                <w:color w:val="auto"/>
                <w:sz w:val="21"/>
                <w:szCs w:val="21"/>
                <w:highlight w:val="none"/>
              </w:rPr>
              <w:t>方案</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包括但不限于</w:t>
            </w:r>
            <w:r>
              <w:rPr>
                <w:rFonts w:hint="eastAsia" w:ascii="仿宋" w:hAnsi="仿宋" w:eastAsia="仿宋" w:cs="仿宋"/>
                <w:bCs/>
                <w:color w:val="auto"/>
                <w:sz w:val="21"/>
                <w:szCs w:val="21"/>
                <w:highlight w:val="none"/>
                <w:lang w:val="en-US" w:eastAsia="zh-CN"/>
              </w:rPr>
              <w:t>设备安装调试方案（包括但不限于行标校准、仪器性能验证、项目性能验证）</w:t>
            </w:r>
            <w:r>
              <w:rPr>
                <w:rFonts w:hint="eastAsia" w:ascii="仿宋" w:hAnsi="仿宋" w:eastAsia="仿宋" w:cs="仿宋"/>
                <w:bCs/>
                <w:color w:val="auto"/>
                <w:sz w:val="21"/>
                <w:szCs w:val="21"/>
                <w:highlight w:val="none"/>
              </w:rPr>
              <w:t>、</w:t>
            </w:r>
            <w:r>
              <w:rPr>
                <w:rFonts w:hint="eastAsia" w:ascii="仿宋" w:hAnsi="仿宋" w:eastAsia="仿宋" w:cs="仿宋"/>
                <w:bCs/>
                <w:color w:val="auto"/>
                <w:sz w:val="21"/>
                <w:szCs w:val="21"/>
                <w:highlight w:val="none"/>
                <w:lang w:val="en-US" w:eastAsia="zh-CN"/>
              </w:rPr>
              <w:t>设备</w:t>
            </w:r>
            <w:r>
              <w:rPr>
                <w:rFonts w:hint="eastAsia" w:ascii="仿宋" w:hAnsi="仿宋" w:eastAsia="仿宋" w:cs="仿宋"/>
                <w:bCs/>
                <w:color w:val="auto"/>
                <w:sz w:val="21"/>
                <w:szCs w:val="21"/>
                <w:highlight w:val="none"/>
              </w:rPr>
              <w:t>配套资料</w:t>
            </w:r>
            <w:r>
              <w:rPr>
                <w:rFonts w:hint="eastAsia" w:ascii="仿宋" w:hAnsi="仿宋" w:eastAsia="仿宋" w:cs="仿宋"/>
                <w:bCs/>
                <w:color w:val="auto"/>
                <w:sz w:val="21"/>
                <w:szCs w:val="21"/>
                <w:highlight w:val="none"/>
                <w:lang w:val="en-US" w:eastAsia="zh-CN"/>
              </w:rPr>
              <w:t>及配件</w:t>
            </w:r>
            <w:r>
              <w:rPr>
                <w:rFonts w:hint="eastAsia" w:ascii="仿宋" w:hAnsi="仿宋" w:eastAsia="仿宋" w:cs="仿宋"/>
                <w:bCs/>
                <w:color w:val="auto"/>
                <w:sz w:val="21"/>
                <w:szCs w:val="21"/>
                <w:highlight w:val="none"/>
              </w:rPr>
              <w:t>的</w:t>
            </w:r>
            <w:r>
              <w:rPr>
                <w:rFonts w:hint="eastAsia" w:ascii="仿宋" w:hAnsi="仿宋" w:eastAsia="仿宋" w:cs="仿宋"/>
                <w:bCs/>
                <w:color w:val="auto"/>
                <w:sz w:val="21"/>
                <w:szCs w:val="21"/>
                <w:highlight w:val="none"/>
                <w:lang w:val="en-US" w:eastAsia="zh-CN"/>
              </w:rPr>
              <w:t>交付方案〕</w:t>
            </w:r>
            <w:r>
              <w:rPr>
                <w:rFonts w:hint="eastAsia" w:ascii="仿宋" w:hAnsi="仿宋" w:eastAsia="仿宋" w:cs="仿宋"/>
                <w:bCs/>
                <w:color w:val="auto"/>
                <w:sz w:val="21"/>
                <w:szCs w:val="21"/>
                <w:highlight w:val="none"/>
              </w:rPr>
              <w:t>；②</w:t>
            </w:r>
            <w:r>
              <w:rPr>
                <w:rFonts w:hint="eastAsia" w:ascii="仿宋" w:hAnsi="仿宋" w:eastAsia="仿宋" w:cs="仿宋"/>
                <w:bCs/>
                <w:color w:val="auto"/>
                <w:sz w:val="21"/>
                <w:szCs w:val="21"/>
                <w:highlight w:val="none"/>
                <w:lang w:val="en-US" w:eastAsia="zh-CN"/>
              </w:rPr>
              <w:t>工作</w:t>
            </w:r>
            <w:r>
              <w:rPr>
                <w:rFonts w:hint="eastAsia" w:ascii="仿宋" w:hAnsi="仿宋" w:eastAsia="仿宋" w:cs="仿宋"/>
                <w:bCs/>
                <w:color w:val="auto"/>
                <w:sz w:val="21"/>
                <w:szCs w:val="21"/>
                <w:highlight w:val="none"/>
              </w:rPr>
              <w:t>进度计划（</w:t>
            </w:r>
            <w:r>
              <w:rPr>
                <w:rFonts w:hint="eastAsia" w:ascii="仿宋" w:hAnsi="仿宋" w:eastAsia="仿宋" w:cs="仿宋"/>
                <w:bCs/>
                <w:color w:val="auto"/>
                <w:sz w:val="21"/>
                <w:szCs w:val="21"/>
                <w:highlight w:val="none"/>
                <w:lang w:val="en-US" w:eastAsia="zh-CN"/>
              </w:rPr>
              <w:t>包含但不限于产品运输、安装、调试的时间安排</w:t>
            </w:r>
            <w:r>
              <w:rPr>
                <w:rFonts w:hint="eastAsia" w:ascii="仿宋" w:hAnsi="仿宋" w:eastAsia="仿宋" w:cs="仿宋"/>
                <w:bCs/>
                <w:color w:val="auto"/>
                <w:sz w:val="21"/>
                <w:szCs w:val="21"/>
                <w:highlight w:val="none"/>
              </w:rPr>
              <w:t>）；③产品质量</w:t>
            </w:r>
            <w:r>
              <w:rPr>
                <w:rFonts w:hint="eastAsia" w:ascii="仿宋" w:hAnsi="仿宋" w:eastAsia="仿宋" w:cs="仿宋"/>
                <w:bCs/>
                <w:color w:val="auto"/>
                <w:sz w:val="21"/>
                <w:szCs w:val="21"/>
                <w:highlight w:val="none"/>
                <w:lang w:val="en-US" w:eastAsia="zh-CN"/>
              </w:rPr>
              <w:t>保证</w:t>
            </w:r>
            <w:r>
              <w:rPr>
                <w:rFonts w:hint="eastAsia" w:ascii="仿宋" w:hAnsi="仿宋" w:eastAsia="仿宋" w:cs="仿宋"/>
                <w:bCs/>
                <w:color w:val="auto"/>
                <w:sz w:val="21"/>
                <w:szCs w:val="21"/>
                <w:highlight w:val="none"/>
              </w:rPr>
              <w:t>措施；④突发事件紧急事件处置预案（包括</w:t>
            </w:r>
            <w:r>
              <w:rPr>
                <w:rFonts w:hint="eastAsia" w:ascii="仿宋" w:hAnsi="仿宋" w:eastAsia="仿宋" w:cs="仿宋"/>
                <w:bCs/>
                <w:color w:val="auto"/>
                <w:sz w:val="21"/>
                <w:szCs w:val="21"/>
                <w:highlight w:val="none"/>
                <w:lang w:val="en-US" w:eastAsia="zh-CN"/>
              </w:rPr>
              <w:t>但不限于产品运输过程中及安装</w:t>
            </w:r>
            <w:r>
              <w:rPr>
                <w:rFonts w:hint="eastAsia" w:ascii="仿宋" w:hAnsi="仿宋" w:eastAsia="仿宋" w:cs="仿宋"/>
                <w:bCs/>
                <w:color w:val="auto"/>
                <w:sz w:val="21"/>
                <w:szCs w:val="21"/>
                <w:highlight w:val="none"/>
              </w:rPr>
              <w:t>实施过程中可能遇到的各种风险</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有</w:t>
            </w:r>
            <w:r>
              <w:rPr>
                <w:rFonts w:hint="eastAsia" w:ascii="仿宋" w:hAnsi="仿宋" w:eastAsia="仿宋" w:cs="仿宋"/>
                <w:bCs/>
                <w:color w:val="auto"/>
                <w:sz w:val="21"/>
                <w:szCs w:val="21"/>
                <w:highlight w:val="none"/>
              </w:rPr>
              <w:t>应急预案及相应的解决措施）。</w:t>
            </w:r>
          </w:p>
          <w:p w14:paraId="5A144FF3">
            <w:pPr>
              <w:keepNext w:val="0"/>
              <w:keepLines w:val="0"/>
              <w:pageBreakBefore w:val="0"/>
              <w:widowControl w:val="0"/>
              <w:kinsoku/>
              <w:wordWrap w:val="0"/>
              <w:overflowPunct/>
              <w:topLinePunct/>
              <w:autoSpaceDE/>
              <w:autoSpaceDN/>
              <w:bidi w:val="0"/>
              <w:adjustRightInd/>
              <w:snapToGrid/>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w:t>
            </w:r>
            <w:r>
              <w:rPr>
                <w:rFonts w:hint="eastAsia" w:ascii="仿宋" w:hAnsi="仿宋" w:eastAsia="仿宋" w:cs="仿宋"/>
                <w:b w:val="0"/>
                <w:bCs/>
                <w:color w:val="auto"/>
                <w:sz w:val="21"/>
                <w:szCs w:val="21"/>
                <w:highlight w:val="none"/>
                <w:lang w:val="en-US" w:eastAsia="zh-CN"/>
              </w:rPr>
              <w:t>4</w:t>
            </w:r>
            <w:r>
              <w:rPr>
                <w:rFonts w:hint="eastAsia" w:ascii="仿宋" w:hAnsi="仿宋" w:eastAsia="仿宋" w:cs="仿宋"/>
                <w:b w:val="0"/>
                <w:bCs/>
                <w:color w:val="auto"/>
                <w:sz w:val="21"/>
                <w:szCs w:val="21"/>
                <w:highlight w:val="none"/>
              </w:rPr>
              <w:t>项内容每项</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10</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2.5</w:t>
            </w:r>
            <w:r>
              <w:rPr>
                <w:rFonts w:hint="eastAsia" w:ascii="仿宋" w:hAnsi="仿宋" w:eastAsia="仿宋" w:cs="仿宋"/>
                <w:b w:val="0"/>
                <w:bCs/>
                <w:color w:val="auto"/>
                <w:sz w:val="21"/>
                <w:szCs w:val="21"/>
                <w:highlight w:val="none"/>
              </w:rPr>
              <w:t>分；每有一项内容</w:t>
            </w:r>
            <w:r>
              <w:rPr>
                <w:rFonts w:hint="eastAsia" w:ascii="仿宋" w:hAnsi="仿宋" w:eastAsia="仿宋" w:cs="仿宋"/>
                <w:b w:val="0"/>
                <w:bCs/>
                <w:color w:val="auto"/>
                <w:sz w:val="21"/>
                <w:szCs w:val="21"/>
                <w:highlight w:val="none"/>
                <w:lang w:val="en-US" w:eastAsia="zh-CN"/>
              </w:rPr>
              <w:t>存</w:t>
            </w:r>
            <w:r>
              <w:rPr>
                <w:rFonts w:hint="eastAsia" w:ascii="仿宋" w:hAnsi="仿宋" w:eastAsia="仿宋" w:cs="仿宋"/>
                <w:b w:val="0"/>
                <w:bCs/>
                <w:color w:val="auto"/>
                <w:sz w:val="21"/>
                <w:szCs w:val="21"/>
                <w:highlight w:val="none"/>
              </w:rPr>
              <w:t>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540770D0">
            <w:pPr>
              <w:pStyle w:val="10"/>
              <w:keepNext w:val="0"/>
              <w:keepLines w:val="0"/>
              <w:pageBreakBefore w:val="0"/>
              <w:widowControl w:val="0"/>
              <w:kinsoku/>
              <w:wordWrap w:val="0"/>
              <w:overflowPunct/>
              <w:topLinePunct/>
              <w:autoSpaceDE/>
              <w:autoSpaceDN/>
              <w:bidi w:val="0"/>
              <w:adjustRightInd/>
              <w:snapToGrid/>
              <w:spacing w:line="360" w:lineRule="auto"/>
              <w:ind w:left="0" w:leftChars="0" w:right="0" w:rightChars="0" w:firstLine="420" w:firstLineChars="200"/>
              <w:textAlignment w:val="auto"/>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854" w:type="dxa"/>
            <w:shd w:val="clear" w:color="auto" w:fill="auto"/>
            <w:vAlign w:val="center"/>
          </w:tcPr>
          <w:p w14:paraId="6B3C704B">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u w:val="none"/>
                <w:lang w:val="en-US" w:eastAsia="zh-CN"/>
              </w:rPr>
              <w:t>10分</w:t>
            </w:r>
          </w:p>
        </w:tc>
        <w:tc>
          <w:tcPr>
            <w:tcW w:w="774" w:type="dxa"/>
            <w:shd w:val="clear" w:color="auto" w:fill="auto"/>
            <w:vAlign w:val="center"/>
          </w:tcPr>
          <w:p w14:paraId="1B9D45DD">
            <w:pPr>
              <w:keepNext w:val="0"/>
              <w:keepLines w:val="0"/>
              <w:pageBreakBefore w:val="0"/>
              <w:widowControl w:val="0"/>
              <w:kinsoku/>
              <w:wordWrap w:val="0"/>
              <w:overflowPunct/>
              <w:topLinePunct/>
              <w:autoSpaceDE/>
              <w:autoSpaceDN/>
              <w:bidi w:val="0"/>
              <w:adjustRightInd/>
              <w:snapToGrid/>
              <w:spacing w:line="360" w:lineRule="auto"/>
              <w:ind w:left="0" w:leftChars="0" w:right="0" w:rightChars="0"/>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0B3F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7B5FD38E">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bookmarkStart w:id="521" w:name="_Toc16237"/>
          </w:p>
        </w:tc>
        <w:tc>
          <w:tcPr>
            <w:tcW w:w="0" w:type="auto"/>
            <w:shd w:val="clear" w:color="auto" w:fill="auto"/>
            <w:vAlign w:val="center"/>
          </w:tcPr>
          <w:p w14:paraId="47633369">
            <w:pPr>
              <w:pStyle w:val="10"/>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根据招标文件“第四章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培训方案</w:t>
            </w:r>
            <w:r>
              <w:rPr>
                <w:rFonts w:hint="eastAsia" w:ascii="仿宋" w:hAnsi="仿宋" w:eastAsia="仿宋" w:cs="仿宋"/>
                <w:b/>
                <w:bCs/>
                <w:color w:val="auto"/>
                <w:sz w:val="21"/>
                <w:szCs w:val="21"/>
                <w:highlight w:val="none"/>
                <w:lang w:eastAsia="zh-CN"/>
              </w:rPr>
              <w:t>：</w:t>
            </w:r>
          </w:p>
          <w:p w14:paraId="0544B719">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方案包含：①培训方式、②培训内容</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包含但不限于</w:t>
            </w:r>
            <w:r>
              <w:rPr>
                <w:rFonts w:hint="eastAsia" w:ascii="仿宋" w:hAnsi="仿宋" w:eastAsia="仿宋" w:cs="仿宋"/>
                <w:bCs/>
                <w:color w:val="auto"/>
                <w:sz w:val="21"/>
                <w:szCs w:val="21"/>
                <w:highlight w:val="none"/>
              </w:rPr>
              <w:t>产品的功能、操作及</w:t>
            </w:r>
            <w:r>
              <w:rPr>
                <w:rFonts w:hint="eastAsia" w:ascii="仿宋" w:hAnsi="仿宋" w:eastAsia="仿宋" w:cs="仿宋"/>
                <w:bCs/>
                <w:color w:val="auto"/>
                <w:sz w:val="21"/>
                <w:szCs w:val="21"/>
                <w:highlight w:val="none"/>
                <w:lang w:val="en-US" w:eastAsia="zh-CN"/>
              </w:rPr>
              <w:t>日常</w:t>
            </w:r>
            <w:r>
              <w:rPr>
                <w:rFonts w:hint="eastAsia" w:ascii="仿宋" w:hAnsi="仿宋" w:eastAsia="仿宋" w:cs="仿宋"/>
                <w:bCs/>
                <w:color w:val="auto"/>
                <w:sz w:val="21"/>
                <w:szCs w:val="21"/>
                <w:highlight w:val="none"/>
              </w:rPr>
              <w:t>维护等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、③培训计划、④保障措施；</w:t>
            </w:r>
          </w:p>
          <w:p w14:paraId="5C37CD2F">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0F15F6AE">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69F6978D">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8分</w:t>
            </w:r>
          </w:p>
        </w:tc>
        <w:tc>
          <w:tcPr>
            <w:tcW w:w="0" w:type="auto"/>
            <w:shd w:val="clear" w:color="auto" w:fill="auto"/>
            <w:vAlign w:val="center"/>
          </w:tcPr>
          <w:p w14:paraId="693E2D85">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27D8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7665B009">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p>
        </w:tc>
        <w:tc>
          <w:tcPr>
            <w:tcW w:w="0" w:type="auto"/>
            <w:shd w:val="clear" w:color="auto" w:fill="auto"/>
            <w:vAlign w:val="center"/>
          </w:tcPr>
          <w:p w14:paraId="51B2289E">
            <w:pPr>
              <w:pStyle w:val="10"/>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jc w:val="left"/>
              <w:textAlignment w:val="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z w:val="21"/>
                <w:szCs w:val="21"/>
                <w:highlight w:val="none"/>
                <w:lang w:eastAsia="zh-CN"/>
              </w:rPr>
              <w:t>投标人</w:t>
            </w:r>
            <w:r>
              <w:rPr>
                <w:rFonts w:hint="eastAsia" w:ascii="仿宋" w:hAnsi="仿宋" w:eastAsia="仿宋" w:cs="仿宋"/>
                <w:color w:val="auto"/>
                <w:kern w:val="2"/>
                <w:sz w:val="21"/>
                <w:szCs w:val="21"/>
                <w:highlight w:val="none"/>
                <w:lang w:val="en-US" w:eastAsia="zh-CN" w:bidi="ar-SA"/>
              </w:rPr>
              <w:t>根据</w:t>
            </w:r>
            <w:r>
              <w:rPr>
                <w:rFonts w:hint="eastAsia" w:ascii="仿宋" w:hAnsi="仿宋" w:eastAsia="仿宋" w:cs="仿宋"/>
                <w:color w:val="auto"/>
                <w:sz w:val="21"/>
                <w:szCs w:val="21"/>
                <w:highlight w:val="none"/>
                <w:lang w:val="en-US" w:eastAsia="zh-CN"/>
              </w:rPr>
              <w:t>招标</w:t>
            </w:r>
            <w:r>
              <w:rPr>
                <w:rFonts w:hint="eastAsia" w:ascii="仿宋" w:hAnsi="仿宋" w:eastAsia="仿宋" w:cs="仿宋"/>
                <w:color w:val="auto"/>
                <w:kern w:val="2"/>
                <w:sz w:val="21"/>
                <w:szCs w:val="21"/>
                <w:highlight w:val="none"/>
                <w:lang w:val="en-US" w:eastAsia="zh-CN" w:bidi="ar-SA"/>
              </w:rPr>
              <w:t>文件“第四章 采购需求及要求”</w:t>
            </w:r>
            <w:r>
              <w:rPr>
                <w:rFonts w:hint="eastAsia" w:ascii="仿宋" w:hAnsi="仿宋" w:eastAsia="仿宋" w:cs="仿宋"/>
                <w:b w:val="0"/>
                <w:bCs w:val="0"/>
                <w:color w:val="auto"/>
                <w:sz w:val="21"/>
                <w:szCs w:val="21"/>
                <w:highlight w:val="none"/>
                <w:lang w:val="en-US" w:eastAsia="zh-CN"/>
              </w:rPr>
              <w:t>编制</w:t>
            </w:r>
            <w:r>
              <w:rPr>
                <w:rFonts w:hint="eastAsia" w:ascii="仿宋" w:hAnsi="仿宋" w:eastAsia="仿宋" w:cs="仿宋"/>
                <w:b/>
                <w:bCs/>
                <w:color w:val="auto"/>
                <w:sz w:val="21"/>
                <w:szCs w:val="21"/>
                <w:highlight w:val="none"/>
                <w:lang w:val="en-US" w:eastAsia="zh-CN"/>
              </w:rPr>
              <w:t>售后服务方案</w:t>
            </w:r>
            <w:r>
              <w:rPr>
                <w:rFonts w:hint="eastAsia" w:ascii="仿宋" w:hAnsi="仿宋" w:eastAsia="仿宋" w:cs="仿宋"/>
                <w:b/>
                <w:bCs/>
                <w:color w:val="auto"/>
                <w:sz w:val="21"/>
                <w:szCs w:val="21"/>
                <w:highlight w:val="none"/>
                <w:lang w:eastAsia="zh-CN"/>
              </w:rPr>
              <w:t>：</w:t>
            </w:r>
          </w:p>
          <w:p w14:paraId="351F8992">
            <w:pPr>
              <w:keepNext w:val="0"/>
              <w:keepLines w:val="0"/>
              <w:pageBreakBefore w:val="0"/>
              <w:widowControl w:val="0"/>
              <w:kinsoku/>
              <w:wordWrap w:val="0"/>
              <w:overflowPunct/>
              <w:topLinePunct/>
              <w:autoSpaceDE/>
              <w:autoSpaceDN/>
              <w:bidi w:val="0"/>
              <w:adjustRightInd/>
              <w:snapToGrid/>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方案包括：①售后服务机构</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包括但不限于售后服务人员名单、售后服务联系方式、售后服务网点等</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②</w:t>
            </w:r>
            <w:r>
              <w:rPr>
                <w:rFonts w:hint="eastAsia" w:ascii="仿宋" w:hAnsi="仿宋" w:eastAsia="仿宋" w:cs="仿宋"/>
                <w:b w:val="0"/>
                <w:bCs/>
                <w:color w:val="auto"/>
                <w:sz w:val="21"/>
                <w:szCs w:val="21"/>
                <w:highlight w:val="none"/>
              </w:rPr>
              <w:t>售后服务</w:t>
            </w:r>
            <w:r>
              <w:rPr>
                <w:rFonts w:hint="eastAsia" w:ascii="仿宋" w:hAnsi="仿宋" w:eastAsia="仿宋" w:cs="仿宋"/>
                <w:b w:val="0"/>
                <w:bCs/>
                <w:color w:val="auto"/>
                <w:sz w:val="21"/>
                <w:szCs w:val="21"/>
                <w:highlight w:val="none"/>
                <w:lang w:val="en-US" w:eastAsia="zh-CN"/>
              </w:rPr>
              <w:t>内容</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包括但不限于</w:t>
            </w:r>
            <w:r>
              <w:rPr>
                <w:rFonts w:hint="eastAsia" w:ascii="仿宋" w:hAnsi="仿宋" w:eastAsia="仿宋" w:cs="仿宋"/>
                <w:b w:val="0"/>
                <w:bCs/>
                <w:color w:val="auto"/>
                <w:sz w:val="21"/>
                <w:szCs w:val="21"/>
                <w:highlight w:val="none"/>
                <w:lang w:eastAsia="zh-CN"/>
              </w:rPr>
              <w:t>巡检内容、</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性能</w:t>
            </w:r>
            <w:r>
              <w:rPr>
                <w:rFonts w:hint="eastAsia" w:ascii="仿宋" w:hAnsi="仿宋" w:eastAsia="仿宋" w:cs="仿宋"/>
                <w:b w:val="0"/>
                <w:bCs/>
                <w:color w:val="auto"/>
                <w:sz w:val="21"/>
                <w:szCs w:val="21"/>
                <w:highlight w:val="none"/>
                <w:lang w:val="en-US" w:eastAsia="zh-CN"/>
              </w:rPr>
              <w:t>调试</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设备</w:t>
            </w:r>
            <w:r>
              <w:rPr>
                <w:rFonts w:hint="eastAsia" w:ascii="仿宋" w:hAnsi="仿宋" w:eastAsia="仿宋" w:cs="仿宋"/>
                <w:b w:val="0"/>
                <w:bCs/>
                <w:color w:val="auto"/>
                <w:sz w:val="21"/>
                <w:szCs w:val="21"/>
                <w:highlight w:val="none"/>
                <w:lang w:eastAsia="zh-CN"/>
              </w:rPr>
              <w:t>升级服务等方面</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val="en-US" w:eastAsia="zh-CN"/>
              </w:rPr>
              <w:t>③故障处理方案</w:t>
            </w:r>
            <w:r>
              <w:rPr>
                <w:rFonts w:hint="eastAsia" w:ascii="仿宋" w:hAnsi="仿宋" w:eastAsia="仿宋" w:cs="仿宋"/>
                <w:b w:val="0"/>
                <w:bCs/>
                <w:color w:val="auto"/>
                <w:sz w:val="21"/>
                <w:szCs w:val="21"/>
                <w:highlight w:val="none"/>
              </w:rPr>
              <w:t>（包括但不限于</w:t>
            </w:r>
            <w:r>
              <w:rPr>
                <w:rFonts w:hint="eastAsia" w:ascii="仿宋" w:hAnsi="仿宋" w:eastAsia="仿宋" w:cs="仿宋"/>
                <w:b w:val="0"/>
                <w:bCs/>
                <w:color w:val="auto"/>
                <w:sz w:val="21"/>
                <w:szCs w:val="21"/>
                <w:highlight w:val="none"/>
                <w:lang w:val="en-US" w:eastAsia="zh-CN"/>
              </w:rPr>
              <w:t>故障处理</w:t>
            </w:r>
            <w:r>
              <w:rPr>
                <w:rFonts w:hint="eastAsia" w:ascii="仿宋" w:hAnsi="仿宋" w:eastAsia="仿宋" w:cs="仿宋"/>
                <w:b w:val="0"/>
                <w:bCs/>
                <w:color w:val="auto"/>
                <w:sz w:val="21"/>
                <w:szCs w:val="21"/>
                <w:highlight w:val="none"/>
                <w:lang w:eastAsia="zh-CN"/>
              </w:rPr>
              <w:t>流程、</w:t>
            </w:r>
            <w:r>
              <w:rPr>
                <w:rFonts w:hint="eastAsia" w:ascii="仿宋" w:hAnsi="仿宋" w:eastAsia="仿宋" w:cs="仿宋"/>
                <w:b w:val="0"/>
                <w:bCs/>
                <w:color w:val="auto"/>
                <w:sz w:val="21"/>
                <w:szCs w:val="21"/>
                <w:highlight w:val="none"/>
                <w:lang w:val="en-US" w:eastAsia="zh-CN"/>
              </w:rPr>
              <w:t>故障</w:t>
            </w:r>
            <w:r>
              <w:rPr>
                <w:rFonts w:hint="eastAsia" w:ascii="仿宋" w:hAnsi="仿宋" w:eastAsia="仿宋" w:cs="仿宋"/>
                <w:b w:val="0"/>
                <w:bCs/>
                <w:color w:val="auto"/>
                <w:sz w:val="21"/>
                <w:szCs w:val="21"/>
                <w:highlight w:val="none"/>
                <w:lang w:eastAsia="zh-CN"/>
              </w:rPr>
              <w:t>响应</w:t>
            </w:r>
            <w:r>
              <w:rPr>
                <w:rFonts w:hint="eastAsia" w:ascii="仿宋" w:hAnsi="仿宋" w:eastAsia="仿宋" w:cs="仿宋"/>
                <w:b w:val="0"/>
                <w:bCs/>
                <w:color w:val="auto"/>
                <w:sz w:val="21"/>
                <w:szCs w:val="21"/>
                <w:highlight w:val="none"/>
                <w:lang w:val="en-US" w:eastAsia="zh-CN"/>
              </w:rPr>
              <w:t>/</w:t>
            </w:r>
            <w:r>
              <w:rPr>
                <w:rFonts w:hint="eastAsia" w:ascii="仿宋" w:hAnsi="仿宋" w:eastAsia="仿宋" w:cs="仿宋"/>
                <w:b w:val="0"/>
                <w:bCs/>
                <w:color w:val="auto"/>
                <w:sz w:val="21"/>
                <w:szCs w:val="21"/>
                <w:highlight w:val="none"/>
                <w:lang w:eastAsia="zh-CN"/>
              </w:rPr>
              <w:t>处理时间</w:t>
            </w:r>
            <w:r>
              <w:rPr>
                <w:rFonts w:hint="eastAsia" w:ascii="仿宋" w:hAnsi="仿宋" w:eastAsia="仿宋" w:cs="仿宋"/>
                <w:b w:val="0"/>
                <w:bCs/>
                <w:color w:val="auto"/>
                <w:sz w:val="21"/>
                <w:szCs w:val="21"/>
                <w:highlight w:val="none"/>
              </w:rPr>
              <w:t>）</w:t>
            </w:r>
            <w:r>
              <w:rPr>
                <w:rFonts w:hint="eastAsia" w:ascii="仿宋" w:hAnsi="仿宋" w:eastAsia="仿宋" w:cs="仿宋"/>
                <w:b w:val="0"/>
                <w:bCs/>
                <w:color w:val="auto"/>
                <w:sz w:val="21"/>
                <w:szCs w:val="21"/>
                <w:highlight w:val="none"/>
                <w:lang w:eastAsia="zh-CN"/>
              </w:rPr>
              <w:t>；</w:t>
            </w:r>
            <w:r>
              <w:rPr>
                <w:rFonts w:hint="eastAsia" w:ascii="仿宋" w:hAnsi="仿宋" w:eastAsia="仿宋" w:cs="仿宋"/>
                <w:b w:val="0"/>
                <w:bCs/>
                <w:color w:val="auto"/>
                <w:sz w:val="21"/>
                <w:szCs w:val="21"/>
                <w:highlight w:val="none"/>
                <w:lang w:val="en-US" w:eastAsia="zh-CN"/>
              </w:rPr>
              <w:t>④质量监管措施</w:t>
            </w:r>
            <w:r>
              <w:rPr>
                <w:rFonts w:hint="eastAsia" w:ascii="仿宋" w:hAnsi="仿宋" w:eastAsia="仿宋" w:cs="仿宋"/>
                <w:b w:val="0"/>
                <w:bCs/>
                <w:color w:val="auto"/>
                <w:sz w:val="21"/>
                <w:szCs w:val="21"/>
                <w:highlight w:val="none"/>
              </w:rPr>
              <w:t>。</w:t>
            </w:r>
          </w:p>
          <w:p w14:paraId="37BD10BA">
            <w:pPr>
              <w:keepNext w:val="0"/>
              <w:keepLines w:val="0"/>
              <w:pageBreakBefore w:val="0"/>
              <w:widowControl w:val="0"/>
              <w:kinsoku/>
              <w:wordWrap w:val="0"/>
              <w:overflowPunct/>
              <w:topLinePunct/>
              <w:autoSpaceDE/>
              <w:autoSpaceDN/>
              <w:bidi w:val="0"/>
              <w:adjustRightInd/>
              <w:snapToGrid/>
              <w:spacing w:line="360" w:lineRule="auto"/>
              <w:ind w:firstLine="420" w:firstLineChars="200"/>
              <w:rPr>
                <w:rFonts w:hint="eastAsia" w:ascii="仿宋" w:hAnsi="仿宋" w:eastAsia="仿宋" w:cs="仿宋"/>
                <w:b w:val="0"/>
                <w:bCs/>
                <w:color w:val="auto"/>
                <w:sz w:val="21"/>
                <w:szCs w:val="21"/>
                <w:highlight w:val="none"/>
              </w:rPr>
            </w:pPr>
            <w:r>
              <w:rPr>
                <w:rFonts w:hint="eastAsia" w:ascii="仿宋" w:hAnsi="仿宋" w:eastAsia="仿宋" w:cs="仿宋"/>
                <w:b w:val="0"/>
                <w:bCs/>
                <w:color w:val="auto"/>
                <w:sz w:val="21"/>
                <w:szCs w:val="21"/>
                <w:highlight w:val="none"/>
              </w:rPr>
              <w:t>以上4项内容每项</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分，无漏项、无缺陷得</w:t>
            </w:r>
            <w:r>
              <w:rPr>
                <w:rFonts w:hint="eastAsia" w:ascii="仿宋" w:hAnsi="仿宋" w:eastAsia="仿宋" w:cs="仿宋"/>
                <w:b w:val="0"/>
                <w:bCs/>
                <w:color w:val="auto"/>
                <w:sz w:val="21"/>
                <w:szCs w:val="21"/>
                <w:highlight w:val="none"/>
                <w:lang w:val="en-US" w:eastAsia="zh-CN"/>
              </w:rPr>
              <w:t>8</w:t>
            </w:r>
            <w:r>
              <w:rPr>
                <w:rFonts w:hint="eastAsia" w:ascii="仿宋" w:hAnsi="仿宋" w:eastAsia="仿宋" w:cs="仿宋"/>
                <w:b w:val="0"/>
                <w:bCs/>
                <w:color w:val="auto"/>
                <w:sz w:val="21"/>
                <w:szCs w:val="21"/>
                <w:highlight w:val="none"/>
              </w:rPr>
              <w:t>分，每缺少一项扣</w:t>
            </w:r>
            <w:r>
              <w:rPr>
                <w:rFonts w:hint="eastAsia" w:ascii="仿宋" w:hAnsi="仿宋" w:eastAsia="仿宋" w:cs="仿宋"/>
                <w:b w:val="0"/>
                <w:bCs/>
                <w:color w:val="auto"/>
                <w:sz w:val="21"/>
                <w:szCs w:val="21"/>
                <w:highlight w:val="none"/>
                <w:lang w:val="en-US" w:eastAsia="zh-CN"/>
              </w:rPr>
              <w:t>2</w:t>
            </w:r>
            <w:r>
              <w:rPr>
                <w:rFonts w:hint="eastAsia" w:ascii="仿宋" w:hAnsi="仿宋" w:eastAsia="仿宋" w:cs="仿宋"/>
                <w:b w:val="0"/>
                <w:bCs/>
                <w:color w:val="auto"/>
                <w:sz w:val="21"/>
                <w:szCs w:val="21"/>
                <w:highlight w:val="none"/>
              </w:rPr>
              <w:t>分；每有一项内容存在缺陷的扣</w:t>
            </w:r>
            <w:r>
              <w:rPr>
                <w:rFonts w:hint="eastAsia" w:ascii="仿宋" w:hAnsi="仿宋" w:eastAsia="仿宋" w:cs="仿宋"/>
                <w:b w:val="0"/>
                <w:bCs/>
                <w:color w:val="auto"/>
                <w:sz w:val="21"/>
                <w:szCs w:val="21"/>
                <w:highlight w:val="none"/>
                <w:lang w:val="en-US" w:eastAsia="zh-CN"/>
              </w:rPr>
              <w:t>0.5</w:t>
            </w:r>
            <w:r>
              <w:rPr>
                <w:rFonts w:hint="eastAsia" w:ascii="仿宋" w:hAnsi="仿宋" w:eastAsia="仿宋" w:cs="仿宋"/>
                <w:b w:val="0"/>
                <w:bCs/>
                <w:color w:val="auto"/>
                <w:sz w:val="21"/>
                <w:szCs w:val="21"/>
                <w:highlight w:val="none"/>
              </w:rPr>
              <w:t>分，</w:t>
            </w:r>
            <w:r>
              <w:rPr>
                <w:rFonts w:hint="eastAsia" w:ascii="仿宋" w:hAnsi="仿宋" w:eastAsia="仿宋" w:cs="仿宋"/>
                <w:b w:val="0"/>
                <w:bCs/>
                <w:color w:val="auto"/>
                <w:sz w:val="21"/>
                <w:szCs w:val="21"/>
                <w:highlight w:val="none"/>
                <w:lang w:val="en-US" w:eastAsia="zh-CN"/>
              </w:rPr>
              <w:t>分数扣完为止，</w:t>
            </w:r>
            <w:r>
              <w:rPr>
                <w:rFonts w:hint="eastAsia" w:ascii="仿宋" w:hAnsi="仿宋" w:eastAsia="仿宋" w:cs="仿宋"/>
                <w:b w:val="0"/>
                <w:bCs/>
                <w:color w:val="auto"/>
                <w:sz w:val="21"/>
                <w:szCs w:val="21"/>
                <w:highlight w:val="none"/>
              </w:rPr>
              <w:t>未提供方案的不得分。</w:t>
            </w:r>
          </w:p>
          <w:p w14:paraId="0DE5CD1A">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color w:val="auto"/>
                <w:sz w:val="21"/>
                <w:szCs w:val="21"/>
                <w:highlight w:val="none"/>
              </w:rPr>
              <w:t>（</w:t>
            </w:r>
            <w:r>
              <w:rPr>
                <w:rFonts w:hint="eastAsia" w:ascii="仿宋" w:hAnsi="仿宋" w:eastAsia="仿宋" w:cs="仿宋"/>
                <w:b/>
                <w:bCs/>
                <w:color w:val="auto"/>
                <w:sz w:val="21"/>
                <w:szCs w:val="21"/>
                <w:highlight w:val="none"/>
                <w:lang w:val="en-US" w:eastAsia="zh-CN"/>
              </w:rPr>
              <w:t>注：以上评审标准中所称“缺陷”是指以下几种情形：</w:t>
            </w:r>
            <w:r>
              <w:rPr>
                <w:rFonts w:hint="eastAsia" w:ascii="仿宋" w:hAnsi="仿宋" w:eastAsia="仿宋" w:cs="仿宋"/>
                <w:b w:val="0"/>
                <w:bCs w:val="0"/>
                <w:color w:val="auto"/>
                <w:sz w:val="21"/>
                <w:szCs w:val="21"/>
                <w:highlight w:val="none"/>
                <w:lang w:val="en-US" w:eastAsia="zh-CN"/>
              </w:rPr>
              <w:t>1、针对性不够：方案未能专门针对本项目，或者与项目的具体需求不匹配；2、内容前后矛盾：方案内容存在逻辑不一致或冲突的地方；3、涉及的规范及标准错误：方案中引用的规范或标准已经过期、不适用或存在错误；4、内容不完整或缺少关键节点：方案缺少必要的内容或步骤，无法支持项目的完整实施；5、套用其他项目方案：方案直接复制或修改其他项目的内容，而没有根据当前项目的具体情况进行调整。）</w:t>
            </w:r>
          </w:p>
        </w:tc>
        <w:tc>
          <w:tcPr>
            <w:tcW w:w="0" w:type="auto"/>
            <w:shd w:val="clear" w:color="auto" w:fill="auto"/>
            <w:vAlign w:val="center"/>
          </w:tcPr>
          <w:p w14:paraId="684AFA89">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8分</w:t>
            </w:r>
          </w:p>
        </w:tc>
        <w:tc>
          <w:tcPr>
            <w:tcW w:w="0" w:type="auto"/>
            <w:shd w:val="clear" w:color="auto" w:fill="auto"/>
            <w:vAlign w:val="center"/>
          </w:tcPr>
          <w:p w14:paraId="57B4D791">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主观分</w:t>
            </w:r>
          </w:p>
        </w:tc>
      </w:tr>
      <w:tr w14:paraId="5802F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jc w:val="center"/>
        </w:trPr>
        <w:tc>
          <w:tcPr>
            <w:tcW w:w="684" w:type="dxa"/>
            <w:vMerge w:val="continue"/>
          </w:tcPr>
          <w:p w14:paraId="12E754A0">
            <w:pPr>
              <w:keepNext w:val="0"/>
              <w:keepLines w:val="0"/>
              <w:pageBreakBefore w:val="0"/>
              <w:widowControl w:val="0"/>
              <w:kinsoku/>
              <w:wordWrap w:val="0"/>
              <w:overflowPunct/>
              <w:topLinePunct/>
              <w:autoSpaceDE/>
              <w:autoSpaceDN/>
              <w:bidi w:val="0"/>
              <w:adjustRightInd/>
              <w:snapToGrid/>
              <w:spacing w:line="360" w:lineRule="auto"/>
              <w:ind w:left="0" w:right="0"/>
              <w:jc w:val="center"/>
              <w:rPr>
                <w:rFonts w:hint="eastAsia" w:ascii="仿宋" w:hAnsi="仿宋" w:eastAsia="仿宋" w:cs="仿宋"/>
                <w:color w:val="auto"/>
                <w:sz w:val="21"/>
                <w:szCs w:val="21"/>
                <w:highlight w:val="none"/>
                <w:lang w:val="en-US" w:eastAsia="zh-CN"/>
              </w:rPr>
            </w:pPr>
          </w:p>
        </w:tc>
        <w:tc>
          <w:tcPr>
            <w:tcW w:w="0" w:type="auto"/>
            <w:shd w:val="clear" w:color="auto" w:fill="auto"/>
            <w:vAlign w:val="center"/>
          </w:tcPr>
          <w:p w14:paraId="16C0757D">
            <w:pPr>
              <w:pStyle w:val="10"/>
              <w:keepNext w:val="0"/>
              <w:keepLines w:val="0"/>
              <w:pageBreakBefore w:val="0"/>
              <w:widowControl w:val="0"/>
              <w:kinsoku/>
              <w:wordWrap w:val="0"/>
              <w:overflowPunct/>
              <w:topLinePunct/>
              <w:autoSpaceDE/>
              <w:autoSpaceDN/>
              <w:bidi w:val="0"/>
              <w:adjustRightInd/>
              <w:snapToGrid/>
              <w:spacing w:line="360" w:lineRule="auto"/>
              <w:ind w:left="0" w:leftChars="0" w:right="0" w:firstLine="0" w:firstLineChars="0"/>
              <w:textAlignment w:val="auto"/>
              <w:rPr>
                <w:rFonts w:hint="eastAsia" w:ascii="仿宋" w:hAnsi="仿宋" w:eastAsia="仿宋" w:cs="仿宋"/>
                <w:b/>
                <w:bCs/>
                <w:i w:val="0"/>
                <w:iCs w:val="0"/>
                <w:color w:val="auto"/>
                <w:sz w:val="21"/>
                <w:szCs w:val="21"/>
                <w:highlight w:val="none"/>
                <w:lang w:eastAsia="zh-CN"/>
              </w:rPr>
            </w:pPr>
            <w:r>
              <w:rPr>
                <w:rFonts w:hint="eastAsia" w:ascii="仿宋" w:hAnsi="仿宋" w:eastAsia="仿宋" w:cs="仿宋"/>
                <w:b/>
                <w:bCs/>
                <w:i w:val="0"/>
                <w:iCs w:val="0"/>
                <w:color w:val="auto"/>
                <w:sz w:val="21"/>
                <w:szCs w:val="21"/>
                <w:highlight w:val="none"/>
                <w:lang w:eastAsia="zh-CN"/>
              </w:rPr>
              <w:t>类似业绩评审：</w:t>
            </w:r>
            <w:r>
              <w:rPr>
                <w:rFonts w:hint="eastAsia" w:ascii="仿宋" w:hAnsi="仿宋" w:eastAsia="仿宋" w:cs="仿宋"/>
                <w:b w:val="0"/>
                <w:bCs w:val="0"/>
                <w:i w:val="0"/>
                <w:iCs w:val="0"/>
                <w:color w:val="auto"/>
                <w:sz w:val="21"/>
                <w:szCs w:val="21"/>
                <w:highlight w:val="none"/>
                <w:lang w:eastAsia="zh-CN"/>
              </w:rPr>
              <w:t>（</w:t>
            </w:r>
            <w:r>
              <w:rPr>
                <w:rFonts w:hint="eastAsia" w:ascii="仿宋" w:hAnsi="仿宋" w:eastAsia="仿宋" w:cs="仿宋"/>
                <w:b w:val="0"/>
                <w:bCs w:val="0"/>
                <w:i w:val="0"/>
                <w:iCs w:val="0"/>
                <w:color w:val="auto"/>
                <w:sz w:val="21"/>
                <w:szCs w:val="21"/>
                <w:highlight w:val="none"/>
                <w:lang w:val="en-US" w:eastAsia="zh-CN"/>
              </w:rPr>
              <w:t>有效业绩的标准详见“投标人须知前附表”</w:t>
            </w:r>
            <w:r>
              <w:rPr>
                <w:rFonts w:hint="eastAsia" w:ascii="仿宋" w:hAnsi="仿宋" w:eastAsia="仿宋" w:cs="仿宋"/>
                <w:b w:val="0"/>
                <w:bCs w:val="0"/>
                <w:i w:val="0"/>
                <w:iCs w:val="0"/>
                <w:color w:val="auto"/>
                <w:sz w:val="21"/>
                <w:szCs w:val="21"/>
                <w:highlight w:val="none"/>
                <w:lang w:eastAsia="zh-CN"/>
              </w:rPr>
              <w:t>）</w:t>
            </w:r>
          </w:p>
          <w:p w14:paraId="6FA0C8E2">
            <w:pPr>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rPr>
                <w:rFonts w:hint="eastAsia" w:ascii="仿宋" w:hAnsi="仿宋" w:eastAsia="仿宋" w:cs="仿宋"/>
                <w:b w:val="0"/>
                <w:bCs w:val="0"/>
                <w:i w:val="0"/>
                <w:iCs w:val="0"/>
                <w:snapToGrid w:val="0"/>
                <w:color w:val="auto"/>
                <w:sz w:val="21"/>
                <w:szCs w:val="21"/>
                <w:highlight w:val="none"/>
                <w:lang w:val="en-US" w:eastAsia="zh-CN" w:bidi="ar-SA"/>
              </w:rPr>
            </w:pPr>
            <w:r>
              <w:rPr>
                <w:rFonts w:hint="eastAsia" w:ascii="仿宋" w:hAnsi="仿宋" w:eastAsia="仿宋" w:cs="仿宋"/>
                <w:b w:val="0"/>
                <w:bCs w:val="0"/>
                <w:i w:val="0"/>
                <w:iCs w:val="0"/>
                <w:color w:val="auto"/>
                <w:sz w:val="21"/>
                <w:szCs w:val="21"/>
                <w:highlight w:val="none"/>
                <w:lang w:eastAsia="zh-CN"/>
              </w:rPr>
              <w:t>投标人</w:t>
            </w:r>
            <w:r>
              <w:rPr>
                <w:rFonts w:hint="eastAsia" w:ascii="仿宋" w:hAnsi="仿宋" w:eastAsia="仿宋" w:cs="仿宋"/>
                <w:b w:val="0"/>
                <w:bCs w:val="0"/>
                <w:i w:val="0"/>
                <w:iCs w:val="0"/>
                <w:color w:val="auto"/>
                <w:sz w:val="21"/>
                <w:szCs w:val="21"/>
                <w:highlight w:val="none"/>
                <w:lang w:val="en-US" w:eastAsia="zh-CN"/>
              </w:rPr>
              <w:t>自</w:t>
            </w:r>
            <w:r>
              <w:rPr>
                <w:rFonts w:hint="eastAsia" w:ascii="仿宋" w:hAnsi="仿宋" w:eastAsia="仿宋" w:cs="仿宋"/>
                <w:b w:val="0"/>
                <w:bCs w:val="0"/>
                <w:i w:val="0"/>
                <w:iCs w:val="0"/>
                <w:color w:val="auto"/>
                <w:sz w:val="21"/>
                <w:szCs w:val="21"/>
                <w:highlight w:val="none"/>
                <w:lang w:eastAsia="zh-CN"/>
              </w:rPr>
              <w:t>投标截止时间前</w:t>
            </w:r>
            <w:r>
              <w:rPr>
                <w:rFonts w:hint="eastAsia" w:ascii="仿宋" w:hAnsi="仿宋" w:eastAsia="仿宋" w:cs="仿宋"/>
                <w:b w:val="0"/>
                <w:bCs w:val="0"/>
                <w:i w:val="0"/>
                <w:iCs w:val="0"/>
                <w:color w:val="auto"/>
                <w:sz w:val="21"/>
                <w:szCs w:val="21"/>
                <w:highlight w:val="none"/>
                <w:lang w:val="en-US" w:eastAsia="zh-CN"/>
              </w:rPr>
              <w:t>近三年的</w:t>
            </w:r>
            <w:r>
              <w:rPr>
                <w:rFonts w:hint="eastAsia" w:ascii="仿宋" w:hAnsi="仿宋" w:eastAsia="仿宋" w:cs="仿宋"/>
                <w:b w:val="0"/>
                <w:bCs w:val="0"/>
                <w:i w:val="0"/>
                <w:iCs w:val="0"/>
                <w:color w:val="auto"/>
                <w:sz w:val="21"/>
                <w:szCs w:val="21"/>
                <w:highlight w:val="none"/>
                <w:lang w:eastAsia="zh-CN"/>
              </w:rPr>
              <w:t>类似业绩，每提供一项得</w:t>
            </w:r>
            <w:r>
              <w:rPr>
                <w:rFonts w:hint="eastAsia" w:ascii="仿宋" w:hAnsi="仿宋" w:eastAsia="仿宋" w:cs="仿宋"/>
                <w:b w:val="0"/>
                <w:bCs w:val="0"/>
                <w:i w:val="0"/>
                <w:iCs w:val="0"/>
                <w:color w:val="auto"/>
                <w:sz w:val="21"/>
                <w:szCs w:val="21"/>
                <w:highlight w:val="none"/>
                <w:lang w:val="en-US" w:eastAsia="zh-CN"/>
              </w:rPr>
              <w:t>1</w:t>
            </w:r>
            <w:r>
              <w:rPr>
                <w:rFonts w:hint="eastAsia" w:ascii="仿宋" w:hAnsi="仿宋" w:eastAsia="仿宋" w:cs="仿宋"/>
                <w:b w:val="0"/>
                <w:bCs w:val="0"/>
                <w:i w:val="0"/>
                <w:iCs w:val="0"/>
                <w:color w:val="auto"/>
                <w:sz w:val="21"/>
                <w:szCs w:val="21"/>
                <w:highlight w:val="none"/>
                <w:lang w:eastAsia="zh-CN"/>
              </w:rPr>
              <w:t>分，</w:t>
            </w:r>
            <w:r>
              <w:rPr>
                <w:rFonts w:hint="eastAsia" w:ascii="仿宋" w:hAnsi="仿宋" w:eastAsia="仿宋" w:cs="仿宋"/>
                <w:b w:val="0"/>
                <w:bCs w:val="0"/>
                <w:i w:val="0"/>
                <w:iCs w:val="0"/>
                <w:color w:val="auto"/>
                <w:sz w:val="21"/>
                <w:szCs w:val="21"/>
                <w:highlight w:val="none"/>
                <w:lang w:val="en-US" w:eastAsia="zh-CN"/>
              </w:rPr>
              <w:t>最高得2分</w:t>
            </w:r>
            <w:r>
              <w:rPr>
                <w:rFonts w:hint="eastAsia" w:ascii="仿宋" w:hAnsi="仿宋" w:eastAsia="仿宋" w:cs="仿宋"/>
                <w:b w:val="0"/>
                <w:bCs w:val="0"/>
                <w:i w:val="0"/>
                <w:iCs w:val="0"/>
                <w:color w:val="auto"/>
                <w:sz w:val="21"/>
                <w:szCs w:val="21"/>
                <w:highlight w:val="none"/>
                <w:lang w:eastAsia="zh-CN"/>
              </w:rPr>
              <w:t>；业绩如果为同一个项目统招分签的，仅作为一项业绩计分。</w:t>
            </w:r>
          </w:p>
        </w:tc>
        <w:tc>
          <w:tcPr>
            <w:tcW w:w="0" w:type="auto"/>
            <w:shd w:val="clear" w:color="auto" w:fill="auto"/>
            <w:vAlign w:val="center"/>
          </w:tcPr>
          <w:p w14:paraId="30F69361">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b w:val="0"/>
                <w:bCs w:val="0"/>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0～</w:t>
            </w:r>
            <w:r>
              <w:rPr>
                <w:rFonts w:hint="eastAsia" w:ascii="仿宋" w:hAnsi="仿宋" w:eastAsia="仿宋" w:cs="仿宋"/>
                <w:b w:val="0"/>
                <w:bCs w:val="0"/>
                <w:i w:val="0"/>
                <w:iCs w:val="0"/>
                <w:color w:val="auto"/>
                <w:sz w:val="21"/>
                <w:szCs w:val="21"/>
                <w:highlight w:val="none"/>
                <w:lang w:val="en-US" w:eastAsia="zh-CN"/>
              </w:rPr>
              <w:t>2分</w:t>
            </w:r>
          </w:p>
        </w:tc>
        <w:tc>
          <w:tcPr>
            <w:tcW w:w="0" w:type="auto"/>
            <w:shd w:val="clear" w:color="auto" w:fill="auto"/>
            <w:vAlign w:val="center"/>
          </w:tcPr>
          <w:p w14:paraId="36CF9F70">
            <w:pPr>
              <w:keepNext w:val="0"/>
              <w:keepLines w:val="0"/>
              <w:pageBreakBefore w:val="0"/>
              <w:widowControl w:val="0"/>
              <w:kinsoku/>
              <w:wordWrap w:val="0"/>
              <w:overflowPunct/>
              <w:topLinePunct/>
              <w:autoSpaceDE/>
              <w:autoSpaceDN/>
              <w:bidi w:val="0"/>
              <w:adjustRightInd/>
              <w:snapToGrid/>
              <w:spacing w:line="360" w:lineRule="auto"/>
              <w:jc w:val="center"/>
              <w:rPr>
                <w:rFonts w:hint="eastAsia" w:ascii="仿宋" w:hAnsi="仿宋" w:eastAsia="仿宋" w:cs="仿宋"/>
                <w:snapToGrid w:val="0"/>
                <w:color w:val="auto"/>
                <w:sz w:val="21"/>
                <w:szCs w:val="21"/>
                <w:highlight w:val="none"/>
                <w:lang w:val="en-US" w:eastAsia="zh-CN" w:bidi="ar-SA"/>
              </w:rPr>
            </w:pPr>
            <w:r>
              <w:rPr>
                <w:rFonts w:hint="eastAsia" w:ascii="仿宋" w:hAnsi="仿宋" w:eastAsia="仿宋" w:cs="仿宋"/>
                <w:b w:val="0"/>
                <w:bCs w:val="0"/>
                <w:color w:val="auto"/>
                <w:sz w:val="21"/>
                <w:szCs w:val="21"/>
                <w:highlight w:val="none"/>
                <w:lang w:val="en-US" w:eastAsia="zh-CN"/>
              </w:rPr>
              <w:t>客观分</w:t>
            </w:r>
          </w:p>
        </w:tc>
      </w:tr>
    </w:tbl>
    <w:p w14:paraId="27418E1C">
      <w:pPr>
        <w:keepNext w:val="0"/>
        <w:keepLines w:val="0"/>
        <w:pageBreakBefore w:val="0"/>
        <w:widowControl w:val="0"/>
        <w:numPr>
          <w:ilvl w:val="0"/>
          <w:numId w:val="0"/>
        </w:numPr>
        <w:kinsoku/>
        <w:wordWrap w:val="0"/>
        <w:overflowPunct/>
        <w:topLinePunct/>
        <w:autoSpaceDE/>
        <w:autoSpaceDN/>
        <w:bidi w:val="0"/>
        <w:adjustRightInd/>
        <w:snapToGrid/>
        <w:spacing w:line="20" w:lineRule="atLeast"/>
        <w:ind w:right="0" w:rightChars="0"/>
        <w:jc w:val="center"/>
        <w:rPr>
          <w:rFonts w:hint="eastAsia" w:ascii="仿宋" w:hAnsi="仿宋" w:eastAsia="仿宋" w:cs="仿宋"/>
          <w:b/>
          <w:bCs/>
          <w:color w:val="auto"/>
          <w:sz w:val="24"/>
          <w:szCs w:val="24"/>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4299F24B">
      <w:pPr>
        <w:pStyle w:val="3"/>
        <w:keepNext w:val="0"/>
        <w:keepLines w:val="0"/>
        <w:pageBreakBefore w:val="0"/>
        <w:widowControl w:val="0"/>
        <w:kinsoku/>
        <w:wordWrap w:val="0"/>
        <w:overflowPunct/>
        <w:topLinePunct/>
        <w:autoSpaceDE/>
        <w:autoSpaceDN/>
        <w:bidi w:val="0"/>
        <w:adjustRightInd/>
        <w:snapToGrid/>
        <w:spacing w:before="0" w:after="0" w:line="420" w:lineRule="exact"/>
        <w:ind w:left="0" w:right="0" w:firstLine="422" w:firstLineChars="200"/>
        <w:jc w:val="both"/>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四、</w:t>
      </w:r>
      <w:bookmarkEnd w:id="521"/>
      <w:r>
        <w:rPr>
          <w:rFonts w:hint="eastAsia" w:ascii="仿宋" w:hAnsi="仿宋" w:eastAsia="仿宋" w:cs="仿宋"/>
          <w:color w:val="auto"/>
          <w:sz w:val="21"/>
          <w:szCs w:val="21"/>
          <w:highlight w:val="none"/>
          <w:lang w:val="en-US" w:eastAsia="zh-CN"/>
        </w:rPr>
        <w:t xml:space="preserve">评标程序 </w:t>
      </w:r>
    </w:p>
    <w:p w14:paraId="2581B336">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评标原则：“客观、公正、审慎”。评标时，评标委员会各成员应当独立对每个有效投标人的标书进行评价、打分，然后汇总每个投标人每项评分因素的得分。</w:t>
      </w:r>
    </w:p>
    <w:p w14:paraId="32EB94C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（1）评标委员会和评标专家的组成</w:t>
      </w:r>
    </w:p>
    <w:p w14:paraId="21762F2E">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根据《政府采购货物和服务招标投标管理办法》第四十七条规定，评标委员会由采购人代表和评审专家组成，成员人数应当为5人以上单数，其中评审专家不得少于成员总数的三分之二。采购数额在 1000万元以上、技术复杂、社会影响较大的项目，评标委员会成员人数应当为7人以上单数。评标委员会应当推选组长，但采购人代表不得担任组长。</w:t>
      </w:r>
    </w:p>
    <w:p w14:paraId="2EFF006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2" w:firstLineChars="200"/>
        <w:textAlignment w:val="baseline"/>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eastAsia="zh-CN"/>
        </w:rPr>
        <w:t>（2）评标委员会成员应当履行下列义务</w:t>
      </w:r>
    </w:p>
    <w:p w14:paraId="6302388B">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bookmarkStart w:id="522" w:name="_Toc4667"/>
      <w:bookmarkStart w:id="523" w:name="_Toc17250"/>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）遵纪守法，客观、公正、廉洁地履行职责；</w:t>
      </w:r>
    </w:p>
    <w:p w14:paraId="6A9E5A3C">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lang w:eastAsia="zh-CN"/>
        </w:rPr>
        <w:t>）按招标文件规定的评标方法和评标标准进行评标，对评审意见承担个人责任；</w:t>
      </w:r>
    </w:p>
    <w:p w14:paraId="7B69CF62">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）对评标过程和结果以及投标人的商业秘密保密；</w:t>
      </w:r>
    </w:p>
    <w:p w14:paraId="68FF248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lang w:eastAsia="zh-CN"/>
        </w:rPr>
        <w:t>）参与评标报告的起草；</w:t>
      </w:r>
    </w:p>
    <w:p w14:paraId="0E28C4A3">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）配合</w:t>
      </w:r>
      <w:r>
        <w:rPr>
          <w:rFonts w:hint="eastAsia" w:ascii="仿宋" w:hAnsi="仿宋" w:eastAsia="仿宋" w:cs="仿宋"/>
          <w:color w:val="auto"/>
          <w:sz w:val="21"/>
          <w:szCs w:val="21"/>
          <w:highlight w:val="none"/>
          <w:lang w:val="en-US" w:eastAsia="zh-CN"/>
        </w:rPr>
        <w:t>采购人或采购代理机构</w:t>
      </w:r>
      <w:r>
        <w:rPr>
          <w:rFonts w:hint="eastAsia" w:ascii="仿宋" w:hAnsi="仿宋" w:eastAsia="仿宋" w:cs="仿宋"/>
          <w:color w:val="auto"/>
          <w:sz w:val="21"/>
          <w:szCs w:val="21"/>
          <w:highlight w:val="none"/>
          <w:lang w:eastAsia="zh-CN"/>
        </w:rPr>
        <w:t>答复投标人提出的质疑；</w:t>
      </w:r>
    </w:p>
    <w:p w14:paraId="1F41FC44">
      <w:pPr>
        <w:keepNext w:val="0"/>
        <w:keepLines w:val="0"/>
        <w:pageBreakBefore w:val="0"/>
        <w:widowControl w:val="0"/>
        <w:kinsoku/>
        <w:wordWrap w:val="0"/>
        <w:overflowPunct/>
        <w:topLinePunct/>
        <w:autoSpaceDE/>
        <w:autoSpaceDN/>
        <w:bidi w:val="0"/>
        <w:adjustRightInd/>
        <w:snapToGrid/>
        <w:spacing w:line="420" w:lineRule="exact"/>
        <w:ind w:left="0" w:leftChars="0" w:right="0" w:firstLine="420" w:firstLineChars="200"/>
        <w:textAlignment w:val="baseline"/>
        <w:rPr>
          <w:rFonts w:hint="eastAsia" w:ascii="仿宋" w:hAnsi="仿宋" w:eastAsia="仿宋" w:cs="仿宋"/>
          <w:b w:val="0"/>
          <w:bCs w:val="0"/>
          <w:color w:val="auto"/>
          <w:spacing w:val="0"/>
          <w:w w:val="100"/>
          <w:position w:val="0"/>
          <w:sz w:val="21"/>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）配合财政部门受理的投诉处理工作。</w:t>
      </w:r>
    </w:p>
    <w:bookmarkEnd w:id="522"/>
    <w:p w14:paraId="2B07102D">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（3）比较与评价</w:t>
      </w:r>
      <w:bookmarkEnd w:id="523"/>
      <w:r>
        <w:rPr>
          <w:rFonts w:hint="eastAsia" w:ascii="仿宋" w:hAnsi="仿宋" w:eastAsia="仿宋" w:cs="仿宋"/>
          <w:b/>
          <w:bCs/>
          <w:color w:val="auto"/>
          <w:highlight w:val="none"/>
          <w:lang w:val="en-US" w:eastAsia="zh-CN"/>
        </w:rPr>
        <w:t xml:space="preserve"> </w:t>
      </w:r>
    </w:p>
    <w:p w14:paraId="2A1BE60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经符合性审查合格的投标文件，评标委员会将根据招标文件确定的评标方法和标准，对其投标文件作进一步的比较与评价。 </w:t>
      </w:r>
    </w:p>
    <w:p w14:paraId="2B50985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（4）落实政府采购政策：</w:t>
      </w:r>
    </w:p>
    <w:p w14:paraId="3E5EDBD8">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根据《政府采购促进中小企业发展管理办法》（财库〔2020〕46 号）、《三部门联合发布关于促进残疾人就业政府采购政策的通知》（财库〔2017〕141号）和《财政部司法部关于政府采购支持监狱企业发展有关问题的通知》（财库〔2014〕68 号）的规定，对满足价格扣除条件且在投标文件中提交了《中小企业声明函》《残疾人福利性单位声明函》或省级以上监狱管理局、戒毒管理局（含新疆生产建设兵团）出具的属于监狱企业的证明文件的投标人，其投标报价按照投标人须知前附表中规定的标准扣除后的价格参与评审。对于同时属于小微企业、监狱企业或残疾人福利性单位的，不重复进行投标报价扣除。</w:t>
      </w:r>
    </w:p>
    <w:p w14:paraId="5C92A49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接受大中型企业与小微企业组成联合体或者允许大中型企业向一家或者多家小微企业分包的，对于联合协议或者分包意向协议约定小微企业的合同份额占到合同总金额30%以上的，可给予联合体或者大中型企业的投标报价按照投标人须知前附表中规定的标准扣除后的价格参与评审。组成联合体或者接受分包的小微企业与联合体内其他企业、分包企业之间存在直接控股、管理关系的，不享受价格扣除优惠政策。 </w:t>
      </w:r>
    </w:p>
    <w:p w14:paraId="5BFCF94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bCs/>
          <w:snapToGrid w:val="0"/>
          <w:color w:val="auto"/>
          <w:kern w:val="0"/>
          <w:sz w:val="21"/>
          <w:szCs w:val="21"/>
          <w:highlight w:val="none"/>
          <w:u w:val="none"/>
          <w:lang w:val="en-US" w:eastAsia="zh-CN"/>
        </w:rPr>
      </w:pPr>
      <w:r>
        <w:rPr>
          <w:rFonts w:hint="eastAsia" w:ascii="仿宋" w:hAnsi="仿宋" w:eastAsia="仿宋" w:cs="仿宋"/>
          <w:color w:val="auto"/>
          <w:highlight w:val="none"/>
          <w:lang w:val="en-US" w:eastAsia="zh-CN"/>
        </w:rPr>
        <w:t>以联合体形式参加政府采购活动，联合体各方均为中小企业的，联合体视同中小企业。其中，联合体各方均为小微企业的，联合体视同小微企业。</w:t>
      </w:r>
    </w:p>
    <w:p w14:paraId="7F6D54E2">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snapToGrid w:val="0"/>
          <w:color w:val="auto"/>
          <w:kern w:val="0"/>
          <w:sz w:val="21"/>
          <w:szCs w:val="21"/>
          <w:highlight w:val="none"/>
          <w:u w:val="none"/>
          <w:lang w:val="en-US" w:eastAsia="zh-CN"/>
        </w:rPr>
      </w:pPr>
      <w:r>
        <w:rPr>
          <w:rFonts w:hint="default" w:ascii="仿宋" w:hAnsi="仿宋" w:eastAsia="仿宋" w:cs="仿宋"/>
          <w:b w:val="0"/>
          <w:bCs w:val="0"/>
          <w:snapToGrid w:val="0"/>
          <w:color w:val="auto"/>
          <w:kern w:val="0"/>
          <w:sz w:val="21"/>
          <w:szCs w:val="21"/>
          <w:highlight w:val="none"/>
          <w:u w:val="none"/>
          <w:lang w:val="en-US" w:eastAsia="zh-CN"/>
        </w:rPr>
        <w:t>依据《国务院办公厅关于在政府采购中实施本国产品标准及相关政策的通知》（国办发〔2025〕34号）</w:t>
      </w:r>
      <w:r>
        <w:rPr>
          <w:rFonts w:hint="eastAsia" w:ascii="仿宋" w:hAnsi="仿宋" w:eastAsia="仿宋" w:cs="仿宋"/>
          <w:b w:val="0"/>
          <w:bCs w:val="0"/>
          <w:snapToGrid w:val="0"/>
          <w:color w:val="auto"/>
          <w:kern w:val="0"/>
          <w:sz w:val="21"/>
          <w:szCs w:val="21"/>
          <w:highlight w:val="none"/>
          <w:u w:val="none"/>
          <w:lang w:val="en-US" w:eastAsia="zh-CN"/>
        </w:rPr>
        <w:t>规定,政府采购活动中既有本国产品又有非本国产品参与竞争的，依法对本国产品给予价格评审优惠，对本国产品的报价给予20%的价格扣除，用扣除后的价格参与评审。</w:t>
      </w:r>
    </w:p>
    <w:p w14:paraId="6133400D">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default" w:ascii="仿宋" w:hAnsi="仿宋" w:eastAsia="仿宋" w:cs="仿宋"/>
          <w:color w:val="auto"/>
          <w:highlight w:val="none"/>
          <w:lang w:val="en-US" w:eastAsia="zh-CN"/>
        </w:rPr>
      </w:pPr>
      <w:r>
        <w:rPr>
          <w:rFonts w:hint="eastAsia" w:ascii="仿宋" w:hAnsi="仿宋" w:eastAsia="仿宋" w:cs="仿宋"/>
          <w:b w:val="0"/>
          <w:bCs w:val="0"/>
          <w:snapToGrid w:val="0"/>
          <w:color w:val="auto"/>
          <w:kern w:val="0"/>
          <w:sz w:val="21"/>
          <w:szCs w:val="21"/>
          <w:highlight w:val="none"/>
          <w:u w:val="none"/>
          <w:lang w:val="en-US"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FD4BE5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24" w:name="_Toc15206"/>
      <w:r>
        <w:rPr>
          <w:rFonts w:hint="eastAsia" w:ascii="仿宋" w:hAnsi="仿宋" w:eastAsia="仿宋" w:cs="仿宋"/>
          <w:b/>
          <w:bCs/>
          <w:color w:val="auto"/>
          <w:highlight w:val="none"/>
          <w:lang w:val="en-US" w:eastAsia="zh-CN"/>
        </w:rPr>
        <w:t>（5）废标、重新招标与变更采购方式</w:t>
      </w:r>
      <w:bookmarkEnd w:id="524"/>
      <w:r>
        <w:rPr>
          <w:rFonts w:hint="eastAsia" w:ascii="仿宋" w:hAnsi="仿宋" w:eastAsia="仿宋" w:cs="仿宋"/>
          <w:b/>
          <w:bCs/>
          <w:color w:val="auto"/>
          <w:highlight w:val="none"/>
          <w:lang w:val="en-US" w:eastAsia="zh-CN"/>
        </w:rPr>
        <w:t xml:space="preserve"> </w:t>
      </w:r>
    </w:p>
    <w:p w14:paraId="14EABF83">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出现下列情形之一，将导致项目废标：</w:t>
      </w:r>
    </w:p>
    <w:p w14:paraId="4EDBB045">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（1）符合专业条件的投标人或者对招标文件做实质性响应的投标人不足规定数量的； </w:t>
      </w:r>
    </w:p>
    <w:p w14:paraId="76C89D54">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（2）出现影响采购公正的违法、违规行为的； </w:t>
      </w:r>
    </w:p>
    <w:p w14:paraId="00824E6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（3）投标人的报价均超过了采购预算，采购人不能支付的； </w:t>
      </w:r>
    </w:p>
    <w:p w14:paraId="10E1B3AF">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（4）因重大变故，采购任务取消的。 </w:t>
      </w:r>
    </w:p>
    <w:p w14:paraId="1FC78725">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lang w:val="en-US" w:eastAsia="zh-CN"/>
        </w:rPr>
        <w:t xml:space="preserve">公开招标数额标准以上的采购项目，投标截止后投标人不足3家或者通过资格审查或符合性审查的投标人不足3家的，除采购任务取消情形外，按照以下方式处理： </w:t>
      </w:r>
    </w:p>
    <w:p w14:paraId="43823E5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（1）招标文件存在不合理条款或者招标程序不符合规定的，采购人、采购代理机构改正后依法重新招标； </w:t>
      </w:r>
    </w:p>
    <w:p w14:paraId="7C75007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招标文件没有不合理条款、招标程序符合规定，需要采用其他采购方式采购的，采购人应当依法报政府采购监督管理部门批准。（符合专业条件或者对招标文件作出实质性响应的投标人只有一家，经评标委员会出具了招标文件没有不合理条款论证意见的。） </w:t>
      </w:r>
    </w:p>
    <w:p w14:paraId="4842B03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25" w:name="_Toc30436"/>
      <w:r>
        <w:rPr>
          <w:rFonts w:hint="eastAsia" w:ascii="仿宋" w:hAnsi="仿宋" w:eastAsia="仿宋" w:cs="仿宋"/>
          <w:b/>
          <w:bCs/>
          <w:color w:val="auto"/>
          <w:highlight w:val="none"/>
          <w:lang w:val="en-US" w:eastAsia="zh-CN"/>
        </w:rPr>
        <w:t>（6）</w:t>
      </w:r>
      <w:bookmarkEnd w:id="525"/>
      <w:bookmarkStart w:id="526" w:name="_Toc6462"/>
      <w:r>
        <w:rPr>
          <w:rFonts w:hint="eastAsia" w:ascii="仿宋" w:hAnsi="仿宋" w:eastAsia="仿宋" w:cs="仿宋"/>
          <w:b/>
          <w:bCs/>
          <w:color w:val="auto"/>
          <w:highlight w:val="none"/>
          <w:lang w:val="en-US" w:eastAsia="zh-CN"/>
        </w:rPr>
        <w:t>中标候选人的确定原则及标准</w:t>
      </w:r>
      <w:bookmarkEnd w:id="526"/>
      <w:r>
        <w:rPr>
          <w:rFonts w:hint="eastAsia" w:ascii="仿宋" w:hAnsi="仿宋" w:eastAsia="仿宋" w:cs="仿宋"/>
          <w:b/>
          <w:bCs/>
          <w:color w:val="auto"/>
          <w:highlight w:val="none"/>
          <w:lang w:val="en-US" w:eastAsia="zh-CN"/>
        </w:rPr>
        <w:t xml:space="preserve"> </w:t>
      </w:r>
    </w:p>
    <w:p w14:paraId="6E8EECBA">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1）评标委员会依据本项目招标文件所约定的评标方法，对实质上响应招标文件的投标人按下列方法进行排序，确定中标候选人： </w:t>
      </w:r>
      <w:r>
        <w:rPr>
          <w:rFonts w:hint="eastAsia" w:ascii="仿宋" w:hAnsi="仿宋" w:eastAsia="仿宋" w:cs="仿宋"/>
          <w:color w:val="auto"/>
          <w:sz w:val="21"/>
          <w:szCs w:val="21"/>
          <w:highlight w:val="none"/>
          <w:lang w:val="en-US" w:eastAsia="zh-CN"/>
        </w:rPr>
        <w:t>详见</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pacing w:val="0"/>
          <w:w w:val="100"/>
          <w:position w:val="0"/>
          <w:sz w:val="21"/>
          <w:szCs w:val="21"/>
          <w:highlight w:val="none"/>
          <w:lang w:eastAsia="zh-CN"/>
          <w14:textOutline w14:w="4356" w14:cap="sq" w14:cmpd="sng" w14:algn="ctr">
            <w14:solidFill>
              <w14:srgbClr w14:val="000000"/>
            </w14:solidFill>
            <w14:prstDash w14:val="solid"/>
            <w14:bevel/>
          </w14:textOutline>
        </w:rPr>
        <w:t>投标人须知前附表</w:t>
      </w:r>
      <w:r>
        <w:rPr>
          <w:rFonts w:hint="eastAsia" w:ascii="仿宋" w:hAnsi="仿宋" w:eastAsia="仿宋" w:cs="仿宋"/>
          <w:color w:val="auto"/>
          <w:spacing w:val="0"/>
          <w:w w:val="100"/>
          <w:position w:val="0"/>
          <w:sz w:val="21"/>
          <w:szCs w:val="21"/>
          <w:highlight w:val="none"/>
          <w:lang w:eastAsia="zh-CN"/>
        </w:rPr>
        <w:t>”</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highlight w:val="none"/>
          <w:lang w:val="en-US" w:eastAsia="zh-CN"/>
        </w:rPr>
        <w:t xml:space="preserve"> </w:t>
      </w:r>
    </w:p>
    <w:p w14:paraId="3E6D7D58">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27" w:name="_Toc13664"/>
      <w:r>
        <w:rPr>
          <w:rFonts w:hint="eastAsia" w:ascii="仿宋" w:hAnsi="仿宋" w:eastAsia="仿宋" w:cs="仿宋"/>
          <w:b/>
          <w:bCs/>
          <w:color w:val="auto"/>
          <w:highlight w:val="none"/>
          <w:lang w:val="en-US" w:eastAsia="zh-CN"/>
        </w:rPr>
        <w:t>（7）确定中标候选人和中标人</w:t>
      </w:r>
      <w:bookmarkEnd w:id="527"/>
      <w:r>
        <w:rPr>
          <w:rFonts w:hint="eastAsia" w:ascii="仿宋" w:hAnsi="仿宋" w:eastAsia="仿宋" w:cs="仿宋"/>
          <w:b/>
          <w:bCs/>
          <w:color w:val="auto"/>
          <w:highlight w:val="none"/>
          <w:lang w:val="en-US" w:eastAsia="zh-CN"/>
        </w:rPr>
        <w:t xml:space="preserve"> </w:t>
      </w:r>
    </w:p>
    <w:p w14:paraId="6243D7ED">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1）评标委员会将根据评标标准，按投标人须知前附表中规定的按总得分由高到低的顺序推荐3名中标候选人。 </w:t>
      </w:r>
    </w:p>
    <w:p w14:paraId="3FA0CD8B">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2）按投标人须知前附表中规定，由评标委员会或采购人确定中标人。 </w:t>
      </w:r>
    </w:p>
    <w:p w14:paraId="421FA3A1">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3）因重大变故采购任务取消时，采购人有权拒绝任何投标人中标，且对受影响的投标人不承担任何责任。 </w:t>
      </w:r>
    </w:p>
    <w:p w14:paraId="04B18FF4">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eastAsia" w:ascii="仿宋" w:hAnsi="仿宋" w:eastAsia="仿宋" w:cs="仿宋"/>
          <w:b/>
          <w:bCs/>
          <w:color w:val="auto"/>
          <w:highlight w:val="none"/>
          <w:lang w:val="en-US" w:eastAsia="zh-CN"/>
        </w:rPr>
      </w:pPr>
      <w:bookmarkStart w:id="528" w:name="_Toc30359"/>
      <w:r>
        <w:rPr>
          <w:rFonts w:hint="eastAsia" w:ascii="仿宋" w:hAnsi="仿宋" w:eastAsia="仿宋" w:cs="仿宋"/>
          <w:b/>
          <w:bCs/>
          <w:color w:val="auto"/>
          <w:highlight w:val="none"/>
          <w:lang w:val="en-US" w:eastAsia="zh-CN"/>
        </w:rPr>
        <w:t>（8）编写评标报告</w:t>
      </w:r>
      <w:bookmarkEnd w:id="528"/>
      <w:r>
        <w:rPr>
          <w:rFonts w:hint="eastAsia" w:ascii="仿宋" w:hAnsi="仿宋" w:eastAsia="仿宋" w:cs="仿宋"/>
          <w:b/>
          <w:bCs/>
          <w:color w:val="auto"/>
          <w:highlight w:val="none"/>
          <w:lang w:val="en-US" w:eastAsia="zh-CN"/>
        </w:rPr>
        <w:t xml:space="preserve"> </w:t>
      </w:r>
    </w:p>
    <w:p w14:paraId="4A389ABE">
      <w:pPr>
        <w:keepNext w:val="0"/>
        <w:keepLines w:val="0"/>
        <w:pageBreakBefore w:val="0"/>
        <w:widowControl w:val="0"/>
        <w:kinsoku/>
        <w:wordWrap w:val="0"/>
        <w:overflowPunct/>
        <w:topLinePunct/>
        <w:autoSpaceDE/>
        <w:autoSpaceDN/>
        <w:bidi w:val="0"/>
        <w:adjustRightInd/>
        <w:snapToGrid/>
        <w:spacing w:line="420" w:lineRule="exact"/>
        <w:ind w:firstLine="420" w:firstLineChars="200"/>
        <w:textAlignment w:val="baseline"/>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pPr>
      <w:r>
        <w:rPr>
          <w:rFonts w:hint="eastAsia" w:ascii="仿宋" w:hAnsi="仿宋" w:eastAsia="仿宋" w:cs="仿宋"/>
          <w:color w:val="auto"/>
          <w:highlight w:val="none"/>
          <w:lang w:val="en-US" w:eastAsia="zh-CN"/>
        </w:rPr>
        <w:t>评标报告是根据全体评标委员会成员签字的原始评标记录和评标结果编写的报告，评标报告由评标委员会全体成员签字。对评标结论持有异议的评标委员会成员可以书面方式阐述其不同意见和理由。评标委员会成员拒绝在评标报告上签字且不陈述其不同意见和理由的，视为同意评标结论。</w:t>
      </w:r>
      <w:r>
        <w:rPr>
          <w:rFonts w:hint="eastAsia" w:ascii="仿宋" w:hAnsi="仿宋" w:eastAsia="仿宋" w:cs="仿宋"/>
          <w:b w:val="0"/>
          <w:bCs w:val="0"/>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t xml:space="preserve"> </w:t>
      </w:r>
    </w:p>
    <w:p w14:paraId="49AAEAA0">
      <w:pPr>
        <w:keepNext w:val="0"/>
        <w:keepLines w:val="0"/>
        <w:pageBreakBefore w:val="0"/>
        <w:widowControl w:val="0"/>
        <w:kinsoku/>
        <w:wordWrap w:val="0"/>
        <w:overflowPunct/>
        <w:topLinePunct/>
        <w:autoSpaceDE/>
        <w:autoSpaceDN/>
        <w:bidi w:val="0"/>
        <w:adjustRightInd/>
        <w:snapToGrid/>
        <w:spacing w:line="360" w:lineRule="auto"/>
        <w:ind w:firstLine="422" w:firstLineChars="200"/>
        <w:textAlignment w:val="baseline"/>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pacing w:val="0"/>
          <w:w w:val="100"/>
          <w:position w:val="0"/>
          <w:szCs w:val="21"/>
          <w:highlight w:val="none"/>
          <w:lang w:val="en-US" w:eastAsia="zh-CN"/>
          <w14:textOutline w14:w="4356" w14:cap="sq" w14:cmpd="sng" w14:algn="ctr">
            <w14:solidFill>
              <w14:srgbClr w14:val="000000"/>
            </w14:solidFill>
            <w14:prstDash w14:val="solid"/>
            <w14:bevel/>
          </w14:textOutline>
        </w:rPr>
        <w:t>（9）</w:t>
      </w:r>
      <w:r>
        <w:rPr>
          <w:rFonts w:hint="eastAsia" w:ascii="仿宋" w:hAnsi="仿宋" w:eastAsia="仿宋" w:cs="仿宋"/>
          <w:b/>
          <w:bCs/>
          <w:color w:val="auto"/>
          <w:sz w:val="21"/>
          <w:szCs w:val="21"/>
          <w:highlight w:val="none"/>
          <w:lang w:val="en-US" w:eastAsia="zh-CN"/>
        </w:rPr>
        <w:t>政府采购异常低价</w:t>
      </w:r>
    </w:p>
    <w:p w14:paraId="0571CD73">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根据《关于推动解决政府采购异常低价问题的通知》财库〔2026〕2号的规定，政府采购评审中出现下列情形之一的，评审委员会应当启动异常低价投标（响应）审查程序：</w:t>
      </w:r>
    </w:p>
    <w:p w14:paraId="21AD1D8F">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1）投标（响应）报价低于全部通过符合性审查投标人投标（响应）报价平均值50%的，即投标（响应）报价&lt;全部通过符合性审查投标人投标（响应）报价平均值×50%；</w:t>
      </w:r>
    </w:p>
    <w:p w14:paraId="67489B5E">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2）投标（响应）报价低于通过符合性审查的次低报价投标人投标（响应）报价50%的，即投标（响应）报价&lt;通过符合性审查的次低报价投标人投标（响应）报价×50%；</w:t>
      </w:r>
    </w:p>
    <w:p w14:paraId="66B86EC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3）投标（响应）报价低于采购项目最高限价45%的，即投标（响应）报价&lt;采购项目最高限价×45%；</w:t>
      </w:r>
    </w:p>
    <w:p w14:paraId="1CF9AD18">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4）评审委员会基于专业判断，认为投标人报价过低，有可能影响产品质量或者不能诚信履约的其他情形。</w:t>
      </w:r>
    </w:p>
    <w:p w14:paraId="25593605">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相关法律法规对投标人报价有规定的，从其规定。</w:t>
      </w:r>
    </w:p>
    <w:p w14:paraId="34F1287C">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评审委员会启动异常低价投标（响应）审查后，属于前述第1</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项至第4</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项情形的，应当要求相关</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在评审现场合理的时间内对投标（响应）价格作出解释，提供项目具体成本测算等与报价合理性相关的书面说明及必要的证明材料，包括但不限于原材料成本、人工成本、制造费用等，给予相关</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的合理时间一般不少于30分钟。其中，属于第3</w:t>
      </w:r>
      <w:r>
        <w:rPr>
          <w:rFonts w:hint="eastAsia" w:ascii="仿宋" w:hAnsi="仿宋" w:eastAsia="仿宋" w:cs="仿宋"/>
          <w:b w:val="0"/>
          <w:bCs w:val="0"/>
          <w:color w:val="auto"/>
          <w:sz w:val="21"/>
          <w:szCs w:val="21"/>
          <w:highlight w:val="none"/>
          <w:lang w:val="en-US" w:eastAsia="zh-CN"/>
        </w:rPr>
        <w:t>）</w:t>
      </w:r>
      <w:r>
        <w:rPr>
          <w:rFonts w:hint="default" w:ascii="仿宋" w:hAnsi="仿宋" w:eastAsia="仿宋" w:cs="仿宋"/>
          <w:b w:val="0"/>
          <w:bCs w:val="0"/>
          <w:color w:val="auto"/>
          <w:sz w:val="21"/>
          <w:szCs w:val="21"/>
          <w:highlight w:val="none"/>
          <w:lang w:val="en-US" w:eastAsia="zh-CN"/>
        </w:rPr>
        <w:t>项情形，</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已随投标（响应）文件一并提交相关书面说明及必要的证明材料的，在评审现场可不再重复提交。</w:t>
      </w:r>
    </w:p>
    <w:p w14:paraId="715130B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不能提供书面说明、证明材料，或者提供的书面说明、证明材料不能证明其报价合理性的，评审委员会应当将其作为无效投标（响应）处理。</w:t>
      </w:r>
    </w:p>
    <w:p w14:paraId="34A7A80B">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76BF421">
      <w:pPr>
        <w:keepNext w:val="0"/>
        <w:keepLines w:val="0"/>
        <w:pageBreakBefore w:val="0"/>
        <w:widowControl w:val="0"/>
        <w:kinsoku/>
        <w:wordWrap w:val="0"/>
        <w:overflowPunct/>
        <w:topLinePunct/>
        <w:autoSpaceDE/>
        <w:autoSpaceDN/>
        <w:bidi w:val="0"/>
        <w:adjustRightInd/>
        <w:snapToGrid/>
        <w:spacing w:line="360" w:lineRule="auto"/>
        <w:ind w:firstLine="420" w:firstLineChars="200"/>
        <w:textAlignment w:val="baseline"/>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异常低价投标（响应）审查的启动原因、审查意见和审查结果应当在评审报告中记录，并随</w:t>
      </w:r>
      <w:r>
        <w:rPr>
          <w:rFonts w:hint="eastAsia" w:ascii="仿宋" w:hAnsi="仿宋" w:eastAsia="仿宋" w:cs="仿宋"/>
          <w:b w:val="0"/>
          <w:bCs w:val="0"/>
          <w:color w:val="auto"/>
          <w:sz w:val="21"/>
          <w:szCs w:val="21"/>
          <w:highlight w:val="none"/>
          <w:lang w:val="en-US" w:eastAsia="zh-CN"/>
        </w:rPr>
        <w:t>投标人</w:t>
      </w:r>
      <w:r>
        <w:rPr>
          <w:rFonts w:hint="default" w:ascii="仿宋" w:hAnsi="仿宋" w:eastAsia="仿宋" w:cs="仿宋"/>
          <w:b w:val="0"/>
          <w:bCs w:val="0"/>
          <w:color w:val="auto"/>
          <w:sz w:val="21"/>
          <w:szCs w:val="21"/>
          <w:highlight w:val="none"/>
          <w:lang w:val="en-US" w:eastAsia="zh-CN"/>
        </w:rPr>
        <w:t>提供的相关书面说明及证明材料，以及评审委员会有关互联网浏览、查询历史一并归档。</w:t>
      </w:r>
    </w:p>
    <w:p w14:paraId="6142091C">
      <w:pPr>
        <w:keepNext w:val="0"/>
        <w:keepLines w:val="0"/>
        <w:pageBreakBefore w:val="0"/>
        <w:widowControl w:val="0"/>
        <w:kinsoku/>
        <w:wordWrap w:val="0"/>
        <w:overflowPunct/>
        <w:topLinePunct/>
        <w:autoSpaceDE/>
        <w:autoSpaceDN/>
        <w:bidi w:val="0"/>
        <w:adjustRightInd/>
        <w:snapToGrid/>
        <w:spacing w:line="420" w:lineRule="exact"/>
        <w:ind w:firstLine="422" w:firstLineChars="200"/>
        <w:textAlignment w:val="baseline"/>
        <w:rPr>
          <w:rFonts w:hint="default" w:ascii="仿宋" w:hAnsi="仿宋" w:eastAsia="仿宋" w:cs="仿宋"/>
          <w:b/>
          <w:bCs/>
          <w:color w:val="auto"/>
          <w:sz w:val="21"/>
          <w:szCs w:val="21"/>
          <w:highlight w:val="none"/>
          <w:lang w:val="en-US"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docGrid w:type="lines" w:linePitch="312" w:charSpace="0"/>
        </w:sectPr>
      </w:pPr>
    </w:p>
    <w:p w14:paraId="081C639B">
      <w:pPr>
        <w:pStyle w:val="2"/>
        <w:keepNext w:val="0"/>
        <w:keepLines w:val="0"/>
        <w:pageBreakBefore w:val="0"/>
        <w:widowControl w:val="0"/>
        <w:kinsoku/>
        <w:wordWrap w:val="0"/>
        <w:overflowPunct/>
        <w:topLinePunct/>
        <w:autoSpaceDE/>
        <w:autoSpaceDN/>
        <w:bidi w:val="0"/>
        <w:adjustRightInd/>
        <w:snapToGrid/>
        <w:spacing w:line="20" w:lineRule="atLeast"/>
        <w:ind w:left="0" w:leftChars="0" w:right="0"/>
        <w:jc w:val="center"/>
        <w:rPr>
          <w:rStyle w:val="31"/>
          <w:rFonts w:hint="eastAsia" w:ascii="仿宋" w:hAnsi="仿宋" w:eastAsia="仿宋" w:cs="仿宋"/>
          <w:b/>
          <w:bCs w:val="0"/>
          <w:color w:val="auto"/>
          <w:sz w:val="28"/>
          <w:szCs w:val="28"/>
          <w:highlight w:val="none"/>
          <w:lang w:eastAsia="zh-CN"/>
        </w:rPr>
      </w:pPr>
      <w:bookmarkStart w:id="529" w:name="_Toc10852"/>
      <w:bookmarkStart w:id="530" w:name="_Toc8111"/>
      <w:bookmarkStart w:id="531" w:name="_Toc9945"/>
      <w:r>
        <w:rPr>
          <w:rFonts w:hint="eastAsia" w:ascii="仿宋" w:hAnsi="仿宋" w:eastAsia="仿宋" w:cs="仿宋"/>
          <w:color w:val="auto"/>
          <w:sz w:val="28"/>
          <w:szCs w:val="28"/>
          <w:highlight w:val="none"/>
          <w:lang w:eastAsia="zh-CN"/>
        </w:rPr>
        <w:t>第四章 采购需求及要求</w:t>
      </w:r>
      <w:bookmarkEnd w:id="529"/>
      <w:bookmarkEnd w:id="530"/>
      <w:bookmarkEnd w:id="531"/>
    </w:p>
    <w:p w14:paraId="1633F27A">
      <w:pPr>
        <w:pStyle w:val="10"/>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outlineLvl w:val="1"/>
        <w:rPr>
          <w:rStyle w:val="31"/>
          <w:rFonts w:hint="eastAsia" w:ascii="仿宋" w:hAnsi="仿宋" w:eastAsia="仿宋" w:cs="仿宋"/>
          <w:color w:val="auto"/>
          <w:sz w:val="21"/>
          <w:szCs w:val="21"/>
          <w:highlight w:val="none"/>
          <w:lang w:val="en-US" w:eastAsia="zh-CN"/>
        </w:rPr>
      </w:pPr>
      <w:bookmarkStart w:id="532" w:name="_Toc4747"/>
      <w:bookmarkStart w:id="533" w:name="_Toc5955"/>
      <w:bookmarkStart w:id="534" w:name="_Toc18232"/>
      <w:bookmarkStart w:id="535" w:name="_Toc15845"/>
      <w:r>
        <w:rPr>
          <w:rStyle w:val="31"/>
          <w:rFonts w:hint="eastAsia" w:ascii="仿宋" w:hAnsi="仿宋" w:eastAsia="仿宋" w:cs="仿宋"/>
          <w:color w:val="auto"/>
          <w:sz w:val="21"/>
          <w:szCs w:val="21"/>
          <w:highlight w:val="none"/>
          <w:lang w:val="en-US" w:eastAsia="zh-CN"/>
        </w:rPr>
        <w:t>一、特别说明与规定</w:t>
      </w:r>
      <w:bookmarkEnd w:id="532"/>
      <w:bookmarkEnd w:id="533"/>
      <w:bookmarkEnd w:id="534"/>
    </w:p>
    <w:p w14:paraId="4C018D2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本部分内容均为</w:t>
      </w:r>
      <w:r>
        <w:rPr>
          <w:rFonts w:hint="eastAsia" w:ascii="仿宋" w:hAnsi="仿宋" w:eastAsia="仿宋" w:cs="仿宋"/>
          <w:color w:val="auto"/>
          <w:sz w:val="21"/>
          <w:szCs w:val="21"/>
          <w:highlight w:val="none"/>
          <w:lang w:eastAsia="zh-CN"/>
        </w:rPr>
        <w:t>采购人</w:t>
      </w:r>
      <w:r>
        <w:rPr>
          <w:rFonts w:hint="eastAsia" w:ascii="仿宋" w:hAnsi="仿宋" w:eastAsia="仿宋" w:cs="仿宋"/>
          <w:color w:val="auto"/>
          <w:sz w:val="21"/>
          <w:szCs w:val="21"/>
          <w:highlight w:val="none"/>
        </w:rPr>
        <w:t>基本要求，如</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无法响应，须在《</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rPr>
        <w:t>中详细说明，未说明的，视为完全响应，中标后必须严格遵守，否则视为违约。</w:t>
      </w:r>
    </w:p>
    <w:p w14:paraId="6FDCD01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所提供的设备必须为原厂生产的全新正品，来源合法。所有货物到达现场应有完整的包装，随机技术、服务性资料和软件齐全。</w:t>
      </w:r>
    </w:p>
    <w:p w14:paraId="06258C86">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2.采购需求及要求中“技术要求”</w:t>
      </w:r>
      <w:r>
        <w:rPr>
          <w:rFonts w:hint="eastAsia" w:ascii="仿宋" w:hAnsi="仿宋" w:eastAsia="仿宋" w:cs="仿宋"/>
          <w:color w:val="auto"/>
          <w:sz w:val="21"/>
          <w:szCs w:val="21"/>
          <w:highlight w:val="none"/>
        </w:rPr>
        <w:t>的各项技术参数和规格要求如出现引用某一特定的专利技术、商标、名称、设计、原产地或供应者等情况，则仅起参考作用。</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可选用实质上“相当于”或“优于”该参考技术规格要求的产品投标，同时填写《</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p>
    <w:p w14:paraId="5C71D35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val="en-US" w:eastAsia="zh-CN" w:bidi="ar-SA"/>
        </w:rPr>
        <w:t>投标人必须根据采购需求及要求中“技术要求”在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bidi="ar-SA"/>
        </w:rPr>
        <w:t>中作出全面、真实地反映，</w:t>
      </w:r>
      <w:r>
        <w:rPr>
          <w:rFonts w:hint="eastAsia" w:ascii="仿宋" w:hAnsi="仿宋" w:eastAsia="仿宋" w:cs="仿宋"/>
          <w:color w:val="auto"/>
          <w:sz w:val="21"/>
          <w:szCs w:val="21"/>
          <w:highlight w:val="none"/>
          <w:lang w:val="en-US" w:eastAsia="zh-CN"/>
        </w:rPr>
        <w:t>“采购需求”中的重要技术指标（“▲”指标），除按要求填写技术规格偏离表外，还须提供证明材料，证明材料包括：招标文件技术指标内明确要求提供的证明材料，未明确的可提供所投产品主要技术指标、参数及性能的公开印刷的技术白皮书（非自行拟定）或制造商公开发布的印刷资料（彩页或产品宣传册）或检测（检验）报告或官方网站发布的技术资料截图或系统功能截图。不接受投标人自行临时编制、印刷、打印或者手写的技术支持资料，若投标文件中技术支持资料指标与技术规格偏离表应答不符或无上述技术支持资料，视为无证明材料。一般技术指标（未标注“▲”指标）若招标文件中明确要求提供证明材料的须按要求提供证明材料，未明确要求的须在技术规格偏离表上应答，偏离情况应如实填写“正偏离”或“负偏离”或“无偏离”。</w:t>
      </w:r>
    </w:p>
    <w:p w14:paraId="46AFA07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本章内容是采购人需求的最基本组成，在满足此项目功能要求的前提条</w:t>
      </w:r>
      <w:r>
        <w:rPr>
          <w:rFonts w:hint="eastAsia" w:ascii="仿宋" w:hAnsi="仿宋" w:eastAsia="仿宋" w:cs="仿宋"/>
          <w:color w:val="auto"/>
          <w:sz w:val="21"/>
          <w:szCs w:val="21"/>
          <w:highlight w:val="none"/>
          <w:lang w:eastAsia="zh-CN"/>
        </w:rPr>
        <w:t>件下</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不可擅自改动或减</w:t>
      </w:r>
      <w:r>
        <w:rPr>
          <w:rFonts w:hint="eastAsia" w:ascii="仿宋" w:hAnsi="仿宋" w:eastAsia="仿宋" w:cs="仿宋"/>
          <w:color w:val="auto"/>
          <w:sz w:val="21"/>
          <w:szCs w:val="21"/>
          <w:highlight w:val="none"/>
          <w:lang w:val="en-US" w:eastAsia="zh-CN"/>
        </w:rPr>
        <w:t>少</w:t>
      </w:r>
      <w:r>
        <w:rPr>
          <w:rFonts w:hint="eastAsia" w:ascii="仿宋" w:hAnsi="仿宋" w:eastAsia="仿宋" w:cs="仿宋"/>
          <w:color w:val="auto"/>
          <w:sz w:val="21"/>
          <w:szCs w:val="21"/>
          <w:highlight w:val="none"/>
        </w:rPr>
        <w:t>。如果</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认为采购需求</w:t>
      </w:r>
      <w:r>
        <w:rPr>
          <w:rFonts w:hint="eastAsia" w:ascii="仿宋" w:hAnsi="仿宋" w:eastAsia="仿宋" w:cs="仿宋"/>
          <w:color w:val="auto"/>
          <w:sz w:val="21"/>
          <w:szCs w:val="21"/>
          <w:highlight w:val="none"/>
          <w:lang w:val="en-US" w:eastAsia="zh-CN"/>
        </w:rPr>
        <w:t>及要求</w:t>
      </w:r>
      <w:r>
        <w:rPr>
          <w:rFonts w:hint="eastAsia" w:ascii="仿宋" w:hAnsi="仿宋" w:eastAsia="仿宋" w:cs="仿宋"/>
          <w:color w:val="auto"/>
          <w:sz w:val="21"/>
          <w:szCs w:val="21"/>
          <w:highlight w:val="none"/>
        </w:rPr>
        <w:t>中缺少了满足采购要求所必需的设备、材料或其他工作内容，</w:t>
      </w:r>
      <w:r>
        <w:rPr>
          <w:rFonts w:hint="eastAsia" w:ascii="仿宋" w:hAnsi="仿宋" w:eastAsia="仿宋" w:cs="仿宋"/>
          <w:color w:val="auto"/>
          <w:sz w:val="21"/>
          <w:szCs w:val="21"/>
          <w:highlight w:val="none"/>
          <w:lang w:eastAsia="zh-CN"/>
        </w:rPr>
        <w:t>投标人</w:t>
      </w:r>
      <w:r>
        <w:rPr>
          <w:rFonts w:hint="eastAsia" w:ascii="仿宋" w:hAnsi="仿宋" w:eastAsia="仿宋" w:cs="仿宋"/>
          <w:color w:val="auto"/>
          <w:sz w:val="21"/>
          <w:szCs w:val="21"/>
          <w:highlight w:val="none"/>
        </w:rPr>
        <w:t>应在投标时自行完成补齐，并在投标文件中详细说明增加内容及增加理由，同时由此产生的费用包含在投标总价内。对没有填报的费用，采购人将不予支付，并认为此项费用已包含在投标总价中。</w:t>
      </w:r>
    </w:p>
    <w:p w14:paraId="11579533">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5.请投标人在制作投标文件时仔细研究项目采购需求及要求。投标人不能简单照搬照抄采购单位项目需求说明中的技术、商务要求，必须作实事求是的响应。如照搬照抄项目需求说明中的技术、商务要求的，中标后在同采购单位签订合同和履约环节中不得提出异议，一切后果和损失由投标人承担。如投标人提供的货物和服务同采购单位提出的项目需求说明中的技术、商务要求不同的，必须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《商务</w:t>
      </w:r>
      <w:r>
        <w:rPr>
          <w:rFonts w:hint="eastAsia" w:ascii="仿宋" w:hAnsi="仿宋" w:eastAsia="仿宋" w:cs="仿宋"/>
          <w:color w:val="auto"/>
          <w:sz w:val="21"/>
          <w:szCs w:val="21"/>
          <w:highlight w:val="none"/>
          <w:lang w:val="en-US" w:eastAsia="zh-CN"/>
        </w:rPr>
        <w:t>要求</w:t>
      </w:r>
      <w:r>
        <w:rPr>
          <w:rFonts w:hint="eastAsia" w:ascii="仿宋" w:hAnsi="仿宋" w:eastAsia="仿宋" w:cs="仿宋"/>
          <w:color w:val="auto"/>
          <w:sz w:val="21"/>
          <w:szCs w:val="21"/>
          <w:highlight w:val="none"/>
          <w:lang w:eastAsia="zh-CN"/>
        </w:rPr>
        <w:t>响应</w:t>
      </w:r>
      <w:r>
        <w:rPr>
          <w:rFonts w:hint="eastAsia" w:ascii="仿宋" w:hAnsi="仿宋" w:eastAsia="仿宋" w:cs="仿宋"/>
          <w:color w:val="auto"/>
          <w:sz w:val="21"/>
          <w:szCs w:val="21"/>
          <w:highlight w:val="none"/>
          <w:lang w:val="en-US" w:eastAsia="zh-CN"/>
        </w:rPr>
        <w:t>/</w:t>
      </w:r>
      <w:r>
        <w:rPr>
          <w:rFonts w:hint="eastAsia" w:ascii="仿宋" w:hAnsi="仿宋" w:eastAsia="仿宋" w:cs="仿宋"/>
          <w:color w:val="auto"/>
          <w:sz w:val="21"/>
          <w:szCs w:val="21"/>
          <w:highlight w:val="none"/>
          <w:lang w:eastAsia="zh-CN"/>
        </w:rPr>
        <w:t>偏离表》</w:t>
      </w:r>
      <w:r>
        <w:rPr>
          <w:rFonts w:hint="eastAsia" w:ascii="仿宋" w:hAnsi="仿宋" w:eastAsia="仿宋" w:cs="仿宋"/>
          <w:color w:val="auto"/>
          <w:sz w:val="21"/>
          <w:szCs w:val="21"/>
          <w:highlight w:val="none"/>
          <w:lang w:val="en-US" w:eastAsia="zh-CN"/>
        </w:rPr>
        <w:t>上明示，如不明示的视同完全响应</w:t>
      </w:r>
      <w:r>
        <w:rPr>
          <w:rFonts w:hint="eastAsia" w:ascii="仿宋" w:hAnsi="仿宋" w:eastAsia="仿宋" w:cs="仿宋"/>
          <w:color w:val="auto"/>
          <w:sz w:val="21"/>
          <w:szCs w:val="21"/>
          <w:highlight w:val="none"/>
        </w:rPr>
        <w:t>。中标后必须严格遵守，否则视为违约。</w:t>
      </w:r>
    </w:p>
    <w:p w14:paraId="74652EC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6.中标后设备的品牌应当是投标文件中</w:t>
      </w:r>
      <w:r>
        <w:rPr>
          <w:rFonts w:hint="eastAsia" w:cs="仿宋"/>
          <w:color w:val="auto"/>
          <w:sz w:val="21"/>
          <w:szCs w:val="21"/>
          <w:highlight w:val="none"/>
          <w:lang w:val="en-US" w:eastAsia="zh-CN"/>
        </w:rPr>
        <w:t>承诺</w:t>
      </w:r>
      <w:r>
        <w:rPr>
          <w:rFonts w:hint="eastAsia" w:ascii="仿宋" w:hAnsi="仿宋" w:eastAsia="仿宋" w:cs="仿宋"/>
          <w:color w:val="auto"/>
          <w:sz w:val="21"/>
          <w:szCs w:val="21"/>
          <w:highlight w:val="none"/>
          <w:lang w:val="en-US" w:eastAsia="zh-CN"/>
        </w:rPr>
        <w:t>的品牌</w:t>
      </w:r>
      <w:r>
        <w:rPr>
          <w:rFonts w:hint="eastAsia" w:cs="仿宋"/>
          <w:color w:val="auto"/>
          <w:sz w:val="21"/>
          <w:szCs w:val="21"/>
          <w:highlight w:val="none"/>
          <w:lang w:val="en-US" w:eastAsia="zh-CN"/>
        </w:rPr>
        <w:t>，</w:t>
      </w:r>
      <w:r>
        <w:rPr>
          <w:rFonts w:hint="eastAsia" w:ascii="仿宋" w:hAnsi="仿宋" w:eastAsia="仿宋" w:cs="仿宋"/>
          <w:color w:val="auto"/>
          <w:sz w:val="21"/>
          <w:szCs w:val="21"/>
          <w:highlight w:val="none"/>
          <w:lang w:val="en-US" w:eastAsia="zh-CN"/>
        </w:rPr>
        <w:t>不能随意更换</w:t>
      </w:r>
      <w:r>
        <w:rPr>
          <w:rFonts w:hint="eastAsia" w:ascii="仿宋" w:hAnsi="仿宋" w:eastAsia="仿宋" w:cs="仿宋"/>
          <w:color w:val="auto"/>
          <w:sz w:val="21"/>
          <w:szCs w:val="21"/>
          <w:highlight w:val="none"/>
        </w:rPr>
        <w:t>。</w:t>
      </w:r>
    </w:p>
    <w:p w14:paraId="476237E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left"/>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lang w:val="en-US" w:eastAsia="zh-CN"/>
        </w:rPr>
        <w:t>7.说明</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2"/>
        <w:gridCol w:w="1011"/>
        <w:gridCol w:w="5069"/>
      </w:tblGrid>
      <w:tr w14:paraId="7DDC5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795" w:type="dxa"/>
            <w:vAlign w:val="center"/>
          </w:tcPr>
          <w:p w14:paraId="35149B34">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表示重要性</w:t>
            </w:r>
          </w:p>
        </w:tc>
        <w:tc>
          <w:tcPr>
            <w:tcW w:w="1125" w:type="dxa"/>
            <w:vAlign w:val="center"/>
          </w:tcPr>
          <w:p w14:paraId="4105DFE0">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标识符合</w:t>
            </w:r>
          </w:p>
        </w:tc>
        <w:tc>
          <w:tcPr>
            <w:tcW w:w="5934" w:type="dxa"/>
            <w:vAlign w:val="center"/>
          </w:tcPr>
          <w:p w14:paraId="109F6745">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b/>
                <w:bCs/>
                <w:color w:val="auto"/>
                <w:sz w:val="21"/>
                <w:szCs w:val="21"/>
                <w:highlight w:val="none"/>
                <w:vertAlign w:val="baseline"/>
                <w:lang w:val="en-US" w:eastAsia="zh-CN"/>
              </w:rPr>
            </w:pPr>
            <w:r>
              <w:rPr>
                <w:rFonts w:hint="eastAsia" w:ascii="仿宋" w:hAnsi="仿宋" w:eastAsia="仿宋" w:cs="仿宋"/>
                <w:b/>
                <w:bCs/>
                <w:color w:val="auto"/>
                <w:sz w:val="21"/>
                <w:szCs w:val="21"/>
                <w:highlight w:val="none"/>
                <w:vertAlign w:val="baseline"/>
                <w:lang w:val="en-US" w:eastAsia="zh-CN"/>
              </w:rPr>
              <w:t>代表意思</w:t>
            </w:r>
          </w:p>
        </w:tc>
      </w:tr>
      <w:tr w14:paraId="28233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371A942A">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重要指标项</w:t>
            </w:r>
          </w:p>
        </w:tc>
        <w:tc>
          <w:tcPr>
            <w:tcW w:w="1125" w:type="dxa"/>
            <w:vAlign w:val="center"/>
          </w:tcPr>
          <w:p w14:paraId="246FCB6A">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w:t>
            </w:r>
          </w:p>
        </w:tc>
        <w:tc>
          <w:tcPr>
            <w:tcW w:w="5934" w:type="dxa"/>
            <w:vAlign w:val="center"/>
          </w:tcPr>
          <w:p w14:paraId="47E9B1DF">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作为评分项，详见“第三章”中评分细则。</w:t>
            </w:r>
          </w:p>
        </w:tc>
      </w:tr>
      <w:tr w14:paraId="7944C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95" w:type="dxa"/>
            <w:vAlign w:val="center"/>
          </w:tcPr>
          <w:p w14:paraId="3834F37E">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一般技术指标（无标识项）</w:t>
            </w:r>
          </w:p>
        </w:tc>
        <w:tc>
          <w:tcPr>
            <w:tcW w:w="1125" w:type="dxa"/>
            <w:vAlign w:val="center"/>
          </w:tcPr>
          <w:p w14:paraId="610B54C8">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无</w:t>
            </w:r>
          </w:p>
        </w:tc>
        <w:tc>
          <w:tcPr>
            <w:tcW w:w="5934" w:type="dxa"/>
            <w:vAlign w:val="center"/>
          </w:tcPr>
          <w:p w14:paraId="28CAD959">
            <w:pPr>
              <w:pStyle w:val="10"/>
              <w:keepNext w:val="0"/>
              <w:keepLines w:val="0"/>
              <w:pageBreakBefore w:val="0"/>
              <w:widowControl w:val="0"/>
              <w:kinsoku/>
              <w:wordWrap w:val="0"/>
              <w:overflowPunct/>
              <w:topLinePunct/>
              <w:autoSpaceDE/>
              <w:autoSpaceDN/>
              <w:bidi w:val="0"/>
              <w:adjustRightInd/>
              <w:snapToGrid/>
              <w:spacing w:line="420" w:lineRule="exact"/>
              <w:ind w:left="0" w:right="0"/>
              <w:jc w:val="center"/>
              <w:textAlignment w:val="auto"/>
              <w:rPr>
                <w:rFonts w:hint="eastAsia" w:ascii="仿宋" w:hAnsi="仿宋" w:eastAsia="仿宋" w:cs="仿宋"/>
                <w:color w:val="auto"/>
                <w:sz w:val="21"/>
                <w:szCs w:val="21"/>
                <w:highlight w:val="none"/>
                <w:vertAlign w:val="baseline"/>
                <w:lang w:val="en-US" w:eastAsia="zh-CN"/>
              </w:rPr>
            </w:pPr>
            <w:r>
              <w:rPr>
                <w:rFonts w:hint="eastAsia" w:ascii="仿宋" w:hAnsi="仿宋" w:eastAsia="仿宋" w:cs="仿宋"/>
                <w:color w:val="auto"/>
                <w:sz w:val="21"/>
                <w:szCs w:val="21"/>
                <w:highlight w:val="none"/>
                <w:vertAlign w:val="baseline"/>
                <w:lang w:val="en-US" w:eastAsia="zh-CN"/>
              </w:rPr>
              <w:t>作为评分项，详见“第三章”中评分细则。</w:t>
            </w:r>
          </w:p>
        </w:tc>
      </w:tr>
    </w:tbl>
    <w:p w14:paraId="14B7E624">
      <w:pPr>
        <w:pStyle w:val="10"/>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1"/>
          <w:szCs w:val="21"/>
          <w:highlight w:val="none"/>
          <w:lang w:val="en-US" w:eastAsia="zh-CN"/>
        </w:rPr>
        <w:t>注：以投标文件中提供的投标响应表及采购需求要求提供的相关证明材料作为评审依据，投标人应诚实应答。</w:t>
      </w:r>
    </w:p>
    <w:p w14:paraId="7A1B59DD">
      <w:pPr>
        <w:pStyle w:val="10"/>
        <w:keepNext w:val="0"/>
        <w:keepLines w:val="0"/>
        <w:pageBreakBefore w:val="0"/>
        <w:widowControl w:val="0"/>
        <w:kinsoku/>
        <w:wordWrap w:val="0"/>
        <w:overflowPunct/>
        <w:topLinePunct/>
        <w:autoSpaceDE/>
        <w:autoSpaceDN/>
        <w:bidi w:val="0"/>
        <w:adjustRightInd/>
        <w:snapToGrid/>
        <w:spacing w:line="420" w:lineRule="exact"/>
        <w:ind w:left="0" w:right="0"/>
        <w:jc w:val="left"/>
        <w:textAlignment w:val="auto"/>
        <w:outlineLvl w:val="1"/>
        <w:rPr>
          <w:rStyle w:val="31"/>
          <w:rFonts w:hint="eastAsia" w:ascii="仿宋" w:hAnsi="仿宋" w:eastAsia="仿宋" w:cs="仿宋"/>
          <w:color w:val="auto"/>
          <w:sz w:val="21"/>
          <w:szCs w:val="21"/>
          <w:highlight w:val="none"/>
          <w:lang w:val="en-US" w:eastAsia="zh-CN"/>
        </w:rPr>
      </w:pPr>
      <w:bookmarkStart w:id="536" w:name="_Toc30589"/>
      <w:bookmarkStart w:id="537" w:name="_Toc16099"/>
      <w:r>
        <w:rPr>
          <w:rStyle w:val="31"/>
          <w:rFonts w:hint="eastAsia" w:ascii="仿宋" w:hAnsi="仿宋" w:eastAsia="仿宋" w:cs="仿宋"/>
          <w:color w:val="auto"/>
          <w:sz w:val="21"/>
          <w:szCs w:val="21"/>
          <w:highlight w:val="none"/>
          <w:lang w:val="en-US" w:eastAsia="zh-CN"/>
        </w:rPr>
        <w:t>二、采购需求清单</w:t>
      </w:r>
    </w:p>
    <w:bookmarkEnd w:id="535"/>
    <w:bookmarkEnd w:id="536"/>
    <w:bookmarkEnd w:id="537"/>
    <w:p w14:paraId="5F97C360">
      <w:pPr>
        <w:pStyle w:val="18"/>
        <w:ind w:left="0" w:leftChars="0" w:firstLine="0" w:firstLineChars="0"/>
        <w:rPr>
          <w:rFonts w:hint="eastAsia" w:ascii="仿宋" w:hAnsi="仿宋" w:eastAsia="仿宋" w:cs="仿宋"/>
          <w:color w:val="auto"/>
          <w:highlight w:val="none"/>
        </w:rPr>
      </w:pPr>
      <w:bookmarkStart w:id="538" w:name="_Toc31363"/>
    </w:p>
    <w:tbl>
      <w:tblPr>
        <w:tblStyle w:val="29"/>
        <w:tblW w:w="8612" w:type="dxa"/>
        <w:tblInd w:w="-10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1"/>
        <w:gridCol w:w="3119"/>
        <w:gridCol w:w="1159"/>
        <w:gridCol w:w="1369"/>
        <w:gridCol w:w="2064"/>
      </w:tblGrid>
      <w:tr w14:paraId="2B7FC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901" w:type="dxa"/>
            <w:vMerge w:val="restart"/>
            <w:tcBorders>
              <w:bottom w:val="nil"/>
            </w:tcBorders>
            <w:vAlign w:val="top"/>
          </w:tcPr>
          <w:p w14:paraId="5615688B">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序号</w:t>
            </w:r>
          </w:p>
        </w:tc>
        <w:tc>
          <w:tcPr>
            <w:tcW w:w="3119" w:type="dxa"/>
            <w:vMerge w:val="restart"/>
            <w:tcBorders>
              <w:bottom w:val="nil"/>
            </w:tcBorders>
            <w:vAlign w:val="top"/>
          </w:tcPr>
          <w:p w14:paraId="1998AB65">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项目名称</w:t>
            </w:r>
          </w:p>
        </w:tc>
        <w:tc>
          <w:tcPr>
            <w:tcW w:w="1159" w:type="dxa"/>
            <w:vMerge w:val="restart"/>
            <w:tcBorders>
              <w:bottom w:val="nil"/>
            </w:tcBorders>
            <w:vAlign w:val="top"/>
          </w:tcPr>
          <w:p w14:paraId="79CF499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单位</w:t>
            </w:r>
          </w:p>
        </w:tc>
        <w:tc>
          <w:tcPr>
            <w:tcW w:w="1369" w:type="dxa"/>
            <w:vMerge w:val="restart"/>
            <w:tcBorders>
              <w:bottom w:val="nil"/>
            </w:tcBorders>
            <w:vAlign w:val="top"/>
          </w:tcPr>
          <w:p w14:paraId="37FBA5D3">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数量</w:t>
            </w:r>
          </w:p>
        </w:tc>
        <w:tc>
          <w:tcPr>
            <w:tcW w:w="2064" w:type="dxa"/>
            <w:vMerge w:val="restart"/>
            <w:tcBorders>
              <w:bottom w:val="nil"/>
            </w:tcBorders>
            <w:vAlign w:val="top"/>
          </w:tcPr>
          <w:p w14:paraId="2CA5B71F">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default"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是否接受进口产品</w:t>
            </w:r>
          </w:p>
        </w:tc>
      </w:tr>
      <w:tr w14:paraId="269D9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901" w:type="dxa"/>
            <w:vMerge w:val="continue"/>
            <w:tcBorders>
              <w:top w:val="nil"/>
            </w:tcBorders>
            <w:vAlign w:val="top"/>
          </w:tcPr>
          <w:p w14:paraId="165228E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3119" w:type="dxa"/>
            <w:vMerge w:val="continue"/>
            <w:tcBorders>
              <w:top w:val="nil"/>
            </w:tcBorders>
            <w:vAlign w:val="top"/>
          </w:tcPr>
          <w:p w14:paraId="140D3055">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159" w:type="dxa"/>
            <w:vMerge w:val="continue"/>
            <w:tcBorders>
              <w:top w:val="nil"/>
            </w:tcBorders>
            <w:vAlign w:val="top"/>
          </w:tcPr>
          <w:p w14:paraId="1C9DFA03">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369" w:type="dxa"/>
            <w:vMerge w:val="continue"/>
            <w:tcBorders>
              <w:top w:val="nil"/>
            </w:tcBorders>
            <w:vAlign w:val="top"/>
          </w:tcPr>
          <w:p w14:paraId="27581B19">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2064" w:type="dxa"/>
            <w:vMerge w:val="continue"/>
            <w:tcBorders>
              <w:top w:val="nil"/>
            </w:tcBorders>
            <w:vAlign w:val="top"/>
          </w:tcPr>
          <w:p w14:paraId="0848B3B1">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r>
      <w:tr w14:paraId="76F08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159FA83E">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二</w:t>
            </w:r>
          </w:p>
        </w:tc>
        <w:tc>
          <w:tcPr>
            <w:tcW w:w="3119" w:type="dxa"/>
            <w:vAlign w:val="top"/>
          </w:tcPr>
          <w:p w14:paraId="0642EA2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县级会商决策能力提升</w:t>
            </w:r>
          </w:p>
        </w:tc>
        <w:tc>
          <w:tcPr>
            <w:tcW w:w="1159" w:type="dxa"/>
            <w:vAlign w:val="top"/>
          </w:tcPr>
          <w:p w14:paraId="0448E6E4">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369" w:type="dxa"/>
            <w:vAlign w:val="top"/>
          </w:tcPr>
          <w:p w14:paraId="716E11AA">
            <w:pPr>
              <w:pStyle w:val="10"/>
              <w:keepNext w:val="0"/>
              <w:keepLines w:val="0"/>
              <w:pageBreakBefore w:val="0"/>
              <w:widowControl w:val="0"/>
              <w:kinsoku/>
              <w:wordWrap w:val="0"/>
              <w:overflowPunct/>
              <w:topLinePunct/>
              <w:autoSpaceDE/>
              <w:autoSpaceDN/>
              <w:bidi w:val="0"/>
              <w:adjustRightInd/>
              <w:snapToGrid/>
              <w:spacing w:line="420" w:lineRule="exact"/>
              <w:ind w:left="0" w:leftChars="0" w:right="0" w:rightChars="0" w:firstLine="420" w:firstLineChars="200"/>
              <w:jc w:val="center"/>
              <w:textAlignment w:val="auto"/>
              <w:rPr>
                <w:rFonts w:hint="eastAsia" w:ascii="仿宋" w:hAnsi="仿宋" w:eastAsia="仿宋" w:cs="仿宋"/>
                <w:color w:val="auto"/>
                <w:sz w:val="21"/>
                <w:szCs w:val="21"/>
                <w:highlight w:val="none"/>
                <w:lang w:val="en-US" w:eastAsia="zh-CN"/>
              </w:rPr>
            </w:pPr>
          </w:p>
        </w:tc>
        <w:tc>
          <w:tcPr>
            <w:tcW w:w="2064" w:type="dxa"/>
            <w:vAlign w:val="top"/>
          </w:tcPr>
          <w:p w14:paraId="0581A4EE">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r>
      <w:tr w14:paraId="1FC4C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901" w:type="dxa"/>
            <w:vAlign w:val="top"/>
          </w:tcPr>
          <w:p w14:paraId="22D5EBF4">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3119" w:type="dxa"/>
            <w:vAlign w:val="top"/>
          </w:tcPr>
          <w:p w14:paraId="42ADB2D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大屏显示系统</w:t>
            </w:r>
          </w:p>
        </w:tc>
        <w:tc>
          <w:tcPr>
            <w:tcW w:w="1159" w:type="dxa"/>
            <w:vAlign w:val="top"/>
          </w:tcPr>
          <w:p w14:paraId="6D4C888E">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1369" w:type="dxa"/>
            <w:vAlign w:val="top"/>
          </w:tcPr>
          <w:p w14:paraId="25A395CF">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2064" w:type="dxa"/>
            <w:vAlign w:val="top"/>
          </w:tcPr>
          <w:p w14:paraId="7A9585DD">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29195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7F2983FE">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3119" w:type="dxa"/>
            <w:vAlign w:val="top"/>
          </w:tcPr>
          <w:p w14:paraId="5B20E586">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会商调度系统</w:t>
            </w:r>
          </w:p>
        </w:tc>
        <w:tc>
          <w:tcPr>
            <w:tcW w:w="1159" w:type="dxa"/>
            <w:vAlign w:val="top"/>
          </w:tcPr>
          <w:p w14:paraId="67910667">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1369" w:type="dxa"/>
            <w:vAlign w:val="top"/>
          </w:tcPr>
          <w:p w14:paraId="1C72254A">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2064" w:type="dxa"/>
            <w:vAlign w:val="top"/>
          </w:tcPr>
          <w:p w14:paraId="3EA33C58">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28ED25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30706E36">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3119" w:type="dxa"/>
            <w:vAlign w:val="top"/>
          </w:tcPr>
          <w:p w14:paraId="7BCD2219">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GPU 能力提升</w:t>
            </w:r>
          </w:p>
        </w:tc>
        <w:tc>
          <w:tcPr>
            <w:tcW w:w="1159" w:type="dxa"/>
            <w:vAlign w:val="top"/>
          </w:tcPr>
          <w:p w14:paraId="13BFBDB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1369" w:type="dxa"/>
            <w:vAlign w:val="top"/>
          </w:tcPr>
          <w:p w14:paraId="4C14DA72">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2064" w:type="dxa"/>
            <w:vAlign w:val="top"/>
          </w:tcPr>
          <w:p w14:paraId="5C525B20">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03091E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901" w:type="dxa"/>
            <w:vAlign w:val="top"/>
          </w:tcPr>
          <w:p w14:paraId="4F0A4CCD">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三</w:t>
            </w:r>
          </w:p>
        </w:tc>
        <w:tc>
          <w:tcPr>
            <w:tcW w:w="3119" w:type="dxa"/>
            <w:vAlign w:val="top"/>
          </w:tcPr>
          <w:p w14:paraId="7F8E56E7">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基层防灾韧性能力提升</w:t>
            </w:r>
          </w:p>
        </w:tc>
        <w:tc>
          <w:tcPr>
            <w:tcW w:w="1159" w:type="dxa"/>
            <w:vAlign w:val="top"/>
          </w:tcPr>
          <w:p w14:paraId="30578F3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369" w:type="dxa"/>
            <w:vAlign w:val="top"/>
          </w:tcPr>
          <w:p w14:paraId="41C45593">
            <w:pPr>
              <w:pStyle w:val="10"/>
              <w:keepNext w:val="0"/>
              <w:keepLines w:val="0"/>
              <w:pageBreakBefore w:val="0"/>
              <w:widowControl w:val="0"/>
              <w:kinsoku/>
              <w:wordWrap w:val="0"/>
              <w:overflowPunct/>
              <w:topLinePunct/>
              <w:autoSpaceDE/>
              <w:autoSpaceDN/>
              <w:bidi w:val="0"/>
              <w:adjustRightInd/>
              <w:snapToGrid/>
              <w:spacing w:line="420" w:lineRule="exact"/>
              <w:ind w:left="0" w:leftChars="0" w:right="0" w:rightChars="0" w:firstLine="420" w:firstLineChars="200"/>
              <w:jc w:val="center"/>
              <w:textAlignment w:val="auto"/>
              <w:rPr>
                <w:rFonts w:hint="eastAsia" w:ascii="仿宋" w:hAnsi="仿宋" w:eastAsia="仿宋" w:cs="仿宋"/>
                <w:color w:val="auto"/>
                <w:sz w:val="21"/>
                <w:szCs w:val="21"/>
                <w:highlight w:val="none"/>
                <w:lang w:val="en-US" w:eastAsia="zh-CN"/>
              </w:rPr>
            </w:pPr>
          </w:p>
        </w:tc>
        <w:tc>
          <w:tcPr>
            <w:tcW w:w="2064" w:type="dxa"/>
            <w:vAlign w:val="top"/>
          </w:tcPr>
          <w:p w14:paraId="1009D55D">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r>
      <w:tr w14:paraId="6CFDC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047B9DC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3119" w:type="dxa"/>
            <w:vAlign w:val="top"/>
          </w:tcPr>
          <w:p w14:paraId="4BF507BF">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修订完善防御预案</w:t>
            </w:r>
          </w:p>
        </w:tc>
        <w:tc>
          <w:tcPr>
            <w:tcW w:w="1159" w:type="dxa"/>
            <w:vAlign w:val="top"/>
          </w:tcPr>
          <w:p w14:paraId="7101D93D">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个</w:t>
            </w:r>
          </w:p>
        </w:tc>
        <w:tc>
          <w:tcPr>
            <w:tcW w:w="1369" w:type="dxa"/>
            <w:vAlign w:val="top"/>
          </w:tcPr>
          <w:p w14:paraId="40F564EE">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2064" w:type="dxa"/>
            <w:vAlign w:val="top"/>
          </w:tcPr>
          <w:p w14:paraId="0719803F">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0D9AA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901" w:type="dxa"/>
            <w:vAlign w:val="top"/>
          </w:tcPr>
          <w:p w14:paraId="52435552">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3119" w:type="dxa"/>
            <w:vAlign w:val="top"/>
          </w:tcPr>
          <w:p w14:paraId="3612462B">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提升防灾避险能力</w:t>
            </w:r>
          </w:p>
        </w:tc>
        <w:tc>
          <w:tcPr>
            <w:tcW w:w="1159" w:type="dxa"/>
            <w:vAlign w:val="top"/>
          </w:tcPr>
          <w:p w14:paraId="36F4BA1C">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369" w:type="dxa"/>
            <w:vAlign w:val="top"/>
          </w:tcPr>
          <w:p w14:paraId="18D87C0D">
            <w:pPr>
              <w:pStyle w:val="10"/>
              <w:keepNext w:val="0"/>
              <w:keepLines w:val="0"/>
              <w:pageBreakBefore w:val="0"/>
              <w:widowControl w:val="0"/>
              <w:kinsoku/>
              <w:wordWrap w:val="0"/>
              <w:overflowPunct/>
              <w:topLinePunct/>
              <w:autoSpaceDE/>
              <w:autoSpaceDN/>
              <w:bidi w:val="0"/>
              <w:adjustRightInd/>
              <w:snapToGrid/>
              <w:spacing w:line="420" w:lineRule="exact"/>
              <w:ind w:left="0" w:leftChars="0" w:right="0" w:rightChars="0" w:firstLine="420" w:firstLineChars="200"/>
              <w:jc w:val="center"/>
              <w:textAlignment w:val="auto"/>
              <w:rPr>
                <w:rFonts w:hint="eastAsia" w:ascii="仿宋" w:hAnsi="仿宋" w:eastAsia="仿宋" w:cs="仿宋"/>
                <w:color w:val="auto"/>
                <w:sz w:val="21"/>
                <w:szCs w:val="21"/>
                <w:highlight w:val="none"/>
                <w:lang w:val="en-US" w:eastAsia="zh-CN"/>
              </w:rPr>
            </w:pPr>
          </w:p>
        </w:tc>
        <w:tc>
          <w:tcPr>
            <w:tcW w:w="2064" w:type="dxa"/>
            <w:vAlign w:val="top"/>
          </w:tcPr>
          <w:p w14:paraId="3F70479B">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r>
      <w:tr w14:paraId="299759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78BBB5B1">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2.1</w:t>
            </w:r>
          </w:p>
        </w:tc>
        <w:tc>
          <w:tcPr>
            <w:tcW w:w="3119" w:type="dxa"/>
            <w:vAlign w:val="top"/>
          </w:tcPr>
          <w:p w14:paraId="09F8D264">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培训、宣传、演练</w:t>
            </w:r>
          </w:p>
        </w:tc>
        <w:tc>
          <w:tcPr>
            <w:tcW w:w="1159" w:type="dxa"/>
            <w:vAlign w:val="top"/>
          </w:tcPr>
          <w:p w14:paraId="65E8FFD0">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次</w:t>
            </w:r>
          </w:p>
        </w:tc>
        <w:tc>
          <w:tcPr>
            <w:tcW w:w="1369" w:type="dxa"/>
            <w:vAlign w:val="top"/>
          </w:tcPr>
          <w:p w14:paraId="3E512D88">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2064" w:type="dxa"/>
            <w:vAlign w:val="top"/>
          </w:tcPr>
          <w:p w14:paraId="1D819537">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77598F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627145E1">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2.2</w:t>
            </w:r>
          </w:p>
        </w:tc>
        <w:tc>
          <w:tcPr>
            <w:tcW w:w="3119" w:type="dxa"/>
            <w:vAlign w:val="top"/>
          </w:tcPr>
          <w:p w14:paraId="5BE9572C">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宣传栏</w:t>
            </w:r>
          </w:p>
        </w:tc>
        <w:tc>
          <w:tcPr>
            <w:tcW w:w="1159" w:type="dxa"/>
            <w:vAlign w:val="top"/>
          </w:tcPr>
          <w:p w14:paraId="0E1E7CE9">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块</w:t>
            </w:r>
          </w:p>
        </w:tc>
        <w:tc>
          <w:tcPr>
            <w:tcW w:w="1369" w:type="dxa"/>
            <w:vAlign w:val="top"/>
          </w:tcPr>
          <w:p w14:paraId="79BB7520">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30</w:t>
            </w:r>
          </w:p>
        </w:tc>
        <w:tc>
          <w:tcPr>
            <w:tcW w:w="2064" w:type="dxa"/>
            <w:vAlign w:val="top"/>
          </w:tcPr>
          <w:p w14:paraId="4279A504">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r w14:paraId="436AB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 w:hRule="atLeast"/>
        </w:trPr>
        <w:tc>
          <w:tcPr>
            <w:tcW w:w="901" w:type="dxa"/>
            <w:vAlign w:val="top"/>
          </w:tcPr>
          <w:p w14:paraId="6572E8DA">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3119" w:type="dxa"/>
            <w:vAlign w:val="top"/>
          </w:tcPr>
          <w:p w14:paraId="738AF893">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强化未端预警预报手段</w:t>
            </w:r>
          </w:p>
        </w:tc>
        <w:tc>
          <w:tcPr>
            <w:tcW w:w="1159" w:type="dxa"/>
            <w:vAlign w:val="top"/>
          </w:tcPr>
          <w:p w14:paraId="76AD7A80">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c>
          <w:tcPr>
            <w:tcW w:w="1369" w:type="dxa"/>
            <w:vAlign w:val="top"/>
          </w:tcPr>
          <w:p w14:paraId="78E16CBA">
            <w:pPr>
              <w:pStyle w:val="10"/>
              <w:keepNext w:val="0"/>
              <w:keepLines w:val="0"/>
              <w:pageBreakBefore w:val="0"/>
              <w:widowControl w:val="0"/>
              <w:kinsoku/>
              <w:wordWrap w:val="0"/>
              <w:overflowPunct/>
              <w:topLinePunct/>
              <w:autoSpaceDE/>
              <w:autoSpaceDN/>
              <w:bidi w:val="0"/>
              <w:adjustRightInd/>
              <w:snapToGrid/>
              <w:spacing w:line="420" w:lineRule="exact"/>
              <w:ind w:left="0" w:leftChars="0" w:right="0" w:rightChars="0" w:firstLine="420" w:firstLineChars="200"/>
              <w:jc w:val="center"/>
              <w:textAlignment w:val="auto"/>
              <w:rPr>
                <w:rFonts w:hint="eastAsia" w:ascii="仿宋" w:hAnsi="仿宋" w:eastAsia="仿宋" w:cs="仿宋"/>
                <w:color w:val="auto"/>
                <w:sz w:val="21"/>
                <w:szCs w:val="21"/>
                <w:highlight w:val="none"/>
                <w:lang w:val="en-US" w:eastAsia="zh-CN"/>
              </w:rPr>
            </w:pPr>
          </w:p>
        </w:tc>
        <w:tc>
          <w:tcPr>
            <w:tcW w:w="2064" w:type="dxa"/>
            <w:vAlign w:val="top"/>
          </w:tcPr>
          <w:p w14:paraId="27CEAB7F">
            <w:pPr>
              <w:pStyle w:val="10"/>
              <w:keepNext w:val="0"/>
              <w:keepLines w:val="0"/>
              <w:pageBreakBefore w:val="0"/>
              <w:widowControl w:val="0"/>
              <w:kinsoku/>
              <w:wordWrap w:val="0"/>
              <w:overflowPunct/>
              <w:topLinePunct/>
              <w:autoSpaceDE/>
              <w:autoSpaceDN/>
              <w:bidi w:val="0"/>
              <w:adjustRightInd/>
              <w:snapToGrid/>
              <w:spacing w:line="420" w:lineRule="exact"/>
              <w:ind w:left="0" w:right="0" w:firstLine="420" w:firstLineChars="200"/>
              <w:jc w:val="center"/>
              <w:textAlignment w:val="auto"/>
              <w:rPr>
                <w:rFonts w:hint="eastAsia" w:ascii="仿宋" w:hAnsi="仿宋" w:eastAsia="仿宋" w:cs="仿宋"/>
                <w:color w:val="auto"/>
                <w:sz w:val="21"/>
                <w:szCs w:val="21"/>
                <w:highlight w:val="none"/>
                <w:lang w:val="en-US" w:eastAsia="zh-CN"/>
              </w:rPr>
            </w:pPr>
          </w:p>
        </w:tc>
      </w:tr>
      <w:tr w14:paraId="241CCC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 w:hRule="atLeast"/>
        </w:trPr>
        <w:tc>
          <w:tcPr>
            <w:tcW w:w="901" w:type="dxa"/>
            <w:vAlign w:val="top"/>
          </w:tcPr>
          <w:p w14:paraId="1A02019A">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3.1</w:t>
            </w:r>
          </w:p>
        </w:tc>
        <w:tc>
          <w:tcPr>
            <w:tcW w:w="3119" w:type="dxa"/>
            <w:vAlign w:val="top"/>
          </w:tcPr>
          <w:p w14:paraId="33ECDCAE">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新型入户报警“ 叫应 ”设备</w:t>
            </w:r>
          </w:p>
        </w:tc>
        <w:tc>
          <w:tcPr>
            <w:tcW w:w="1159" w:type="dxa"/>
            <w:vAlign w:val="top"/>
          </w:tcPr>
          <w:p w14:paraId="4611BFB7">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套</w:t>
            </w:r>
          </w:p>
        </w:tc>
        <w:tc>
          <w:tcPr>
            <w:tcW w:w="1369" w:type="dxa"/>
            <w:vAlign w:val="top"/>
          </w:tcPr>
          <w:p w14:paraId="484EC38B">
            <w:pPr>
              <w:pStyle w:val="10"/>
              <w:keepNext w:val="0"/>
              <w:keepLines w:val="0"/>
              <w:pageBreakBefore w:val="0"/>
              <w:widowControl w:val="0"/>
              <w:kinsoku/>
              <w:wordWrap w:val="0"/>
              <w:overflowPunct/>
              <w:topLinePunct/>
              <w:autoSpaceDE/>
              <w:autoSpaceDN/>
              <w:bidi w:val="0"/>
              <w:adjustRightInd/>
              <w:snapToGrid/>
              <w:spacing w:line="420" w:lineRule="exact"/>
              <w:ind w:right="0" w:rightChars="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2064" w:type="dxa"/>
            <w:vAlign w:val="top"/>
          </w:tcPr>
          <w:p w14:paraId="3173E109">
            <w:pPr>
              <w:pStyle w:val="10"/>
              <w:keepNext w:val="0"/>
              <w:keepLines w:val="0"/>
              <w:pageBreakBefore w:val="0"/>
              <w:widowControl w:val="0"/>
              <w:kinsoku/>
              <w:wordWrap w:val="0"/>
              <w:overflowPunct/>
              <w:topLinePunct/>
              <w:autoSpaceDE/>
              <w:autoSpaceDN/>
              <w:bidi w:val="0"/>
              <w:adjustRightInd/>
              <w:snapToGrid/>
              <w:spacing w:line="420" w:lineRule="exact"/>
              <w:ind w:right="0"/>
              <w:jc w:val="center"/>
              <w:textAlignment w:val="auto"/>
              <w:rPr>
                <w:rFonts w:hint="eastAsia" w:ascii="仿宋" w:hAnsi="仿宋" w:eastAsia="仿宋" w:cs="仿宋"/>
                <w:color w:val="auto"/>
                <w:sz w:val="21"/>
                <w:szCs w:val="21"/>
                <w:highlight w:val="none"/>
                <w:lang w:val="en-US" w:eastAsia="zh-CN"/>
              </w:rPr>
            </w:pPr>
            <w:r>
              <w:rPr>
                <w:rFonts w:hint="eastAsia" w:cs="仿宋"/>
                <w:color w:val="auto"/>
                <w:sz w:val="21"/>
                <w:szCs w:val="21"/>
                <w:highlight w:val="none"/>
                <w:lang w:val="en-US" w:eastAsia="zh-CN"/>
              </w:rPr>
              <w:t>否</w:t>
            </w:r>
          </w:p>
        </w:tc>
      </w:tr>
    </w:tbl>
    <w:p w14:paraId="2CA612AE">
      <w:pPr>
        <w:rPr>
          <w:rFonts w:hint="eastAsia" w:ascii="宋体" w:hAnsi="宋体" w:eastAsia="宋体" w:cs="宋体"/>
          <w:color w:val="auto"/>
          <w:sz w:val="24"/>
          <w:szCs w:val="24"/>
          <w:highlight w:val="none"/>
          <w:lang w:val="en-US" w:eastAsia="zh-CN"/>
        </w:rPr>
      </w:pPr>
      <w:bookmarkStart w:id="539" w:name="_Toc26309"/>
      <w:bookmarkStart w:id="540" w:name="_Toc10762"/>
      <w:r>
        <w:rPr>
          <w:rFonts w:hint="eastAsia" w:ascii="宋体" w:hAnsi="宋体" w:eastAsia="宋体" w:cs="宋体"/>
          <w:color w:val="auto"/>
          <w:sz w:val="24"/>
          <w:szCs w:val="24"/>
          <w:highlight w:val="none"/>
          <w:lang w:val="en-US" w:eastAsia="zh-CN"/>
        </w:rPr>
        <w:br w:type="page"/>
      </w:r>
    </w:p>
    <w:p w14:paraId="015DD638">
      <w:pPr>
        <w:pStyle w:val="3"/>
        <w:keepNext w:val="0"/>
        <w:keepLines w:val="0"/>
        <w:pageBreakBefore w:val="0"/>
        <w:widowControl w:val="0"/>
        <w:kinsoku/>
        <w:wordWrap w:val="0"/>
        <w:overflowPunct/>
        <w:topLinePunct/>
        <w:autoSpaceDE/>
        <w:autoSpaceDN/>
        <w:bidi w:val="0"/>
        <w:adjustRightInd/>
        <w:snapToGrid/>
        <w:spacing w:before="0" w:beforeAutospacing="0" w:after="0" w:afterAutospacing="0" w:line="360" w:lineRule="auto"/>
        <w:ind w:left="0" w:leftChars="0" w:right="0" w:firstLine="482" w:firstLineChars="200"/>
        <w:jc w:val="center"/>
        <w:textAlignment w:val="auto"/>
        <w:rPr>
          <w:rFonts w:hint="eastAsia" w:ascii="仿宋" w:hAnsi="仿宋" w:eastAsia="仿宋" w:cs="仿宋"/>
          <w:b/>
          <w:bCs/>
          <w:color w:val="auto"/>
          <w:szCs w:val="21"/>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三、商务要求</w:t>
      </w:r>
      <w:bookmarkEnd w:id="539"/>
      <w:bookmarkEnd w:id="540"/>
    </w:p>
    <w:p w14:paraId="1F3BC77F">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color w:val="auto"/>
          <w:sz w:val="21"/>
          <w:szCs w:val="21"/>
          <w:highlight w:val="none"/>
        </w:rPr>
      </w:pPr>
      <w:bookmarkStart w:id="541" w:name="_Toc7900"/>
      <w:r>
        <w:rPr>
          <w:rFonts w:hint="eastAsia" w:ascii="仿宋" w:hAnsi="仿宋" w:eastAsia="仿宋" w:cs="仿宋"/>
          <w:b/>
          <w:bCs/>
          <w:color w:val="auto"/>
          <w:kern w:val="0"/>
          <w:sz w:val="21"/>
          <w:szCs w:val="21"/>
          <w:highlight w:val="none"/>
          <w:lang w:val="en-US" w:eastAsia="zh-CN" w:bidi="ar"/>
        </w:rPr>
        <w:t>1.售后要求：</w:t>
      </w:r>
    </w:p>
    <w:p w14:paraId="1AA519A4">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1.1.交货（交付）期：</w:t>
      </w:r>
      <w:r>
        <w:rPr>
          <w:rFonts w:hint="eastAsia" w:ascii="仿宋" w:hAnsi="仿宋" w:eastAsia="仿宋" w:cs="仿宋"/>
          <w:color w:val="auto"/>
          <w:sz w:val="21"/>
          <w:szCs w:val="21"/>
          <w:highlight w:val="none"/>
          <w:lang w:val="en-US" w:eastAsia="zh-CN"/>
        </w:rPr>
        <w:t>合同签订后90日历天内完成设备及材料的安装、调试、验收合格，交付使用，完成修订防御预案及培训、宣传、演练</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（投标人可提供更优的交货（交付）期）</w:t>
      </w:r>
    </w:p>
    <w:p w14:paraId="21DBDCA9">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sz w:val="21"/>
          <w:szCs w:val="21"/>
          <w:highlight w:val="none"/>
          <w:lang w:val="en-US" w:eastAsia="zh-CN"/>
        </w:rPr>
        <w:t>1.2.</w:t>
      </w:r>
      <w:r>
        <w:rPr>
          <w:rFonts w:hint="eastAsia" w:ascii="仿宋" w:hAnsi="仿宋" w:eastAsia="仿宋" w:cs="仿宋"/>
          <w:color w:val="auto"/>
          <w:sz w:val="21"/>
          <w:szCs w:val="21"/>
          <w:highlight w:val="none"/>
          <w:lang w:eastAsia="zh-CN"/>
        </w:rPr>
        <w:t>交货</w:t>
      </w:r>
      <w:r>
        <w:rPr>
          <w:rFonts w:hint="eastAsia" w:ascii="仿宋" w:hAnsi="仿宋" w:eastAsia="仿宋" w:cs="仿宋"/>
          <w:color w:val="auto"/>
          <w:kern w:val="0"/>
          <w:sz w:val="21"/>
          <w:szCs w:val="21"/>
          <w:highlight w:val="none"/>
          <w:lang w:val="en-US" w:eastAsia="zh-CN" w:bidi="ar"/>
        </w:rPr>
        <w:t>地点：牟定县水务局指定地点。</w:t>
      </w:r>
    </w:p>
    <w:p w14:paraId="61CD58BF">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1.3.交货方式：由使用单位及中标人共同开箱对照采购清单进行交货。</w:t>
      </w:r>
    </w:p>
    <w:p w14:paraId="2DD4FBBA">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1.4.交付要求：中标人交付的货物应当完全符合招标文件所规定的货物、数量和规格要求。中标</w:t>
      </w:r>
      <w:r>
        <w:rPr>
          <w:rFonts w:hint="eastAsia" w:ascii="仿宋" w:hAnsi="仿宋" w:eastAsia="仿宋" w:cs="仿宋"/>
          <w:b w:val="0"/>
          <w:bCs w:val="0"/>
          <w:color w:val="auto"/>
          <w:kern w:val="0"/>
          <w:sz w:val="21"/>
          <w:szCs w:val="21"/>
          <w:highlight w:val="none"/>
          <w:lang w:val="en-US" w:eastAsia="zh-CN" w:bidi="ar"/>
        </w:rPr>
        <w:t>人提供的货物不符合招标文件规定的，采购人有权拒收货物。</w:t>
      </w:r>
    </w:p>
    <w:p w14:paraId="7EF4BF5A">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货物到货后由中标人及采购人对货物的型号、规格、数量、外观质量及货物包装等是否完好进行核查，若开箱后发现货物有缺少、破损，均由供应商承担，具体到货情况以中标人及采购人双方拆箱安装验收交付当日货物数量和完好情况为准。</w:t>
      </w:r>
    </w:p>
    <w:p w14:paraId="3ED1E718">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中标人应将所提供货物的装箱清单、用户手册、原厂保修卡、合格证、随机资料及配件、随机工具等交付给采购人；中标人不能完整交付货物及本款规定的单证和工具的，视为未按约定交货，由中标人负责补齐，因此导致逾期交付的，由中标人承担相关的违约责任。</w:t>
      </w:r>
    </w:p>
    <w:p w14:paraId="5F2D44ED">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1.5.质量要求与验收标准：</w:t>
      </w:r>
      <w:r>
        <w:rPr>
          <w:rFonts w:hint="eastAsia" w:ascii="仿宋" w:hAnsi="仿宋" w:eastAsia="仿宋" w:cs="仿宋"/>
          <w:color w:val="auto"/>
          <w:kern w:val="0"/>
          <w:sz w:val="21"/>
          <w:szCs w:val="21"/>
          <w:highlight w:val="none"/>
          <w:lang w:val="en-US" w:eastAsia="zh-CN" w:bidi="ar"/>
        </w:rPr>
        <w:t>符合国家、省、市法律法规及行业标准。</w:t>
      </w:r>
    </w:p>
    <w:p w14:paraId="0597E881">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1.6.在货物到达使用单位后，卖方应在七天内派工程技术人员到达现场，在买方技术人员在场的情况下开箱清点货物，组织安装调试，并承担因此发生的一切费用。</w:t>
      </w:r>
    </w:p>
    <w:p w14:paraId="0963A951">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2.质量保证期服务要求</w:t>
      </w:r>
    </w:p>
    <w:p w14:paraId="1B4AC77E">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自验收结束之日起不低于三年质保，质量保质期内应免费对软件进行升级服务，提供相关技术支持，证书免费授权升级。国家主管部门或者行业标准对货物本身有更高要求的，从其规定并在合同中约定，供应商亦可提报更长的质保期。在质保期内，发生的非人为损坏的设备或材料问题，均由投标人负责维修或更换（质保范围由双方在合同中约定），其所有费用均由投标人自行承担。质保期从货物经最终验收合格之日开始计算，质保期内每个季度应进行维护保养 1 次。</w:t>
      </w:r>
    </w:p>
    <w:p w14:paraId="13F745A4">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val="0"/>
          <w:bCs w:val="0"/>
          <w:color w:val="auto"/>
          <w:kern w:val="0"/>
          <w:sz w:val="21"/>
          <w:szCs w:val="21"/>
          <w:highlight w:val="none"/>
          <w:lang w:val="en-US" w:eastAsia="zh-CN" w:bidi="ar"/>
        </w:rPr>
      </w:pPr>
      <w:r>
        <w:rPr>
          <w:rFonts w:hint="eastAsia" w:ascii="仿宋" w:hAnsi="仿宋" w:eastAsia="仿宋" w:cs="仿宋"/>
          <w:b w:val="0"/>
          <w:bCs w:val="0"/>
          <w:color w:val="auto"/>
          <w:kern w:val="0"/>
          <w:sz w:val="21"/>
          <w:szCs w:val="21"/>
          <w:highlight w:val="none"/>
          <w:lang w:val="en-US" w:eastAsia="zh-CN" w:bidi="ar"/>
        </w:rPr>
        <w:t>质量保证期内，如果证实货物是有缺陷的，包括潜在的缺陷或者使用不符合要求的材料等，中标人应立即免费维修或者更换有缺陷的货物或者部件，保证达到合同规定的技术以及性能要求。中标人在收到通知后五个工作日内没有弥补缺陷，招标人可自行采取必要的补救措施，但风险和费用由中标人承担，招标人同时保留通过法律途径进行索赔的权利。中标人提供的技术人员、工具、备件和联系方式，质量保证期服务响应、到达现场和解决问题的时限，中标人技术人员的交通、食宿费用承担主体，中标人技术人员撤换费用承担主体，质量保证期服务情况记录要求等。</w:t>
      </w:r>
    </w:p>
    <w:p w14:paraId="1E0E74DE">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3.技术培训要求</w:t>
      </w:r>
    </w:p>
    <w:p w14:paraId="3A994624">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中标人应提供现场技术培训，以及远程技术支持等，为使用人员提供技术指导，保证使用人员正常操作设备各种功能并至少完成培训、宣传、演练1次。</w:t>
      </w:r>
    </w:p>
    <w:p w14:paraId="054FD42F">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4.其他要求：</w:t>
      </w:r>
    </w:p>
    <w:p w14:paraId="131E904A">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4.1.本项目涉及修订完善防御预案需满足采购人的实际要求，如相关部门需要进行审查或审批，由中标人负责完成审批审查手续中的相关费用。</w:t>
      </w:r>
    </w:p>
    <w:p w14:paraId="601BF6FA">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4.2.涉及需检测合格后才能验收使用的设备，相关检测费用由中标投标人承担。</w:t>
      </w:r>
    </w:p>
    <w:p w14:paraId="7C3B7769">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4.3分别提供纸质版、电子版简易操作流程图一套。</w:t>
      </w:r>
    </w:p>
    <w:p w14:paraId="5072E9FD">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5.履约验收方式</w:t>
      </w:r>
    </w:p>
    <w:p w14:paraId="370BE0C8">
      <w:pPr>
        <w:keepNext w:val="0"/>
        <w:keepLines w:val="0"/>
        <w:pageBreakBefore w:val="0"/>
        <w:widowControl w:val="0"/>
        <w:suppressLineNumbers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由使用单位组织验收人员按照合同、投标文件、招标文件及国家有关的质量标准规定进行验收。</w:t>
      </w:r>
    </w:p>
    <w:p w14:paraId="6551AEF4">
      <w:pPr>
        <w:keepNext w:val="0"/>
        <w:keepLines w:val="0"/>
        <w:pageBreakBefore w:val="0"/>
        <w:widowControl w:val="0"/>
        <w:suppressLineNumbers w:val="0"/>
        <w:kinsoku/>
        <w:wordWrap w:val="0"/>
        <w:overflowPunct/>
        <w:topLinePunct/>
        <w:autoSpaceDE/>
        <w:autoSpaceDN/>
        <w:bidi w:val="0"/>
        <w:adjustRightInd/>
        <w:snapToGrid/>
        <w:spacing w:line="360" w:lineRule="auto"/>
        <w:ind w:firstLine="422" w:firstLineChars="200"/>
        <w:jc w:val="left"/>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kern w:val="0"/>
          <w:sz w:val="21"/>
          <w:szCs w:val="21"/>
          <w:highlight w:val="none"/>
          <w:lang w:val="en-US" w:eastAsia="zh-CN" w:bidi="ar"/>
        </w:rPr>
        <w:t>6.包装运输</w:t>
      </w:r>
    </w:p>
    <w:p w14:paraId="0186B0E3">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中标人负责设备包装、办理运输和保险，将设备安全运抵交货地点。设备制造完成并通过试验后应及时包装，否则应得到切实的保护，确保其不受污损。在包装箱外应标明采购人的订货号、发货号。各种包装应能确保各零部件在运输过程中不致遭到损坏、丢失、变形、受潮和腐蚀。包装箱上应有明显的包装储运图示标志。整体产品或分别运输的部件都要适应运输和装载的要求。随产品提供的技术资料应完整无缺</w:t>
      </w:r>
    </w:p>
    <w:p w14:paraId="78B1999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Chars="200"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7.付款方式：</w:t>
      </w:r>
    </w:p>
    <w:bookmarkEnd w:id="541"/>
    <w:p w14:paraId="6C500405">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项目整体验收合格后，2026 年 12 月 30 日前支付合同价款的 100%。因乙方未能按时提交等额发票给甲方，甲方有权拒绝付款，直至乙方提供发票后，甲方付款日期顺延。</w:t>
      </w:r>
    </w:p>
    <w:p w14:paraId="01F2B781">
      <w:pPr>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br w:type="page"/>
      </w:r>
    </w:p>
    <w:p w14:paraId="074D838D">
      <w:pPr>
        <w:pStyle w:val="3"/>
        <w:keepNext w:val="0"/>
        <w:keepLines w:val="0"/>
        <w:pageBreakBefore w:val="0"/>
        <w:widowControl w:val="0"/>
        <w:numPr>
          <w:ilvl w:val="0"/>
          <w:numId w:val="0"/>
        </w:numPr>
        <w:kinsoku/>
        <w:wordWrap w:val="0"/>
        <w:overflowPunct/>
        <w:topLinePunct/>
        <w:autoSpaceDE/>
        <w:autoSpaceDN/>
        <w:bidi w:val="0"/>
        <w:adjustRightInd/>
        <w:snapToGrid/>
        <w:spacing w:before="0" w:beforeAutospacing="0" w:after="0" w:afterAutospacing="0" w:line="360" w:lineRule="auto"/>
        <w:ind w:left="0" w:leftChars="0" w:right="0" w:rightChars="0" w:firstLine="482" w:firstLineChars="20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snapToGrid w:val="0"/>
          <w:color w:val="auto"/>
          <w:sz w:val="24"/>
          <w:szCs w:val="24"/>
          <w:highlight w:val="none"/>
          <w:lang w:val="en-US" w:eastAsia="zh-CN" w:bidi="ar-SA"/>
        </w:rPr>
        <w:t>四、</w:t>
      </w:r>
      <w:r>
        <w:rPr>
          <w:rFonts w:hint="eastAsia" w:ascii="仿宋" w:hAnsi="仿宋" w:eastAsia="仿宋" w:cs="仿宋"/>
          <w:color w:val="auto"/>
          <w:sz w:val="24"/>
          <w:szCs w:val="24"/>
          <w:highlight w:val="none"/>
          <w:lang w:val="en-US" w:eastAsia="zh-CN"/>
        </w:rPr>
        <w:t>技术要求</w:t>
      </w:r>
    </w:p>
    <w:p w14:paraId="4CFC28D2">
      <w:pPr>
        <w:numPr>
          <w:ilvl w:val="0"/>
          <w:numId w:val="0"/>
        </w:numPr>
        <w:kinsoku w:val="0"/>
        <w:autoSpaceDE w:val="0"/>
        <w:autoSpaceDN w:val="0"/>
        <w:adjustRightInd w:val="0"/>
        <w:snapToGrid w:val="0"/>
        <w:textAlignment w:val="baseline"/>
        <w:rPr>
          <w:rFonts w:hint="default"/>
          <w:highlight w:val="none"/>
          <w:lang w:val="en-US" w:eastAsia="zh-CN"/>
        </w:rPr>
      </w:pPr>
    </w:p>
    <w:tbl>
      <w:tblPr>
        <w:tblStyle w:val="29"/>
        <w:tblW w:w="9116"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50"/>
        <w:gridCol w:w="1366"/>
        <w:gridCol w:w="7100"/>
      </w:tblGrid>
      <w:tr w14:paraId="2DC31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 w:hRule="atLeast"/>
        </w:trPr>
        <w:tc>
          <w:tcPr>
            <w:tcW w:w="650" w:type="dxa"/>
            <w:vAlign w:val="top"/>
          </w:tcPr>
          <w:p w14:paraId="68F23DC9">
            <w:pPr>
              <w:pStyle w:val="41"/>
              <w:spacing w:before="143" w:line="222" w:lineRule="auto"/>
              <w:ind w:left="121"/>
              <w:jc w:val="center"/>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t>序号</w:t>
            </w:r>
          </w:p>
        </w:tc>
        <w:tc>
          <w:tcPr>
            <w:tcW w:w="1366" w:type="dxa"/>
            <w:vAlign w:val="top"/>
          </w:tcPr>
          <w:p w14:paraId="0D59B06D">
            <w:pPr>
              <w:pStyle w:val="41"/>
              <w:spacing w:before="143" w:line="222" w:lineRule="auto"/>
              <w:ind w:left="121"/>
              <w:jc w:val="center"/>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t>货物名称</w:t>
            </w:r>
          </w:p>
        </w:tc>
        <w:tc>
          <w:tcPr>
            <w:tcW w:w="7100" w:type="dxa"/>
            <w:vAlign w:val="top"/>
          </w:tcPr>
          <w:p w14:paraId="75DFE1A1">
            <w:pPr>
              <w:pStyle w:val="41"/>
              <w:spacing w:before="143" w:line="222" w:lineRule="auto"/>
              <w:ind w:left="121"/>
              <w:jc w:val="center"/>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t>技术要求</w:t>
            </w:r>
          </w:p>
        </w:tc>
      </w:tr>
      <w:tr w14:paraId="19F78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770731CB">
            <w:pPr>
              <w:pStyle w:val="41"/>
              <w:spacing w:before="143" w:line="222" w:lineRule="auto"/>
              <w:ind w:left="121"/>
              <w:jc w:val="center"/>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t>1</w:t>
            </w:r>
          </w:p>
        </w:tc>
        <w:tc>
          <w:tcPr>
            <w:tcW w:w="1366" w:type="dxa"/>
            <w:vAlign w:val="center"/>
          </w:tcPr>
          <w:p w14:paraId="1385CCC7">
            <w:pPr>
              <w:pStyle w:val="41"/>
              <w:spacing w:before="143" w:line="222" w:lineRule="auto"/>
              <w:ind w:left="121"/>
              <w:jc w:val="center"/>
              <w:rPr>
                <w:rFonts w:hint="eastAsia" w:ascii="仿宋" w:hAnsi="仿宋" w:eastAsia="仿宋" w:cs="仿宋"/>
                <w:spacing w:val="-1"/>
                <w:sz w:val="21"/>
                <w:szCs w:val="21"/>
                <w:highlight w:val="none"/>
              </w:rPr>
            </w:pPr>
            <w:r>
              <w:rPr>
                <w:rFonts w:hint="eastAsia" w:ascii="仿宋" w:hAnsi="仿宋" w:eastAsia="仿宋" w:cs="仿宋"/>
                <w:spacing w:val="-1"/>
                <w:sz w:val="21"/>
                <w:szCs w:val="21"/>
                <w:highlight w:val="none"/>
              </w:rPr>
              <w:t>大屏显示系统</w:t>
            </w:r>
          </w:p>
        </w:tc>
        <w:tc>
          <w:tcPr>
            <w:tcW w:w="7100" w:type="dxa"/>
            <w:vAlign w:val="top"/>
          </w:tcPr>
          <w:p w14:paraId="4AD1CD8A">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right="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小间距高清显示屏</w:t>
            </w:r>
          </w:p>
          <w:p w14:paraId="0B306D9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（一）高清显示屏</w:t>
            </w:r>
          </w:p>
          <w:p w14:paraId="7D2536EA">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 、像素点间距：≤1.5mm(提供由第三方检测机构出具带有“CNAS”、 “CMA”、“ilac-MRA”标志的检测报告复印件）；</w:t>
            </w:r>
          </w:p>
          <w:p w14:paraId="22EC37DB">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2、▲为了提高整屏安装的平整度和安装效率，采用模组尺寸为≥320*240mm（提供由第三方检测机构出具带有“CNAS”、“CMA”、“ilac-MRA”标志的检测报告复印件）；</w:t>
            </w:r>
          </w:p>
          <w:p w14:paraId="43E52303">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 、▲刷新率：≥6000Hz ，支持通过配套控制软件调节刷新率设置选项（提供由第三方检测机构出具带有“CNAS”、“CMA”、“ilac-MRA”标志的检测报告复印件）；</w:t>
            </w:r>
          </w:p>
          <w:p w14:paraId="7896FB00">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4、灰度等级≥16bit，可达 65536级；白平衡亮度：≥550cd/㎡；亮度调节：0-100%亮度可调，256级手动/自动调节，屏幕亮度具有随环境照度的变化任意调整功能；亮度均匀性≥99.5%；对比度≥11000：1；反光率：≤1%（提供由第三方检测机构出具带有“CNAS”、“CMA”、“ilac-MRA”标志的检测报告复印件）；</w:t>
            </w:r>
          </w:p>
          <w:p w14:paraId="59533394">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5、峰值功耗≤250W/m²；平均功耗≤100W/m²；供电电源：支持在4.2Vdc-5Vdc范围内能正常工作；输入电压：支持宽压输入在96-264VAC，在该范围内能正常工；在 5000米海拔环境下，产品可正常工作；</w:t>
            </w:r>
          </w:p>
          <w:p w14:paraId="2E0F6D66">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 、防列亮电路设计：高清显示屏</w:t>
            </w:r>
            <w:r>
              <w:rPr>
                <w:rFonts w:hint="eastAsia" w:ascii="仿宋" w:hAnsi="仿宋" w:eastAsia="仿宋" w:cs="仿宋"/>
                <w:b w:val="0"/>
                <w:bCs w:val="0"/>
                <w:color w:val="auto"/>
                <w:kern w:val="0"/>
                <w:sz w:val="21"/>
                <w:szCs w:val="21"/>
                <w:highlight w:val="none"/>
                <w:lang w:val="en-US" w:eastAsia="zh-CN" w:bidi="ar"/>
              </w:rPr>
              <w:t>全彩灯珠采用防列亮电路设计，红光高清显示屏晶片、绿光高清显示屏晶片和蓝光高清显示屏晶片的正极分别通过导电丝与公共极盘连接导通，红光高清显示屏晶片、绿光高清显示屏晶片和蓝光高清显示屏晶片的负极与红光固晶焊盘、绿光 固晶焊盘和蓝光固晶焊盘分别导通，能有效防止高清显示屏显示屏出现“显示列亮”现象（提供由第</w:t>
            </w:r>
            <w:r>
              <w:rPr>
                <w:rFonts w:hint="eastAsia" w:ascii="仿宋" w:hAnsi="仿宋" w:eastAsia="仿宋" w:cs="仿宋"/>
                <w:color w:val="auto"/>
                <w:kern w:val="0"/>
                <w:sz w:val="21"/>
                <w:szCs w:val="21"/>
                <w:highlight w:val="none"/>
                <w:lang w:val="en-US" w:eastAsia="zh-CN" w:bidi="ar"/>
              </w:rPr>
              <w:t>三方检测机构出具带有“CNAS”、“CMA”、“ilac-MRA”标志的检测报告复印件）；</w:t>
            </w:r>
          </w:p>
          <w:p w14:paraId="5954944D">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 、▲采用塑钢底壳，通过长玻纤复合材料的定向增强特性与三维网状结构协同作用，量化抗冲击与抗变形性能，直接对标传统材质短板；塑钢底壳抗变形能力较常规料底壳提升≥30%，抗冲击强度≥85kJ/m²（提供由第三方检测机构出具带有“CNAS”、“CMA”、“ilac-MRA”标志的检测报告复印件）；</w:t>
            </w:r>
          </w:p>
          <w:p w14:paraId="58876279">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8、具备0级防霉特性,符合 GBT2423.16-2022《环境试验第2部分：试验方法试验J和导则：长霉》的测试要求，可防黑曲霉、土曲霉、球毛壳霉、绳状青霉、绿色木霉等（提供由第三方检测机构出具带有</w:t>
            </w:r>
            <w:bookmarkStart w:id="1888" w:name="_GoBack"/>
            <w:bookmarkEnd w:id="1888"/>
            <w:r>
              <w:rPr>
                <w:rFonts w:hint="eastAsia" w:ascii="仿宋" w:hAnsi="仿宋" w:eastAsia="仿宋" w:cs="仿宋"/>
                <w:color w:val="auto"/>
                <w:kern w:val="0"/>
                <w:sz w:val="21"/>
                <w:szCs w:val="21"/>
                <w:highlight w:val="none"/>
                <w:lang w:val="en-US" w:eastAsia="zh-CN" w:bidi="ar"/>
              </w:rPr>
              <w:t>“CNAS”、“CMA”、“ilac-MRA”标志的检测报告复印件）；</w:t>
            </w:r>
          </w:p>
          <w:p w14:paraId="13EE1D82">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 、防信号远程窃密技术：具有良好的抗还原性能，具有良好的覆盖性，实现无缝干扰，覆盖范围广，从99KHz~1.2GHz,抑制传导辐射，对视频信息无二次转</w:t>
            </w:r>
          </w:p>
          <w:p w14:paraId="6AFEC18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发与加强作用；干扰信号强度10KHz~230MHz：小于90dBuV；干扰信号强度235MHz~l.2GHz：小于97dBuV；传导抑制＞36dB；可以单机使用、可以组网使用（提供由第三方检测机构出具带有“CNAS”、“CMA”、“ilac-MRA”标志的检测报告复印件）；</w:t>
            </w:r>
          </w:p>
          <w:p w14:paraId="4ED5F55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10、▲防电力远程窃密技术：采用信息相关方式阻止电力通信，采用电子对抗原理，防止电磁传导辐射泄露有用信息，防止劫持相关控制设备；覆盖范</w:t>
            </w:r>
          </w:p>
          <w:p w14:paraId="793279C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围:1.1KHz~1.5GHz；输入/输出电源滤波设计抑制信号强度，具有很好的电磁兼 容性（提供由第三方检测机构出具带有“CNAS”、“CMA”、“ilac-MRA”标志的检测报告复印件）；</w:t>
            </w:r>
          </w:p>
          <w:p w14:paraId="5E899C36">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11、为不影响屏体周边人员的健康，要求投标人所投高清显示屏在正常工作中，显示屏1m范围内，前后左右4个位置噪音小于 1.4dB；所投高清显示屏观看舒适度需符合：“人眼视觉舒适度(VICO)≤1 级，基本无疲劳感（提供由第三方检测机构出具带有“CNAS”、“CMA”、“ilac-MRA ”标志的检测报告复印件）；</w:t>
            </w:r>
          </w:p>
          <w:p w14:paraId="7679CF29">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 、▲所投高清显示屏产品符合高清环保标准化技术应用，提供相关证书复印件。</w:t>
            </w:r>
          </w:p>
          <w:p w14:paraId="6E252DED">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13、高清显示屏总尺寸不得低于14平方米。</w:t>
            </w:r>
          </w:p>
          <w:p w14:paraId="6198A157">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（二）主控系统</w:t>
            </w:r>
          </w:p>
          <w:p w14:paraId="6A51E56C">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 、纯硬件插卡式架构设计，19英寸标准机架式安装，</w:t>
            </w:r>
          </w:p>
          <w:p w14:paraId="643AAB94">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2、单张输出板卡支持16个图层，支持图层在输出接口间漫游且规格不减，可进行图层参数设置；</w:t>
            </w:r>
          </w:p>
          <w:p w14:paraId="1403977B">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 、支持屏幕背景图显示；支持对输入添加文字或图片台标，文字与图片背景、位置可调；支持添加 OSD文字或图片，属性可调；</w:t>
            </w:r>
          </w:p>
          <w:p w14:paraId="30E01DCF">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5、搭配预监卡支持对所有输入源预监，对所有输出进行回显（包含IP 流回显）；</w:t>
            </w:r>
          </w:p>
          <w:p w14:paraId="3A1E695E">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 、支持实时和预编模式，实时模式可实现画面控制实时上屏显示，预编模式支持在软件端进行显示内容预编辑后，再上屏显示；</w:t>
            </w:r>
          </w:p>
          <w:p w14:paraId="786201F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 、支持用户权限分级管控，超级管理员可分配用户使用权限，支持多用户同时在线编辑、控制、上屏操作，可预览其他用户操作；</w:t>
            </w:r>
          </w:p>
          <w:p w14:paraId="69E21A0B">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 、输出无需其它设备可直接连接高清显示屏显示，并支持高清屏亮度调节。</w:t>
            </w:r>
          </w:p>
          <w:p w14:paraId="1019EA01">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 、具备全可视化控制和操作，所见即所得，提升现场控制的准确性和针对性；并且具备良好的界面设计和用户体验，操作人员使用简单、流畅；</w:t>
            </w:r>
          </w:p>
          <w:p w14:paraId="64AB1E8A">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10、支持多控制端，如移动端、落地一体机等多种客户端操作实时同步，让任何时刻的编辑操作都实时高效，安全可靠；</w:t>
            </w:r>
          </w:p>
          <w:p w14:paraId="5AC51318">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11、支持多媒体播控服务器、视频拼接器、音频处理器、智能中控及 IPC 摄像机的可视化控制。</w:t>
            </w:r>
          </w:p>
          <w:p w14:paraId="647F42CB">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（三）其他要求：</w:t>
            </w:r>
          </w:p>
          <w:p w14:paraId="106D65F3">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1、配件包括但不限于：智能配电柜、通讯线、电源线、接收、发送卡、钢结构架。</w:t>
            </w:r>
          </w:p>
          <w:p w14:paraId="65B23F42">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360" w:lineRule="auto"/>
              <w:ind w:left="0" w:leftChars="0" w:right="0" w:firstLine="420" w:firstLineChars="200"/>
              <w:jc w:val="left"/>
              <w:textAlignment w:val="auto"/>
              <w:rPr>
                <w:rFonts w:hint="default" w:ascii="仿宋" w:hAnsi="仿宋" w:eastAsia="仿宋" w:cs="仿宋"/>
                <w:color w:val="auto"/>
                <w:kern w:val="0"/>
                <w:sz w:val="21"/>
                <w:szCs w:val="21"/>
                <w:highlight w:val="none"/>
                <w:lang w:val="en-US" w:eastAsia="zh-CN" w:bidi="ar"/>
              </w:rPr>
            </w:pPr>
            <w:r>
              <w:rPr>
                <w:rFonts w:hint="eastAsia" w:ascii="仿宋" w:hAnsi="仿宋" w:eastAsia="仿宋" w:cs="仿宋"/>
                <w:color w:val="auto"/>
                <w:spacing w:val="0"/>
                <w:w w:val="100"/>
                <w:position w:val="0"/>
                <w:sz w:val="21"/>
                <w:szCs w:val="21"/>
                <w:highlight w:val="none"/>
                <w:lang w:val="en-US" w:eastAsia="zh-CN"/>
              </w:rPr>
              <w:t>2、投标人负责</w:t>
            </w:r>
            <w:r>
              <w:rPr>
                <w:rFonts w:hint="eastAsia" w:ascii="仿宋" w:hAnsi="仿宋" w:eastAsia="仿宋" w:cs="仿宋"/>
                <w:color w:val="auto"/>
                <w:spacing w:val="0"/>
                <w:w w:val="100"/>
                <w:position w:val="0"/>
                <w:sz w:val="21"/>
                <w:szCs w:val="21"/>
                <w:highlight w:val="none"/>
                <w:lang w:eastAsia="zh-CN"/>
              </w:rPr>
              <w:t>货物</w:t>
            </w:r>
            <w:r>
              <w:rPr>
                <w:rFonts w:hint="eastAsia" w:ascii="仿宋" w:hAnsi="仿宋" w:eastAsia="仿宋" w:cs="仿宋"/>
                <w:color w:val="auto"/>
                <w:spacing w:val="0"/>
                <w:w w:val="100"/>
                <w:position w:val="0"/>
                <w:sz w:val="21"/>
                <w:szCs w:val="21"/>
                <w:highlight w:val="none"/>
                <w:lang w:val="en-US" w:eastAsia="zh-CN"/>
              </w:rPr>
              <w:t>及</w:t>
            </w:r>
            <w:r>
              <w:rPr>
                <w:rFonts w:hint="eastAsia" w:ascii="仿宋" w:hAnsi="仿宋" w:eastAsia="仿宋" w:cs="仿宋"/>
                <w:color w:val="auto"/>
                <w:spacing w:val="0"/>
                <w:w w:val="100"/>
                <w:position w:val="0"/>
                <w:sz w:val="21"/>
                <w:szCs w:val="21"/>
                <w:highlight w:val="none"/>
                <w:lang w:eastAsia="zh-CN"/>
              </w:rPr>
              <w:t>附属售后服务，标准附件，备品备件，专用工具，安装、调试、检验，培训，技术服务</w:t>
            </w:r>
            <w:r>
              <w:rPr>
                <w:rFonts w:hint="eastAsia" w:ascii="仿宋" w:hAnsi="仿宋" w:eastAsia="仿宋" w:cs="仿宋"/>
                <w:color w:val="auto"/>
                <w:spacing w:val="0"/>
                <w:w w:val="100"/>
                <w:position w:val="0"/>
                <w:sz w:val="21"/>
                <w:szCs w:val="21"/>
                <w:highlight w:val="none"/>
                <w:lang w:val="en-US" w:eastAsia="zh-CN"/>
              </w:rPr>
              <w:t>等所有一切工作</w:t>
            </w:r>
            <w:r>
              <w:rPr>
                <w:rFonts w:hint="eastAsia" w:ascii="仿宋" w:hAnsi="仿宋" w:eastAsia="仿宋" w:cs="仿宋"/>
                <w:color w:val="auto"/>
                <w:spacing w:val="0"/>
                <w:w w:val="100"/>
                <w:position w:val="0"/>
                <w:sz w:val="21"/>
                <w:szCs w:val="21"/>
                <w:highlight w:val="none"/>
                <w:lang w:eastAsia="zh-CN"/>
              </w:rPr>
              <w:t>。</w:t>
            </w:r>
          </w:p>
        </w:tc>
      </w:tr>
      <w:tr w14:paraId="5EE94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11B7C7C7">
            <w:pPr>
              <w:pStyle w:val="41"/>
              <w:spacing w:before="143" w:line="222" w:lineRule="auto"/>
              <w:ind w:left="121"/>
              <w:jc w:val="center"/>
              <w:rPr>
                <w:rFonts w:hint="eastAsia" w:ascii="仿宋" w:hAnsi="仿宋" w:eastAsia="仿宋" w:cs="仿宋"/>
                <w:spacing w:val="-1"/>
                <w:sz w:val="21"/>
                <w:szCs w:val="21"/>
                <w:highlight w:val="none"/>
                <w:lang w:val="en-US" w:eastAsia="zh-CN"/>
              </w:rPr>
            </w:pPr>
            <w:r>
              <w:rPr>
                <w:rFonts w:hint="eastAsia" w:ascii="仿宋" w:hAnsi="仿宋" w:eastAsia="仿宋" w:cs="仿宋"/>
                <w:spacing w:val="-1"/>
                <w:sz w:val="21"/>
                <w:szCs w:val="21"/>
                <w:highlight w:val="none"/>
                <w:lang w:val="en-US" w:eastAsia="zh-CN"/>
              </w:rPr>
              <w:t>2</w:t>
            </w:r>
          </w:p>
        </w:tc>
        <w:tc>
          <w:tcPr>
            <w:tcW w:w="1366" w:type="dxa"/>
            <w:vAlign w:val="center"/>
          </w:tcPr>
          <w:p w14:paraId="5ECF50A0">
            <w:pPr>
              <w:pStyle w:val="41"/>
              <w:spacing w:before="143" w:line="222" w:lineRule="auto"/>
              <w:ind w:left="121"/>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会商调度系统</w:t>
            </w:r>
          </w:p>
        </w:tc>
        <w:tc>
          <w:tcPr>
            <w:tcW w:w="7100" w:type="dxa"/>
            <w:vAlign w:val="top"/>
          </w:tcPr>
          <w:p w14:paraId="405FCF1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视频会议系统</w:t>
            </w:r>
          </w:p>
          <w:p w14:paraId="0C96E91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（一）4K 视频会议主机</w:t>
            </w:r>
          </w:p>
          <w:p w14:paraId="1E03504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1.采用分体式硬件非 PC 架构、非工控机架构，摄像头与主机分离部署。</w:t>
            </w:r>
          </w:p>
          <w:p w14:paraId="2D25EB2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2.采用国产自主 ARM 编解码芯片，采用国产自主嵌入式操作系统。</w:t>
            </w:r>
          </w:p>
          <w:p w14:paraId="1398D89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3.支持 ITU-T H.323、IETF SIP 通信协议标准,终端呼叫速率支持 64Kbps～8Mbps,支持 ITU-T H.239 和 IETF BFCP 辅流协议。</w:t>
            </w:r>
          </w:p>
          <w:p w14:paraId="58F34EC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4.支持 H.261 、H.263 、H.263+ 、H.264 、H.264HighProfile 、H.264SVC、H.265 、 H.265SVC 视频编解码协议；支持 G.711A/ μ 、G.722 、G.728 、G.729A 、G.722. 1、 G.722.lC 、G.719 、Opus 、AAC-LD 等音频编解码协议。</w:t>
            </w:r>
          </w:p>
          <w:p w14:paraId="3FA7D9A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5.▲支持≥5 个视频输入接口，至少包含：3 个 HDMI 接口、2 个 IP   以太网接口；：支持≥3个视频输出接口，至少包含：3 个 HDMI 接口。（提供产品的高清背板接口图版本并加盖投标人鲜章）；支持≥11个音频输入接口，至少包含：3 个 HDMI接口、1 个卡侬（XLR 馈电）接口、1 个 TRS 接口、4 个 RCA 接口、2 个全向麦克风接口；支持≥9 个音频输出接口，至少包含：3 个 HDMI 接口、4 个 RCA 接口、2 个 USB 接口。（提供产品的高清背板接口图版本并加盖投标人鲜章）</w:t>
            </w:r>
          </w:p>
          <w:p w14:paraId="5E2D89C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6.支持 4K 25/30fps、1080P 50/60fps、1080P 25/30fps、720P 50/60fps、720P 25/30fps、 4CIF、480P 、CIF、360P、180P 、90P 等视频分辨率。</w:t>
            </w:r>
          </w:p>
          <w:p w14:paraId="781792E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7.支持 256Kbps 带宽下实现 720P 25/30fps；支持 384Kbps 带宽下实现 1080P 25/30fps；支持 1Mbps带宽下实现4K 25/30fps；在2Mbps带宽下，实现 4K 50/60fps。</w:t>
            </w:r>
          </w:p>
          <w:p w14:paraId="27D3579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8.支持在 H.264HP/H.265 会议下，主流在发送和接收达到 4K 25/30fps 情况下，辅流发送和接收同时可达到 4K 25/30fps双路对称静态和动态双流。</w:t>
            </w:r>
          </w:p>
          <w:p w14:paraId="5D0A05C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9.支持在 H.264HP/H.265 会议下，主流在发送和接收达到 4K 50/60fps 情况下，辅流发送和接收同时可达到 4K 50/60fps双路对称静态和动态双流。</w:t>
            </w:r>
          </w:p>
          <w:p w14:paraId="008F228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10.支持双机热备冗余机制，当发生网络故障时， 自动切换至备份视频终端，保障会议继续进行，自动备份切换时间为 3 秒。</w:t>
            </w:r>
          </w:p>
          <w:p w14:paraId="2BB374D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11.支持双网口跨网段或热备份工作模式。</w:t>
            </w:r>
          </w:p>
          <w:p w14:paraId="558EB36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12.支持 H.235H.323 协议）、TLSSIP 协议）信令加密，支持 AES 128/256 位媒体流加密算法。</w:t>
            </w:r>
          </w:p>
          <w:p w14:paraId="29A57A1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13.支持 SM2、SM3、SM4 国密加密算法，可通过 MCU加入到国密与AES(128/256位)加密算法的混合加密会议。</w:t>
            </w:r>
          </w:p>
          <w:p w14:paraId="593FFDC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14.支持 Web 界面密码登录保护，密码须符合复杂度要求，首次登录修改密码提示，具备弱口令风险提示、连接超时、错误口令尝试次数和锁定时长限制的防暴力破解机制，支持对安全访问登录错误口令连续失败次数、锁定时长及会话连接超时时长进行自定义编辑设置。</w:t>
            </w:r>
          </w:p>
          <w:p w14:paraId="1FD079B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15.支持事件可追溯的基本信息，内容包含事件级别类型、事件名称、操作人、</w:t>
            </w:r>
          </w:p>
          <w:p w14:paraId="25007E7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设备IP地址、事件日期和时间、事件描述详情、事件详情信息和事件执行结果。</w:t>
            </w:r>
          </w:p>
          <w:p w14:paraId="271F2F6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16.支持和 Polycom RMX 系列MCU 和 Group、HDX 系列实现视频和辅流高清互联，主视频流可达 1080P 25/30fps ，同时辅流不低于 1080P 25/30fps。</w:t>
            </w:r>
          </w:p>
          <w:p w14:paraId="121BEDD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17.▲支持和不少于 5 家异品牌 MCU 和视频终端实现视频和辅流高清互联，主视频流和辅流同时可达到 4K 25/30fps。</w:t>
            </w:r>
          </w:p>
          <w:p w14:paraId="3259810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18. 支持在≥55%网络丢包的环境下，音频清晰连贯，视频图像清晰流畅、无卡顿、无花屏、无马赛克；支持在≥75%网络丢包的环境下，音频清晰连贯、无卡顿、语义可准确理解。</w:t>
            </w:r>
          </w:p>
          <w:p w14:paraId="18C7F8E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19.▲支持通过省水利厅会议管理平台对终端进行一键操作，实现设定主会场、</w:t>
            </w:r>
          </w:p>
          <w:p w14:paraId="6B8AE5C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一键广播、一键点名、一键查看会场、设置双流发送权限、一键静音/取消静音、发送字幕、开始/停止双流、观看前提示、个人分屏设置、屏蔽视频、手动切换备份终端、举手发言、预览会场信息、挂断/删除会场等。（提供技术承诺函证明）</w:t>
            </w:r>
          </w:p>
          <w:p w14:paraId="74BBD0E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支持通过省水利厅会议管理平台对终端进行提醒功能，终端侧可呈现会场轮询提醒、被主席轮询提醒、点名提醒、广播提醒、报告人提醒及会场入会和离会等字幕提醒，在会前和会中自定义字幕提醒内容可实时生效。（提供技术承诺函证明）</w:t>
            </w:r>
          </w:p>
          <w:p w14:paraId="5F33F45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（二）4K 摄像头</w:t>
            </w:r>
          </w:p>
          <w:p w14:paraId="10C7D1B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 、支持≥850万像素 1/2.5英寸CMOS成像芯片，支持图像数字宽动态功能，与视频会议终端同一品牌；</w:t>
            </w:r>
          </w:p>
          <w:p w14:paraId="4FE0465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 、支持≥12倍光学变焦，4K30fps 、1080P60fps 、1080P50fps等视频输出格式，提供产品彩页；</w:t>
            </w:r>
          </w:p>
          <w:p w14:paraId="24FDE50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3、支持水平视角≥80 ° , 垂直转动范围：≥+/- 30 °, 水平转动范围：≥+/- 110 ° ;</w:t>
            </w:r>
          </w:p>
          <w:p w14:paraId="78377DE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4、支持 RTSP、RTMP 、ONVIF、GB/T28181 等网络协议，支持网络 VISCA 控制协议，支持远程升级、远程重启、远程复位；</w:t>
            </w:r>
          </w:p>
          <w:p w14:paraId="16CD5D6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5、具备 HDMI、LAN(支持 POE) 、USB3.0 、RS232-IN 、RS232-OUT 等接口。</w:t>
            </w:r>
          </w:p>
          <w:p w14:paraId="327D1C1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会议音频系统</w:t>
            </w:r>
          </w:p>
          <w:p w14:paraId="416743E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（一）音频处理器</w:t>
            </w:r>
          </w:p>
          <w:p w14:paraId="010B6ED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1、支持 8 路平衡式话筒/线路输入采用裸线接口端子，平衡接法，具有 48V 幻象供电软开关，可以驱动各类电容麦克风单元。</w:t>
            </w:r>
          </w:p>
          <w:p w14:paraId="21D02DA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2、8 路平衡式线路输出输出，采用裸线接口端子，平衡接法。</w:t>
            </w:r>
          </w:p>
          <w:p w14:paraId="698F841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3、内置 Web 服务器，采用浏览器通过物联网可轻松获取设备控制软件。</w:t>
            </w:r>
          </w:p>
          <w:p w14:paraId="5B1E1F1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4、支持输入/输出分组控制功能，可实现对同类音频通道的推子音量同步管理，包含输入信号编组与输出信号编组双重控制，同时，支持编组执行标识色彩自定义设置。</w:t>
            </w:r>
          </w:p>
          <w:p w14:paraId="4684EE5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5、输入通道功能：具有前置放大、信号发生器、扩展器、压缩器、5/8/12 段图示均衡和 10/15/31 段参量均衡可选以及五种滤波器类型可选，包含 PEQ、High-Shelf、 Low-Shelf、LP 、HP。</w:t>
            </w:r>
          </w:p>
          <w:p w14:paraId="13712BC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6、输入具有 17 级灵敏度调节 0-51dB 增益，可以匹配不同灵敏度的各类麦克风，适用MIC 和 LINE 电平。</w:t>
            </w:r>
          </w:p>
          <w:p w14:paraId="533264F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7、输出通道功能：具有延时器、分频器、限幅器、5/8/12 段参量均衡和 10/15/31段图示均衡可选以及五种滤波器类型可选，包含 PEQ 、High-Shelf、Low-Shelf、 LP 、HP。</w:t>
            </w:r>
          </w:p>
          <w:p w14:paraId="2030F2A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8、支持增益共享自动混音(AMC)、自动增益控制（AGC）、自适应反馈消除（AFC）、自适应回声消除（AEC）、 自适应噪声消除（ANS）等声学算法。</w:t>
            </w:r>
          </w:p>
          <w:p w14:paraId="60B4361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9、具备 2 路可配置 GPIO 接口，通过软件配置为输入或输出。</w:t>
            </w:r>
          </w:p>
          <w:p w14:paraId="4BA7DD4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10、每个通道可设定推子的最大值和最小值，让优化后的系统工作在设定电平范围内，有效避免误操作。</w:t>
            </w:r>
          </w:p>
          <w:p w14:paraId="4249959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11、具备 RS-485 接口，实现视像跟踪控制功能，支持 PELCO-D/PELCO-P/VISCA等常见的摄像机控制协议。</w:t>
            </w:r>
          </w:p>
          <w:p w14:paraId="609EE5E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12、支持与可视化管控平台对接，实现对输入输出通道增益调节、输入输出通道混音矩阵可视化自由切换、输入输出通道电平信号状态实时显示、输入输出通道静音开关控制及预设场景调用等。</w:t>
            </w:r>
          </w:p>
          <w:p w14:paraId="29EE001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13、支持场景预设、导入、导出功能，最大支持 99 组场景。</w:t>
            </w:r>
          </w:p>
          <w:p w14:paraId="281B4E2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14、支持断电自动保护记忆功能。</w:t>
            </w:r>
          </w:p>
          <w:p w14:paraId="16953FC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15、采样率/量化位数：48kHz/24bit。</w:t>
            </w:r>
          </w:p>
          <w:p w14:paraId="5C42D79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16、频率响应：20Hz  ～ 20K Hz ， ±0.2dB。</w:t>
            </w:r>
          </w:p>
          <w:p w14:paraId="2759DDC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17、总谐波失真(THD+N)： ≤0.004%@4dBu。</w:t>
            </w:r>
          </w:p>
          <w:p w14:paraId="7EB491F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18、通道隔离度：104dB @1k Hz ，4dBu。</w:t>
            </w:r>
          </w:p>
          <w:p w14:paraId="4A559A5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19、本底噪声(A-计权)：-90dBu。</w:t>
            </w:r>
          </w:p>
          <w:p w14:paraId="386C0F0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20、工作电源：DC12V/2A。</w:t>
            </w:r>
          </w:p>
          <w:p w14:paraId="14972DC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21、电源功耗：＜15W。</w:t>
            </w:r>
          </w:p>
          <w:p w14:paraId="42ADDF3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22、尺寸(W*D*H)：482.6mm×206mm×44mm。</w:t>
            </w:r>
          </w:p>
          <w:p w14:paraId="422A1C9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23、净重：2.3kg。</w:t>
            </w:r>
          </w:p>
          <w:p w14:paraId="621F70F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（二）功放</w:t>
            </w:r>
          </w:p>
          <w:p w14:paraId="031C333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1、功率：200W（额定）/800W（峰值）。</w:t>
            </w:r>
          </w:p>
          <w:p w14:paraId="0134277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2、单元组成：8×3.5"全频单元。</w:t>
            </w:r>
          </w:p>
          <w:p w14:paraId="406E8D6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3、最大声压级(1M)：119dB（额定）/125dB（峰值）。</w:t>
            </w:r>
          </w:p>
          <w:p w14:paraId="5756532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4、阻抗： 8 Ω。</w:t>
            </w:r>
          </w:p>
          <w:p w14:paraId="300176F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5、灵敏度（1W/1M）: 96dB。</w:t>
            </w:r>
          </w:p>
          <w:p w14:paraId="3004418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6、频率响应：120Hz-20KHz。</w:t>
            </w:r>
          </w:p>
          <w:p w14:paraId="11EA7D4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7、指向性：水平 120 ° , 垂直 90 °。</w:t>
            </w:r>
          </w:p>
          <w:p w14:paraId="6D5B124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8、输入接口：欧姆头+凤凰端。</w:t>
            </w:r>
          </w:p>
          <w:p w14:paraId="277727E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9、箱体：外壳 ABS ，网罩金属。</w:t>
            </w:r>
          </w:p>
          <w:p w14:paraId="7AA49F0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10、尺寸(H×W×D)：904mm*92mm*102mm。</w:t>
            </w:r>
          </w:p>
          <w:p w14:paraId="13CB0EA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en-US" w:bidi="ar"/>
              </w:rPr>
              <w:t>11、</w:t>
            </w:r>
            <w:r>
              <w:rPr>
                <w:rFonts w:hint="eastAsia" w:ascii="仿宋" w:hAnsi="仿宋" w:eastAsia="仿宋" w:cs="仿宋"/>
                <w:color w:val="auto"/>
                <w:kern w:val="0"/>
                <w:sz w:val="21"/>
                <w:szCs w:val="21"/>
                <w:highlight w:val="none"/>
                <w:lang w:val="en-US" w:eastAsia="zh-CN" w:bidi="ar"/>
              </w:rPr>
              <w:t>净重：6Kg。</w:t>
            </w:r>
          </w:p>
          <w:p w14:paraId="399DB5B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（三）一拖四鹅颈话筒（会议话筒）</w:t>
            </w:r>
          </w:p>
          <w:p w14:paraId="46788DF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会议主机：</w:t>
            </w:r>
          </w:p>
          <w:p w14:paraId="55E5192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1、一拖四无线会议鹅颈。</w:t>
            </w:r>
          </w:p>
          <w:p w14:paraId="4B70307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2、加密算法：采用数字导频技术,2048 位对称加密算法杜绝监听。</w:t>
            </w:r>
          </w:p>
          <w:p w14:paraId="62DAAC0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3、防误操作：机器面板上置有锁定功能，锁定打开后，所有的操作都不能进行操作，只有解锁后，才能再次操控机器。</w:t>
            </w:r>
          </w:p>
          <w:p w14:paraId="4EDC4C9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4、频道数：预设 60 个共 4 组互不干扰频率，并锁定不受干扰的工作频道。</w:t>
            </w:r>
          </w:p>
          <w:p w14:paraId="2F876EF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5、智能混音：具备三选一音频智能混音功能，话筒可以同时开启4 个，1 通道为优先通道，一直保持打开及正常音量，2-4 通道的话筒只有在收到有发言信号，对应的某一个通道才打开。</w:t>
            </w:r>
          </w:p>
          <w:p w14:paraId="601FB70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6、导频方式：数字导频。</w:t>
            </w:r>
          </w:p>
          <w:p w14:paraId="60439B3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7、调制方式：FM 调频。</w:t>
            </w:r>
          </w:p>
          <w:p w14:paraId="1BA272C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8、显示屏：1.77 英寸。</w:t>
            </w:r>
          </w:p>
          <w:p w14:paraId="5308E50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9、射频载波范围：615~695MHz。</w:t>
            </w:r>
          </w:p>
          <w:p w14:paraId="16B995F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10、工作距离：无障碍直线 100 米以上。</w:t>
            </w:r>
          </w:p>
          <w:p w14:paraId="50BCBB6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11、频率响应：80Hz~ 20,000Hz。</w:t>
            </w:r>
          </w:p>
          <w:p w14:paraId="368BA53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12、动态范围：&gt; 90db。</w:t>
            </w:r>
          </w:p>
          <w:p w14:paraId="09B4676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13、失真度 THD：&lt; 0.5%。</w:t>
            </w:r>
          </w:p>
          <w:p w14:paraId="6D070E2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14、信噪比：&gt; 100dB ，A 计权。</w:t>
            </w:r>
          </w:p>
          <w:p w14:paraId="5AC5103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15、射频灵敏度：-98dbm。</w:t>
            </w:r>
          </w:p>
          <w:p w14:paraId="5B6B150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16、镜像抑制：&gt; 75db。</w:t>
            </w:r>
          </w:p>
          <w:p w14:paraId="3E17C1F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17、邻频干扰抑制：&gt;60dB。</w:t>
            </w:r>
          </w:p>
          <w:p w14:paraId="38768AE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会议话筒：</w:t>
            </w:r>
          </w:p>
          <w:p w14:paraId="5CCC1C1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1、通讯指令：电脑 CPU 控制。</w:t>
            </w:r>
          </w:p>
          <w:p w14:paraId="11C3DB7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2、电量提醒：智能电池欠压预警显示。</w:t>
            </w:r>
          </w:p>
          <w:p w14:paraId="5D7A09D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3、电路指标：PLL 锁相环频率合成技术动态音频压缩及自动电平控制电路杂讯锁定静噪控制对音码导航锁定静噪控。</w:t>
            </w:r>
          </w:p>
          <w:p w14:paraId="4F768E1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4、类型：电容式。</w:t>
            </w:r>
          </w:p>
          <w:p w14:paraId="7A41834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5、指向性：超心形指向。</w:t>
            </w:r>
          </w:p>
          <w:p w14:paraId="36DFE7B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6、工作频率：610-690MHz。</w:t>
            </w:r>
          </w:p>
          <w:p w14:paraId="4A7B477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7、拾音有效距离：100cm 以上。</w:t>
            </w:r>
          </w:p>
          <w:p w14:paraId="4F23881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8、灵敏度：&gt;-20dBM（1V）。</w:t>
            </w:r>
          </w:p>
          <w:p w14:paraId="60DB4DB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9、发射功率：&gt;对 10dBM(10mW)。</w:t>
            </w:r>
          </w:p>
          <w:p w14:paraId="07C0597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10、有效距离:无障碍直线 100 米以上。</w:t>
            </w:r>
          </w:p>
          <w:p w14:paraId="7E4B924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 、频率响应：100Hz-20,000Hz。</w:t>
            </w:r>
          </w:p>
          <w:p w14:paraId="2D0AAF1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12、增益：10db。</w:t>
            </w:r>
          </w:p>
          <w:p w14:paraId="6B8CDD6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13、抗干扰：防手机电磁波。</w:t>
            </w:r>
          </w:p>
          <w:p w14:paraId="4877559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14、副波抑制：&gt; 50db。</w:t>
            </w:r>
          </w:p>
          <w:p w14:paraId="1645916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15、导频：数字导频。</w:t>
            </w:r>
          </w:p>
          <w:p w14:paraId="67E2578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16、显示屏：1.77 英寸的彩色显示屏，显示电池电量，信号强度等话筒各种状态。</w:t>
            </w:r>
          </w:p>
          <w:p w14:paraId="21BAC3C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17、电池规格：3200MA 大容量锂电池，续用时间轻松达 10 小时以上。</w:t>
            </w:r>
          </w:p>
          <w:p w14:paraId="66E1BED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18、咪杆长度：38cm。</w:t>
            </w:r>
          </w:p>
          <w:p w14:paraId="55000F7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19、FM 最大调制频偏： ±45KHz。</w:t>
            </w:r>
          </w:p>
          <w:p w14:paraId="6D24EC3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（四）音柱扬声器</w:t>
            </w:r>
          </w:p>
          <w:p w14:paraId="0DEBBC3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1、功率：200W（额定）/800W（峰值）。</w:t>
            </w:r>
          </w:p>
          <w:p w14:paraId="5CE62F0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2、单元组成：8×3.5"全频单元。</w:t>
            </w:r>
          </w:p>
          <w:p w14:paraId="60F7B97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3、最大声压级(1M)：119dB（额定）/125dB（峰值）。</w:t>
            </w:r>
          </w:p>
          <w:p w14:paraId="2BCA439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4、阻抗： 8 Ω。</w:t>
            </w:r>
          </w:p>
          <w:p w14:paraId="67021F3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5、灵敏度（1W/1M）: 96dB。</w:t>
            </w:r>
          </w:p>
          <w:p w14:paraId="4EACD71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6、频率响应：120Hz-20KHz。</w:t>
            </w:r>
          </w:p>
          <w:p w14:paraId="672607B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7、指向性：水平 120 ° , 垂直 90 °。</w:t>
            </w:r>
          </w:p>
          <w:p w14:paraId="4742091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8、输入接口：欧姆头+凤凰端。</w:t>
            </w:r>
          </w:p>
          <w:p w14:paraId="40AA133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9、箱体：外壳 ABS ，网罩金属。</w:t>
            </w:r>
          </w:p>
          <w:p w14:paraId="5523CF0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10、尺寸(H×W×D)：904mm*92mm*102mm。</w:t>
            </w:r>
          </w:p>
          <w:p w14:paraId="5FCD051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en-US" w:bidi="ar"/>
              </w:rPr>
              <w:t>11、</w:t>
            </w:r>
            <w:r>
              <w:rPr>
                <w:rFonts w:hint="eastAsia" w:ascii="仿宋" w:hAnsi="仿宋" w:eastAsia="仿宋" w:cs="仿宋"/>
                <w:color w:val="auto"/>
                <w:kern w:val="0"/>
                <w:sz w:val="21"/>
                <w:szCs w:val="21"/>
                <w:highlight w:val="none"/>
                <w:lang w:val="en-US" w:eastAsia="zh-CN" w:bidi="ar"/>
              </w:rPr>
              <w:t>净重：6Kg。</w:t>
            </w:r>
          </w:p>
          <w:p w14:paraId="057E6A0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2"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（五）时序器</w:t>
            </w:r>
          </w:p>
          <w:p w14:paraId="42EE2AD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1、超大容量设计，支持 1 路空气开关，最大电流 50A ，额定电流40A；</w:t>
            </w:r>
          </w:p>
          <w:p w14:paraId="3CCD35D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2、支持 8 路控制按键及状态指示，支持从 1-8 或 8- 1 按顺序以 1 秒为间隔时间打开或关闭相对应通道；</w:t>
            </w:r>
          </w:p>
          <w:p w14:paraId="55D3B4E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3、支持 8 路供电输出，每路输出 AC220V ，额定电流 10A ，最大电流 16A ，采用万能插座，适用各种类型插头；</w:t>
            </w:r>
          </w:p>
          <w:p w14:paraId="001CAE6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4、支持 USB 供电插座，提供 5V/100mA 的直流电源输出，支持 USB 供电开关控制；</w:t>
            </w:r>
          </w:p>
          <w:p w14:paraId="4789ABC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5、支持电平控制，短路开关控制，RS232 控制等多种外部控制方式；</w:t>
            </w:r>
          </w:p>
          <w:p w14:paraId="595952D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6、每路可设置延时关机时间，最长延时 10 分钟；</w:t>
            </w:r>
          </w:p>
          <w:p w14:paraId="69621C8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7、每个通道对应一个电源指示灯，当通道输出电压时，相对应的指示灯亮，相反则关闭；</w:t>
            </w:r>
          </w:p>
          <w:p w14:paraId="02B1ED4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8、前面板配备显示屏，可随时监视市电电压的稳定性；</w:t>
            </w:r>
          </w:p>
          <w:p w14:paraId="1AEFD4D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9、支持时序控制开关，全通开关，独立控制开关等多种面板控制方式；</w:t>
            </w:r>
          </w:p>
          <w:p w14:paraId="51F9C2F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10、支持锁定键，长按锁定按键，可以锁定/解锁通道开关按键。</w:t>
            </w:r>
          </w:p>
        </w:tc>
      </w:tr>
      <w:tr w14:paraId="58D78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4E855D7C">
            <w:pPr>
              <w:pStyle w:val="41"/>
              <w:spacing w:before="143" w:line="222" w:lineRule="auto"/>
              <w:ind w:left="121"/>
              <w:jc w:val="center"/>
              <w:rPr>
                <w:rFonts w:hint="default" w:ascii="仿宋" w:hAnsi="仿宋" w:eastAsia="仿宋" w:cs="仿宋"/>
                <w:spacing w:val="-1"/>
                <w:sz w:val="21"/>
                <w:szCs w:val="21"/>
                <w:highlight w:val="none"/>
                <w:lang w:val="en-US" w:eastAsia="zh-CN"/>
              </w:rPr>
            </w:pPr>
            <w:r>
              <w:rPr>
                <w:rFonts w:hint="eastAsia" w:ascii="仿宋" w:hAnsi="仿宋" w:eastAsia="仿宋" w:cs="仿宋"/>
                <w:spacing w:val="-1"/>
                <w:sz w:val="21"/>
                <w:szCs w:val="21"/>
                <w:highlight w:val="none"/>
                <w:lang w:val="en-US" w:eastAsia="zh-CN"/>
              </w:rPr>
              <w:t>3</w:t>
            </w:r>
          </w:p>
        </w:tc>
        <w:tc>
          <w:tcPr>
            <w:tcW w:w="1366" w:type="dxa"/>
            <w:vAlign w:val="center"/>
          </w:tcPr>
          <w:p w14:paraId="3B7BE616">
            <w:pPr>
              <w:pStyle w:val="41"/>
              <w:spacing w:before="143" w:line="222" w:lineRule="auto"/>
              <w:ind w:left="121"/>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GPU 系统</w:t>
            </w:r>
          </w:p>
          <w:p w14:paraId="73064C55">
            <w:pPr>
              <w:pStyle w:val="41"/>
              <w:spacing w:before="143" w:line="222" w:lineRule="auto"/>
              <w:ind w:left="121"/>
              <w:jc w:val="center"/>
              <w:rPr>
                <w:rFonts w:hint="eastAsia" w:ascii="仿宋" w:hAnsi="仿宋" w:eastAsia="仿宋" w:cs="仿宋"/>
                <w:color w:val="auto"/>
                <w:sz w:val="21"/>
                <w:szCs w:val="21"/>
                <w:highlight w:val="none"/>
                <w:lang w:val="en-US" w:eastAsia="zh-CN"/>
              </w:rPr>
            </w:pPr>
          </w:p>
        </w:tc>
        <w:tc>
          <w:tcPr>
            <w:tcW w:w="7100" w:type="dxa"/>
            <w:vAlign w:val="top"/>
          </w:tcPr>
          <w:p w14:paraId="256CB4A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图形工作站</w:t>
            </w:r>
          </w:p>
          <w:p w14:paraId="6CC0F0B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1.CPU:Hygon 3000 系列高主频处理器 8 核，主频 3.0GHz ，支持超线程；</w:t>
            </w:r>
          </w:p>
          <w:p w14:paraId="6326937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 内存: ≥64G ，最大可安装 4 根内存，总容量 256G 内存支持 DDR4 3200  内存；</w:t>
            </w:r>
          </w:p>
          <w:p w14:paraId="749F46F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3.硬盘:配置 1 块 4T SATA，1 块 1T HDD   固态 最高支持 2 个 3.5 寸+1 个 2.5 寸 硬盘可支持 1个 M.2 SSD；</w:t>
            </w:r>
          </w:p>
          <w:p w14:paraId="0BFED75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4.拓展插槽:最大可扩展 4 个 PCIe 插槽:2 个 PCI-E   × 16   ；1 个 PCI-E   ×8；1 个 PCI-E   × 1</w:t>
            </w:r>
          </w:p>
          <w:p w14:paraId="610A924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▲5.显卡: ≥配置 3080 12G 显卡，支持半高专业级显卡；</w:t>
            </w:r>
          </w:p>
          <w:p w14:paraId="69C9A53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6.显示器：≥27 寸；</w:t>
            </w:r>
          </w:p>
          <w:p w14:paraId="2606884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7.对外接口:4 个 USB 3.0 接口和 1 组音频接口位于机箱前部，2 个 USB3.0 接口、4 个 USB3.0接口、1 个千兆网口、1 个串口、1 组音频接口位于机箱后部，可支持选配指纹识别模组；</w:t>
            </w:r>
          </w:p>
          <w:p w14:paraId="229526E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8.光驱:可选配内置 DVD 光驱；</w:t>
            </w:r>
          </w:p>
          <w:p w14:paraId="17C9354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 电源: ≥600W 静音电源；</w:t>
            </w:r>
          </w:p>
          <w:p w14:paraId="5B672E5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▲10.操作系统:支持 Windows10，Ubuntu 及国产桌面 Linux、UOS、银河麒麟等主流操作系统；</w:t>
            </w:r>
          </w:p>
          <w:p w14:paraId="03F5971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▲11.认证资质:CCC证书及报告、节能认证证书、环境标志产品认证证书及报告；</w:t>
            </w:r>
          </w:p>
          <w:p w14:paraId="173139D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12:键盘鼠标：配置原厂键盘鼠标。</w:t>
            </w:r>
          </w:p>
        </w:tc>
      </w:tr>
      <w:tr w14:paraId="3A8F9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4C0878C0">
            <w:pPr>
              <w:pStyle w:val="41"/>
              <w:spacing w:before="143" w:line="222" w:lineRule="auto"/>
              <w:ind w:left="121"/>
              <w:jc w:val="center"/>
              <w:rPr>
                <w:rFonts w:hint="default" w:ascii="仿宋" w:hAnsi="仿宋" w:eastAsia="仿宋" w:cs="仿宋"/>
                <w:spacing w:val="-1"/>
                <w:sz w:val="21"/>
                <w:szCs w:val="21"/>
                <w:highlight w:val="none"/>
                <w:lang w:val="en-US" w:eastAsia="zh-CN"/>
              </w:rPr>
            </w:pPr>
            <w:r>
              <w:rPr>
                <w:rFonts w:hint="eastAsia" w:ascii="仿宋" w:hAnsi="仿宋" w:eastAsia="仿宋" w:cs="仿宋"/>
                <w:spacing w:val="-1"/>
                <w:sz w:val="21"/>
                <w:szCs w:val="21"/>
                <w:highlight w:val="none"/>
                <w:lang w:val="en-US" w:eastAsia="zh-CN"/>
              </w:rPr>
              <w:t>4</w:t>
            </w:r>
          </w:p>
        </w:tc>
        <w:tc>
          <w:tcPr>
            <w:tcW w:w="1366" w:type="dxa"/>
            <w:vAlign w:val="center"/>
          </w:tcPr>
          <w:p w14:paraId="4B590EB5">
            <w:pPr>
              <w:pStyle w:val="41"/>
              <w:spacing w:before="143" w:line="222" w:lineRule="auto"/>
              <w:ind w:left="121"/>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基层防灾韧性能力提升</w:t>
            </w:r>
          </w:p>
          <w:p w14:paraId="2C3A5B3A">
            <w:pPr>
              <w:pStyle w:val="41"/>
              <w:spacing w:before="143" w:line="222" w:lineRule="auto"/>
              <w:ind w:left="121"/>
              <w:jc w:val="center"/>
              <w:rPr>
                <w:rFonts w:hint="eastAsia" w:ascii="仿宋" w:hAnsi="仿宋" w:eastAsia="仿宋" w:cs="仿宋"/>
                <w:color w:val="auto"/>
                <w:sz w:val="21"/>
                <w:szCs w:val="21"/>
                <w:highlight w:val="none"/>
                <w:lang w:val="en-US" w:eastAsia="zh-CN"/>
              </w:rPr>
            </w:pPr>
          </w:p>
        </w:tc>
        <w:tc>
          <w:tcPr>
            <w:tcW w:w="7100" w:type="dxa"/>
            <w:vAlign w:val="top"/>
          </w:tcPr>
          <w:p w14:paraId="3F9D870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sz w:val="21"/>
                <w:szCs w:val="21"/>
                <w:highlight w:val="none"/>
                <w:lang w:val="en-US" w:eastAsia="zh-CN"/>
              </w:rPr>
              <w:t>修订完善防御预案</w:t>
            </w:r>
          </w:p>
          <w:p w14:paraId="5B8DFC8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按照《山洪灾害防御预案编制技术导则》（SL666—2024），结合危险区核定成果，修订完善县、乡、村三级山洪灾害防御预案。针对老弱病残幼、旅游或务工流动人员等群体和夜间、“断网、断电、断路 ”等特殊场景制定针对性措施。</w:t>
            </w:r>
          </w:p>
          <w:p w14:paraId="081BD70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1.预案编制范围</w:t>
            </w:r>
          </w:p>
          <w:p w14:paraId="2FDD12A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按照山洪灾害防御预案编制技术导则（SLT666-2024）要求，编制县山洪灾害防御预案，鼓励乡、村实行一纸化预案。</w:t>
            </w:r>
          </w:p>
          <w:p w14:paraId="3E02832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2.预案编制原则</w:t>
            </w:r>
          </w:p>
          <w:p w14:paraId="11152F3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（1）应坚持以人为本，以避为要，以保障人民群众生命安全作为预案编制和执行的目标，以转移避险作为预案的主要措施；</w:t>
            </w:r>
          </w:p>
          <w:p w14:paraId="6E53CD0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（2）应坚持以防为主，专群结合，依托专业监测预警和群测群防相结合的防御体系，把“责任制体系，监测预警，转移避险 ”等作为预案编制重点；</w:t>
            </w:r>
          </w:p>
          <w:p w14:paraId="0CFC490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（3）应坚持职责明确，协同联动，明确山洪灾害防御各部门(单位)职责，通过预案建立健全部门间，县乡村联动机制；</w:t>
            </w:r>
          </w:p>
          <w:p w14:paraId="3A1D405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（4）应坚持实战导向，因地制宜，吸纳近年来山洪灾害防御的经验和教训，体现本地山洪灾害特点和防御实际；</w:t>
            </w:r>
          </w:p>
          <w:p w14:paraId="5493433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（5）应坚持简洁明了，务实管用，并具有针对性，可操作性，宜图表结合，宜简不宜繁。</w:t>
            </w:r>
          </w:p>
          <w:p w14:paraId="790CECA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3.预案编制内容</w:t>
            </w:r>
          </w:p>
          <w:p w14:paraId="359954B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县级、乡级预案应包括：总则、基本情况、责任制体系、监测预警、响应行动、保障措施及相关附表附图。</w:t>
            </w:r>
          </w:p>
          <w:p w14:paraId="5E129CC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村级预案应包括以下内容：a)山洪灾害危险区和山洪风险隐患，各防御责任人职责，预警指标，预警信息接收反馈及传递流程，转移避险地点，转移路线，转移人员和包保责任人花名册等信息；b)一张图，标明危险区范围，转移人员和包保责任人，避险地点，转移避险路线，山洪风险隐患等基本信息。</w:t>
            </w:r>
          </w:p>
          <w:p w14:paraId="41B5031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4.预案编制要求</w:t>
            </w:r>
          </w:p>
          <w:p w14:paraId="175B3A3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应根据区域内受山洪威胁人员，防御责任单位及责任人，山洪灾害危险区和风险隐患，预警指标等情况的变化，及时修订各级预案，并在次年人汛前按程序报批印发。山洪灾害发生后，应及时检视并修订各级预案</w:t>
            </w:r>
          </w:p>
        </w:tc>
      </w:tr>
      <w:tr w14:paraId="3DEC7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2D1C3012">
            <w:pPr>
              <w:pStyle w:val="41"/>
              <w:spacing w:before="143" w:line="222" w:lineRule="auto"/>
              <w:ind w:left="121"/>
              <w:jc w:val="center"/>
              <w:rPr>
                <w:rFonts w:hint="default" w:ascii="仿宋" w:hAnsi="仿宋" w:eastAsia="仿宋" w:cs="仿宋"/>
                <w:spacing w:val="-1"/>
                <w:sz w:val="21"/>
                <w:szCs w:val="21"/>
                <w:highlight w:val="none"/>
                <w:lang w:val="en-US" w:eastAsia="zh-CN"/>
              </w:rPr>
            </w:pPr>
            <w:r>
              <w:rPr>
                <w:rFonts w:hint="eastAsia" w:ascii="仿宋" w:hAnsi="仿宋" w:eastAsia="仿宋" w:cs="仿宋"/>
                <w:spacing w:val="-1"/>
                <w:sz w:val="21"/>
                <w:szCs w:val="21"/>
                <w:highlight w:val="none"/>
                <w:lang w:val="en-US" w:eastAsia="zh-CN"/>
              </w:rPr>
              <w:t>5</w:t>
            </w:r>
          </w:p>
        </w:tc>
        <w:tc>
          <w:tcPr>
            <w:tcW w:w="1366" w:type="dxa"/>
            <w:vAlign w:val="center"/>
          </w:tcPr>
          <w:p w14:paraId="5BF8DA5C">
            <w:pPr>
              <w:pStyle w:val="41"/>
              <w:spacing w:before="143" w:line="222" w:lineRule="auto"/>
              <w:ind w:left="121"/>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提升防灾避险能力</w:t>
            </w:r>
          </w:p>
        </w:tc>
        <w:tc>
          <w:tcPr>
            <w:tcW w:w="7100" w:type="dxa"/>
            <w:vAlign w:val="top"/>
          </w:tcPr>
          <w:p w14:paraId="74C62CD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培训、宣传、演练</w:t>
            </w:r>
          </w:p>
          <w:p w14:paraId="1408693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宣传</w:t>
            </w:r>
          </w:p>
          <w:p w14:paraId="7F76880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利用会议、广播、电视、报纸、宣传栏、宣传册、挂图、光碟及发放明白卡等方式宣传山洪灾害防御知识，做到进村、入户、到人，不断提高人们主动防范、依法防灾的自觉性，增强人们的自救意识和自救能力。</w:t>
            </w:r>
          </w:p>
          <w:p w14:paraId="76DB6A2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宣传材料由县级水行政部门组织编制，分发至乡镇、村组。具体要求：</w:t>
            </w:r>
          </w:p>
          <w:p w14:paraId="35BD670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宣传手册</w:t>
            </w:r>
          </w:p>
          <w:p w14:paraId="3C313C8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印刷《山洪灾害防御知识宣传手册》，用通俗易懂的语言，图文并茂，宣传山洪灾害防御知识，发放至各乡（镇、街道办事处）。</w:t>
            </w:r>
          </w:p>
          <w:p w14:paraId="52C9DA4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1.内容</w:t>
            </w:r>
          </w:p>
          <w:p w14:paraId="4CB1811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宣传内容覆盖山洪灾害认知、预警、转移避险、自救互救与应急处置、责任体系与联系方式等内容，语言简洁明了，简单易懂，配图贴合实际。</w:t>
            </w:r>
          </w:p>
          <w:p w14:paraId="15CB945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2.要求</w:t>
            </w:r>
          </w:p>
          <w:p w14:paraId="7F5ADB2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①配色按照“红 =警示、黄=提醒、蓝=指引”三色定调；</w:t>
            </w:r>
          </w:p>
          <w:p w14:paraId="68F2330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②排版按照图文相间原则，避免大段文字堆砌；</w:t>
            </w:r>
          </w:p>
          <w:p w14:paraId="2871208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③本地风险点、路线图、责任人信息需实地核查，确保准确；</w:t>
            </w:r>
          </w:p>
          <w:p w14:paraId="5C51E63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影像资料</w:t>
            </w:r>
          </w:p>
          <w:p w14:paraId="4BC99BA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1.内容：包括山洪灾害的成因、危害、特点、防御组织机构、预警信号、避险注意事项、预警监测设施的保护等内容；</w:t>
            </w:r>
          </w:p>
          <w:p w14:paraId="6E71C89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2.制作要求：分辨率 1920×1080（高清）或者 720×576（标清），时长控制5- 15 分钟以内，视频要求配备字幕；</w:t>
            </w:r>
          </w:p>
          <w:p w14:paraId="1CDD1AB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3.播放方式：不定期地在县电视台黄金时段播放及群众赶集时间进行宣传。</w:t>
            </w:r>
          </w:p>
          <w:p w14:paraId="17CB4A1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明白卡</w:t>
            </w:r>
          </w:p>
          <w:p w14:paraId="7C8AECB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1.制作要求</w:t>
            </w:r>
          </w:p>
          <w:p w14:paraId="45BA84E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①在山洪灾害危险区内，应以户为单位发放山洪灾害防御明白卡；</w:t>
            </w:r>
          </w:p>
          <w:p w14:paraId="4902EE7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②明白卡应包括家庭人员信息及联系电话、灾害类型、转移责任人及联系电话、避灾安置点、预警信号等，预警信号根据山洪灾害防御预案要求确定；</w:t>
            </w:r>
          </w:p>
          <w:p w14:paraId="1108BA0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③明白卡版面应当简洁、直观、不花哨，防雨、防晒、防腐蚀；</w:t>
            </w:r>
          </w:p>
          <w:p w14:paraId="56E811E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④明白卡由标题栏、文字区域、辅助图案、落款栏等部分组成；</w:t>
            </w:r>
          </w:p>
          <w:p w14:paraId="7AB75E5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⑤明白卡一般不小于 A4 纸张尺寸。</w:t>
            </w:r>
          </w:p>
          <w:p w14:paraId="11F9EED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2.材料选择</w:t>
            </w:r>
          </w:p>
          <w:p w14:paraId="5EC45F1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①白卡应以 KT 板、PVC 、过塑印刷纸张等材料，如有条件的地方，可以采用铝板；</w:t>
            </w:r>
          </w:p>
          <w:p w14:paraId="0BD2E36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②版面采用户外写真印制，粘贴在底板上，画面平整、耐久、不容易脱色；</w:t>
            </w:r>
          </w:p>
          <w:p w14:paraId="7E0EE70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③信息可以用油性记号笔书写。</w:t>
            </w:r>
          </w:p>
          <w:p w14:paraId="3F6FDA5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宣传栏</w:t>
            </w:r>
          </w:p>
          <w:p w14:paraId="12C55A0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制作宣传牌、宣传栏，由山洪灾害危险区各乡（镇、街道办事处）制作宣传牌、各村委会制作宣传栏，公布当地防御山洪灾害工作的组织机构，山洪灾害防御示意图，并宣传山洪灾害防御知识。</w:t>
            </w:r>
          </w:p>
          <w:p w14:paraId="7AF7B8F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1.制作要求</w:t>
            </w:r>
          </w:p>
          <w:p w14:paraId="6666429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①张贴在乡镇政府大院、集市、卫生院、中心校等人员密集区；</w:t>
            </w:r>
          </w:p>
          <w:p w14:paraId="48BEA78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②宣传内容包括山洪灾害防御组织机构、危险区示意图、监测预警、转移避险图、 自救互救等核心内容；</w:t>
            </w:r>
          </w:p>
          <w:p w14:paraId="2B515C5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③版面应当简洁、直观、不花哨，具有地域适配性，定期维护、动态更新，防雨、防晒、防腐蚀；</w:t>
            </w:r>
          </w:p>
          <w:p w14:paraId="6153B0C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④由标题栏、文字区域、辅助图案、落款栏等部分组成；</w:t>
            </w:r>
          </w:p>
          <w:p w14:paraId="41F01A9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⑤尺寸建议主宣传栏 240cm×120cm ，小型宣传栏 180cm×90cm。</w:t>
            </w:r>
          </w:p>
          <w:p w14:paraId="06F8630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2.材料选择</w:t>
            </w:r>
          </w:p>
          <w:p w14:paraId="4EFC473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基础款用PVC 发泡板 (≥5mm）+户外高清喷绘覆膜，加强款用钢化玻璃 +内贴 KT 板，框架用铝合金或 304 不锈钢，防雨水抗暴晒。</w:t>
            </w:r>
          </w:p>
          <w:p w14:paraId="50FF264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3.安装</w:t>
            </w:r>
          </w:p>
          <w:p w14:paraId="511C296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避开危房、大树、低洼处，选择地势高、视野开阔、人员必经处，隐患点附近宣传栏距隐患点 50- 100 米。</w:t>
            </w:r>
          </w:p>
          <w:p w14:paraId="40AA389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培训</w:t>
            </w:r>
          </w:p>
          <w:p w14:paraId="1FB7A9A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县级水行政部门组织对相关人员开展山洪灾害监测预警系统组成及技术、数据信息汇集及预警平台或信息终端使用与维护、计算机网络故障诊断和处理方法、自动监测站操作维修与运行管理、简易监测站观测及报汛等技术培训，保障监测预警系统的正常运行。</w:t>
            </w:r>
          </w:p>
          <w:p w14:paraId="0858506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 山洪灾害监测预警系统组成及核心技术培训</w:t>
            </w:r>
          </w:p>
          <w:p w14:paraId="04E099C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（1）培训对象：县水行政部门技术骨人员、值班人员。</w:t>
            </w:r>
          </w:p>
          <w:p w14:paraId="5249837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培训内容：云南山洪灾害防御系统整体架构，站点、预警平台、信息终端、传输网络的层级关系与数据流转逻辑；云南省山洪四预系统的预警逻辑、阈值条件、触发预警机制，预警信息发布条件和范围；平台日常维护，账号权限管理。</w:t>
            </w:r>
          </w:p>
          <w:p w14:paraId="669834BD">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2.数据信息汇集及预警平台操作与维护</w:t>
            </w:r>
          </w:p>
          <w:p w14:paraId="757046D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（1）培训对象：县水行政部门技术人员、乡镇水利员、村监测员、网格员。</w:t>
            </w:r>
          </w:p>
          <w:p w14:paraId="3666B4E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（2）培训内容：监测数据的采集、处理、传输、存储、校验等操作， 自动监测站的操作、维修与运行管理，终端设备的维护与管理，熟练掌握设备日常操作、数据观测上报、简单故障排查（如天线松动、太阳能板清洁）等。</w:t>
            </w:r>
          </w:p>
          <w:p w14:paraId="5DEEA81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3.应急处置与协同配合</w:t>
            </w:r>
          </w:p>
          <w:p w14:paraId="38E68E9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（1）培训对象：县水行政部门负责人、乡镇/村级负责人、值班值守人员。</w:t>
            </w:r>
          </w:p>
          <w:p w14:paraId="7007372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（2）培训内容：预警信号的识别，预警平台的查询使用、预警信息的发布，信息上报流程，跨部门协同会商机制与联动。</w:t>
            </w:r>
          </w:p>
          <w:p w14:paraId="130B55E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演练</w:t>
            </w:r>
          </w:p>
          <w:p w14:paraId="2EDF63C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各县组织辖区内乡镇、村级按照应急预案开展演练，遵循突出实战、适应需求，按照计划准备、组织实施、评估总结接程序进行。通过演练，进一步提高乡镇（街道）应对汛情的应急处置能力，同时通过实战化演练，进一步增强应急预案的操作性和科学性。</w:t>
            </w:r>
          </w:p>
          <w:p w14:paraId="50F7D91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1.开展对象：重点防治村、危险区村民；</w:t>
            </w:r>
          </w:p>
          <w:p w14:paraId="2EDBF51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2.开展时间：必须在合同签订后30天内完成；</w:t>
            </w:r>
          </w:p>
          <w:p w14:paraId="771A931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3.演练内容：模拟监测预警触发、预警信息传递、安全疏导与人员撤离、安置点管理与应急保障等过程处理。</w:t>
            </w:r>
          </w:p>
        </w:tc>
      </w:tr>
      <w:tr w14:paraId="4DBEA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57" w:hRule="atLeast"/>
        </w:trPr>
        <w:tc>
          <w:tcPr>
            <w:tcW w:w="650" w:type="dxa"/>
            <w:vAlign w:val="center"/>
          </w:tcPr>
          <w:p w14:paraId="452D2189">
            <w:pPr>
              <w:pStyle w:val="41"/>
              <w:spacing w:before="143" w:line="222" w:lineRule="auto"/>
              <w:ind w:left="121"/>
              <w:jc w:val="center"/>
              <w:rPr>
                <w:rFonts w:hint="default" w:ascii="仿宋" w:hAnsi="仿宋" w:eastAsia="仿宋" w:cs="仿宋"/>
                <w:spacing w:val="-1"/>
                <w:sz w:val="21"/>
                <w:szCs w:val="21"/>
                <w:highlight w:val="none"/>
                <w:lang w:val="en-US" w:eastAsia="zh-CN"/>
              </w:rPr>
            </w:pPr>
            <w:r>
              <w:rPr>
                <w:rFonts w:hint="eastAsia" w:ascii="仿宋" w:hAnsi="仿宋" w:eastAsia="仿宋" w:cs="仿宋"/>
                <w:spacing w:val="-1"/>
                <w:sz w:val="21"/>
                <w:szCs w:val="21"/>
                <w:highlight w:val="none"/>
                <w:lang w:val="en-US" w:eastAsia="zh-CN"/>
              </w:rPr>
              <w:t>6</w:t>
            </w:r>
          </w:p>
        </w:tc>
        <w:tc>
          <w:tcPr>
            <w:tcW w:w="1366" w:type="dxa"/>
            <w:vAlign w:val="center"/>
          </w:tcPr>
          <w:p w14:paraId="55FE9C20">
            <w:pPr>
              <w:pStyle w:val="41"/>
              <w:spacing w:before="143" w:line="222" w:lineRule="auto"/>
              <w:ind w:left="121"/>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新型入户报警“叫应”设备</w:t>
            </w:r>
          </w:p>
          <w:p w14:paraId="3F379212">
            <w:pPr>
              <w:pStyle w:val="41"/>
              <w:spacing w:before="143" w:line="222" w:lineRule="auto"/>
              <w:ind w:left="121"/>
              <w:jc w:val="center"/>
              <w:rPr>
                <w:rFonts w:hint="eastAsia" w:ascii="仿宋" w:hAnsi="仿宋" w:eastAsia="仿宋" w:cs="仿宋"/>
                <w:color w:val="auto"/>
                <w:sz w:val="21"/>
                <w:szCs w:val="21"/>
                <w:highlight w:val="none"/>
                <w:lang w:val="en-US" w:eastAsia="zh-CN"/>
              </w:rPr>
            </w:pPr>
          </w:p>
        </w:tc>
        <w:tc>
          <w:tcPr>
            <w:tcW w:w="7100" w:type="dxa"/>
            <w:vAlign w:val="top"/>
          </w:tcPr>
          <w:p w14:paraId="335DDAA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防汛呼叫器</w:t>
            </w:r>
          </w:p>
          <w:p w14:paraId="1F62295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功能要求：（1）语音呼叫：具有语音呼叫功能，支持以户为单位进行单呼和以组为单位进行组呼；</w:t>
            </w:r>
          </w:p>
          <w:p w14:paraId="4F8C38E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（2）组户管理：具有组和户二级管理机制，可对接入的预警对象进行管理；</w:t>
            </w:r>
          </w:p>
          <w:p w14:paraId="31CE2F5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（3）一键报警：可通过近地无线 MESH 自组网按键触发紧急报警；</w:t>
            </w:r>
          </w:p>
          <w:p w14:paraId="540AAD7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（4）叫应留痕：对每一次叫应操作存储叫应时间、被叫对象、叫应状态信息；</w:t>
            </w:r>
          </w:p>
          <w:p w14:paraId="315E610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（5）呼叫记录：可查看终端编码、呼叫时间、送达状态等呼叫记录信息；</w:t>
            </w:r>
          </w:p>
          <w:p w14:paraId="0418F93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（6）叫应管理：可展示同组内的报警应答器设备值守、报警、应答状态；</w:t>
            </w:r>
          </w:p>
          <w:p w14:paraId="59E4E32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（7）终端管理：可展示所接入应答的在线、离线状态；</w:t>
            </w:r>
          </w:p>
          <w:p w14:paraId="46CB1E9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（8）呼叫监听：具备监听喇叭可本地监听呼叫语音；</w:t>
            </w:r>
          </w:p>
          <w:p w14:paraId="0DE81AA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技术参数：</w:t>
            </w:r>
          </w:p>
          <w:p w14:paraId="722D9B3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（1）外接电源：DC12V/3A；</w:t>
            </w:r>
          </w:p>
          <w:p w14:paraId="3F6BE13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（2）公网通信：支持4G/WiFi/Ethernet；</w:t>
            </w:r>
          </w:p>
          <w:p w14:paraId="3FE21EE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（3）应急通信：支持近地无线MESH 自组网；</w:t>
            </w:r>
          </w:p>
          <w:p w14:paraId="3105B28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（4）组网机制： 内置 AODV 协议栈，最大 10 跳接力传输；</w:t>
            </w:r>
          </w:p>
          <w:p w14:paraId="4C900C94">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（5）监听喇叭：喇叭功率 5W，喇叭阻抗 4 Ω ;</w:t>
            </w:r>
          </w:p>
          <w:p w14:paraId="695BEC8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（6）话筒输入：输入幅度&gt;2mv，阻抗 600 Ω ;</w:t>
            </w:r>
          </w:p>
          <w:p w14:paraId="5F4B8DC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 内置电池：容量不小于2000mAh.</w:t>
            </w:r>
          </w:p>
          <w:p w14:paraId="6F2B0642">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（8）工作温度：0~45℃;</w:t>
            </w:r>
          </w:p>
          <w:p w14:paraId="092AD91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right="0" w:rightChars="0"/>
              <w:jc w:val="left"/>
              <w:textAlignment w:val="auto"/>
              <w:rPr>
                <w:rFonts w:hint="eastAsia" w:ascii="仿宋" w:hAnsi="仿宋" w:eastAsia="仿宋" w:cs="仿宋"/>
                <w:b/>
                <w:bCs/>
                <w:color w:val="auto"/>
                <w:kern w:val="0"/>
                <w:sz w:val="21"/>
                <w:szCs w:val="21"/>
                <w:highlight w:val="none"/>
                <w:lang w:val="en-US" w:eastAsia="zh-CN" w:bidi="ar"/>
              </w:rPr>
            </w:pPr>
            <w:r>
              <w:rPr>
                <w:rFonts w:hint="eastAsia" w:ascii="仿宋" w:hAnsi="仿宋" w:eastAsia="仿宋" w:cs="仿宋"/>
                <w:b/>
                <w:bCs/>
                <w:color w:val="auto"/>
                <w:kern w:val="0"/>
                <w:sz w:val="21"/>
                <w:szCs w:val="21"/>
                <w:highlight w:val="none"/>
                <w:lang w:val="en-US" w:eastAsia="zh-CN" w:bidi="ar"/>
              </w:rPr>
              <w:t>报警应答器</w:t>
            </w:r>
          </w:p>
          <w:p w14:paraId="6D9182A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功能要求：（1）外观显示：可显示日期、时间等日常信息，并支持当地的天气预报信息显示和降雨量/水位显示；</w:t>
            </w:r>
          </w:p>
          <w:p w14:paraId="4CCF622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（2）声光报警：内置扬声器和报警指示灯，支持语音、警笛、闪光报警；</w:t>
            </w:r>
          </w:p>
          <w:p w14:paraId="417D6B3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（3）雨水提醒：支持接入现地监测数据，具有降雨、涨水提醒播报功能；</w:t>
            </w:r>
          </w:p>
          <w:p w14:paraId="38CA22BC">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（4）智能预警： 内嵌多级智能叫应模型，支持防汛呼叫器、手机 APP 、小程序多渠道靶向预警发布；</w:t>
            </w:r>
          </w:p>
          <w:p w14:paraId="60A216D0">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（5）天气预报：支持天气预报功能，通过位置自动订阅当地天气，可按需设置发布时间；</w:t>
            </w:r>
          </w:p>
          <w:p w14:paraId="4BE36539">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（6）一键应答：具有报警、消警反馈叫应机制，支持一键报警确认和误报消除；</w:t>
            </w:r>
          </w:p>
          <w:p w14:paraId="3E229EAF">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（7）语音喊话：通过防汛呼叫器、手机 APP 、小程序进行语音喊话发布语音消息；</w:t>
            </w:r>
          </w:p>
          <w:p w14:paraId="0EAFF3A3">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（8）紧急报警：支持接收防汛呼叫器、手机 APP 、小程序的紧急报警指令；</w:t>
            </w:r>
          </w:p>
          <w:p w14:paraId="45BA6BB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（9）远程管理：开机后无需任何操作即可连接管理平台，支持管理平台和小程序进行远程管理，可实现全生命周期远程维护；</w:t>
            </w:r>
          </w:p>
          <w:p w14:paraId="7DC9084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（10）传输加密：内置安全证书，公网信息采用密文格式传输；</w:t>
            </w:r>
          </w:p>
          <w:p w14:paraId="6A96C29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（11）防爆认证：符合 GB/T 3836. 1-2021《爆炸性环境第 1 部分:设备 通用要求》，具有防爆合格证；</w:t>
            </w:r>
          </w:p>
          <w:p w14:paraId="6CDBD57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（12）备用电源：内置可充电备用电池，停电后可无缝切换。</w:t>
            </w:r>
          </w:p>
          <w:p w14:paraId="4BE7232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（13）状态指示：具有报警红蓝闪光和三级图文状态指示；</w:t>
            </w:r>
          </w:p>
          <w:p w14:paraId="76F34B28">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（14）亮度适应：具有夜间模式，可自动调整显示亮度；</w:t>
            </w:r>
          </w:p>
          <w:p w14:paraId="7A20E10A">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（15）安装方式：具有隐藏式供电接口和折叠式安装托架，支持壁挂式、桌面式多种安装方式。</w:t>
            </w:r>
          </w:p>
          <w:p w14:paraId="6FE0DB3B">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技术参数：（1） 电源规格：DC5V/2A；</w:t>
            </w:r>
          </w:p>
          <w:p w14:paraId="3B5AEC1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（2）供电接口：Type-C；</w:t>
            </w:r>
          </w:p>
          <w:p w14:paraId="6D18A87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（3） 内置电池：消费级电池,容量不小于 800mAh；</w:t>
            </w:r>
          </w:p>
          <w:p w14:paraId="5828D0D6">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（4）通讯方式：支持近地无线MESH 自组网和 4G 通信；</w:t>
            </w:r>
          </w:p>
          <w:p w14:paraId="1EAC0A5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（5）组网机制： 内置 AODV 协议栈，最大 10 跳接力传输；</w:t>
            </w:r>
          </w:p>
          <w:p w14:paraId="4C595D9E">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（6）天线类型： 内置一体化多模多频天线；</w:t>
            </w:r>
          </w:p>
          <w:p w14:paraId="4D1371E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（7）屏幕尺寸： ≥7 英寸；</w:t>
            </w:r>
          </w:p>
          <w:p w14:paraId="2B8D5A77">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（8）扬声器功率： ≥2W；</w:t>
            </w:r>
          </w:p>
          <w:p w14:paraId="22508CA1">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ascii="仿宋" w:hAnsi="仿宋" w:eastAsia="仿宋" w:cs="仿宋"/>
                <w:color w:val="auto"/>
                <w:kern w:val="0"/>
                <w:sz w:val="21"/>
                <w:szCs w:val="21"/>
                <w:highlight w:val="none"/>
                <w:lang w:val="en-US" w:eastAsia="zh-CN" w:bidi="ar"/>
              </w:rPr>
            </w:pPr>
            <w:r>
              <w:rPr>
                <w:rFonts w:hint="eastAsia" w:ascii="仿宋" w:hAnsi="仿宋" w:eastAsia="仿宋" w:cs="仿宋"/>
                <w:color w:val="auto"/>
                <w:kern w:val="0"/>
                <w:sz w:val="21"/>
                <w:szCs w:val="21"/>
                <w:highlight w:val="none"/>
                <w:lang w:val="en-US" w:eastAsia="zh-CN" w:bidi="ar"/>
              </w:rPr>
              <w:t>（9）工作温度：0~45℃;</w:t>
            </w:r>
          </w:p>
          <w:p w14:paraId="5E15E6A5">
            <w:pPr>
              <w:keepNext w:val="0"/>
              <w:keepLines w:val="0"/>
              <w:pageBreakBefore w:val="0"/>
              <w:widowControl w:val="0"/>
              <w:numPr>
                <w:ilvl w:val="0"/>
                <w:numId w:val="0"/>
              </w:numPr>
              <w:suppressLineNumbers w:val="0"/>
              <w:kinsoku/>
              <w:wordWrap w:val="0"/>
              <w:overflowPunct/>
              <w:topLinePunct/>
              <w:autoSpaceDE/>
              <w:autoSpaceDN/>
              <w:bidi w:val="0"/>
              <w:adjustRightInd/>
              <w:snapToGrid/>
              <w:spacing w:beforeAutospacing="0" w:afterAutospacing="0" w:line="360" w:lineRule="auto"/>
              <w:ind w:left="0" w:leftChars="0" w:right="0" w:rightChars="0" w:firstLine="420" w:firstLineChars="200"/>
              <w:jc w:val="left"/>
              <w:textAlignment w:val="auto"/>
              <w:rPr>
                <w:rFonts w:hint="eastAsia" w:eastAsia="宋体"/>
                <w:spacing w:val="8"/>
                <w:highlight w:val="none"/>
                <w:lang w:val="en-US" w:eastAsia="zh-CN"/>
              </w:rPr>
            </w:pPr>
            <w:r>
              <w:rPr>
                <w:rFonts w:hint="eastAsia" w:ascii="仿宋" w:hAnsi="仿宋" w:eastAsia="仿宋" w:cs="仿宋"/>
                <w:color w:val="auto"/>
                <w:kern w:val="0"/>
                <w:sz w:val="21"/>
                <w:szCs w:val="21"/>
                <w:highlight w:val="none"/>
                <w:lang w:val="en-US" w:eastAsia="zh-CN" w:bidi="ar"/>
              </w:rPr>
              <w:t>（10）存储温度：-20~60℃。</w:t>
            </w:r>
          </w:p>
        </w:tc>
      </w:tr>
    </w:tbl>
    <w:p w14:paraId="358ED7F4">
      <w:pPr>
        <w:numPr>
          <w:ilvl w:val="0"/>
          <w:numId w:val="0"/>
        </w:numPr>
        <w:kinsoku w:val="0"/>
        <w:autoSpaceDE w:val="0"/>
        <w:autoSpaceDN w:val="0"/>
        <w:adjustRightInd w:val="0"/>
        <w:snapToGrid w:val="0"/>
        <w:textAlignment w:val="baseline"/>
        <w:rPr>
          <w:rFonts w:hint="default"/>
          <w:highlight w:val="none"/>
          <w:lang w:val="en-US" w:eastAsia="zh-CN"/>
        </w:rPr>
        <w:sectPr>
          <w:footerReference r:id="rId5" w:type="default"/>
          <w:pgSz w:w="11906" w:h="16838"/>
          <w:pgMar w:top="1440" w:right="1800" w:bottom="1440" w:left="1800" w:header="567" w:footer="907" w:gutter="0"/>
          <w:pgNumType w:fmt="decimal"/>
          <w:cols w:space="720" w:num="1"/>
          <w:titlePg/>
          <w:rtlGutter w:val="0"/>
          <w:docGrid w:linePitch="299" w:charSpace="0"/>
        </w:sectPr>
      </w:pPr>
    </w:p>
    <w:p w14:paraId="3DEDE28E">
      <w:pPr>
        <w:keepNext w:val="0"/>
        <w:keepLines w:val="0"/>
        <w:pageBreakBefore w:val="0"/>
        <w:widowControl w:val="0"/>
        <w:numPr>
          <w:ilvl w:val="0"/>
          <w:numId w:val="0"/>
        </w:numPr>
        <w:kinsoku/>
        <w:wordWrap w:val="0"/>
        <w:overflowPunct/>
        <w:topLinePunct/>
        <w:autoSpaceDE/>
        <w:autoSpaceDN/>
        <w:bidi w:val="0"/>
        <w:adjustRightInd/>
        <w:snapToGrid/>
        <w:spacing w:line="360" w:lineRule="auto"/>
        <w:ind w:left="0" w:leftChars="0" w:right="0" w:rightChars="0" w:firstLine="0" w:firstLineChars="0"/>
        <w:jc w:val="center"/>
        <w:outlineLvl w:val="0"/>
        <w:rPr>
          <w:rFonts w:hint="eastAsia" w:ascii="仿宋" w:hAnsi="仿宋" w:eastAsia="仿宋" w:cs="仿宋"/>
          <w:color w:val="auto"/>
          <w:spacing w:val="0"/>
          <w:w w:val="100"/>
          <w:position w:val="0"/>
          <w:sz w:val="21"/>
          <w:szCs w:val="21"/>
          <w:highlight w:val="none"/>
          <w:lang w:eastAsia="zh-CN"/>
          <w14:textOutline w14:w="5791" w14:cap="sq" w14:cmpd="sng" w14:algn="ctr">
            <w14:solidFill>
              <w14:srgbClr w14:val="000000"/>
            </w14:solidFill>
            <w14:prstDash w14:val="solid"/>
            <w14:bevel/>
          </w14:textOutline>
        </w:rPr>
      </w:pPr>
      <w:r>
        <w:rPr>
          <w:rFonts w:hint="eastAsia" w:ascii="仿宋" w:hAnsi="仿宋" w:eastAsia="仿宋" w:cs="仿宋"/>
          <w:snapToGrid w:val="0"/>
          <w:color w:val="auto"/>
          <w:spacing w:val="0"/>
          <w:w w:val="100"/>
          <w:position w:val="0"/>
          <w:sz w:val="32"/>
          <w:szCs w:val="32"/>
          <w:highlight w:val="none"/>
          <w:lang w:val="en-US" w:eastAsia="zh-CN" w:bidi="ar-SA"/>
          <w14:textOutline w14:w="5791" w14:cap="sq" w14:cmpd="sng" w14:algn="ctr">
            <w14:solidFill>
              <w14:srgbClr w14:val="000000"/>
            </w14:solidFill>
            <w14:prstDash w14:val="solid"/>
            <w14:bevel/>
          </w14:textOutline>
        </w:rPr>
        <w:t>第五章</w:t>
      </w:r>
      <w:r>
        <w:rPr>
          <w:rFonts w:hint="eastAsia" w:ascii="仿宋" w:hAnsi="仿宋" w:eastAsia="仿宋" w:cs="仿宋"/>
          <w:color w:val="auto"/>
          <w:spacing w:val="0"/>
          <w:w w:val="100"/>
          <w:position w:val="0"/>
          <w:sz w:val="32"/>
          <w:szCs w:val="32"/>
          <w:highlight w:val="none"/>
          <w:lang w:eastAsia="zh-CN"/>
        </w:rPr>
        <w:t xml:space="preserve"> </w:t>
      </w:r>
      <w:r>
        <w:rPr>
          <w:rFonts w:hint="eastAsia" w:ascii="仿宋" w:hAnsi="仿宋" w:eastAsia="仿宋" w:cs="仿宋"/>
          <w:color w:val="auto"/>
          <w:spacing w:val="0"/>
          <w:w w:val="100"/>
          <w:position w:val="0"/>
          <w:sz w:val="32"/>
          <w:szCs w:val="32"/>
          <w:highlight w:val="none"/>
          <w:lang w:eastAsia="zh-CN"/>
          <w14:textOutline w14:w="5791" w14:cap="sq" w14:cmpd="sng" w14:algn="ctr">
            <w14:solidFill>
              <w14:srgbClr w14:val="000000"/>
            </w14:solidFill>
            <w14:prstDash w14:val="solid"/>
            <w14:bevel/>
          </w14:textOutline>
        </w:rPr>
        <w:t>拟签订的合同文本</w:t>
      </w:r>
      <w:bookmarkEnd w:id="538"/>
    </w:p>
    <w:p w14:paraId="7EC3FBBC">
      <w:pPr>
        <w:pStyle w:val="7"/>
        <w:keepNext w:val="0"/>
        <w:keepLines w:val="0"/>
        <w:pageBreakBefore w:val="0"/>
        <w:widowControl w:val="0"/>
        <w:numPr>
          <w:ilvl w:val="0"/>
          <w:numId w:val="0"/>
        </w:numPr>
        <w:kinsoku/>
        <w:wordWrap w:val="0"/>
        <w:overflowPunct/>
        <w:topLinePunct/>
        <w:autoSpaceDE/>
        <w:autoSpaceDN/>
        <w:bidi w:val="0"/>
        <w:adjustRightInd/>
        <w:snapToGrid/>
        <w:ind w:leftChars="0" w:right="0" w:rightChars="0"/>
        <w:jc w:val="both"/>
        <w:rPr>
          <w:rFonts w:hint="eastAsia" w:ascii="仿宋" w:hAnsi="仿宋" w:eastAsia="仿宋" w:cs="仿宋"/>
          <w:b/>
          <w:bCs/>
          <w:color w:val="auto"/>
          <w:kern w:val="2"/>
          <w:sz w:val="24"/>
          <w:highlight w:val="none"/>
          <w:lang w:eastAsia="zh-CN"/>
        </w:rPr>
      </w:pPr>
      <w:bookmarkStart w:id="542" w:name="_Hlk133595334"/>
      <w:r>
        <w:rPr>
          <w:rFonts w:hint="eastAsia" w:ascii="仿宋" w:hAnsi="仿宋" w:eastAsia="仿宋" w:cs="仿宋"/>
          <w:b/>
          <w:bCs/>
          <w:color w:val="auto"/>
          <w:kern w:val="2"/>
          <w:sz w:val="24"/>
          <w:szCs w:val="24"/>
          <w:highlight w:val="none"/>
          <w:lang w:eastAsia="zh-CN"/>
        </w:rPr>
        <w:t>说明：合同基本格式及主要条款以中标人和采购人最终协商确定的内容为准，但</w:t>
      </w:r>
      <w:r>
        <w:rPr>
          <w:rFonts w:hint="eastAsia" w:ascii="仿宋" w:hAnsi="仿宋" w:eastAsia="仿宋" w:cs="仿宋"/>
          <w:b/>
          <w:bCs/>
          <w:color w:val="auto"/>
          <w:kern w:val="2"/>
          <w:sz w:val="24"/>
          <w:highlight w:val="none"/>
          <w:lang w:eastAsia="zh-CN"/>
        </w:rPr>
        <w:t>所签订的合同不得对招标文件确定的事项和中标人的投标文件作实质性修改。</w:t>
      </w:r>
    </w:p>
    <w:p w14:paraId="50BCA964">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lang w:eastAsia="zh-CN"/>
        </w:rPr>
      </w:pPr>
    </w:p>
    <w:bookmarkEnd w:id="542"/>
    <w:p w14:paraId="7F10B2D2">
      <w:pPr>
        <w:jc w:val="center"/>
        <w:rPr>
          <w:rFonts w:hint="eastAsia" w:ascii="宋体" w:hAnsi="宋体" w:cs="宋体"/>
          <w:b/>
          <w:bCs/>
          <w:color w:val="auto"/>
          <w:highlight w:val="none"/>
        </w:rPr>
      </w:pPr>
    </w:p>
    <w:p w14:paraId="60E027A3">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合同编号：          </w:t>
      </w:r>
    </w:p>
    <w:p w14:paraId="73A51826">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合同自编号 ：         </w:t>
      </w:r>
    </w:p>
    <w:p w14:paraId="1FE601D7">
      <w:pPr>
        <w:spacing w:line="360" w:lineRule="auto"/>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项目编号 ：</w:t>
      </w:r>
    </w:p>
    <w:p w14:paraId="7FB276D5">
      <w:pPr>
        <w:spacing w:line="360" w:lineRule="auto"/>
        <w:rPr>
          <w:rFonts w:hint="eastAsia" w:ascii="仿宋" w:hAnsi="仿宋" w:eastAsia="仿宋" w:cs="仿宋"/>
          <w:b/>
          <w:color w:val="auto"/>
          <w:sz w:val="28"/>
          <w:szCs w:val="28"/>
          <w:highlight w:val="none"/>
        </w:rPr>
      </w:pPr>
    </w:p>
    <w:p w14:paraId="7A24FF82">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●本合同须加盖甲乙双方骑缝章有效</w:t>
      </w:r>
    </w:p>
    <w:p w14:paraId="7233FBD7">
      <w:pPr>
        <w:spacing w:line="360" w:lineRule="auto"/>
        <w:rPr>
          <w:rFonts w:hint="eastAsia" w:ascii="仿宋" w:hAnsi="仿宋" w:eastAsia="仿宋" w:cs="仿宋"/>
          <w:b/>
          <w:color w:val="auto"/>
          <w:sz w:val="28"/>
          <w:szCs w:val="28"/>
          <w:highlight w:val="none"/>
        </w:rPr>
      </w:pPr>
    </w:p>
    <w:p w14:paraId="249C5FEB">
      <w:pPr>
        <w:spacing w:line="360" w:lineRule="auto"/>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云南省政府采购</w:t>
      </w:r>
    </w:p>
    <w:p w14:paraId="5C158DF4">
      <w:pPr>
        <w:spacing w:line="360" w:lineRule="auto"/>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（委托采购）</w:t>
      </w:r>
    </w:p>
    <w:p w14:paraId="3FA09B5B">
      <w:pPr>
        <w:spacing w:line="360" w:lineRule="auto"/>
        <w:rPr>
          <w:rFonts w:hint="eastAsia" w:ascii="仿宋" w:hAnsi="仿宋" w:eastAsia="仿宋" w:cs="仿宋"/>
          <w:b/>
          <w:color w:val="auto"/>
          <w:sz w:val="32"/>
          <w:szCs w:val="32"/>
          <w:highlight w:val="none"/>
        </w:rPr>
      </w:pPr>
    </w:p>
    <w:p w14:paraId="00DDEB10">
      <w:pPr>
        <w:pStyle w:val="10"/>
        <w:rPr>
          <w:rFonts w:hint="eastAsia" w:ascii="仿宋" w:hAnsi="仿宋" w:eastAsia="仿宋" w:cs="仿宋"/>
          <w:b/>
          <w:color w:val="auto"/>
          <w:sz w:val="32"/>
          <w:szCs w:val="32"/>
          <w:highlight w:val="none"/>
        </w:rPr>
      </w:pPr>
    </w:p>
    <w:p w14:paraId="2E288E12">
      <w:pPr>
        <w:pStyle w:val="12"/>
        <w:rPr>
          <w:rFonts w:hint="eastAsia" w:ascii="仿宋" w:hAnsi="仿宋" w:eastAsia="仿宋" w:cs="仿宋"/>
          <w:color w:val="auto"/>
          <w:highlight w:val="none"/>
        </w:rPr>
      </w:pPr>
    </w:p>
    <w:p w14:paraId="33A96A6F">
      <w:pPr>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合</w:t>
      </w:r>
    </w:p>
    <w:p w14:paraId="43001815">
      <w:pPr>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同</w:t>
      </w:r>
    </w:p>
    <w:p w14:paraId="324D4FC9">
      <w:pPr>
        <w:spacing w:line="360" w:lineRule="auto"/>
        <w:jc w:val="center"/>
        <w:rPr>
          <w:rFonts w:hint="eastAsia" w:ascii="仿宋" w:hAnsi="仿宋" w:eastAsia="仿宋" w:cs="仿宋"/>
          <w:b/>
          <w:color w:val="auto"/>
          <w:sz w:val="72"/>
          <w:szCs w:val="72"/>
          <w:highlight w:val="none"/>
        </w:rPr>
      </w:pPr>
      <w:r>
        <w:rPr>
          <w:rFonts w:hint="eastAsia" w:ascii="仿宋" w:hAnsi="仿宋" w:eastAsia="仿宋" w:cs="仿宋"/>
          <w:b/>
          <w:color w:val="auto"/>
          <w:sz w:val="72"/>
          <w:szCs w:val="72"/>
          <w:highlight w:val="none"/>
        </w:rPr>
        <w:t>书</w:t>
      </w:r>
    </w:p>
    <w:p w14:paraId="6192E7D2">
      <w:pPr>
        <w:pStyle w:val="10"/>
        <w:rPr>
          <w:rFonts w:hint="eastAsia" w:ascii="仿宋" w:hAnsi="仿宋" w:eastAsia="仿宋" w:cs="仿宋"/>
          <w:color w:val="auto"/>
          <w:highlight w:val="none"/>
        </w:rPr>
      </w:pPr>
    </w:p>
    <w:p w14:paraId="00845FDA">
      <w:pPr>
        <w:rPr>
          <w:rFonts w:hint="eastAsia"/>
          <w:color w:val="auto"/>
          <w:highlight w:val="none"/>
        </w:rPr>
      </w:pPr>
    </w:p>
    <w:p w14:paraId="72ACCE3D">
      <w:pPr>
        <w:spacing w:line="360" w:lineRule="auto"/>
        <w:jc w:val="center"/>
        <w:rPr>
          <w:rFonts w:hint="default" w:ascii="仿宋" w:hAnsi="仿宋" w:eastAsia="仿宋" w:cs="仿宋"/>
          <w:b/>
          <w:color w:val="auto"/>
          <w:sz w:val="28"/>
          <w:szCs w:val="28"/>
          <w:highlight w:val="none"/>
          <w:lang w:val="en-US" w:eastAsia="zh-CN"/>
        </w:rPr>
      </w:pPr>
      <w:r>
        <w:rPr>
          <w:rFonts w:hint="eastAsia" w:ascii="仿宋" w:hAnsi="仿宋" w:eastAsia="仿宋" w:cs="仿宋"/>
          <w:b/>
          <w:color w:val="auto"/>
          <w:sz w:val="28"/>
          <w:szCs w:val="28"/>
          <w:highlight w:val="none"/>
        </w:rPr>
        <w:t>签订地点：云南省楚雄</w:t>
      </w:r>
      <w:r>
        <w:rPr>
          <w:rFonts w:hint="eastAsia" w:ascii="仿宋" w:hAnsi="仿宋" w:eastAsia="仿宋" w:cs="仿宋"/>
          <w:b/>
          <w:color w:val="auto"/>
          <w:sz w:val="28"/>
          <w:szCs w:val="28"/>
          <w:highlight w:val="none"/>
          <w:lang w:val="en-US" w:eastAsia="zh-CN"/>
        </w:rPr>
        <w:t>州牟定县</w:t>
      </w:r>
    </w:p>
    <w:p w14:paraId="115C3D30">
      <w:pPr>
        <w:pStyle w:val="10"/>
        <w:rPr>
          <w:rFonts w:hint="eastAsia" w:ascii="仿宋" w:hAnsi="仿宋" w:eastAsia="仿宋" w:cs="仿宋"/>
          <w:color w:val="auto"/>
          <w:highlight w:val="none"/>
        </w:rPr>
      </w:pPr>
    </w:p>
    <w:p w14:paraId="0FD9EDC6">
      <w:pPr>
        <w:spacing w:line="360" w:lineRule="auto"/>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签订时间：</w:t>
      </w:r>
      <w:r>
        <w:rPr>
          <w:rFonts w:hint="eastAsia" w:ascii="仿宋" w:hAnsi="仿宋" w:eastAsia="仿宋" w:cs="仿宋"/>
          <w:b/>
          <w:color w:val="auto"/>
          <w:sz w:val="28"/>
          <w:szCs w:val="28"/>
          <w:highlight w:val="none"/>
          <w:lang w:val="en-US" w:eastAsia="zh-CN"/>
        </w:rPr>
        <w:t xml:space="preserve">202 </w:t>
      </w:r>
      <w:r>
        <w:rPr>
          <w:rFonts w:hint="eastAsia" w:ascii="仿宋" w:hAnsi="仿宋" w:eastAsia="仿宋" w:cs="仿宋"/>
          <w:b/>
          <w:color w:val="auto"/>
          <w:sz w:val="28"/>
          <w:szCs w:val="28"/>
          <w:highlight w:val="none"/>
        </w:rPr>
        <w:t xml:space="preserve"> 年   月   日</w:t>
      </w:r>
    </w:p>
    <w:p w14:paraId="0DDFC4A9">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p>
    <w:p w14:paraId="1B56C786">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甲方（采购人公章）名 称：</w:t>
      </w:r>
      <w:r>
        <w:rPr>
          <w:rFonts w:hint="eastAsia" w:ascii="仿宋" w:hAnsi="仿宋" w:eastAsia="仿宋" w:cs="仿宋"/>
          <w:color w:val="auto"/>
          <w:sz w:val="24"/>
          <w:szCs w:val="24"/>
          <w:highlight w:val="none"/>
          <w:lang w:eastAsia="zh-CN"/>
        </w:rPr>
        <w:t>牟定县水务局</w:t>
      </w:r>
      <w:r>
        <w:rPr>
          <w:rFonts w:hint="eastAsia" w:ascii="仿宋" w:hAnsi="仿宋" w:eastAsia="仿宋" w:cs="仿宋"/>
          <w:color w:val="auto"/>
          <w:sz w:val="24"/>
          <w:szCs w:val="24"/>
          <w:highlight w:val="none"/>
        </w:rPr>
        <w:t xml:space="preserve"> </w:t>
      </w:r>
    </w:p>
    <w:p w14:paraId="44588801">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牟定县共和镇北塔路 110 号</w:t>
      </w:r>
    </w:p>
    <w:p w14:paraId="4332E27A">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邮 编 ：</w:t>
      </w:r>
      <w:r>
        <w:rPr>
          <w:rFonts w:hint="eastAsia" w:ascii="仿宋" w:hAnsi="仿宋" w:eastAsia="仿宋" w:cs="仿宋"/>
          <w:color w:val="auto"/>
          <w:sz w:val="24"/>
          <w:szCs w:val="24"/>
          <w:highlight w:val="none"/>
          <w:lang w:val="en-US" w:eastAsia="zh-CN"/>
        </w:rPr>
        <w:t>675000</w:t>
      </w:r>
    </w:p>
    <w:p w14:paraId="38E546F9">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47829A83">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科室</w:t>
      </w:r>
      <w:r>
        <w:rPr>
          <w:rFonts w:hint="eastAsia" w:ascii="仿宋" w:hAnsi="仿宋" w:eastAsia="仿宋" w:cs="仿宋"/>
          <w:color w:val="auto"/>
          <w:sz w:val="24"/>
          <w:szCs w:val="24"/>
          <w:highlight w:val="none"/>
        </w:rPr>
        <w:t>负责人：</w:t>
      </w:r>
      <w:r>
        <w:rPr>
          <w:rFonts w:hint="eastAsia" w:ascii="仿宋" w:hAnsi="仿宋" w:eastAsia="仿宋" w:cs="仿宋"/>
          <w:color w:val="auto"/>
          <w:sz w:val="24"/>
          <w:szCs w:val="24"/>
          <w:highlight w:val="none"/>
          <w:lang w:val="en-US" w:eastAsia="zh-CN"/>
        </w:rPr>
        <w:t xml:space="preserve">  </w:t>
      </w:r>
    </w:p>
    <w:p w14:paraId="6ABB1C02">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经办人：</w:t>
      </w:r>
    </w:p>
    <w:p w14:paraId="2962B11E">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电 话：</w:t>
      </w:r>
      <w:r>
        <w:rPr>
          <w:rFonts w:hint="eastAsia" w:ascii="仿宋" w:hAnsi="仿宋" w:eastAsia="仿宋" w:cs="仿宋"/>
          <w:color w:val="auto"/>
          <w:sz w:val="24"/>
          <w:szCs w:val="24"/>
          <w:highlight w:val="none"/>
          <w:lang w:val="en-US" w:eastAsia="zh-CN"/>
        </w:rPr>
        <w:t xml:space="preserve"> </w:t>
      </w:r>
    </w:p>
    <w:p w14:paraId="61C100ED">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纳税人识别号： </w:t>
      </w:r>
    </w:p>
    <w:p w14:paraId="46F0286E">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开户银行： </w:t>
      </w:r>
    </w:p>
    <w:p w14:paraId="3E77E49D">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账号： </w:t>
      </w:r>
    </w:p>
    <w:p w14:paraId="52CC1D90">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r>
        <w:rPr>
          <w:rFonts w:hint="eastAsia" w:ascii="仿宋" w:hAnsi="仿宋" w:eastAsia="仿宋" w:cs="仿宋"/>
          <w:color w:val="auto"/>
          <w:sz w:val="24"/>
          <w:szCs w:val="24"/>
          <w:highlight w:val="none"/>
          <w:lang w:val="en-US" w:eastAsia="zh-CN"/>
        </w:rPr>
        <w:t>202 年  月  日</w:t>
      </w:r>
    </w:p>
    <w:p w14:paraId="26E745C2">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p>
    <w:p w14:paraId="7D64F796">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乙方（供应商公章）名 称：</w:t>
      </w:r>
    </w:p>
    <w:p w14:paraId="1DF84D58">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p>
    <w:p w14:paraId="7BB6BB5B">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 编：</w:t>
      </w:r>
    </w:p>
    <w:p w14:paraId="2DFEC781">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法定代表人或委托代理人：</w:t>
      </w:r>
    </w:p>
    <w:p w14:paraId="7855DAC9">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经办人：</w:t>
      </w:r>
    </w:p>
    <w:p w14:paraId="53F27156">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 话：</w:t>
      </w:r>
    </w:p>
    <w:p w14:paraId="7F706F19">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纳税人识别号：</w:t>
      </w:r>
    </w:p>
    <w:p w14:paraId="4806E3E7">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开户银行：</w:t>
      </w:r>
    </w:p>
    <w:p w14:paraId="29591A4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账号：</w:t>
      </w:r>
    </w:p>
    <w:p w14:paraId="36B0FE19">
      <w:pPr>
        <w:keepNext w:val="0"/>
        <w:keepLines w:val="0"/>
        <w:pageBreakBefore w:val="0"/>
        <w:widowControl w:val="0"/>
        <w:kinsoku/>
        <w:wordWrap/>
        <w:overflowPunct/>
        <w:topLinePunct w:val="0"/>
        <w:autoSpaceDE/>
        <w:autoSpaceDN/>
        <w:bidi w:val="0"/>
        <w:adjustRightInd w:val="0"/>
        <w:snapToGrid w:val="0"/>
        <w:spacing w:line="60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签订日期：</w:t>
      </w:r>
      <w:r>
        <w:rPr>
          <w:rFonts w:hint="eastAsia" w:ascii="仿宋" w:hAnsi="仿宋" w:eastAsia="仿宋" w:cs="仿宋"/>
          <w:color w:val="auto"/>
          <w:sz w:val="24"/>
          <w:szCs w:val="24"/>
          <w:highlight w:val="none"/>
          <w:lang w:val="en-US" w:eastAsia="zh-CN"/>
        </w:rPr>
        <w:t>202年  月  日</w:t>
      </w:r>
    </w:p>
    <w:p w14:paraId="5EA2BC1F">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p>
    <w:p w14:paraId="4F5E231E">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根据《中华人民共和国</w:t>
      </w:r>
      <w:r>
        <w:rPr>
          <w:rFonts w:hint="eastAsia" w:ascii="仿宋" w:hAnsi="仿宋" w:eastAsia="仿宋" w:cs="仿宋"/>
          <w:color w:val="auto"/>
          <w:sz w:val="24"/>
          <w:szCs w:val="24"/>
          <w:highlight w:val="none"/>
          <w:lang w:val="en-US" w:eastAsia="zh-CN"/>
        </w:rPr>
        <w:t>民</w:t>
      </w:r>
      <w:r>
        <w:rPr>
          <w:rFonts w:hint="eastAsia" w:ascii="仿宋" w:hAnsi="仿宋" w:eastAsia="仿宋" w:cs="仿宋"/>
          <w:color w:val="auto"/>
          <w:sz w:val="24"/>
          <w:szCs w:val="24"/>
          <w:highlight w:val="none"/>
        </w:rPr>
        <w:t>法</w:t>
      </w:r>
      <w:r>
        <w:rPr>
          <w:rFonts w:hint="eastAsia" w:ascii="仿宋" w:hAnsi="仿宋" w:eastAsia="仿宋" w:cs="仿宋"/>
          <w:color w:val="auto"/>
          <w:sz w:val="24"/>
          <w:szCs w:val="24"/>
          <w:highlight w:val="none"/>
          <w:lang w:val="en-US" w:eastAsia="zh-CN"/>
        </w:rPr>
        <w:t>典</w:t>
      </w:r>
      <w:r>
        <w:rPr>
          <w:rFonts w:hint="eastAsia" w:ascii="仿宋" w:hAnsi="仿宋" w:eastAsia="仿宋" w:cs="仿宋"/>
          <w:color w:val="auto"/>
          <w:sz w:val="24"/>
          <w:szCs w:val="24"/>
          <w:highlight w:val="none"/>
        </w:rPr>
        <w:t>》《中华人民共和国政府采购法》等有关法律法规规定，</w:t>
      </w:r>
      <w:r>
        <w:rPr>
          <w:rFonts w:hint="eastAsia" w:ascii="仿宋" w:hAnsi="仿宋" w:eastAsia="仿宋" w:cs="仿宋"/>
          <w:color w:val="auto"/>
          <w:sz w:val="24"/>
          <w:szCs w:val="24"/>
          <w:highlight w:val="none"/>
          <w:u w:val="single"/>
          <w:lang w:val="en-US" w:eastAsia="zh-CN"/>
        </w:rPr>
        <w:t>牟定县水务局</w:t>
      </w:r>
      <w:r>
        <w:rPr>
          <w:rFonts w:hint="eastAsia" w:ascii="仿宋" w:hAnsi="仿宋" w:eastAsia="仿宋" w:cs="仿宋"/>
          <w:color w:val="auto"/>
          <w:sz w:val="24"/>
          <w:szCs w:val="24"/>
          <w:highlight w:val="none"/>
        </w:rPr>
        <w:t>（以下简称“甲方”)通过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采购（采购方式）确定</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 (供应商名称)(以下简称“乙方”)为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供应商。甲乙双方遵循平等、自愿、公平和诚实信用的原则，就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有关事宜协商订立本合同。</w:t>
      </w:r>
    </w:p>
    <w:p w14:paraId="5074385A">
      <w:pPr>
        <w:keepNext w:val="0"/>
        <w:keepLines w:val="0"/>
        <w:pageBreakBefore w:val="0"/>
        <w:widowControl w:val="0"/>
        <w:kinsoku/>
        <w:wordWrap/>
        <w:overflowPunct/>
        <w:topLinePunct w:val="0"/>
        <w:bidi w:val="0"/>
        <w:adjustRightInd w:val="0"/>
        <w:snapToGrid w:val="0"/>
        <w:spacing w:line="360" w:lineRule="auto"/>
        <w:ind w:leftChars="0" w:firstLine="482" w:firstLineChars="200"/>
        <w:jc w:val="both"/>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一、合同文件</w:t>
      </w:r>
    </w:p>
    <w:p w14:paraId="619086AC">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（一）本合同条款；</w:t>
      </w:r>
    </w:p>
    <w:p w14:paraId="42EBA39B">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通知书；</w:t>
      </w:r>
    </w:p>
    <w:p w14:paraId="2B234343">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人的</w:t>
      </w:r>
      <w:r>
        <w:rPr>
          <w:rFonts w:hint="eastAsia" w:ascii="仿宋" w:hAnsi="仿宋" w:eastAsia="仿宋" w:cs="仿宋"/>
          <w:color w:val="auto"/>
          <w:sz w:val="24"/>
          <w:szCs w:val="24"/>
          <w:highlight w:val="none"/>
          <w:lang w:val="en-US" w:eastAsia="zh-CN"/>
        </w:rPr>
        <w:t>投标</w:t>
      </w:r>
      <w:r>
        <w:rPr>
          <w:rFonts w:hint="eastAsia" w:ascii="仿宋" w:hAnsi="仿宋" w:eastAsia="仿宋" w:cs="仿宋"/>
          <w:color w:val="auto"/>
          <w:sz w:val="24"/>
          <w:szCs w:val="24"/>
          <w:highlight w:val="none"/>
        </w:rPr>
        <w:t>文件；</w:t>
      </w:r>
    </w:p>
    <w:p w14:paraId="0267CBB3">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人在</w:t>
      </w:r>
      <w:r>
        <w:rPr>
          <w:rFonts w:hint="eastAsia" w:ascii="仿宋" w:hAnsi="仿宋" w:eastAsia="仿宋" w:cs="仿宋"/>
          <w:color w:val="auto"/>
          <w:sz w:val="24"/>
          <w:szCs w:val="24"/>
          <w:highlight w:val="none"/>
          <w:lang w:val="en-US" w:eastAsia="zh-CN"/>
        </w:rPr>
        <w:t>评标</w:t>
      </w:r>
      <w:r>
        <w:rPr>
          <w:rFonts w:hint="eastAsia" w:ascii="仿宋" w:hAnsi="仿宋" w:eastAsia="仿宋" w:cs="仿宋"/>
          <w:color w:val="auto"/>
          <w:sz w:val="24"/>
          <w:szCs w:val="24"/>
          <w:highlight w:val="none"/>
        </w:rPr>
        <w:t>过程中做出的有关澄清、说明；</w:t>
      </w:r>
    </w:p>
    <w:p w14:paraId="4F9942AF">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（五）本项目</w:t>
      </w:r>
      <w:r>
        <w:rPr>
          <w:rFonts w:hint="eastAsia" w:ascii="仿宋" w:hAnsi="仿宋" w:eastAsia="仿宋" w:cs="仿宋"/>
          <w:color w:val="auto"/>
          <w:sz w:val="24"/>
          <w:szCs w:val="24"/>
          <w:highlight w:val="none"/>
          <w:lang w:val="en-US" w:eastAsia="zh-CN"/>
        </w:rPr>
        <w:t>招标</w:t>
      </w:r>
      <w:r>
        <w:rPr>
          <w:rFonts w:hint="eastAsia" w:ascii="仿宋" w:hAnsi="仿宋" w:eastAsia="仿宋" w:cs="仿宋"/>
          <w:color w:val="auto"/>
          <w:sz w:val="24"/>
          <w:szCs w:val="24"/>
          <w:highlight w:val="none"/>
        </w:rPr>
        <w:t>文件、澄清或修改文件；</w:t>
      </w:r>
    </w:p>
    <w:p w14:paraId="74EFAE1E">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（六）其他合同文件。</w:t>
      </w:r>
    </w:p>
    <w:p w14:paraId="4965A4AC">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上述合同文件互相补充和解释。如果合同文件之间存在矛盾或不一致之处，以上述文件的排列顺序在先者为准。</w:t>
      </w:r>
    </w:p>
    <w:p w14:paraId="7060F724">
      <w:pPr>
        <w:keepNext w:val="0"/>
        <w:keepLines w:val="0"/>
        <w:pageBreakBefore w:val="0"/>
        <w:widowControl w:val="0"/>
        <w:numPr>
          <w:ilvl w:val="0"/>
          <w:numId w:val="4"/>
        </w:numPr>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本合同标的</w:t>
      </w:r>
    </w:p>
    <w:p w14:paraId="6BBD3B0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Chars="200"/>
        <w:jc w:val="both"/>
        <w:textAlignment w:val="auto"/>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               </w:t>
      </w:r>
    </w:p>
    <w:p w14:paraId="2D59FA1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三、</w:t>
      </w:r>
      <w:r>
        <w:rPr>
          <w:rFonts w:hint="eastAsia" w:ascii="仿宋" w:hAnsi="仿宋" w:eastAsia="仿宋" w:cs="仿宋"/>
          <w:b/>
          <w:bCs/>
          <w:color w:val="auto"/>
          <w:sz w:val="24"/>
          <w:szCs w:val="24"/>
          <w:highlight w:val="none"/>
        </w:rPr>
        <w:t>合同价款</w:t>
      </w:r>
      <w:r>
        <w:rPr>
          <w:rFonts w:hint="eastAsia" w:ascii="仿宋" w:hAnsi="仿宋" w:eastAsia="仿宋" w:cs="仿宋"/>
          <w:b/>
          <w:bCs/>
          <w:color w:val="auto"/>
          <w:sz w:val="24"/>
          <w:szCs w:val="24"/>
          <w:highlight w:val="none"/>
          <w:lang w:val="en-US" w:eastAsia="zh-CN"/>
        </w:rPr>
        <w:t>与</w:t>
      </w:r>
      <w:r>
        <w:rPr>
          <w:rFonts w:hint="eastAsia" w:ascii="仿宋" w:hAnsi="仿宋" w:eastAsia="仿宋" w:cs="仿宋"/>
          <w:b/>
          <w:bCs/>
          <w:color w:val="auto"/>
          <w:sz w:val="24"/>
          <w:szCs w:val="24"/>
          <w:highlight w:val="none"/>
        </w:rPr>
        <w:t>支付</w:t>
      </w:r>
    </w:p>
    <w:p w14:paraId="44254C8D">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1.合同总价为（人民币）大写：</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元）。</w:t>
      </w:r>
    </w:p>
    <w:p w14:paraId="317035B6">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2.合同价款包括了产品价款、一切税费、包装、运输、保险、安装调试、检验、验收、培训、图纸、技术资料、质保期内等相关的全部费用。</w:t>
      </w:r>
    </w:p>
    <w:p w14:paraId="0E825624">
      <w:pPr>
        <w:autoSpaceDE w:val="0"/>
        <w:autoSpaceDN w:val="0"/>
        <w:adjustRightInd w:val="0"/>
        <w:snapToGrid w:val="0"/>
        <w:spacing w:line="360" w:lineRule="auto"/>
        <w:ind w:firstLine="482" w:firstLineChars="2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（二）合同价款的支付</w:t>
      </w:r>
    </w:p>
    <w:p w14:paraId="61BDE698">
      <w:pPr>
        <w:wordWrap w:val="0"/>
        <w:spacing w:line="360" w:lineRule="auto"/>
        <w:ind w:firstLine="480" w:firstLineChars="200"/>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pP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1.</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设备到货</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安装调试初验合格后，</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甲方向乙方支付合同总金额的</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50</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%。设备</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试</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运行且</w:t>
      </w:r>
      <w:r>
        <w:rPr>
          <w:rFonts w:hint="eastAsia" w:ascii="仿宋" w:hAnsi="仿宋" w:eastAsia="仿宋" w:cs="仿宋"/>
          <w:bCs/>
          <w:color w:val="auto"/>
          <w:sz w:val="24"/>
          <w:szCs w:val="24"/>
          <w:highlight w:val="none"/>
          <w:lang w:val="en-US" w:eastAsia="zh-CN"/>
        </w:rPr>
        <w:t>终验</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合格后，乙方应</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当</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向甲方提供合法有效的全额增值税专用发票</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甲方在</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收到发票后</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30日内</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w:t>
      </w:r>
      <w:r>
        <w:rPr>
          <w:rFonts w:hint="default" w:ascii="仿宋" w:hAnsi="仿宋" w:eastAsia="仿宋" w:cs="仿宋"/>
          <w:i w:val="0"/>
          <w:iCs w:val="0"/>
          <w:caps w:val="0"/>
          <w:snapToGrid w:val="0"/>
          <w:color w:val="auto"/>
          <w:spacing w:val="0"/>
          <w:sz w:val="24"/>
          <w:szCs w:val="24"/>
          <w:highlight w:val="none"/>
          <w:u w:val="none"/>
          <w:shd w:val="clear" w:color="auto" w:fill="FFFFFF"/>
          <w:lang w:val="en-US" w:eastAsia="zh-CN" w:bidi="ar-SA"/>
        </w:rPr>
        <w:t xml:space="preserve">向乙方支付合同总金额的45%。合同义务履行完毕后，甲方需在30日内，向乙方支付合同总金额的5%。 </w:t>
      </w:r>
    </w:p>
    <w:p w14:paraId="56597E39">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2.乙方应向甲方提供下列单据：</w:t>
      </w:r>
    </w:p>
    <w:p w14:paraId="2A008597">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（1）发票原件；</w:t>
      </w:r>
    </w:p>
    <w:p w14:paraId="721CAB31">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（2）合同副本；</w:t>
      </w:r>
    </w:p>
    <w:p w14:paraId="750C38CB">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（3）验收证书</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若有</w:t>
      </w:r>
      <w:r>
        <w:rPr>
          <w:rFonts w:hint="eastAsia" w:ascii="仿宋" w:hAnsi="仿宋" w:eastAsia="仿宋" w:cs="仿宋"/>
          <w:bCs/>
          <w:color w:val="auto"/>
          <w:sz w:val="24"/>
          <w:highlight w:val="none"/>
          <w:lang w:eastAsia="zh-CN"/>
        </w:rPr>
        <w:t>）</w:t>
      </w:r>
      <w:r>
        <w:rPr>
          <w:rFonts w:hint="eastAsia" w:ascii="仿宋" w:hAnsi="仿宋" w:eastAsia="仿宋" w:cs="仿宋"/>
          <w:color w:val="auto"/>
          <w:sz w:val="24"/>
          <w:highlight w:val="none"/>
        </w:rPr>
        <w:t>；</w:t>
      </w:r>
    </w:p>
    <w:p w14:paraId="71921516">
      <w:pPr>
        <w:autoSpaceDE w:val="0"/>
        <w:autoSpaceDN w:val="0"/>
        <w:adjustRightInd w:val="0"/>
        <w:snapToGrid w:val="0"/>
        <w:spacing w:line="360" w:lineRule="auto"/>
        <w:ind w:firstLine="480" w:firstLineChars="200"/>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w:t>
      </w:r>
      <w:r>
        <w:rPr>
          <w:rFonts w:hint="eastAsia" w:ascii="仿宋" w:hAnsi="仿宋" w:eastAsia="仿宋" w:cs="仿宋"/>
          <w:color w:val="auto"/>
          <w:sz w:val="24"/>
          <w:highlight w:val="none"/>
        </w:rPr>
        <w:t>设备相关操作人员培训记录</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如要求）</w:t>
      </w:r>
      <w:r>
        <w:rPr>
          <w:rFonts w:hint="eastAsia" w:ascii="仿宋" w:hAnsi="仿宋" w:eastAsia="仿宋" w:cs="仿宋"/>
          <w:bCs/>
          <w:color w:val="auto"/>
          <w:sz w:val="24"/>
          <w:highlight w:val="none"/>
        </w:rPr>
        <w:t>。</w:t>
      </w:r>
    </w:p>
    <w:p w14:paraId="22CB73E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四、包装、标记、运输和交付</w:t>
      </w:r>
    </w:p>
    <w:p w14:paraId="3EE72E4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（一）包装</w:t>
      </w:r>
    </w:p>
    <w:p w14:paraId="3A0BDAE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1.乙方应对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进行妥善包装，以满足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运</w:t>
      </w:r>
      <w:r>
        <w:rPr>
          <w:rFonts w:hint="eastAsia" w:ascii="仿宋" w:hAnsi="仿宋" w:eastAsia="仿宋" w:cs="仿宋"/>
          <w:bCs/>
          <w:color w:val="auto"/>
          <w:sz w:val="24"/>
          <w:szCs w:val="24"/>
          <w:highlight w:val="none"/>
          <w:lang w:val="en-US" w:eastAsia="zh-CN"/>
        </w:rPr>
        <w:t>达指定交货地点</w:t>
      </w:r>
      <w:r>
        <w:rPr>
          <w:rFonts w:hint="eastAsia" w:ascii="仿宋" w:hAnsi="仿宋" w:eastAsia="仿宋" w:cs="仿宋"/>
          <w:bCs/>
          <w:color w:val="auto"/>
          <w:sz w:val="24"/>
          <w:szCs w:val="24"/>
          <w:highlight w:val="none"/>
        </w:rPr>
        <w:t>保管的需要。包装应采取防潮、防晒、防锈、防腐蚀、防震动及防止其它损坏的必要保护措施，从而保护</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能够经受多次搬运、装卸、长途运输并适宜保管。</w:t>
      </w:r>
    </w:p>
    <w:p w14:paraId="067CCEB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2.每个独立包装箱内应附装箱清单、质量合格证、装配图、说明书、操作指南等资料。</w:t>
      </w:r>
    </w:p>
    <w:p w14:paraId="215E225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3.除合同条款另有约定外，甲方无需将包装物退还给乙方。</w:t>
      </w:r>
    </w:p>
    <w:p w14:paraId="7D86574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（二）标记</w:t>
      </w:r>
    </w:p>
    <w:p w14:paraId="0352D39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1.乙方应在每一包装箱相邻的四个侧面以不可擦除的、明显的方式标记必要的装运信息和标记，以满足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运输和保管的需要。</w:t>
      </w:r>
    </w:p>
    <w:p w14:paraId="5778936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2.根据</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特点和运输、保管的不同要求，乙方应在包装箱上清楚地标注“小心轻放”“此端朝上，请勿倒置”“保持干燥”等字样和其他适当标记。如果发运合同设备中含有易燃易爆物品、腐蚀物品、放射性物质等危险品，则应在包装箱上标明危险品标志。</w:t>
      </w:r>
    </w:p>
    <w:p w14:paraId="313ACC5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（三）运输</w:t>
      </w:r>
    </w:p>
    <w:p w14:paraId="23B7E2B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1.乙方应自行选择适宜的运输工具及线路安排</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运输。</w:t>
      </w:r>
    </w:p>
    <w:p w14:paraId="41E8EF9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2.每件能够独立运行的设备应整套装运。该设备安装、调试、运行所使用的备品、备件、易损易耗件等应随相关的主机一起装运。</w:t>
      </w:r>
    </w:p>
    <w:p w14:paraId="6B46D9E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val="en-US" w:eastAsia="zh-CN"/>
        </w:rPr>
        <w:t>合同设备运输应当符合合同设备说明书要求；对温度、湿度等环境条件有特殊要求的，应当采取相应措施，保证合同设备的安全、有效。</w:t>
      </w:r>
    </w:p>
    <w:p w14:paraId="6E385D8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乙方应在合同设备预计启运</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日前，将合同设备名称、 数量、箱数、总毛重、总体积（用 m3 表示）、每箱尺寸（长×宽×高）、装运合同设备总金额、运输方式、预计交付日期和合同设备在运输、装卸、保管中的注意事项等预通知甲方，并在合同设备启运后 24 小时之内正式通知甲方。</w:t>
      </w:r>
    </w:p>
    <w:p w14:paraId="18B565B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乙方在根据第</w:t>
      </w: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项进行通知时，如果发运合同设备中包括易燃易爆物品、腐蚀物品、放射性物质等危险品，则危险品的品名、性质、在运输、装卸、保管方面的特殊要求、注意事项和处理意外情况的方法等，也应一并通知甲方。</w:t>
      </w:r>
    </w:p>
    <w:p w14:paraId="492AA2F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所有包装需确保设备及零部件在运输、装卸过程中不发生损坏、丢失、变形、受潮和腐蚀，若因包装或运输不当造成设备损坏，中标人须在7个工作日内免费更换全新设备，并承担因此造成的一切损失。</w:t>
      </w:r>
    </w:p>
    <w:p w14:paraId="5FC0D19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整体产品或分体运输的部件，其包装及装载方式需适应公路、铁路等运输方式及装卸要求，避免运输过程中发生位移、碰撞。</w:t>
      </w:r>
    </w:p>
    <w:p w14:paraId="4270D21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随设备一同交付的技术资料（含产品合格证、质保书、操作手册、维修手册、图纸、检测报告等）需单独密封包装，确保完整无缺、字迹清晰，电子版资料存储于不可擦写光盘中，与纸质资料一同交付。</w:t>
      </w:r>
    </w:p>
    <w:p w14:paraId="057F2F8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（四）交付</w:t>
      </w:r>
    </w:p>
    <w:p w14:paraId="1D982176">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1.乙方应于</w:t>
      </w:r>
      <w:r>
        <w:rPr>
          <w:rFonts w:hint="eastAsia" w:ascii="仿宋" w:hAnsi="仿宋" w:eastAsia="仿宋" w:cs="仿宋"/>
          <w:bCs/>
          <w:color w:val="auto"/>
          <w:sz w:val="24"/>
          <w:szCs w:val="24"/>
          <w:highlight w:val="none"/>
          <w:u w:val="single"/>
          <w:lang w:val="en-US" w:eastAsia="zh-CN"/>
        </w:rPr>
        <w:t>202  年   月   日</w:t>
      </w:r>
      <w:r>
        <w:rPr>
          <w:rFonts w:hint="eastAsia" w:ascii="仿宋" w:hAnsi="仿宋" w:eastAsia="仿宋" w:cs="仿宋"/>
          <w:bCs/>
          <w:color w:val="auto"/>
          <w:sz w:val="24"/>
          <w:szCs w:val="24"/>
          <w:highlight w:val="none"/>
          <w:lang w:val="en-US" w:eastAsia="zh-CN"/>
        </w:rPr>
        <w:t>前将</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交付甲方，且</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lang w:val="en-US" w:eastAsia="zh-CN"/>
        </w:rPr>
        <w:t>生产日期至开箱检验结束止不得超过3个月（如为进口设备可延长至6个月），否则甲方有权拒绝验收。</w:t>
      </w:r>
    </w:p>
    <w:p w14:paraId="3BD1E58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2.甲方对乙方交付的包装的</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的外观及件数进行清点核验后应签发收货清单。甲方签发收货清单不代表对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的接受，双方还应按合同约定进行后续的检验和验收。</w:t>
      </w:r>
    </w:p>
    <w:p w14:paraId="15E1A12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的所有权和风险自项目验收完毕时起由乙方转移至甲方，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未验收之前包括交付在内的所有风险均由乙方承担。</w:t>
      </w:r>
    </w:p>
    <w:p w14:paraId="1B65078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4.甲方如果发现技术资料存在短缺和损坏，乙方应在收到甲方的通知后</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日内免费补齐短缺和损坏的部分。如果甲方发现乙方提供的技术资料有误，乙方应在收到甲方通知后</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日内免费替换。如由于甲方原因导致技术资料丢失和损坏，乙方应在收到甲方的通知后7日内补齐丢失和损坏的部分，但甲方应向乙方支付合理的复制费用等。</w:t>
      </w:r>
    </w:p>
    <w:p w14:paraId="4A80CA7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五、开箱检验、安装、调试、验收</w:t>
      </w:r>
    </w:p>
    <w:p w14:paraId="57B5B4C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（一）开箱检验</w:t>
      </w:r>
    </w:p>
    <w:p w14:paraId="63C382A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交付后应进行开箱检验，即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数量及外观检验。开箱检验应在全部设备到货后</w:t>
      </w: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日内进行，并通知乙方。</w:t>
      </w:r>
    </w:p>
    <w:p w14:paraId="192032F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的开箱检验应在</w:t>
      </w:r>
      <w:r>
        <w:rPr>
          <w:rFonts w:hint="eastAsia" w:ascii="仿宋" w:hAnsi="仿宋" w:eastAsia="仿宋" w:cs="仿宋"/>
          <w:bCs/>
          <w:color w:val="auto"/>
          <w:sz w:val="24"/>
          <w:szCs w:val="24"/>
          <w:highlight w:val="none"/>
          <w:u w:val="none"/>
          <w:lang w:val="en-US" w:eastAsia="zh-CN"/>
        </w:rPr>
        <w:t>甲方指定地点</w:t>
      </w:r>
      <w:r>
        <w:rPr>
          <w:rFonts w:hint="eastAsia" w:ascii="仿宋" w:hAnsi="仿宋" w:eastAsia="仿宋" w:cs="仿宋"/>
          <w:bCs/>
          <w:color w:val="auto"/>
          <w:sz w:val="24"/>
          <w:szCs w:val="24"/>
          <w:highlight w:val="none"/>
          <w:u w:val="none"/>
        </w:rPr>
        <w:t>进行</w:t>
      </w:r>
      <w:r>
        <w:rPr>
          <w:rFonts w:hint="eastAsia" w:ascii="仿宋" w:hAnsi="仿宋" w:eastAsia="仿宋" w:cs="仿宋"/>
          <w:bCs/>
          <w:color w:val="auto"/>
          <w:sz w:val="24"/>
          <w:szCs w:val="24"/>
          <w:highlight w:val="none"/>
        </w:rPr>
        <w:t>。</w:t>
      </w:r>
    </w:p>
    <w:p w14:paraId="19D4D1F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开箱检验由甲乙双方共同进行，乙方应派遣代表</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厂家技术工程师）</w:t>
      </w:r>
      <w:r>
        <w:rPr>
          <w:rFonts w:hint="eastAsia" w:ascii="仿宋" w:hAnsi="仿宋" w:eastAsia="仿宋" w:cs="仿宋"/>
          <w:bCs/>
          <w:color w:val="auto"/>
          <w:sz w:val="24"/>
          <w:szCs w:val="24"/>
          <w:highlight w:val="none"/>
        </w:rPr>
        <w:t>到场参加开箱检验。</w:t>
      </w:r>
    </w:p>
    <w:p w14:paraId="39620EC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4.开箱检验时，设备</w:t>
      </w:r>
      <w:r>
        <w:rPr>
          <w:rFonts w:hint="eastAsia" w:ascii="仿宋" w:hAnsi="仿宋" w:eastAsia="仿宋" w:cs="仿宋"/>
          <w:color w:val="auto"/>
          <w:sz w:val="24"/>
          <w:szCs w:val="24"/>
          <w:highlight w:val="none"/>
        </w:rPr>
        <w:t>须为原厂商(制造商)未启封的全新包装，具有出厂合格证，序列号、包装箱号，并与出厂批号一致，且可追索查阅。所有随设备的附件必须齐全。乙方应将关键主机设备的用户手册、保修手册、相关资料及配备件、随机工具等交付给甲方，且使用操作及安全须知等重要资料应附有中文说明,并由双方签章确认</w:t>
      </w:r>
      <w:r>
        <w:rPr>
          <w:rFonts w:hint="eastAsia" w:ascii="仿宋" w:hAnsi="仿宋" w:eastAsia="仿宋" w:cs="仿宋"/>
          <w:color w:val="auto"/>
          <w:sz w:val="24"/>
          <w:szCs w:val="24"/>
          <w:highlight w:val="none"/>
          <w:lang w:eastAsia="zh-CN"/>
        </w:rPr>
        <w:t>。</w:t>
      </w:r>
    </w:p>
    <w:p w14:paraId="30FF3D0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bCs/>
          <w:color w:val="auto"/>
          <w:sz w:val="24"/>
          <w:szCs w:val="24"/>
          <w:highlight w:val="none"/>
        </w:rPr>
        <w:t>在开箱检验</w:t>
      </w:r>
      <w:r>
        <w:rPr>
          <w:rFonts w:hint="eastAsia" w:ascii="仿宋" w:hAnsi="仿宋" w:eastAsia="仿宋" w:cs="仿宋"/>
          <w:bCs/>
          <w:color w:val="auto"/>
          <w:sz w:val="24"/>
          <w:szCs w:val="24"/>
          <w:highlight w:val="none"/>
          <w:lang w:val="en-US" w:eastAsia="zh-CN"/>
        </w:rPr>
        <w:t>完成后</w:t>
      </w:r>
      <w:r>
        <w:rPr>
          <w:rFonts w:hint="eastAsia" w:ascii="仿宋" w:hAnsi="仿宋" w:eastAsia="仿宋" w:cs="仿宋"/>
          <w:bCs/>
          <w:color w:val="auto"/>
          <w:sz w:val="24"/>
          <w:szCs w:val="24"/>
          <w:highlight w:val="none"/>
        </w:rPr>
        <w:t>，甲方和乙方应共同签署数量、外观检验报告，报告应列明检验结果，包括检验合格或发现的任何短缺、损坏或其它与合同约定不符的情形。</w:t>
      </w:r>
    </w:p>
    <w:p w14:paraId="6189E32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rPr>
        <w:t>.如果乙方代表未能依约或按甲方通知到场参加开箱检验，甲方有权在乙方代表未在场的情况下进行开箱检验，并签署数量、外观检验报告，对于该检验报告和检验结果，视为乙方已接受，乙方确有合理理由且事先与甲方协商推迟开箱检验时间的除外。</w:t>
      </w:r>
    </w:p>
    <w:p w14:paraId="0C57377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7</w:t>
      </w:r>
      <w:r>
        <w:rPr>
          <w:rFonts w:hint="eastAsia" w:ascii="仿宋" w:hAnsi="仿宋" w:eastAsia="仿宋" w:cs="仿宋"/>
          <w:bCs/>
          <w:color w:val="auto"/>
          <w:sz w:val="24"/>
          <w:szCs w:val="24"/>
          <w:highlight w:val="none"/>
        </w:rPr>
        <w:t>.在开箱检验过程中发现</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的短缺、损坏或其它与合同约定不符的情形，由乙方负责，乙方应补齐、更换及采取其他补救措施。</w:t>
      </w:r>
    </w:p>
    <w:p w14:paraId="6535CB4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.本合同文件中约定由第三方检测机构对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进行开箱检验或在开箱检验过程中另行约定由第三方检验的，则第三方检测机构的检验结果对双方均具有约束力。</w:t>
      </w:r>
    </w:p>
    <w:p w14:paraId="63A65D3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9</w:t>
      </w:r>
      <w:r>
        <w:rPr>
          <w:rFonts w:hint="eastAsia" w:ascii="仿宋" w:hAnsi="仿宋" w:eastAsia="仿宋" w:cs="仿宋"/>
          <w:bCs/>
          <w:color w:val="auto"/>
          <w:sz w:val="24"/>
          <w:szCs w:val="24"/>
          <w:highlight w:val="none"/>
        </w:rPr>
        <w:t>.开箱检验的检验结果不能对抗在</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的安装、调试、验收中及质量保证期内发现的</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质量问题，也不能免除或影响乙方依照合同约定对甲方负有的包括</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质量在内的任何义务或责任。</w:t>
      </w:r>
    </w:p>
    <w:p w14:paraId="171DD00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（二）安装、调试</w:t>
      </w:r>
    </w:p>
    <w:p w14:paraId="3C77139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1.开箱检验完成后，</w:t>
      </w:r>
      <w:r>
        <w:rPr>
          <w:rFonts w:hint="eastAsia" w:ascii="仿宋" w:hAnsi="仿宋" w:eastAsia="仿宋" w:cs="仿宋"/>
          <w:bCs/>
          <w:color w:val="auto"/>
          <w:sz w:val="24"/>
          <w:szCs w:val="24"/>
          <w:highlight w:val="none"/>
          <w:lang w:val="en-US" w:eastAsia="zh-CN"/>
        </w:rPr>
        <w:t>厂家技术工程师或厂家认证工程师</w:t>
      </w:r>
      <w:r>
        <w:rPr>
          <w:rFonts w:hint="eastAsia" w:ascii="仿宋" w:hAnsi="仿宋" w:eastAsia="仿宋" w:cs="仿宋"/>
          <w:bCs/>
          <w:color w:val="auto"/>
          <w:sz w:val="24"/>
          <w:szCs w:val="24"/>
          <w:highlight w:val="none"/>
        </w:rPr>
        <w:t>应对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进行安装、调试，以使其具备</w:t>
      </w:r>
      <w:r>
        <w:rPr>
          <w:rFonts w:hint="eastAsia" w:ascii="仿宋" w:hAnsi="仿宋" w:eastAsia="仿宋" w:cs="仿宋"/>
          <w:bCs/>
          <w:color w:val="auto"/>
          <w:sz w:val="24"/>
          <w:szCs w:val="24"/>
          <w:highlight w:val="none"/>
          <w:lang w:val="en-US" w:eastAsia="zh-CN"/>
        </w:rPr>
        <w:t>验收</w:t>
      </w:r>
      <w:r>
        <w:rPr>
          <w:rFonts w:hint="eastAsia" w:ascii="仿宋" w:hAnsi="仿宋" w:eastAsia="仿宋" w:cs="仿宋"/>
          <w:bCs/>
          <w:color w:val="auto"/>
          <w:sz w:val="24"/>
          <w:szCs w:val="24"/>
          <w:highlight w:val="none"/>
        </w:rPr>
        <w:t>的状态。</w:t>
      </w:r>
    </w:p>
    <w:p w14:paraId="1093C18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56" w:firstLineChars="200"/>
        <w:jc w:val="both"/>
        <w:textAlignment w:val="auto"/>
        <w:rPr>
          <w:rFonts w:hint="eastAsia" w:ascii="仿宋" w:hAnsi="仿宋" w:eastAsia="仿宋" w:cs="仿宋"/>
          <w:bCs/>
          <w:snapToGrid w:val="0"/>
          <w:color w:val="auto"/>
          <w:spacing w:val="-6"/>
          <w:kern w:val="0"/>
          <w:sz w:val="24"/>
          <w:szCs w:val="24"/>
          <w:highlight w:val="none"/>
        </w:rPr>
      </w:pPr>
      <w:r>
        <w:rPr>
          <w:rFonts w:hint="eastAsia" w:ascii="仿宋" w:hAnsi="仿宋" w:eastAsia="仿宋" w:cs="仿宋"/>
          <w:bCs/>
          <w:snapToGrid w:val="0"/>
          <w:color w:val="auto"/>
          <w:spacing w:val="-6"/>
          <w:kern w:val="0"/>
          <w:sz w:val="24"/>
          <w:szCs w:val="24"/>
          <w:highlight w:val="none"/>
        </w:rPr>
        <w:t>2.安装、调试中</w:t>
      </w:r>
      <w:r>
        <w:rPr>
          <w:rFonts w:hint="eastAsia" w:ascii="仿宋" w:hAnsi="仿宋" w:eastAsia="仿宋" w:cs="仿宋"/>
          <w:bCs/>
          <w:snapToGrid w:val="0"/>
          <w:color w:val="auto"/>
          <w:spacing w:val="-6"/>
          <w:kern w:val="0"/>
          <w:sz w:val="24"/>
          <w:szCs w:val="24"/>
          <w:highlight w:val="none"/>
          <w:lang w:eastAsia="zh-CN"/>
        </w:rPr>
        <w:t>合同设备</w:t>
      </w:r>
      <w:r>
        <w:rPr>
          <w:rFonts w:hint="eastAsia" w:ascii="仿宋" w:hAnsi="仿宋" w:eastAsia="仿宋" w:cs="仿宋"/>
          <w:bCs/>
          <w:snapToGrid w:val="0"/>
          <w:color w:val="auto"/>
          <w:spacing w:val="-6"/>
          <w:kern w:val="0"/>
          <w:sz w:val="24"/>
          <w:szCs w:val="24"/>
          <w:highlight w:val="none"/>
        </w:rPr>
        <w:t>运行需要的用水、用电等由甲方承担。</w:t>
      </w:r>
    </w:p>
    <w:p w14:paraId="289F1A8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3.双方应对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的安装、调试情况共同及时进行记录。</w:t>
      </w:r>
    </w:p>
    <w:p w14:paraId="0BE601F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（三）</w:t>
      </w:r>
      <w:r>
        <w:rPr>
          <w:rFonts w:hint="eastAsia" w:ascii="仿宋" w:hAnsi="仿宋" w:eastAsia="仿宋" w:cs="仿宋"/>
          <w:b/>
          <w:bCs/>
          <w:color w:val="auto"/>
          <w:sz w:val="24"/>
          <w:szCs w:val="24"/>
          <w:highlight w:val="none"/>
          <w:lang w:val="en-US" w:eastAsia="zh-CN"/>
        </w:rPr>
        <w:t>验收</w:t>
      </w:r>
    </w:p>
    <w:p w14:paraId="46878B1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1.验收组织：由采购人组织验收小组，验收小组由采购人代表、技术专家（可邀请第三方专业机构专家）组成，人数为奇数且不少于3人。</w:t>
      </w:r>
    </w:p>
    <w:p w14:paraId="15D3447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2.验收依据：严格按照本招标文件、中标人投标文件、双方签订的采购合同及国家、行业现行有关质量标准、技术规范进行验收。</w:t>
      </w:r>
    </w:p>
    <w:p w14:paraId="0DF6776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验收流程：设备安装调试完成后，中标人向采购人提交验收申请及完整的验收资料（含设备清单、产品合格证、质保书、检测报告、操作手册、培训记录、服务台账等）；采购人在收到验收申请后15个工作日内组织验收，验收分为初验和终验，初验合格后设备进入3个月试运行期，试运行期满无质量问题的，组织终验，终验合格后签署《验收合格证书》，作为付款及质保期开始的依据。</w:t>
      </w:r>
    </w:p>
    <w:p w14:paraId="681A733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4.验收不合格处理：若验收不合格，中标人须在采购人规定的时限内完成整改，整改后重新验收，若仍不合格，采购人有权解除合同，中标人须退还采购人已支付的全部款项，并按合同总金额的20%向采购人支付违约金，同时承担采购人因此造成的全部损失。</w:t>
      </w:r>
    </w:p>
    <w:p w14:paraId="1FB2408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5.初验</w:t>
      </w:r>
    </w:p>
    <w:p w14:paraId="2A6C3DB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安装、调试完成后</w:t>
      </w:r>
      <w:r>
        <w:rPr>
          <w:rFonts w:hint="eastAsia" w:ascii="仿宋" w:hAnsi="仿宋" w:eastAsia="仿宋" w:cs="仿宋"/>
          <w:bCs/>
          <w:color w:val="auto"/>
          <w:sz w:val="24"/>
          <w:szCs w:val="24"/>
          <w:highlight w:val="none"/>
          <w:lang w:val="en-US" w:eastAsia="zh-CN"/>
        </w:rPr>
        <w:t>30日内</w:t>
      </w:r>
      <w:r>
        <w:rPr>
          <w:rFonts w:hint="eastAsia" w:ascii="仿宋" w:hAnsi="仿宋" w:eastAsia="仿宋" w:cs="仿宋"/>
          <w:bCs/>
          <w:color w:val="auto"/>
          <w:sz w:val="24"/>
          <w:szCs w:val="24"/>
          <w:highlight w:val="none"/>
        </w:rPr>
        <w:t>，双方应对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w:t>
      </w:r>
      <w:r>
        <w:rPr>
          <w:rFonts w:hint="eastAsia" w:ascii="仿宋" w:hAnsi="仿宋" w:eastAsia="仿宋" w:cs="仿宋"/>
          <w:bCs/>
          <w:color w:val="auto"/>
          <w:sz w:val="24"/>
          <w:szCs w:val="24"/>
          <w:highlight w:val="none"/>
          <w:lang w:val="en-US" w:eastAsia="zh-CN"/>
        </w:rPr>
        <w:t>验收</w:t>
      </w:r>
      <w:r>
        <w:rPr>
          <w:rFonts w:hint="eastAsia" w:ascii="仿宋" w:hAnsi="仿宋" w:eastAsia="仿宋" w:cs="仿宋"/>
          <w:bCs/>
          <w:color w:val="auto"/>
          <w:sz w:val="24"/>
          <w:szCs w:val="24"/>
          <w:highlight w:val="none"/>
        </w:rPr>
        <w:t>，以确定</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是否达到合同约定的技术性能指标。</w:t>
      </w:r>
    </w:p>
    <w:p w14:paraId="35207AA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如由于乙方原因</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在</w:t>
      </w:r>
      <w:r>
        <w:rPr>
          <w:rFonts w:hint="eastAsia" w:ascii="仿宋" w:hAnsi="仿宋" w:eastAsia="仿宋" w:cs="仿宋"/>
          <w:bCs/>
          <w:color w:val="auto"/>
          <w:sz w:val="24"/>
          <w:szCs w:val="24"/>
          <w:highlight w:val="none"/>
          <w:lang w:val="en-US" w:eastAsia="zh-CN"/>
        </w:rPr>
        <w:t>验收过程</w:t>
      </w:r>
      <w:r>
        <w:rPr>
          <w:rFonts w:hint="eastAsia" w:ascii="仿宋" w:hAnsi="仿宋" w:eastAsia="仿宋" w:cs="仿宋"/>
          <w:bCs/>
          <w:color w:val="auto"/>
          <w:sz w:val="24"/>
          <w:szCs w:val="24"/>
          <w:highlight w:val="none"/>
        </w:rPr>
        <w:t>中未能达到合同约定的技术性能指标，则乙方应在双方同意的期限内采取措施消除</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中存在的缺陷，并在缺陷消除以后，尽快进行再次</w:t>
      </w:r>
      <w:r>
        <w:rPr>
          <w:rFonts w:hint="eastAsia" w:ascii="仿宋" w:hAnsi="仿宋" w:eastAsia="仿宋" w:cs="仿宋"/>
          <w:bCs/>
          <w:color w:val="auto"/>
          <w:sz w:val="24"/>
          <w:szCs w:val="24"/>
          <w:highlight w:val="none"/>
          <w:lang w:val="en-US" w:eastAsia="zh-CN"/>
        </w:rPr>
        <w:t>验收</w:t>
      </w:r>
      <w:r>
        <w:rPr>
          <w:rFonts w:hint="eastAsia" w:ascii="仿宋" w:hAnsi="仿宋" w:eastAsia="仿宋" w:cs="仿宋"/>
          <w:bCs/>
          <w:color w:val="auto"/>
          <w:sz w:val="24"/>
          <w:szCs w:val="24"/>
          <w:highlight w:val="none"/>
        </w:rPr>
        <w:t>。</w:t>
      </w:r>
    </w:p>
    <w:p w14:paraId="2E82FDA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如果由于乙方原因，再次</w:t>
      </w:r>
      <w:r>
        <w:rPr>
          <w:rFonts w:hint="eastAsia" w:ascii="仿宋" w:hAnsi="仿宋" w:eastAsia="仿宋" w:cs="仿宋"/>
          <w:bCs/>
          <w:color w:val="auto"/>
          <w:sz w:val="24"/>
          <w:szCs w:val="24"/>
          <w:highlight w:val="none"/>
          <w:lang w:val="en-US" w:eastAsia="zh-CN"/>
        </w:rPr>
        <w:t>验收</w:t>
      </w:r>
      <w:r>
        <w:rPr>
          <w:rFonts w:hint="eastAsia" w:ascii="仿宋" w:hAnsi="仿宋" w:eastAsia="仿宋" w:cs="仿宋"/>
          <w:bCs/>
          <w:color w:val="auto"/>
          <w:sz w:val="24"/>
          <w:szCs w:val="24"/>
          <w:highlight w:val="none"/>
        </w:rPr>
        <w:t>均未能达到合同约定的技术性能指标，则甲方有权解除合同，并由此赔偿给甲方造成的一切损失，其履约保证金不予退还。</w:t>
      </w:r>
    </w:p>
    <w:p w14:paraId="06ED0B6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4）验收过程中</w:t>
      </w:r>
      <w:r>
        <w:rPr>
          <w:rFonts w:hint="eastAsia" w:ascii="仿宋" w:hAnsi="仿宋" w:eastAsia="仿宋" w:cs="仿宋"/>
          <w:bCs/>
          <w:color w:val="auto"/>
          <w:sz w:val="24"/>
          <w:szCs w:val="24"/>
          <w:highlight w:val="none"/>
        </w:rPr>
        <w:t>，如果发现</w:t>
      </w:r>
      <w:r>
        <w:rPr>
          <w:rFonts w:hint="eastAsia" w:ascii="仿宋" w:hAnsi="仿宋" w:eastAsia="仿宋" w:cs="仿宋"/>
          <w:bCs/>
          <w:color w:val="auto"/>
          <w:sz w:val="24"/>
          <w:szCs w:val="24"/>
          <w:highlight w:val="none"/>
          <w:lang w:val="en-US" w:eastAsia="zh-CN"/>
        </w:rPr>
        <w:t>设备</w:t>
      </w:r>
      <w:r>
        <w:rPr>
          <w:rFonts w:hint="eastAsia" w:ascii="仿宋" w:hAnsi="仿宋" w:eastAsia="仿宋" w:cs="仿宋"/>
          <w:bCs/>
          <w:color w:val="auto"/>
          <w:sz w:val="24"/>
          <w:szCs w:val="24"/>
          <w:highlight w:val="none"/>
        </w:rPr>
        <w:t>的质量和规格与合同约定不符，或提供贴牌产品，包括存在缺陷或使用不符合要求的材料，甲方</w:t>
      </w:r>
      <w:r>
        <w:rPr>
          <w:rFonts w:hint="eastAsia" w:ascii="仿宋" w:hAnsi="仿宋" w:eastAsia="仿宋" w:cs="仿宋"/>
          <w:bCs/>
          <w:color w:val="auto"/>
          <w:sz w:val="24"/>
          <w:szCs w:val="24"/>
          <w:highlight w:val="none"/>
          <w:lang w:val="en-US" w:eastAsia="zh-CN"/>
        </w:rPr>
        <w:t>可委托有资质的第三方检验机构进行检验</w:t>
      </w:r>
      <w:r>
        <w:rPr>
          <w:rFonts w:hint="eastAsia" w:ascii="仿宋" w:hAnsi="仿宋" w:eastAsia="仿宋" w:cs="仿宋"/>
          <w:bCs/>
          <w:color w:val="auto"/>
          <w:sz w:val="24"/>
          <w:szCs w:val="24"/>
          <w:highlight w:val="none"/>
        </w:rPr>
        <w:t>，并有权凭其出具的检验报告终止合同。</w:t>
      </w:r>
    </w:p>
    <w:p w14:paraId="49CEFDE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5）验收过程中</w:t>
      </w:r>
      <w:r>
        <w:rPr>
          <w:rFonts w:hint="eastAsia" w:ascii="仿宋" w:hAnsi="仿宋" w:eastAsia="仿宋" w:cs="仿宋"/>
          <w:bCs/>
          <w:color w:val="auto"/>
          <w:sz w:val="24"/>
          <w:szCs w:val="24"/>
          <w:highlight w:val="none"/>
        </w:rPr>
        <w:t>，双方应及时共同记录</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的使用及设备</w:t>
      </w:r>
      <w:r>
        <w:rPr>
          <w:rFonts w:hint="eastAsia" w:ascii="仿宋" w:hAnsi="仿宋" w:eastAsia="仿宋" w:cs="仿宋"/>
          <w:bCs/>
          <w:color w:val="auto"/>
          <w:sz w:val="24"/>
          <w:szCs w:val="24"/>
          <w:highlight w:val="none"/>
          <w:lang w:val="en-US" w:eastAsia="zh-CN"/>
        </w:rPr>
        <w:t>验收</w:t>
      </w:r>
      <w:r>
        <w:rPr>
          <w:rFonts w:hint="eastAsia" w:ascii="仿宋" w:hAnsi="仿宋" w:eastAsia="仿宋" w:cs="仿宋"/>
          <w:bCs/>
          <w:color w:val="auto"/>
          <w:sz w:val="24"/>
          <w:szCs w:val="24"/>
          <w:highlight w:val="none"/>
        </w:rPr>
        <w:t>情况。对于未达到技术性能指标的，应如实记录设备表现、可能原因及处理情况等。</w:t>
      </w:r>
    </w:p>
    <w:p w14:paraId="36ECBD6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（6）</w:t>
      </w:r>
      <w:r>
        <w:rPr>
          <w:rFonts w:hint="eastAsia" w:ascii="仿宋" w:hAnsi="仿宋" w:eastAsia="仿宋" w:cs="仿宋"/>
          <w:color w:val="auto"/>
          <w:sz w:val="24"/>
          <w:szCs w:val="24"/>
          <w:highlight w:val="none"/>
        </w:rPr>
        <w:t>验收审核</w:t>
      </w:r>
      <w:r>
        <w:rPr>
          <w:rFonts w:hint="eastAsia" w:ascii="仿宋" w:hAnsi="仿宋" w:eastAsia="仿宋" w:cs="仿宋"/>
          <w:color w:val="auto"/>
          <w:sz w:val="24"/>
          <w:szCs w:val="24"/>
          <w:highlight w:val="none"/>
          <w:lang w:val="en-US" w:eastAsia="zh-CN"/>
        </w:rPr>
        <w:t>资料包括但不限于</w:t>
      </w:r>
      <w:r>
        <w:rPr>
          <w:rFonts w:hint="eastAsia" w:ascii="仿宋" w:hAnsi="仿宋" w:eastAsia="仿宋" w:cs="仿宋"/>
          <w:color w:val="auto"/>
          <w:sz w:val="24"/>
          <w:szCs w:val="24"/>
          <w:highlight w:val="none"/>
        </w:rPr>
        <w:t>合同设备制造商的《营业执照》检验报告</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产品说明书、装箱清单</w:t>
      </w:r>
      <w:r>
        <w:rPr>
          <w:rFonts w:hint="eastAsia" w:ascii="仿宋" w:hAnsi="仿宋" w:eastAsia="仿宋" w:cs="仿宋"/>
          <w:color w:val="auto"/>
          <w:sz w:val="24"/>
          <w:szCs w:val="24"/>
          <w:highlight w:val="none"/>
        </w:rPr>
        <w:t>等证明文件</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乙方《营业执照》等证明文件</w:t>
      </w:r>
      <w:r>
        <w:rPr>
          <w:rFonts w:hint="eastAsia" w:ascii="仿宋" w:hAnsi="仿宋" w:eastAsia="仿宋" w:cs="仿宋"/>
          <w:color w:val="auto"/>
          <w:sz w:val="24"/>
          <w:szCs w:val="24"/>
          <w:highlight w:val="none"/>
        </w:rPr>
        <w:t>。</w:t>
      </w:r>
    </w:p>
    <w:p w14:paraId="3D5D55C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bCs/>
          <w:color w:val="auto"/>
          <w:sz w:val="24"/>
          <w:szCs w:val="24"/>
          <w:highlight w:val="none"/>
        </w:rPr>
        <w:t>如</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lang w:val="en-US" w:eastAsia="zh-CN"/>
        </w:rPr>
        <w:t>均</w:t>
      </w:r>
      <w:r>
        <w:rPr>
          <w:rFonts w:hint="eastAsia" w:ascii="仿宋" w:hAnsi="仿宋" w:eastAsia="仿宋" w:cs="仿宋"/>
          <w:bCs/>
          <w:color w:val="auto"/>
          <w:sz w:val="24"/>
          <w:szCs w:val="24"/>
          <w:highlight w:val="none"/>
        </w:rPr>
        <w:t>达到合同约定的技术性能指标，则甲乙双方应在</w:t>
      </w:r>
      <w:r>
        <w:rPr>
          <w:rFonts w:hint="eastAsia" w:ascii="仿宋" w:hAnsi="仿宋" w:eastAsia="仿宋" w:cs="仿宋"/>
          <w:bCs/>
          <w:color w:val="auto"/>
          <w:sz w:val="24"/>
          <w:szCs w:val="24"/>
          <w:highlight w:val="none"/>
          <w:lang w:val="en-US" w:eastAsia="zh-CN"/>
        </w:rPr>
        <w:t>验收工作</w:t>
      </w:r>
      <w:r>
        <w:rPr>
          <w:rFonts w:hint="eastAsia" w:ascii="仿宋" w:hAnsi="仿宋" w:eastAsia="仿宋" w:cs="仿宋"/>
          <w:bCs/>
          <w:color w:val="auto"/>
          <w:sz w:val="24"/>
          <w:szCs w:val="24"/>
          <w:highlight w:val="none"/>
        </w:rPr>
        <w:t>完成后</w:t>
      </w: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日内签署</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lang w:val="en-US" w:eastAsia="zh-CN"/>
        </w:rPr>
        <w:t>初</w:t>
      </w:r>
      <w:r>
        <w:rPr>
          <w:rFonts w:hint="eastAsia" w:ascii="仿宋" w:hAnsi="仿宋" w:eastAsia="仿宋" w:cs="仿宋"/>
          <w:bCs/>
          <w:color w:val="auto"/>
          <w:sz w:val="24"/>
          <w:szCs w:val="24"/>
          <w:highlight w:val="none"/>
        </w:rPr>
        <w:t>验证书一式二份，双方各持一份。</w:t>
      </w:r>
    </w:p>
    <w:p w14:paraId="01BE378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6.试运行：初验合格，合同设备进入试运行。试运行期限为1个月，试运行期间设备运行正常，乙方向甲方提交试运行报告。</w:t>
      </w:r>
    </w:p>
    <w:p w14:paraId="4513433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7.终验：合同设备试运行期满后15日内，如合同设备均符合合同约定的技术性能指标，设备运行正常且无故障，则甲乙双方签署终验证书一式二份，双方各持一份。</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验收证书的签署不能免除乙方在质量保证期内对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应承担的保证责任。</w:t>
      </w:r>
    </w:p>
    <w:p w14:paraId="113F375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8</w:t>
      </w:r>
      <w:r>
        <w:rPr>
          <w:rFonts w:hint="eastAsia" w:ascii="仿宋" w:hAnsi="仿宋" w:eastAsia="仿宋" w:cs="仿宋"/>
          <w:bCs/>
          <w:color w:val="auto"/>
          <w:sz w:val="24"/>
          <w:szCs w:val="24"/>
          <w:highlight w:val="none"/>
        </w:rPr>
        <w:t>.验收过程中发生的相关费用由乙方承担。</w:t>
      </w:r>
    </w:p>
    <w:p w14:paraId="022A730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、技术服务</w:t>
      </w:r>
    </w:p>
    <w:p w14:paraId="33C5EC1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1.乙方</w:t>
      </w:r>
      <w:r>
        <w:rPr>
          <w:rFonts w:hint="eastAsia" w:ascii="仿宋" w:hAnsi="仿宋" w:eastAsia="仿宋" w:cs="仿宋"/>
          <w:bCs/>
          <w:color w:val="auto"/>
          <w:sz w:val="24"/>
          <w:szCs w:val="24"/>
          <w:highlight w:val="none"/>
          <w:lang w:val="en-US" w:eastAsia="zh-CN"/>
        </w:rPr>
        <w:t>应委派厂家技术工程师或厂家认证工程师为甲方提供技术服务。</w:t>
      </w:r>
    </w:p>
    <w:p w14:paraId="17CF59B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技术负责人：</w:t>
      </w:r>
    </w:p>
    <w:p w14:paraId="68DAAF1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联系电话：</w:t>
      </w:r>
    </w:p>
    <w:p w14:paraId="5D48B58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乙方提供的技术服务包括但不限于对合同设备进行定期检查、检验、保养和维护并予以记录，确保合同设备处于良好状态，保障使用质量。</w:t>
      </w:r>
    </w:p>
    <w:p w14:paraId="2A87EDF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3.乙方提供终身技术服务。</w:t>
      </w:r>
    </w:p>
    <w:p w14:paraId="3D2152D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.如果任何技术人员不合格，甲方有权要求乙方撤换，因撤换而产生的费用应由乙方承担。在不影响技术服务并且征得甲方同意的条件下，乙方也可自负费用更换其技术人员。</w:t>
      </w:r>
    </w:p>
    <w:p w14:paraId="7EA72C5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七</w:t>
      </w:r>
      <w:r>
        <w:rPr>
          <w:rFonts w:hint="eastAsia" w:ascii="仿宋" w:hAnsi="仿宋" w:eastAsia="仿宋" w:cs="仿宋"/>
          <w:b/>
          <w:bCs/>
          <w:color w:val="auto"/>
          <w:sz w:val="24"/>
          <w:szCs w:val="24"/>
          <w:highlight w:val="none"/>
        </w:rPr>
        <w:t>、质量保证期</w:t>
      </w:r>
    </w:p>
    <w:p w14:paraId="3BAB649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除合同文件另有约定外，合同设备整体质量保证期</w:t>
      </w:r>
      <w:r>
        <w:rPr>
          <w:rFonts w:hint="eastAsia" w:ascii="仿宋" w:hAnsi="仿宋" w:eastAsia="仿宋" w:cs="仿宋"/>
          <w:bCs/>
          <w:color w:val="auto"/>
          <w:sz w:val="24"/>
          <w:szCs w:val="24"/>
          <w:highlight w:val="none"/>
          <w:lang w:val="en-US" w:eastAsia="zh-CN"/>
        </w:rPr>
        <w:t>为</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年（含免费提供软件升级），自项目终验合格次日起计算。如对合同设备中关键部件的质量保证期有特殊要求的，甲乙双方可另行约定。</w:t>
      </w:r>
    </w:p>
    <w:p w14:paraId="0A25B47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2.在质量保证期内如果</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出现故障，乙方应自负费用提供质保期服务，对相关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进行修理或更换以消除故障。更换的</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和关键部件的质量保证期应重新计算。但如果</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的故障是由于甲方人为原因造成的，则对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进行修理和更换的费用应由甲方承担。</w:t>
      </w:r>
    </w:p>
    <w:p w14:paraId="2B7FAC8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3.设备厂家应有备件库以及备用样机，保证产品生命周期内正常使用。</w:t>
      </w:r>
    </w:p>
    <w:p w14:paraId="102634D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质量保证期届满后，甲方应在</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日内向乙方出具质量保证</w:t>
      </w:r>
      <w:r>
        <w:rPr>
          <w:rFonts w:hint="eastAsia" w:ascii="仿宋" w:hAnsi="仿宋" w:eastAsia="仿宋" w:cs="仿宋"/>
          <w:bCs/>
          <w:color w:val="auto"/>
          <w:sz w:val="24"/>
          <w:szCs w:val="24"/>
          <w:highlight w:val="none"/>
          <w:lang w:val="en-US" w:eastAsia="zh-CN"/>
        </w:rPr>
        <w:t>期限届满通知</w:t>
      </w:r>
      <w:r>
        <w:rPr>
          <w:rFonts w:hint="eastAsia" w:ascii="仿宋" w:hAnsi="仿宋" w:eastAsia="仿宋" w:cs="仿宋"/>
          <w:bCs/>
          <w:color w:val="auto"/>
          <w:sz w:val="24"/>
          <w:szCs w:val="24"/>
          <w:highlight w:val="none"/>
        </w:rPr>
        <w:t>。</w:t>
      </w:r>
    </w:p>
    <w:p w14:paraId="7D78C6B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八</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维修</w:t>
      </w:r>
      <w:r>
        <w:rPr>
          <w:rFonts w:hint="eastAsia" w:ascii="仿宋" w:hAnsi="仿宋" w:eastAsia="仿宋" w:cs="仿宋"/>
          <w:b/>
          <w:bCs/>
          <w:color w:val="auto"/>
          <w:sz w:val="24"/>
          <w:szCs w:val="24"/>
          <w:highlight w:val="none"/>
        </w:rPr>
        <w:t>服务</w:t>
      </w:r>
    </w:p>
    <w:p w14:paraId="36FAACF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 xml:space="preserve"> 供应商负责对合同设备进行定期维护及修理，质保期内任何由制造、设计原因引起的损坏，应由供应商负责进行终身免费修理。</w:t>
      </w:r>
    </w:p>
    <w:p w14:paraId="250174E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供应商应在收到采购人通知后</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小时内做出响应，如需供应商到达现场，接到报修电话</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分钟内回复，线上能处理的问题线上处理，如线上不能处理，</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小时工程师到达现场处理，</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 xml:space="preserve">天内无法修复提供替用机，每季度到现场进行巡检和保养设备。一旦遇到紧急情况可以拨打以下联系电话，保证迅速响应，最短时间内到场勘察、检测、解决问题。在有特殊任务的情况下，保证售后工程师到场，在检查过程中待命，随时响应处理临时出现的关于设备的问题。如果供应商未在上述时间内作出响应，则采购人有权自行或委托他人解决相关问题或查找和解决合同设备的故障，供应商应承担由此发生的全部费用。 </w:t>
      </w:r>
    </w:p>
    <w:p w14:paraId="2FC3E2D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rPr>
        <w:t>供应商应对合同设备的维保服务的情况进行记录，记载合同设备故障发生的时间、原因及解决情况等，由采购人签字确认，并在质量保证期结束后提交给采购人。</w:t>
      </w:r>
    </w:p>
    <w:p w14:paraId="3094390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质保期满后，所有零配件均按成本价供应，提供终身维修服务。</w:t>
      </w:r>
    </w:p>
    <w:p w14:paraId="60154E6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九</w:t>
      </w:r>
      <w:r>
        <w:rPr>
          <w:rFonts w:hint="eastAsia" w:ascii="仿宋" w:hAnsi="仿宋" w:eastAsia="仿宋" w:cs="仿宋"/>
          <w:b/>
          <w:bCs/>
          <w:color w:val="auto"/>
          <w:sz w:val="24"/>
          <w:szCs w:val="24"/>
          <w:highlight w:val="none"/>
        </w:rPr>
        <w:t>、履约保证金</w:t>
      </w:r>
    </w:p>
    <w:p w14:paraId="43604C0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1.乙方应</w:t>
      </w:r>
      <w:r>
        <w:rPr>
          <w:rFonts w:hint="eastAsia" w:ascii="仿宋" w:hAnsi="仿宋" w:eastAsia="仿宋" w:cs="仿宋"/>
          <w:bCs/>
          <w:color w:val="auto"/>
          <w:sz w:val="24"/>
          <w:szCs w:val="24"/>
          <w:highlight w:val="none"/>
          <w:lang w:val="en-US" w:eastAsia="zh-CN"/>
        </w:rPr>
        <w:t>在在收到中标（成交）通知书30日内向甲方提交履约保证金</w:t>
      </w:r>
      <w:r>
        <w:rPr>
          <w:rFonts w:hint="eastAsia" w:ascii="仿宋" w:hAnsi="仿宋" w:eastAsia="仿宋" w:cs="仿宋"/>
          <w:bCs/>
          <w:color w:val="auto"/>
          <w:sz w:val="24"/>
          <w:szCs w:val="24"/>
          <w:highlight w:val="none"/>
        </w:rPr>
        <w:t>，即人民币</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元（大写：</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rPr>
        <w:t>）。</w:t>
      </w:r>
    </w:p>
    <w:p w14:paraId="5D43540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2.履约保证金用于补偿因乙方不能完成其合同义务致使甲方蒙受的损失。</w:t>
      </w:r>
    </w:p>
    <w:p w14:paraId="116851B6">
      <w:pPr>
        <w:keepNext w:val="0"/>
        <w:keepLines w:val="0"/>
        <w:pageBreakBefore w:val="0"/>
        <w:widowControl w:val="0"/>
        <w:kinsoku/>
        <w:wordWrap/>
        <w:overflowPunct/>
        <w:topLinePunct w:val="0"/>
        <w:autoSpaceDE w:val="0"/>
        <w:autoSpaceDN w:val="0"/>
        <w:bidi w:val="0"/>
        <w:adjustRightInd w:val="0"/>
        <w:snapToGrid w:val="0"/>
        <w:spacing w:line="360" w:lineRule="auto"/>
        <w:ind w:left="0"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3.项目</w:t>
      </w:r>
      <w:r>
        <w:rPr>
          <w:rFonts w:hint="eastAsia" w:ascii="仿宋" w:hAnsi="仿宋" w:eastAsia="仿宋" w:cs="仿宋"/>
          <w:bCs/>
          <w:color w:val="auto"/>
          <w:sz w:val="24"/>
          <w:szCs w:val="24"/>
          <w:highlight w:val="none"/>
          <w:lang w:val="en-US" w:eastAsia="zh-CN"/>
        </w:rPr>
        <w:t>终验</w:t>
      </w:r>
      <w:r>
        <w:rPr>
          <w:rFonts w:hint="eastAsia" w:ascii="仿宋" w:hAnsi="仿宋" w:eastAsia="仿宋" w:cs="仿宋"/>
          <w:bCs/>
          <w:color w:val="auto"/>
          <w:sz w:val="24"/>
          <w:szCs w:val="24"/>
          <w:highlight w:val="none"/>
        </w:rPr>
        <w:t>合格</w:t>
      </w:r>
      <w:r>
        <w:rPr>
          <w:rFonts w:hint="eastAsia" w:ascii="仿宋" w:hAnsi="仿宋" w:eastAsia="仿宋" w:cs="仿宋"/>
          <w:bCs/>
          <w:color w:val="auto"/>
          <w:sz w:val="24"/>
          <w:szCs w:val="24"/>
          <w:highlight w:val="none"/>
          <w:lang w:val="en-US" w:eastAsia="zh-CN"/>
        </w:rPr>
        <w:t>后</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由乙方书面申请，</w:t>
      </w:r>
      <w:r>
        <w:rPr>
          <w:rFonts w:hint="eastAsia" w:ascii="仿宋" w:hAnsi="仿宋" w:eastAsia="仿宋" w:cs="仿宋"/>
          <w:bCs/>
          <w:color w:val="auto"/>
          <w:sz w:val="24"/>
          <w:szCs w:val="24"/>
          <w:highlight w:val="none"/>
          <w:lang w:val="en-US" w:eastAsia="zh-CN"/>
        </w:rPr>
        <w:t>经甲方</w:t>
      </w:r>
      <w:r>
        <w:rPr>
          <w:rFonts w:hint="eastAsia" w:ascii="仿宋" w:hAnsi="仿宋" w:eastAsia="仿宋" w:cs="仿宋"/>
          <w:bCs/>
          <w:color w:val="auto"/>
          <w:sz w:val="24"/>
          <w:szCs w:val="24"/>
          <w:highlight w:val="none"/>
        </w:rPr>
        <w:t>审核无误</w:t>
      </w:r>
      <w:r>
        <w:rPr>
          <w:rFonts w:hint="eastAsia" w:ascii="仿宋" w:hAnsi="仿宋" w:eastAsia="仿宋" w:cs="仿宋"/>
          <w:bCs/>
          <w:color w:val="auto"/>
          <w:sz w:val="24"/>
          <w:szCs w:val="24"/>
          <w:highlight w:val="none"/>
          <w:lang w:val="en-US" w:eastAsia="zh-CN"/>
        </w:rPr>
        <w:t>后30个工作</w:t>
      </w:r>
      <w:r>
        <w:rPr>
          <w:rFonts w:hint="eastAsia" w:ascii="仿宋" w:hAnsi="仿宋" w:eastAsia="仿宋" w:cs="仿宋"/>
          <w:bCs/>
          <w:color w:val="auto"/>
          <w:sz w:val="24"/>
          <w:szCs w:val="24"/>
          <w:highlight w:val="none"/>
        </w:rPr>
        <w:t>日内</w:t>
      </w:r>
      <w:r>
        <w:rPr>
          <w:rFonts w:hint="eastAsia" w:ascii="仿宋" w:hAnsi="仿宋" w:eastAsia="仿宋" w:cs="仿宋"/>
          <w:bCs/>
          <w:color w:val="auto"/>
          <w:sz w:val="24"/>
          <w:szCs w:val="24"/>
          <w:highlight w:val="none"/>
          <w:lang w:val="en-US" w:eastAsia="zh-CN"/>
        </w:rPr>
        <w:t>无息</w:t>
      </w:r>
      <w:r>
        <w:rPr>
          <w:rFonts w:hint="eastAsia" w:ascii="仿宋" w:hAnsi="仿宋" w:eastAsia="仿宋" w:cs="仿宋"/>
          <w:bCs/>
          <w:color w:val="auto"/>
          <w:sz w:val="24"/>
          <w:szCs w:val="24"/>
          <w:highlight w:val="none"/>
        </w:rPr>
        <w:t>退还</w:t>
      </w:r>
      <w:r>
        <w:rPr>
          <w:rFonts w:hint="eastAsia" w:ascii="仿宋" w:hAnsi="仿宋" w:eastAsia="仿宋" w:cs="仿宋"/>
          <w:bCs/>
          <w:color w:val="auto"/>
          <w:sz w:val="24"/>
          <w:szCs w:val="24"/>
          <w:highlight w:val="none"/>
          <w:lang w:val="en-US" w:eastAsia="zh-CN"/>
        </w:rPr>
        <w:t>履约保证金</w:t>
      </w:r>
      <w:r>
        <w:rPr>
          <w:rFonts w:hint="eastAsia" w:ascii="仿宋" w:hAnsi="仿宋" w:eastAsia="仿宋" w:cs="仿宋"/>
          <w:bCs/>
          <w:color w:val="auto"/>
          <w:sz w:val="24"/>
          <w:szCs w:val="24"/>
          <w:highlight w:val="none"/>
        </w:rPr>
        <w:t>。</w:t>
      </w:r>
    </w:p>
    <w:p w14:paraId="6519397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 w:val="0"/>
          <w:bCs w:val="0"/>
          <w:color w:val="auto"/>
          <w:sz w:val="24"/>
          <w:szCs w:val="24"/>
          <w:highlight w:val="none"/>
        </w:rPr>
        <w:t>合同履行过程中，若</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违反合同及其附件约定的任何义务，</w:t>
      </w:r>
      <w:r>
        <w:rPr>
          <w:rFonts w:hint="eastAsia" w:ascii="仿宋" w:hAnsi="仿宋" w:eastAsia="仿宋" w:cs="仿宋"/>
          <w:b w:val="0"/>
          <w:bCs w:val="0"/>
          <w:color w:val="auto"/>
          <w:sz w:val="24"/>
          <w:szCs w:val="24"/>
          <w:highlight w:val="none"/>
          <w:lang w:val="en-US" w:eastAsia="zh-CN"/>
        </w:rPr>
        <w:t>甲方</w:t>
      </w:r>
      <w:r>
        <w:rPr>
          <w:rFonts w:hint="eastAsia" w:ascii="仿宋" w:hAnsi="仿宋" w:eastAsia="仿宋" w:cs="仿宋"/>
          <w:b w:val="0"/>
          <w:bCs w:val="0"/>
          <w:color w:val="auto"/>
          <w:sz w:val="24"/>
          <w:szCs w:val="24"/>
          <w:highlight w:val="none"/>
        </w:rPr>
        <w:t>有权从履约保证金中直接扣除</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应向</w:t>
      </w:r>
      <w:r>
        <w:rPr>
          <w:rFonts w:hint="eastAsia" w:ascii="仿宋" w:hAnsi="仿宋" w:eastAsia="仿宋" w:cs="仿宋"/>
          <w:b w:val="0"/>
          <w:bCs w:val="0"/>
          <w:color w:val="auto"/>
          <w:sz w:val="24"/>
          <w:szCs w:val="24"/>
          <w:highlight w:val="none"/>
          <w:lang w:val="en-US" w:eastAsia="zh-CN"/>
        </w:rPr>
        <w:t>甲方</w:t>
      </w:r>
      <w:r>
        <w:rPr>
          <w:rFonts w:hint="eastAsia" w:ascii="仿宋" w:hAnsi="仿宋" w:eastAsia="仿宋" w:cs="仿宋"/>
          <w:b w:val="0"/>
          <w:bCs w:val="0"/>
          <w:color w:val="auto"/>
          <w:sz w:val="24"/>
          <w:szCs w:val="24"/>
          <w:highlight w:val="none"/>
        </w:rPr>
        <w:t>支付的违约金、损失赔偿额或其他</w:t>
      </w:r>
      <w:r>
        <w:rPr>
          <w:rFonts w:hint="eastAsia" w:ascii="仿宋" w:hAnsi="仿宋" w:eastAsia="仿宋" w:cs="仿宋"/>
          <w:b w:val="0"/>
          <w:bCs w:val="0"/>
          <w:color w:val="auto"/>
          <w:sz w:val="24"/>
          <w:szCs w:val="24"/>
          <w:highlight w:val="none"/>
          <w:lang w:val="en-US" w:eastAsia="zh-CN"/>
        </w:rPr>
        <w:t>应</w:t>
      </w:r>
      <w:r>
        <w:rPr>
          <w:rFonts w:hint="eastAsia" w:ascii="仿宋" w:hAnsi="仿宋" w:eastAsia="仿宋" w:cs="仿宋"/>
          <w:b w:val="0"/>
          <w:bCs w:val="0"/>
          <w:color w:val="auto"/>
          <w:sz w:val="24"/>
          <w:szCs w:val="24"/>
          <w:highlight w:val="none"/>
        </w:rPr>
        <w:t>扣除款项等</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若有不足的</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另行承担赔偿责任。</w:t>
      </w:r>
    </w:p>
    <w:p w14:paraId="58E04C9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5.履约保证金退还乙方后，乙方违反合同及附件约定的任何义务，甲方</w:t>
      </w:r>
      <w:r>
        <w:rPr>
          <w:rFonts w:hint="eastAsia" w:ascii="仿宋" w:hAnsi="仿宋" w:eastAsia="仿宋" w:cs="仿宋"/>
          <w:b w:val="0"/>
          <w:bCs w:val="0"/>
          <w:color w:val="auto"/>
          <w:sz w:val="24"/>
          <w:szCs w:val="24"/>
          <w:highlight w:val="none"/>
        </w:rPr>
        <w:t>有权从</w:t>
      </w:r>
      <w:r>
        <w:rPr>
          <w:rFonts w:hint="eastAsia" w:ascii="仿宋" w:hAnsi="仿宋" w:eastAsia="仿宋" w:cs="仿宋"/>
          <w:b w:val="0"/>
          <w:bCs w:val="0"/>
          <w:color w:val="auto"/>
          <w:sz w:val="24"/>
          <w:szCs w:val="24"/>
          <w:highlight w:val="none"/>
          <w:lang w:val="en-US" w:eastAsia="zh-CN"/>
        </w:rPr>
        <w:t>合同尾款</w:t>
      </w:r>
      <w:r>
        <w:rPr>
          <w:rFonts w:hint="eastAsia" w:ascii="仿宋" w:hAnsi="仿宋" w:eastAsia="仿宋" w:cs="仿宋"/>
          <w:b w:val="0"/>
          <w:bCs w:val="0"/>
          <w:color w:val="auto"/>
          <w:sz w:val="24"/>
          <w:szCs w:val="24"/>
          <w:highlight w:val="none"/>
        </w:rPr>
        <w:t>中直接扣除</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应向</w:t>
      </w:r>
      <w:r>
        <w:rPr>
          <w:rFonts w:hint="eastAsia" w:ascii="仿宋" w:hAnsi="仿宋" w:eastAsia="仿宋" w:cs="仿宋"/>
          <w:b w:val="0"/>
          <w:bCs w:val="0"/>
          <w:color w:val="auto"/>
          <w:sz w:val="24"/>
          <w:szCs w:val="24"/>
          <w:highlight w:val="none"/>
          <w:lang w:val="en-US" w:eastAsia="zh-CN"/>
        </w:rPr>
        <w:t>甲方</w:t>
      </w:r>
      <w:r>
        <w:rPr>
          <w:rFonts w:hint="eastAsia" w:ascii="仿宋" w:hAnsi="仿宋" w:eastAsia="仿宋" w:cs="仿宋"/>
          <w:b w:val="0"/>
          <w:bCs w:val="0"/>
          <w:color w:val="auto"/>
          <w:sz w:val="24"/>
          <w:szCs w:val="24"/>
          <w:highlight w:val="none"/>
        </w:rPr>
        <w:t>支付的违约金、损失赔偿额或其他</w:t>
      </w:r>
      <w:r>
        <w:rPr>
          <w:rFonts w:hint="eastAsia" w:ascii="仿宋" w:hAnsi="仿宋" w:eastAsia="仿宋" w:cs="仿宋"/>
          <w:b w:val="0"/>
          <w:bCs w:val="0"/>
          <w:color w:val="auto"/>
          <w:sz w:val="24"/>
          <w:szCs w:val="24"/>
          <w:highlight w:val="none"/>
          <w:lang w:val="en-US" w:eastAsia="zh-CN"/>
        </w:rPr>
        <w:t>应</w:t>
      </w:r>
      <w:r>
        <w:rPr>
          <w:rFonts w:hint="eastAsia" w:ascii="仿宋" w:hAnsi="仿宋" w:eastAsia="仿宋" w:cs="仿宋"/>
          <w:b w:val="0"/>
          <w:bCs w:val="0"/>
          <w:color w:val="auto"/>
          <w:sz w:val="24"/>
          <w:szCs w:val="24"/>
          <w:highlight w:val="none"/>
        </w:rPr>
        <w:t>扣除款项等</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若有不足的</w:t>
      </w: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rPr>
        <w:t>由</w:t>
      </w:r>
      <w:r>
        <w:rPr>
          <w:rFonts w:hint="eastAsia" w:ascii="仿宋" w:hAnsi="仿宋" w:eastAsia="仿宋" w:cs="仿宋"/>
          <w:b w:val="0"/>
          <w:bCs w:val="0"/>
          <w:color w:val="auto"/>
          <w:sz w:val="24"/>
          <w:szCs w:val="24"/>
          <w:highlight w:val="none"/>
          <w:lang w:val="en-US" w:eastAsia="zh-CN"/>
        </w:rPr>
        <w:t>乙方</w:t>
      </w:r>
      <w:r>
        <w:rPr>
          <w:rFonts w:hint="eastAsia" w:ascii="仿宋" w:hAnsi="仿宋" w:eastAsia="仿宋" w:cs="仿宋"/>
          <w:b w:val="0"/>
          <w:bCs w:val="0"/>
          <w:color w:val="auto"/>
          <w:sz w:val="24"/>
          <w:szCs w:val="24"/>
          <w:highlight w:val="none"/>
        </w:rPr>
        <w:t>另行承担赔偿责任。</w:t>
      </w:r>
    </w:p>
    <w:p w14:paraId="208E95E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十、保证</w:t>
      </w:r>
    </w:p>
    <w:p w14:paraId="1C69A15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1.乙方保证其具有完全的能力履行本合同项下的全部义务。</w:t>
      </w:r>
    </w:p>
    <w:p w14:paraId="0346E86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2.乙方保证其所提供的</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lang w:val="en-US" w:eastAsia="zh-CN"/>
        </w:rPr>
        <w:t>符合《产品质量法》等相关法律、</w:t>
      </w:r>
      <w:r>
        <w:rPr>
          <w:rFonts w:hint="eastAsia" w:ascii="仿宋" w:hAnsi="仿宋" w:eastAsia="仿宋" w:cs="仿宋"/>
          <w:bCs/>
          <w:color w:val="auto"/>
          <w:sz w:val="24"/>
          <w:szCs w:val="24"/>
          <w:highlight w:val="none"/>
        </w:rPr>
        <w:t>法规</w:t>
      </w:r>
      <w:r>
        <w:rPr>
          <w:rFonts w:hint="eastAsia" w:ascii="仿宋" w:hAnsi="仿宋" w:eastAsia="仿宋" w:cs="仿宋"/>
          <w:bCs/>
          <w:color w:val="auto"/>
          <w:sz w:val="24"/>
          <w:szCs w:val="24"/>
          <w:highlight w:val="none"/>
          <w:lang w:val="en-US" w:eastAsia="zh-CN"/>
        </w:rPr>
        <w:t>以</w:t>
      </w:r>
      <w:r>
        <w:rPr>
          <w:rFonts w:hint="eastAsia" w:ascii="仿宋" w:hAnsi="仿宋" w:eastAsia="仿宋" w:cs="仿宋"/>
          <w:bCs/>
          <w:color w:val="auto"/>
          <w:sz w:val="24"/>
          <w:szCs w:val="24"/>
          <w:highlight w:val="none"/>
        </w:rPr>
        <w:t>及其他规范性文件的强制性规定。</w:t>
      </w:r>
    </w:p>
    <w:p w14:paraId="4A635F1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3.乙方保证其对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的销售不损害任何第三方的合法权益和社会公众利益。任何第三方不会因乙方原因而基于所有权、抵押权、留置权或其他任何权利或事由对</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主张权利。</w:t>
      </w:r>
    </w:p>
    <w:p w14:paraId="2F10497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4.乙方保证</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符合合同约定的规格、标准、技术性能指标等，能够安全和稳定地运行，且</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（包括全部部件）全新、完整、未使用过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非长期积压的库存商品。</w:t>
      </w:r>
    </w:p>
    <w:p w14:paraId="239FD7E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5.乙方保证，乙方所提供的技术资料完整、清晰、准确，符合合同约定并且能够满足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的安装、调试、操作以及维修和保养的需要。</w:t>
      </w:r>
    </w:p>
    <w:p w14:paraId="429A8F1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6.乙方保证合同范围内提供的备品备件能够满足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在质量保证期结束前正常运行及维修的需要，如在质量保证期结束前因乙方原因出现备品备件短缺影响</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正常运行的，乙方应免费提供。</w:t>
      </w:r>
    </w:p>
    <w:p w14:paraId="65BE88C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7.如果在</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设计使用寿命期内发生合同项下备品备件停止生产的情况，乙方应事先将拟停止生产的计划通知甲方，使甲方有足够的时间考虑备品备件的需求量。根据甲方要求，乙方应：</w:t>
      </w:r>
    </w:p>
    <w:p w14:paraId="7C857A1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（1）以不高于同期市场价格或其向任何第三方销售同类产品的价格提供</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正常运行所需的全部备品备件。</w:t>
      </w:r>
    </w:p>
    <w:p w14:paraId="2D7A0D2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（2）免费提供可供甲方或第三方制造停产备品备件所需的全部技术资料，以便甲方持续获得上述备品备件以满足</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在寿命期内正常运行的需要。乙方保证甲方或甲方委托的第三方制造及甲方使用这些备品备件不侵犯任何人的知识产权。</w:t>
      </w:r>
    </w:p>
    <w:p w14:paraId="3DA62E3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8.乙方保证，在</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设计使用寿命期内，如果乙方发现</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由于设计、制造、标识等原因存在足以危及人身、财产安全的缺陷，乙方将及时通知甲方并及时采取修正或者补充标识、修理、更换等措施消除缺陷。</w:t>
      </w:r>
    </w:p>
    <w:p w14:paraId="233ABF4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9.质保承诺</w:t>
      </w:r>
    </w:p>
    <w:p w14:paraId="3544B8B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lang w:val="en-US" w:eastAsia="zh-CN"/>
        </w:rPr>
        <w:t>质保期承诺：质保期内，任何零件一旦损坏，无条件更换原厂配件。</w:t>
      </w:r>
    </w:p>
    <w:p w14:paraId="2B5E734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整机更换条件：同一部件每年维修超过三次时，无条件整机更换新机。</w:t>
      </w:r>
    </w:p>
    <w:p w14:paraId="7C8B463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一</w:t>
      </w:r>
      <w:r>
        <w:rPr>
          <w:rFonts w:hint="eastAsia" w:ascii="仿宋" w:hAnsi="仿宋" w:eastAsia="仿宋" w:cs="仿宋"/>
          <w:b/>
          <w:bCs/>
          <w:color w:val="auto"/>
          <w:sz w:val="24"/>
          <w:szCs w:val="24"/>
          <w:highlight w:val="none"/>
        </w:rPr>
        <w:t>、培训</w:t>
      </w:r>
    </w:p>
    <w:p w14:paraId="69094BB5">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1.设备安装调试验收结束后，</w:t>
      </w:r>
      <w:r>
        <w:rPr>
          <w:rFonts w:hint="eastAsia" w:ascii="仿宋" w:hAnsi="仿宋" w:eastAsia="仿宋" w:cs="仿宋"/>
          <w:color w:val="auto"/>
          <w:sz w:val="24"/>
          <w:szCs w:val="24"/>
          <w:highlight w:val="none"/>
          <w:lang w:val="en-US" w:eastAsia="zh-CN"/>
        </w:rPr>
        <w:t>厂家</w:t>
      </w:r>
      <w:r>
        <w:rPr>
          <w:rFonts w:hint="eastAsia" w:ascii="仿宋" w:hAnsi="仿宋" w:eastAsia="仿宋" w:cs="仿宋"/>
          <w:color w:val="auto"/>
          <w:sz w:val="24"/>
          <w:szCs w:val="24"/>
          <w:highlight w:val="none"/>
        </w:rPr>
        <w:t>技术工程师进行免费现场技术培训，</w:t>
      </w:r>
      <w:r>
        <w:rPr>
          <w:rFonts w:hint="eastAsia" w:ascii="仿宋" w:hAnsi="仿宋" w:eastAsia="仿宋" w:cs="仿宋"/>
          <w:color w:val="auto"/>
          <w:sz w:val="24"/>
          <w:szCs w:val="24"/>
          <w:highlight w:val="none"/>
          <w:lang w:val="en-US" w:eastAsia="zh-CN"/>
        </w:rPr>
        <w:t>保证使用人员能够正常操作设备的各种功能</w:t>
      </w:r>
      <w:r>
        <w:rPr>
          <w:rFonts w:hint="eastAsia" w:ascii="仿宋" w:hAnsi="仿宋" w:eastAsia="仿宋" w:cs="仿宋"/>
          <w:color w:val="auto"/>
          <w:sz w:val="24"/>
          <w:szCs w:val="24"/>
          <w:highlight w:val="none"/>
        </w:rPr>
        <w:t>。</w:t>
      </w:r>
    </w:p>
    <w:p w14:paraId="6AEF340F">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rPr>
        <w:t>.</w:t>
      </w:r>
      <w:r>
        <w:rPr>
          <w:rFonts w:hint="eastAsia" w:ascii="仿宋" w:hAnsi="仿宋" w:eastAsia="仿宋" w:cs="仿宋"/>
          <w:bCs/>
          <w:color w:val="auto"/>
          <w:sz w:val="24"/>
          <w:szCs w:val="24"/>
          <w:highlight w:val="none"/>
          <w:lang w:val="en-US" w:eastAsia="zh-CN"/>
        </w:rPr>
        <w:t>提供现场</w:t>
      </w:r>
      <w:r>
        <w:rPr>
          <w:rFonts w:hint="eastAsia" w:ascii="仿宋" w:hAnsi="仿宋" w:eastAsia="仿宋" w:cs="仿宋"/>
          <w:color w:val="auto"/>
          <w:sz w:val="24"/>
          <w:szCs w:val="24"/>
          <w:highlight w:val="none"/>
        </w:rPr>
        <w:t>培训</w:t>
      </w:r>
      <w:r>
        <w:rPr>
          <w:rFonts w:hint="eastAsia" w:ascii="仿宋" w:hAnsi="仿宋" w:eastAsia="仿宋" w:cs="仿宋"/>
          <w:color w:val="auto"/>
          <w:sz w:val="24"/>
          <w:szCs w:val="24"/>
          <w:highlight w:val="none"/>
          <w:lang w:val="en-US" w:eastAsia="zh-CN"/>
        </w:rPr>
        <w:t>，培训期间所发生的费用（往返差旅费、住宿费、资料费、培训费等）由乙方负责</w:t>
      </w:r>
      <w:r>
        <w:rPr>
          <w:rFonts w:hint="eastAsia" w:ascii="仿宋" w:hAnsi="仿宋" w:eastAsia="仿宋" w:cs="仿宋"/>
          <w:color w:val="auto"/>
          <w:sz w:val="24"/>
          <w:szCs w:val="24"/>
          <w:highlight w:val="none"/>
        </w:rPr>
        <w:t>。</w:t>
      </w:r>
    </w:p>
    <w:p w14:paraId="0A4CBA55">
      <w:pPr>
        <w:keepNext w:val="0"/>
        <w:keepLines w:val="0"/>
        <w:pageBreakBefore w:val="0"/>
        <w:widowControl w:val="0"/>
        <w:kinsoku/>
        <w:wordWrap/>
        <w:overflowPunct/>
        <w:topLinePunct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培训内容包括设备的基本原理、操作使用、维护保养、诊断、检测检测等，使</w:t>
      </w:r>
      <w:r>
        <w:rPr>
          <w:rFonts w:hint="eastAsia" w:ascii="仿宋" w:hAnsi="仿宋" w:eastAsia="仿宋" w:cs="仿宋"/>
          <w:color w:val="auto"/>
          <w:sz w:val="24"/>
          <w:szCs w:val="24"/>
          <w:highlight w:val="none"/>
          <w:lang w:val="en-US" w:eastAsia="zh-CN"/>
        </w:rPr>
        <w:t>甲方操作</w:t>
      </w:r>
      <w:r>
        <w:rPr>
          <w:rFonts w:hint="eastAsia" w:ascii="仿宋" w:hAnsi="仿宋" w:eastAsia="仿宋" w:cs="仿宋"/>
          <w:color w:val="auto"/>
          <w:sz w:val="24"/>
          <w:szCs w:val="24"/>
          <w:highlight w:val="none"/>
        </w:rPr>
        <w:t>人员了解设备详细情况。</w:t>
      </w:r>
    </w:p>
    <w:p w14:paraId="4B7AE825">
      <w:pPr>
        <w:wordWrap w:val="0"/>
        <w:spacing w:line="360" w:lineRule="auto"/>
        <w:ind w:firstLine="480" w:firstLineChars="200"/>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设备相关操作人员培训记录</w:t>
      </w:r>
      <w:r>
        <w:rPr>
          <w:rFonts w:hint="eastAsia" w:ascii="仿宋" w:hAnsi="仿宋" w:eastAsia="仿宋" w:cs="仿宋"/>
          <w:bCs/>
          <w:color w:val="auto"/>
          <w:sz w:val="24"/>
          <w:szCs w:val="24"/>
          <w:highlight w:val="none"/>
        </w:rPr>
        <w:t>。</w:t>
      </w:r>
    </w:p>
    <w:p w14:paraId="173FBD18">
      <w:pPr>
        <w:wordWrap w:val="0"/>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5.</w:t>
      </w:r>
      <w:r>
        <w:rPr>
          <w:rFonts w:hint="eastAsia" w:ascii="仿宋" w:hAnsi="仿宋" w:eastAsia="仿宋" w:cs="仿宋"/>
          <w:i w:val="0"/>
          <w:iCs w:val="0"/>
          <w:caps w:val="0"/>
          <w:snapToGrid w:val="0"/>
          <w:color w:val="auto"/>
          <w:spacing w:val="0"/>
          <w:sz w:val="24"/>
          <w:szCs w:val="24"/>
          <w:highlight w:val="none"/>
          <w:u w:val="none"/>
          <w:shd w:val="clear" w:color="auto" w:fill="FFFFFF"/>
          <w:lang w:val="en-US" w:eastAsia="zh-CN" w:bidi="ar-SA"/>
        </w:rPr>
        <w:t>设备性能测试合格后，为采购人操作人员提供现场实操培训≥3次，每次培训时长≥4小时，确保参训人员独立完成设备常规操作、简单故障排查；培训后组织考核，考核合格率需达到100%。</w:t>
      </w:r>
    </w:p>
    <w:p w14:paraId="134814E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二</w:t>
      </w:r>
      <w:r>
        <w:rPr>
          <w:rFonts w:hint="eastAsia" w:ascii="仿宋" w:hAnsi="仿宋" w:eastAsia="仿宋" w:cs="仿宋"/>
          <w:b/>
          <w:bCs/>
          <w:color w:val="auto"/>
          <w:sz w:val="24"/>
          <w:szCs w:val="24"/>
          <w:highlight w:val="none"/>
        </w:rPr>
        <w:t>、产权与风险转移</w:t>
      </w:r>
    </w:p>
    <w:p w14:paraId="33DDD0C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1.货物的产权，在货物终验合格并移交交付后由乙方转移至甲方。</w:t>
      </w:r>
    </w:p>
    <w:p w14:paraId="7A31BA6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2.货物损坏、灭失的风险在终验合格，甲乙双方签署验收合格书并交付使用时由乙方转移至甲方。</w:t>
      </w:r>
    </w:p>
    <w:p w14:paraId="6DF8CD76">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3.如货物不符合合同约定，甲方可以拒收，在拒收情况下，或者解除合同的，货物毁损、灭失的风险由乙方承担。</w:t>
      </w:r>
    </w:p>
    <w:p w14:paraId="2C89646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4.产权和风险的转移，不影响因乙方履行义务不符合约定，甲方要求其承担违约责任的权利。</w:t>
      </w:r>
    </w:p>
    <w:p w14:paraId="7AD3E61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十三</w:t>
      </w:r>
      <w:r>
        <w:rPr>
          <w:rFonts w:hint="eastAsia" w:ascii="仿宋" w:hAnsi="仿宋" w:eastAsia="仿宋" w:cs="仿宋"/>
          <w:b/>
          <w:bCs/>
          <w:color w:val="auto"/>
          <w:sz w:val="24"/>
          <w:szCs w:val="24"/>
          <w:highlight w:val="none"/>
        </w:rPr>
        <w:t>、权利义务</w:t>
      </w:r>
    </w:p>
    <w:p w14:paraId="6A32C02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义务转让限制：未经甲方书面同意，乙方不得擅自向第三方转让其应履行的合同项下的义务。</w:t>
      </w:r>
    </w:p>
    <w:p w14:paraId="5FCC791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服务执行主体：乙方设备服务可由</w:t>
      </w:r>
      <w:r>
        <w:rPr>
          <w:rFonts w:hint="eastAsia" w:ascii="仿宋" w:hAnsi="仿宋" w:eastAsia="仿宋" w:cs="仿宋"/>
          <w:bCs/>
          <w:color w:val="auto"/>
          <w:sz w:val="24"/>
          <w:szCs w:val="24"/>
          <w:highlight w:val="none"/>
          <w:lang w:val="en-US" w:eastAsia="zh-CN"/>
        </w:rPr>
        <w:t>原厂</w:t>
      </w:r>
      <w:r>
        <w:rPr>
          <w:rFonts w:hint="eastAsia" w:ascii="仿宋" w:hAnsi="仿宋" w:eastAsia="仿宋" w:cs="仿宋"/>
          <w:bCs/>
          <w:color w:val="auto"/>
          <w:sz w:val="24"/>
          <w:szCs w:val="24"/>
          <w:highlight w:val="none"/>
        </w:rPr>
        <w:t>执行，第三方厂家产品服务由</w:t>
      </w:r>
      <w:r>
        <w:rPr>
          <w:rFonts w:hint="eastAsia" w:ascii="仿宋" w:hAnsi="仿宋" w:eastAsia="仿宋" w:cs="仿宋"/>
          <w:bCs/>
          <w:color w:val="auto"/>
          <w:sz w:val="24"/>
          <w:szCs w:val="24"/>
          <w:highlight w:val="none"/>
          <w:lang w:val="en-US" w:eastAsia="zh-CN"/>
        </w:rPr>
        <w:t>中标方向</w:t>
      </w:r>
      <w:r>
        <w:rPr>
          <w:rFonts w:hint="eastAsia" w:ascii="仿宋" w:hAnsi="仿宋" w:eastAsia="仿宋" w:cs="仿宋"/>
          <w:bCs/>
          <w:color w:val="auto"/>
          <w:sz w:val="24"/>
          <w:szCs w:val="24"/>
          <w:highlight w:val="none"/>
        </w:rPr>
        <w:t>第三方</w:t>
      </w:r>
      <w:r>
        <w:rPr>
          <w:rFonts w:hint="eastAsia" w:ascii="仿宋" w:hAnsi="仿宋" w:eastAsia="仿宋" w:cs="仿宋"/>
          <w:bCs/>
          <w:color w:val="auto"/>
          <w:sz w:val="24"/>
          <w:szCs w:val="24"/>
          <w:highlight w:val="none"/>
          <w:lang w:val="en-US" w:eastAsia="zh-CN"/>
        </w:rPr>
        <w:t>原厂</w:t>
      </w:r>
      <w:r>
        <w:rPr>
          <w:rFonts w:hint="eastAsia" w:ascii="仿宋" w:hAnsi="仿宋" w:eastAsia="仿宋" w:cs="仿宋"/>
          <w:bCs/>
          <w:color w:val="auto"/>
          <w:sz w:val="24"/>
          <w:szCs w:val="24"/>
          <w:highlight w:val="none"/>
        </w:rPr>
        <w:t>厂家</w:t>
      </w:r>
      <w:r>
        <w:rPr>
          <w:rFonts w:hint="eastAsia" w:ascii="仿宋" w:hAnsi="仿宋" w:eastAsia="仿宋" w:cs="仿宋"/>
          <w:bCs/>
          <w:color w:val="auto"/>
          <w:sz w:val="24"/>
          <w:szCs w:val="24"/>
          <w:highlight w:val="none"/>
          <w:lang w:val="en-US" w:eastAsia="zh-CN"/>
        </w:rPr>
        <w:t>购买全保</w:t>
      </w:r>
      <w:r>
        <w:rPr>
          <w:rFonts w:hint="eastAsia" w:ascii="仿宋" w:hAnsi="仿宋" w:eastAsia="仿宋" w:cs="仿宋"/>
          <w:bCs/>
          <w:color w:val="auto"/>
          <w:sz w:val="24"/>
          <w:szCs w:val="24"/>
          <w:highlight w:val="none"/>
        </w:rPr>
        <w:t>执行。</w:t>
      </w:r>
    </w:p>
    <w:p w14:paraId="04279FB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资料交付要求：乙方应在签订本合同时提供设备配置清单、厂家或供应商售后服务承诺书等资料内容。</w:t>
      </w:r>
    </w:p>
    <w:p w14:paraId="5D6DE99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知识产权保障：乙方保证甲方在使用设备期间（有配套软件的包括软件产品）不受第三方提出侵犯其专利权、商标权、工业设计权等知识产权的起诉。若出现，由乙方自付费用自行选择方案应对起诉，甲方积极配合乙方以降低双方损失。</w:t>
      </w:r>
    </w:p>
    <w:p w14:paraId="54F1CAF8">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5.</w:t>
      </w:r>
      <w:r>
        <w:rPr>
          <w:rFonts w:hint="eastAsia" w:ascii="仿宋" w:hAnsi="仿宋" w:eastAsia="仿宋" w:cs="仿宋"/>
          <w:bCs/>
          <w:color w:val="auto"/>
          <w:sz w:val="24"/>
          <w:szCs w:val="24"/>
          <w:highlight w:val="none"/>
        </w:rPr>
        <w:tab/>
      </w:r>
      <w:r>
        <w:rPr>
          <w:rFonts w:hint="eastAsia" w:ascii="仿宋" w:hAnsi="仿宋" w:eastAsia="仿宋" w:cs="仿宋"/>
          <w:bCs/>
          <w:color w:val="auto"/>
          <w:sz w:val="24"/>
          <w:szCs w:val="24"/>
          <w:highlight w:val="none"/>
        </w:rPr>
        <w:t>保密责任：甲乙双方应对本合同内容严加保密，在未经对方事先书面同意的情况下，不得将与本合同有关的信息、数据、资料等内容向任何第三方披露或为本合同履行以外的不当目的而使用。在本合同到期或终止后，甲乙双方仍须履行该保密义务。</w:t>
      </w:r>
    </w:p>
    <w:p w14:paraId="35D4CBA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四</w:t>
      </w:r>
      <w:r>
        <w:rPr>
          <w:rFonts w:hint="eastAsia" w:ascii="仿宋" w:hAnsi="仿宋" w:eastAsia="仿宋" w:cs="仿宋"/>
          <w:b/>
          <w:bCs/>
          <w:color w:val="auto"/>
          <w:sz w:val="24"/>
          <w:szCs w:val="24"/>
          <w:highlight w:val="none"/>
        </w:rPr>
        <w:t>、违约责任</w:t>
      </w:r>
    </w:p>
    <w:p w14:paraId="3965DB6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rPr>
        <w:t xml:space="preserve">）甲方违约责任 </w:t>
      </w:r>
    </w:p>
    <w:p w14:paraId="05D3A45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1.甲方无正当理由拒收乙方所提供的</w:t>
      </w:r>
      <w:r>
        <w:rPr>
          <w:rFonts w:hint="eastAsia" w:ascii="仿宋" w:hAnsi="仿宋" w:eastAsia="仿宋" w:cs="仿宋"/>
          <w:color w:val="auto"/>
          <w:sz w:val="24"/>
          <w:szCs w:val="24"/>
          <w:highlight w:val="none"/>
          <w:lang w:val="en-US" w:eastAsia="zh-CN"/>
        </w:rPr>
        <w:t>合同</w:t>
      </w:r>
      <w:r>
        <w:rPr>
          <w:rFonts w:hint="eastAsia" w:ascii="仿宋" w:hAnsi="仿宋" w:eastAsia="仿宋" w:cs="仿宋"/>
          <w:color w:val="auto"/>
          <w:sz w:val="24"/>
          <w:szCs w:val="24"/>
          <w:highlight w:val="none"/>
        </w:rPr>
        <w:t>设备，视同甲方违约，甲方应向乙方支付本合同总价的5‰</w:t>
      </w:r>
      <w:r>
        <w:rPr>
          <w:rFonts w:hint="eastAsia" w:ascii="仿宋" w:hAnsi="仿宋" w:eastAsia="仿宋" w:cs="仿宋"/>
          <w:color w:val="auto"/>
          <w:sz w:val="24"/>
          <w:szCs w:val="24"/>
          <w:highlight w:val="none"/>
          <w:lang w:val="en-US" w:eastAsia="zh-CN"/>
        </w:rPr>
        <w:t>作为</w:t>
      </w:r>
      <w:r>
        <w:rPr>
          <w:rFonts w:hint="eastAsia" w:ascii="仿宋" w:hAnsi="仿宋" w:eastAsia="仿宋" w:cs="仿宋"/>
          <w:color w:val="auto"/>
          <w:sz w:val="24"/>
          <w:szCs w:val="24"/>
          <w:highlight w:val="none"/>
        </w:rPr>
        <w:t xml:space="preserve">违约金。 </w:t>
      </w:r>
    </w:p>
    <w:p w14:paraId="29BF88B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2.甲方应在本合同约定时间内足额向乙方支付设备款项，每逾期30天，应向乙方支付逾期支付设备款项的</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作为</w:t>
      </w:r>
      <w:r>
        <w:rPr>
          <w:rFonts w:hint="eastAsia" w:ascii="仿宋" w:hAnsi="仿宋" w:eastAsia="仿宋" w:cs="仿宋"/>
          <w:color w:val="auto"/>
          <w:sz w:val="24"/>
          <w:szCs w:val="24"/>
          <w:highlight w:val="none"/>
        </w:rPr>
        <w:t xml:space="preserve">违约金，违约金累计不超过本合同总价的1%；因乙方未能按时、完整提交请款文件等原因而致甲方逾期付款的，不视为甲方违约。 </w:t>
      </w:r>
    </w:p>
    <w:p w14:paraId="7DF5F86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二</w:t>
      </w:r>
      <w:r>
        <w:rPr>
          <w:rFonts w:hint="eastAsia" w:ascii="仿宋" w:hAnsi="仿宋" w:eastAsia="仿宋" w:cs="仿宋"/>
          <w:color w:val="auto"/>
          <w:sz w:val="24"/>
          <w:szCs w:val="24"/>
          <w:highlight w:val="none"/>
        </w:rPr>
        <w:t xml:space="preserve">）乙方违约责任 </w:t>
      </w:r>
    </w:p>
    <w:p w14:paraId="2B24275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1.乙方未能按本合同约定按时提供设备或按时进行设备安装调试的，每逾期1天，应向甲方支付本合同总价5‰</w:t>
      </w:r>
      <w:r>
        <w:rPr>
          <w:rFonts w:hint="eastAsia" w:ascii="仿宋" w:hAnsi="仿宋" w:eastAsia="仿宋" w:cs="仿宋"/>
          <w:color w:val="auto"/>
          <w:sz w:val="24"/>
          <w:szCs w:val="24"/>
          <w:highlight w:val="none"/>
          <w:lang w:val="en-US" w:eastAsia="zh-CN"/>
        </w:rPr>
        <w:t>作为</w:t>
      </w:r>
      <w:r>
        <w:rPr>
          <w:rFonts w:hint="eastAsia" w:ascii="仿宋" w:hAnsi="仿宋" w:eastAsia="仿宋" w:cs="仿宋"/>
          <w:color w:val="auto"/>
          <w:sz w:val="24"/>
          <w:szCs w:val="24"/>
          <w:highlight w:val="none"/>
        </w:rPr>
        <w:t>违约金；逾期时间超过30天的，甲方有权单方解除合同并另向第三方进行采购，且甲方不承担任何违约责任</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同时</w:t>
      </w:r>
      <w:r>
        <w:rPr>
          <w:rFonts w:hint="eastAsia" w:ascii="仿宋" w:hAnsi="仿宋" w:eastAsia="仿宋" w:cs="仿宋"/>
          <w:color w:val="auto"/>
          <w:sz w:val="24"/>
          <w:szCs w:val="24"/>
          <w:highlight w:val="none"/>
        </w:rPr>
        <w:t>乙方应承担因此给甲方造成的其他损失</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若其向甲方支付的</w:t>
      </w:r>
      <w:r>
        <w:rPr>
          <w:rFonts w:hint="eastAsia" w:ascii="仿宋" w:hAnsi="仿宋" w:eastAsia="仿宋" w:cs="仿宋"/>
          <w:color w:val="auto"/>
          <w:sz w:val="24"/>
          <w:szCs w:val="24"/>
          <w:highlight w:val="none"/>
          <w:lang w:val="en-US" w:eastAsia="zh-CN"/>
        </w:rPr>
        <w:t>违约</w:t>
      </w:r>
      <w:r>
        <w:rPr>
          <w:rFonts w:hint="eastAsia" w:ascii="仿宋" w:hAnsi="仿宋" w:eastAsia="仿宋" w:cs="仿宋"/>
          <w:color w:val="auto"/>
          <w:sz w:val="24"/>
          <w:szCs w:val="24"/>
          <w:highlight w:val="none"/>
        </w:rPr>
        <w:t>金不足以</w:t>
      </w:r>
      <w:r>
        <w:rPr>
          <w:rFonts w:hint="eastAsia" w:ascii="仿宋" w:hAnsi="仿宋" w:eastAsia="仿宋" w:cs="仿宋"/>
          <w:color w:val="auto"/>
          <w:sz w:val="24"/>
          <w:szCs w:val="24"/>
          <w:highlight w:val="none"/>
          <w:lang w:val="en-US" w:eastAsia="zh-CN"/>
        </w:rPr>
        <w:t>从履约保证金中</w:t>
      </w:r>
      <w:r>
        <w:rPr>
          <w:rFonts w:hint="eastAsia" w:ascii="仿宋" w:hAnsi="仿宋" w:eastAsia="仿宋" w:cs="仿宋"/>
          <w:color w:val="auto"/>
          <w:sz w:val="24"/>
          <w:szCs w:val="24"/>
          <w:highlight w:val="none"/>
        </w:rPr>
        <w:t>弥补的，乙方应予赔偿，</w:t>
      </w:r>
      <w:r>
        <w:rPr>
          <w:rFonts w:hint="eastAsia" w:ascii="仿宋" w:hAnsi="仿宋" w:eastAsia="仿宋" w:cs="仿宋"/>
          <w:color w:val="auto"/>
          <w:sz w:val="24"/>
          <w:szCs w:val="24"/>
          <w:highlight w:val="none"/>
          <w:lang w:val="en-US" w:eastAsia="zh-CN"/>
        </w:rPr>
        <w:t>并按不超过</w:t>
      </w:r>
      <w:r>
        <w:rPr>
          <w:rFonts w:hint="eastAsia" w:ascii="仿宋" w:hAnsi="仿宋" w:eastAsia="仿宋" w:cs="仿宋"/>
          <w:color w:val="auto"/>
          <w:sz w:val="24"/>
          <w:szCs w:val="24"/>
          <w:highlight w:val="none"/>
        </w:rPr>
        <w:t>本合同总价的</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作为</w:t>
      </w:r>
      <w:r>
        <w:rPr>
          <w:rFonts w:hint="eastAsia" w:ascii="仿宋" w:hAnsi="仿宋" w:eastAsia="仿宋" w:cs="仿宋"/>
          <w:color w:val="auto"/>
          <w:sz w:val="24"/>
          <w:szCs w:val="24"/>
          <w:highlight w:val="none"/>
        </w:rPr>
        <w:t xml:space="preserve">违约金。 </w:t>
      </w:r>
    </w:p>
    <w:p w14:paraId="2F77D80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2.乙方向甲方提供的设备不符合本合同下的相关规定，乙方应于30</w:t>
      </w:r>
      <w:r>
        <w:rPr>
          <w:rFonts w:hint="eastAsia" w:ascii="仿宋" w:hAnsi="仿宋" w:eastAsia="仿宋" w:cs="仿宋"/>
          <w:color w:val="auto"/>
          <w:sz w:val="24"/>
          <w:szCs w:val="24"/>
          <w:highlight w:val="none"/>
          <w:lang w:val="en-US" w:eastAsia="zh-CN"/>
        </w:rPr>
        <w:t>日</w:t>
      </w:r>
      <w:r>
        <w:rPr>
          <w:rFonts w:hint="eastAsia" w:ascii="仿宋" w:hAnsi="仿宋" w:eastAsia="仿宋" w:cs="仿宋"/>
          <w:color w:val="auto"/>
          <w:sz w:val="24"/>
          <w:szCs w:val="24"/>
          <w:highlight w:val="none"/>
        </w:rPr>
        <w:t>内更换符合的设备。甲方要求更换后仍不符合的或乙方未在约定的时间内更换的，甲方有权单方解除合同，乙方</w:t>
      </w:r>
      <w:r>
        <w:rPr>
          <w:rFonts w:hint="eastAsia" w:ascii="仿宋" w:hAnsi="仿宋" w:eastAsia="仿宋" w:cs="仿宋"/>
          <w:color w:val="auto"/>
          <w:sz w:val="24"/>
          <w:szCs w:val="24"/>
          <w:highlight w:val="none"/>
          <w:lang w:val="en-US" w:eastAsia="zh-CN"/>
        </w:rPr>
        <w:t>应</w:t>
      </w:r>
      <w:r>
        <w:rPr>
          <w:rFonts w:hint="eastAsia" w:ascii="仿宋" w:hAnsi="仿宋" w:eastAsia="仿宋" w:cs="仿宋"/>
          <w:color w:val="auto"/>
          <w:sz w:val="24"/>
          <w:szCs w:val="24"/>
          <w:highlight w:val="none"/>
        </w:rPr>
        <w:t>承担由此</w:t>
      </w:r>
      <w:r>
        <w:rPr>
          <w:rFonts w:hint="eastAsia" w:ascii="仿宋" w:hAnsi="仿宋" w:eastAsia="仿宋" w:cs="仿宋"/>
          <w:color w:val="auto"/>
          <w:sz w:val="24"/>
          <w:szCs w:val="24"/>
          <w:highlight w:val="none"/>
          <w:lang w:val="en-US" w:eastAsia="zh-CN"/>
        </w:rPr>
        <w:t>给</w:t>
      </w:r>
      <w:r>
        <w:rPr>
          <w:rFonts w:hint="eastAsia" w:ascii="仿宋" w:hAnsi="仿宋" w:eastAsia="仿宋" w:cs="仿宋"/>
          <w:color w:val="auto"/>
          <w:sz w:val="24"/>
          <w:szCs w:val="24"/>
          <w:highlight w:val="none"/>
        </w:rPr>
        <w:t>甲方</w:t>
      </w:r>
      <w:r>
        <w:rPr>
          <w:rFonts w:hint="eastAsia" w:ascii="仿宋" w:hAnsi="仿宋" w:eastAsia="仿宋" w:cs="仿宋"/>
          <w:color w:val="auto"/>
          <w:sz w:val="24"/>
          <w:szCs w:val="24"/>
          <w:highlight w:val="none"/>
          <w:lang w:val="en-US" w:eastAsia="zh-CN"/>
        </w:rPr>
        <w:t>造成</w:t>
      </w:r>
      <w:r>
        <w:rPr>
          <w:rFonts w:hint="eastAsia" w:ascii="仿宋" w:hAnsi="仿宋" w:eastAsia="仿宋" w:cs="仿宋"/>
          <w:color w:val="auto"/>
          <w:sz w:val="24"/>
          <w:szCs w:val="24"/>
          <w:highlight w:val="none"/>
        </w:rPr>
        <w:t>的全部损失，</w:t>
      </w:r>
      <w:r>
        <w:rPr>
          <w:rFonts w:hint="eastAsia" w:ascii="仿宋" w:hAnsi="仿宋" w:eastAsia="仿宋" w:cs="仿宋"/>
          <w:color w:val="auto"/>
          <w:sz w:val="24"/>
          <w:szCs w:val="24"/>
          <w:highlight w:val="none"/>
          <w:lang w:val="en-US" w:eastAsia="zh-CN"/>
        </w:rPr>
        <w:t>同时</w:t>
      </w:r>
      <w:r>
        <w:rPr>
          <w:rFonts w:hint="eastAsia" w:ascii="仿宋" w:hAnsi="仿宋" w:eastAsia="仿宋" w:cs="仿宋"/>
          <w:color w:val="auto"/>
          <w:sz w:val="24"/>
          <w:szCs w:val="24"/>
          <w:highlight w:val="none"/>
        </w:rPr>
        <w:t>并</w:t>
      </w:r>
      <w:r>
        <w:rPr>
          <w:rFonts w:hint="eastAsia" w:ascii="仿宋" w:hAnsi="仿宋" w:eastAsia="仿宋" w:cs="仿宋"/>
          <w:color w:val="auto"/>
          <w:sz w:val="24"/>
          <w:szCs w:val="24"/>
          <w:highlight w:val="none"/>
          <w:lang w:val="en-US" w:eastAsia="zh-CN"/>
        </w:rPr>
        <w:t>按</w:t>
      </w:r>
      <w:r>
        <w:rPr>
          <w:rFonts w:hint="eastAsia" w:ascii="仿宋" w:hAnsi="仿宋" w:eastAsia="仿宋" w:cs="仿宋"/>
          <w:color w:val="auto"/>
          <w:sz w:val="24"/>
          <w:szCs w:val="24"/>
          <w:highlight w:val="none"/>
        </w:rPr>
        <w:t>本合同总价的20%</w:t>
      </w:r>
      <w:r>
        <w:rPr>
          <w:rFonts w:hint="eastAsia" w:ascii="仿宋" w:hAnsi="仿宋" w:eastAsia="仿宋" w:cs="仿宋"/>
          <w:color w:val="auto"/>
          <w:sz w:val="24"/>
          <w:szCs w:val="24"/>
          <w:highlight w:val="none"/>
          <w:lang w:val="en-US" w:eastAsia="zh-CN"/>
        </w:rPr>
        <w:t>向甲方支付</w:t>
      </w:r>
      <w:r>
        <w:rPr>
          <w:rFonts w:hint="eastAsia" w:ascii="仿宋" w:hAnsi="仿宋" w:eastAsia="仿宋" w:cs="仿宋"/>
          <w:color w:val="auto"/>
          <w:sz w:val="24"/>
          <w:szCs w:val="24"/>
          <w:highlight w:val="none"/>
        </w:rPr>
        <w:t xml:space="preserve">违约金。 </w:t>
      </w:r>
    </w:p>
    <w:p w14:paraId="060083B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3.乙方应保证本合同下全部设备经安装调试后符合国家规定的相关质量标准、符合厂家的出厂标准、达到采购/招投标文件所述特殊要求</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同时符合甲乙双方约定的标准（如有），并能正常、无妨碍地使用，否则视同乙方违约，甲方有权单方解除本合同，</w:t>
      </w:r>
      <w:r>
        <w:rPr>
          <w:rFonts w:hint="eastAsia" w:ascii="仿宋" w:hAnsi="仿宋" w:eastAsia="仿宋" w:cs="仿宋"/>
          <w:color w:val="auto"/>
          <w:sz w:val="24"/>
          <w:szCs w:val="24"/>
          <w:highlight w:val="none"/>
          <w:lang w:val="en-US" w:eastAsia="zh-CN"/>
        </w:rPr>
        <w:t>同时</w:t>
      </w:r>
      <w:r>
        <w:rPr>
          <w:rFonts w:hint="eastAsia" w:ascii="仿宋" w:hAnsi="仿宋" w:eastAsia="仿宋" w:cs="仿宋"/>
          <w:color w:val="auto"/>
          <w:sz w:val="24"/>
          <w:szCs w:val="24"/>
          <w:highlight w:val="none"/>
        </w:rPr>
        <w:t xml:space="preserve">并按本合同总价的20%向甲方支付违约金，同时承担由此给甲方造成的一切损失。 </w:t>
      </w:r>
    </w:p>
    <w:p w14:paraId="5039B70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4.乙方未按本合同约定为甲方提供设备操作、维护培训的，</w:t>
      </w:r>
      <w:r>
        <w:rPr>
          <w:rFonts w:hint="eastAsia" w:ascii="仿宋" w:hAnsi="仿宋" w:eastAsia="仿宋" w:cs="仿宋"/>
          <w:color w:val="auto"/>
          <w:sz w:val="24"/>
          <w:szCs w:val="24"/>
          <w:highlight w:val="none"/>
          <w:lang w:val="en-US" w:eastAsia="zh-CN"/>
        </w:rPr>
        <w:t>每次</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按</w:t>
      </w:r>
      <w:r>
        <w:rPr>
          <w:rFonts w:hint="eastAsia" w:ascii="仿宋" w:hAnsi="仿宋" w:eastAsia="仿宋" w:cs="仿宋"/>
          <w:color w:val="auto"/>
          <w:sz w:val="24"/>
          <w:szCs w:val="24"/>
          <w:highlight w:val="none"/>
        </w:rPr>
        <w:t>本合同总价的</w:t>
      </w:r>
      <w:r>
        <w:rPr>
          <w:rFonts w:hint="eastAsia" w:ascii="仿宋" w:hAnsi="仿宋" w:eastAsia="仿宋" w:cs="仿宋"/>
          <w:color w:val="auto"/>
          <w:sz w:val="24"/>
          <w:szCs w:val="24"/>
          <w:highlight w:val="none"/>
          <w:lang w:val="en-US" w:eastAsia="zh-CN"/>
        </w:rPr>
        <w:t>1%向甲方支付</w:t>
      </w:r>
      <w:r>
        <w:rPr>
          <w:rFonts w:hint="eastAsia" w:ascii="仿宋" w:hAnsi="仿宋" w:eastAsia="仿宋" w:cs="仿宋"/>
          <w:color w:val="auto"/>
          <w:sz w:val="24"/>
          <w:szCs w:val="24"/>
          <w:highlight w:val="none"/>
        </w:rPr>
        <w:t xml:space="preserve">违约金。 </w:t>
      </w:r>
    </w:p>
    <w:p w14:paraId="0054FA5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5.如乙方不履行本合同</w:t>
      </w:r>
      <w:r>
        <w:rPr>
          <w:rFonts w:hint="eastAsia" w:ascii="仿宋" w:hAnsi="仿宋" w:eastAsia="仿宋" w:cs="仿宋"/>
          <w:color w:val="auto"/>
          <w:sz w:val="24"/>
          <w:szCs w:val="24"/>
          <w:highlight w:val="none"/>
          <w:lang w:val="en-US" w:eastAsia="zh-CN"/>
        </w:rPr>
        <w:t>项</w:t>
      </w:r>
      <w:r>
        <w:rPr>
          <w:rFonts w:hint="eastAsia" w:ascii="仿宋" w:hAnsi="仿宋" w:eastAsia="仿宋" w:cs="仿宋"/>
          <w:color w:val="auto"/>
          <w:sz w:val="24"/>
          <w:szCs w:val="24"/>
          <w:highlight w:val="none"/>
        </w:rPr>
        <w:t>下质量保证及售后服务相关条款以及《售后服务承诺书》中的部分或全部约定，</w:t>
      </w:r>
      <w:r>
        <w:rPr>
          <w:rFonts w:hint="eastAsia" w:ascii="仿宋" w:hAnsi="仿宋" w:eastAsia="仿宋" w:cs="仿宋"/>
          <w:color w:val="auto"/>
          <w:sz w:val="24"/>
          <w:szCs w:val="24"/>
          <w:highlight w:val="none"/>
          <w:lang w:val="en-US" w:eastAsia="zh-CN"/>
        </w:rPr>
        <w:t>每次</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val="en-US" w:eastAsia="zh-CN"/>
        </w:rPr>
        <w:t>按</w:t>
      </w:r>
      <w:r>
        <w:rPr>
          <w:rFonts w:hint="eastAsia" w:ascii="仿宋" w:hAnsi="仿宋" w:eastAsia="仿宋" w:cs="仿宋"/>
          <w:color w:val="auto"/>
          <w:sz w:val="24"/>
          <w:szCs w:val="24"/>
          <w:highlight w:val="none"/>
        </w:rPr>
        <w:t>本合同总价的</w:t>
      </w:r>
      <w:r>
        <w:rPr>
          <w:rFonts w:hint="eastAsia" w:ascii="仿宋" w:hAnsi="仿宋" w:eastAsia="仿宋" w:cs="仿宋"/>
          <w:color w:val="auto"/>
          <w:sz w:val="24"/>
          <w:szCs w:val="24"/>
          <w:highlight w:val="none"/>
          <w:lang w:val="en-US" w:eastAsia="zh-CN"/>
        </w:rPr>
        <w:t>1%向甲方支付</w:t>
      </w:r>
      <w:r>
        <w:rPr>
          <w:rFonts w:hint="eastAsia" w:ascii="仿宋" w:hAnsi="仿宋" w:eastAsia="仿宋" w:cs="仿宋"/>
          <w:color w:val="auto"/>
          <w:sz w:val="24"/>
          <w:szCs w:val="24"/>
          <w:highlight w:val="none"/>
        </w:rPr>
        <w:t xml:space="preserve">违约金，且应由乙方承担由此给甲方造成的一切损失。 </w:t>
      </w:r>
    </w:p>
    <w:p w14:paraId="1623515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6.乙方应保证其所提供的全部资料和证明文件合法、真实、有效，否则，乙方应按本合同总价的</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 xml:space="preserve">向甲方支付违约金，同时由乙方承担由此给甲方造成的一切损失。 </w:t>
      </w:r>
    </w:p>
    <w:p w14:paraId="5AB066F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7.未经甲方书面同意，乙方不得将本合同下的全部或部分权利、义务转让给任何第三方，否则甲方有权单方面解除本合同，乙方应在本合同解除后7天内退还甲方已支付的款项，并按本合同总价的</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xml:space="preserve">0%向甲方支付违约金，同时承担由此给甲方造成的一切损失。 </w:t>
      </w:r>
    </w:p>
    <w:p w14:paraId="6826979C">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）本合同</w:t>
      </w:r>
      <w:r>
        <w:rPr>
          <w:rFonts w:hint="eastAsia" w:ascii="仿宋" w:hAnsi="仿宋" w:eastAsia="仿宋" w:cs="仿宋"/>
          <w:color w:val="auto"/>
          <w:sz w:val="24"/>
          <w:szCs w:val="24"/>
          <w:highlight w:val="none"/>
          <w:lang w:val="en-US" w:eastAsia="zh-CN"/>
        </w:rPr>
        <w:t>项</w:t>
      </w:r>
      <w:r>
        <w:rPr>
          <w:rFonts w:hint="eastAsia" w:ascii="仿宋" w:hAnsi="仿宋" w:eastAsia="仿宋" w:cs="仿宋"/>
          <w:color w:val="auto"/>
          <w:sz w:val="24"/>
          <w:szCs w:val="24"/>
          <w:highlight w:val="none"/>
        </w:rPr>
        <w:t>下的所有违约金以及损失赔偿款等，甲方均有权从本合同价</w:t>
      </w:r>
      <w:r>
        <w:rPr>
          <w:rFonts w:hint="eastAsia" w:ascii="仿宋" w:hAnsi="仿宋" w:eastAsia="仿宋" w:cs="仿宋"/>
          <w:color w:val="auto"/>
          <w:sz w:val="24"/>
          <w:szCs w:val="24"/>
          <w:highlight w:val="none"/>
          <w:lang w:val="en-US" w:eastAsia="zh-CN"/>
        </w:rPr>
        <w:t>款</w:t>
      </w:r>
      <w:r>
        <w:rPr>
          <w:rFonts w:hint="eastAsia" w:ascii="仿宋" w:hAnsi="仿宋" w:eastAsia="仿宋" w:cs="仿宋"/>
          <w:color w:val="auto"/>
          <w:sz w:val="24"/>
          <w:szCs w:val="24"/>
          <w:highlight w:val="none"/>
        </w:rPr>
        <w:t xml:space="preserve">或履约保证金中直接扣除，同时甲方有权根据本合同的相关约定向乙方提出不足部分的赔偿。 </w:t>
      </w:r>
    </w:p>
    <w:p w14:paraId="26EAC5F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 xml:space="preserve">）合同双方中的任何一方不能履行其它义务，经守约方书面催告后仍不能在合理期限内作符合约定的改正或补救的，守约方有权要求违约方按本合同总额的10%支付违约金，并赔偿自身由此遭受的损失，且守约方有权单方书面通知违约方解除本合同。 </w:t>
      </w:r>
      <w:r>
        <w:rPr>
          <w:rFonts w:hint="eastAsia" w:ascii="仿宋" w:hAnsi="仿宋" w:eastAsia="仿宋" w:cs="仿宋"/>
          <w:color w:val="auto"/>
          <w:sz w:val="24"/>
          <w:szCs w:val="24"/>
          <w:highlight w:val="none"/>
          <w:lang w:val="en-US" w:eastAsia="zh-CN"/>
        </w:rPr>
        <w:t xml:space="preserve"> </w:t>
      </w:r>
    </w:p>
    <w:p w14:paraId="70D839C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五</w:t>
      </w:r>
      <w:r>
        <w:rPr>
          <w:rFonts w:hint="eastAsia" w:ascii="仿宋" w:hAnsi="仿宋" w:eastAsia="仿宋" w:cs="仿宋"/>
          <w:color w:val="auto"/>
          <w:sz w:val="24"/>
          <w:szCs w:val="24"/>
          <w:highlight w:val="none"/>
        </w:rPr>
        <w:t>）本合同中约定的违约金如不足以偿付守约方因违约方的违约行为所遭受的损失的，违约方应当负责偿付守约方的损失，包括但不限于财产损失、财产保全费用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人身损害、</w:t>
      </w:r>
      <w:r>
        <w:rPr>
          <w:rFonts w:hint="eastAsia" w:ascii="仿宋" w:hAnsi="仿宋" w:eastAsia="仿宋" w:cs="仿宋"/>
          <w:color w:val="auto"/>
          <w:sz w:val="24"/>
          <w:szCs w:val="24"/>
          <w:highlight w:val="none"/>
        </w:rPr>
        <w:t>律师费、诉讼费等（除另有说明外，本合同下所指损失均作此解释）。</w:t>
      </w:r>
    </w:p>
    <w:p w14:paraId="2544AC1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新宋体" w:hAnsi="新宋体" w:eastAsia="新宋体" w:cs="新宋体"/>
          <w:color w:val="auto"/>
          <w:sz w:val="28"/>
          <w:szCs w:val="28"/>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赔偿限额：其它违约责任按相关法律法规处理。在中国法律允许的范围内，乙方对甲方每一设备的全部赔偿责任不应超出该设备的单价，并应于该设备的保修期结束时终止。同时，乙方对甲方的间接损失不承担责任。</w:t>
      </w:r>
    </w:p>
    <w:p w14:paraId="3804B16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五</w:t>
      </w:r>
      <w:r>
        <w:rPr>
          <w:rFonts w:hint="eastAsia" w:ascii="仿宋" w:hAnsi="仿宋" w:eastAsia="仿宋" w:cs="仿宋"/>
          <w:b/>
          <w:bCs/>
          <w:color w:val="auto"/>
          <w:sz w:val="24"/>
          <w:szCs w:val="24"/>
          <w:highlight w:val="none"/>
        </w:rPr>
        <w:t>、合同的转让和分包</w:t>
      </w:r>
    </w:p>
    <w:p w14:paraId="41F1D7A9">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本合同项下的</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为总承包合同，不能以任何形式进行分包，也不得向他人转让合同项目。</w:t>
      </w:r>
    </w:p>
    <w:p w14:paraId="3FE4549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六</w:t>
      </w:r>
      <w:r>
        <w:rPr>
          <w:rFonts w:hint="eastAsia" w:ascii="仿宋" w:hAnsi="仿宋" w:eastAsia="仿宋" w:cs="仿宋"/>
          <w:b/>
          <w:bCs/>
          <w:color w:val="auto"/>
          <w:sz w:val="24"/>
          <w:szCs w:val="24"/>
          <w:highlight w:val="none"/>
        </w:rPr>
        <w:t>、合同的解除</w:t>
      </w:r>
    </w:p>
    <w:p w14:paraId="0682BB3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有下述情形之一，当事人可发出书面通知全部解除合同，合同自通知到达对方时全部解除：</w:t>
      </w:r>
    </w:p>
    <w:p w14:paraId="6DAE6F3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（1）乙方迟延交付</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超过30天；</w:t>
      </w:r>
    </w:p>
    <w:p w14:paraId="125EAC9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eastAsia="zh-CN"/>
        </w:rPr>
        <w:t>合同设备</w:t>
      </w:r>
      <w:r>
        <w:rPr>
          <w:rFonts w:hint="eastAsia" w:ascii="仿宋" w:hAnsi="仿宋" w:eastAsia="仿宋" w:cs="仿宋"/>
          <w:bCs/>
          <w:color w:val="auto"/>
          <w:sz w:val="24"/>
          <w:szCs w:val="24"/>
          <w:highlight w:val="none"/>
        </w:rPr>
        <w:t>由于乙方原因均未能达到技术性能考核指标；</w:t>
      </w:r>
    </w:p>
    <w:p w14:paraId="296F251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（3）甲方迟延付款超过3个月；</w:t>
      </w:r>
    </w:p>
    <w:p w14:paraId="344F534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4）合同一方当事人未能履行合同项下任何其它义务（细微义务除外），或在未事先征得另一方当事人同意的情况下，从事任何可能在实质上不利影响其履行合同能力的活动，经另一方当事人书面通知后7日内或在合同条款约定的其他期限内未能对其行为作出补救；</w:t>
      </w:r>
    </w:p>
    <w:p w14:paraId="1B9B7E6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rPr>
        <w:t>（5）合同一方当事人出现破产、清算、资不抵债、成为失信被执行人等可能丧失履约能力的情形，且未能提供令对方满意的履约保证金</w:t>
      </w:r>
      <w:r>
        <w:rPr>
          <w:rFonts w:hint="eastAsia" w:ascii="仿宋" w:hAnsi="仿宋" w:eastAsia="仿宋" w:cs="仿宋"/>
          <w:bCs/>
          <w:color w:val="auto"/>
          <w:sz w:val="24"/>
          <w:szCs w:val="24"/>
          <w:highlight w:val="none"/>
          <w:lang w:eastAsia="zh-CN"/>
        </w:rPr>
        <w:t>；</w:t>
      </w:r>
    </w:p>
    <w:p w14:paraId="1AD356C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6</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本合同约定的其他情形。</w:t>
      </w:r>
    </w:p>
    <w:p w14:paraId="59FBCA1E">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十七、提出异议的时间和方法</w:t>
      </w:r>
    </w:p>
    <w:p w14:paraId="2BC545B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质量异议处理：甲方在验收后如对货物的型号、规格、质量有异议时，应在妥善保管货物的同时，向乙方提出书面异议。</w:t>
      </w:r>
    </w:p>
    <w:p w14:paraId="61B14837">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人为损坏异议无效：甲方因违章操作、保管、保养不善等人为造成货物损毁，所提出的异议乙方不予接受。</w:t>
      </w:r>
    </w:p>
    <w:p w14:paraId="20C42EE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lang w:val="en-US" w:eastAsia="zh-CN"/>
        </w:rPr>
      </w:pPr>
    </w:p>
    <w:p w14:paraId="219AEBE0">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十八、通知与送达</w:t>
      </w:r>
    </w:p>
    <w:p w14:paraId="544C197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甲方信息：通信地址为牟定县水务局 项目负责人办公室；  ；电话：   。</w:t>
      </w:r>
    </w:p>
    <w:p w14:paraId="4C99B0AB">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w:t>
      </w: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乙方信息：</w:t>
      </w:r>
    </w:p>
    <w:p w14:paraId="001BA524">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w:t>
      </w:r>
      <w:r>
        <w:rPr>
          <w:rFonts w:hint="eastAsia" w:ascii="仿宋" w:hAnsi="仿宋" w:eastAsia="仿宋" w:cs="仿宋"/>
          <w:bCs/>
          <w:color w:val="auto"/>
          <w:sz w:val="24"/>
          <w:szCs w:val="24"/>
          <w:highlight w:val="none"/>
          <w:lang w:val="en-US" w:eastAsia="zh-CN"/>
        </w:rPr>
        <w:tab/>
      </w:r>
      <w:r>
        <w:rPr>
          <w:rFonts w:hint="eastAsia" w:ascii="仿宋" w:hAnsi="仿宋" w:eastAsia="仿宋" w:cs="仿宋"/>
          <w:bCs/>
          <w:color w:val="auto"/>
          <w:sz w:val="24"/>
          <w:szCs w:val="24"/>
          <w:highlight w:val="none"/>
          <w:lang w:val="en-US" w:eastAsia="zh-CN"/>
        </w:rPr>
        <w:t>信息变更：如一方地址、电话、传真号码、开户银行及账号等资料有变更，应在变更当日书面通知对方，否则，视为未变更。</w:t>
      </w:r>
    </w:p>
    <w:p w14:paraId="18D5C4E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十</w:t>
      </w:r>
      <w:r>
        <w:rPr>
          <w:rFonts w:hint="eastAsia" w:ascii="仿宋" w:hAnsi="仿宋" w:eastAsia="仿宋" w:cs="仿宋"/>
          <w:b/>
          <w:bCs/>
          <w:color w:val="auto"/>
          <w:sz w:val="24"/>
          <w:szCs w:val="24"/>
          <w:highlight w:val="none"/>
          <w:lang w:val="en-US" w:eastAsia="zh-CN"/>
        </w:rPr>
        <w:t>九</w:t>
      </w:r>
      <w:r>
        <w:rPr>
          <w:rFonts w:hint="eastAsia" w:ascii="仿宋" w:hAnsi="仿宋" w:eastAsia="仿宋" w:cs="仿宋"/>
          <w:b/>
          <w:bCs/>
          <w:color w:val="auto"/>
          <w:sz w:val="24"/>
          <w:szCs w:val="24"/>
          <w:highlight w:val="none"/>
        </w:rPr>
        <w:t>、争议的解决</w:t>
      </w:r>
    </w:p>
    <w:p w14:paraId="1189C49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（一）在合同执行过程中，双方若发生争议，争议应通过双方协商解决；如果协商不能解决</w:t>
      </w:r>
      <w:r>
        <w:rPr>
          <w:rFonts w:hint="eastAsia" w:ascii="仿宋" w:hAnsi="仿宋" w:eastAsia="仿宋" w:cs="仿宋"/>
          <w:bCs/>
          <w:color w:val="auto"/>
          <w:sz w:val="24"/>
          <w:szCs w:val="24"/>
          <w:highlight w:val="none"/>
          <w:lang w:val="en-US" w:eastAsia="zh-CN"/>
        </w:rPr>
        <w:t>的，向甲方所在地人民法院提起诉讼。</w:t>
      </w:r>
    </w:p>
    <w:p w14:paraId="3E38C04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（二）在</w:t>
      </w:r>
      <w:r>
        <w:rPr>
          <w:rFonts w:hint="eastAsia" w:ascii="仿宋" w:hAnsi="仿宋" w:eastAsia="仿宋" w:cs="仿宋"/>
          <w:bCs/>
          <w:color w:val="auto"/>
          <w:sz w:val="24"/>
          <w:szCs w:val="24"/>
          <w:highlight w:val="none"/>
          <w:lang w:val="en-US" w:eastAsia="zh-CN"/>
        </w:rPr>
        <w:t>诉讼</w:t>
      </w:r>
      <w:r>
        <w:rPr>
          <w:rFonts w:hint="eastAsia" w:ascii="仿宋" w:hAnsi="仿宋" w:eastAsia="仿宋" w:cs="仿宋"/>
          <w:bCs/>
          <w:color w:val="auto"/>
          <w:sz w:val="24"/>
          <w:szCs w:val="24"/>
          <w:highlight w:val="none"/>
        </w:rPr>
        <w:t>期间，除正在进行的</w:t>
      </w:r>
      <w:r>
        <w:rPr>
          <w:rFonts w:hint="eastAsia" w:ascii="仿宋" w:hAnsi="仿宋" w:eastAsia="仿宋" w:cs="仿宋"/>
          <w:bCs/>
          <w:color w:val="auto"/>
          <w:sz w:val="24"/>
          <w:szCs w:val="24"/>
          <w:highlight w:val="none"/>
          <w:lang w:val="en-US" w:eastAsia="zh-CN"/>
        </w:rPr>
        <w:t>诉讼</w:t>
      </w:r>
      <w:r>
        <w:rPr>
          <w:rFonts w:hint="eastAsia" w:ascii="仿宋" w:hAnsi="仿宋" w:eastAsia="仿宋" w:cs="仿宋"/>
          <w:bCs/>
          <w:color w:val="auto"/>
          <w:sz w:val="24"/>
          <w:szCs w:val="24"/>
          <w:highlight w:val="none"/>
        </w:rPr>
        <w:t>外，本合同其他部分应继续执行。</w:t>
      </w:r>
    </w:p>
    <w:p w14:paraId="2A5056C1">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Cs/>
          <w:color w:val="auto"/>
          <w:sz w:val="24"/>
          <w:szCs w:val="24"/>
          <w:highlight w:val="none"/>
          <w:lang w:val="en-US" w:eastAsia="zh-CN"/>
        </w:rPr>
        <w:t>诉讼</w:t>
      </w:r>
      <w:r>
        <w:rPr>
          <w:rFonts w:hint="eastAsia" w:ascii="仿宋" w:hAnsi="仿宋" w:eastAsia="仿宋" w:cs="仿宋"/>
          <w:bCs/>
          <w:color w:val="auto"/>
          <w:sz w:val="24"/>
          <w:szCs w:val="24"/>
          <w:highlight w:val="none"/>
        </w:rPr>
        <w:t>费由败诉方负担。</w:t>
      </w:r>
    </w:p>
    <w:p w14:paraId="12A7EE5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二十</w:t>
      </w:r>
      <w:r>
        <w:rPr>
          <w:rFonts w:hint="eastAsia" w:ascii="仿宋" w:hAnsi="仿宋" w:eastAsia="仿宋" w:cs="仿宋"/>
          <w:b/>
          <w:bCs/>
          <w:color w:val="auto"/>
          <w:sz w:val="24"/>
          <w:szCs w:val="24"/>
          <w:highlight w:val="none"/>
        </w:rPr>
        <w:t>、不可抗力</w:t>
      </w:r>
    </w:p>
    <w:p w14:paraId="418A392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签约双方的任何一方由于受不可抗力事件的影响而不能执行合同时，履行合同的期限应予延长，其延长的期限应相当于事件影响的期限。不可抗力事件系指签约双方在缔结合同时所不能预见的，并且它的发生及其后果是无法避免和无法克服的事件。诸如战争、严重火灾、洪水、台风、地震等。</w:t>
      </w:r>
    </w:p>
    <w:p w14:paraId="0BF8FA7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（二）受阻一方应在不可抗力事件发生后，应尽快用电报、传真或电传通知对方。并于事件发生后3天内将有关当局出具的证明文件通知对方确认。在双方确认后3天内签署达成履行合同协议书。</w:t>
      </w:r>
    </w:p>
    <w:p w14:paraId="1640F27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2" w:firstLineChars="200"/>
        <w:jc w:val="both"/>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二十一</w:t>
      </w:r>
      <w:r>
        <w:rPr>
          <w:rFonts w:hint="eastAsia" w:ascii="仿宋" w:hAnsi="仿宋" w:eastAsia="仿宋" w:cs="仿宋"/>
          <w:b/>
          <w:bCs/>
          <w:color w:val="auto"/>
          <w:sz w:val="24"/>
          <w:szCs w:val="24"/>
          <w:highlight w:val="none"/>
        </w:rPr>
        <w:t>、合同的生效及其他</w:t>
      </w:r>
    </w:p>
    <w:p w14:paraId="05C718EA">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1.本合同在双方签字、甲方收到乙方提交的履约保证金后生效。</w:t>
      </w:r>
    </w:p>
    <w:p w14:paraId="2EF69913">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2.下述文件作为本合同不可分割的部分与本合同具有同等效力。</w:t>
      </w:r>
    </w:p>
    <w:p w14:paraId="423AA225">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（1）项目编号：</w:t>
      </w:r>
      <w:r>
        <w:rPr>
          <w:rFonts w:hint="eastAsia" w:ascii="仿宋" w:hAnsi="仿宋" w:eastAsia="仿宋" w:cs="仿宋"/>
          <w:bCs/>
          <w:color w:val="auto"/>
          <w:sz w:val="24"/>
          <w:szCs w:val="24"/>
          <w:highlight w:val="none"/>
          <w:lang w:val="en-US" w:eastAsia="zh-CN"/>
        </w:rPr>
        <w:t>XXX招标采购</w:t>
      </w:r>
      <w:r>
        <w:rPr>
          <w:rFonts w:hint="eastAsia" w:ascii="仿宋" w:hAnsi="仿宋" w:eastAsia="仿宋" w:cs="仿宋"/>
          <w:bCs/>
          <w:color w:val="auto"/>
          <w:sz w:val="24"/>
          <w:szCs w:val="24"/>
          <w:highlight w:val="none"/>
        </w:rPr>
        <w:t>文件</w:t>
      </w:r>
    </w:p>
    <w:p w14:paraId="7343BC0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（2）项目编号：</w:t>
      </w:r>
      <w:r>
        <w:rPr>
          <w:rFonts w:hint="eastAsia" w:ascii="仿宋" w:hAnsi="仿宋" w:eastAsia="仿宋" w:cs="仿宋"/>
          <w:bCs/>
          <w:color w:val="auto"/>
          <w:sz w:val="24"/>
          <w:szCs w:val="24"/>
          <w:highlight w:val="none"/>
          <w:lang w:val="en-US" w:eastAsia="zh-CN"/>
        </w:rPr>
        <w:t>XXX</w:t>
      </w:r>
      <w:r>
        <w:rPr>
          <w:rFonts w:hint="eastAsia" w:ascii="仿宋" w:hAnsi="仿宋" w:eastAsia="仿宋" w:cs="仿宋"/>
          <w:bCs/>
          <w:color w:val="auto"/>
          <w:sz w:val="24"/>
          <w:szCs w:val="24"/>
          <w:highlight w:val="none"/>
        </w:rPr>
        <w:t>乙方投标书。</w:t>
      </w:r>
    </w:p>
    <w:p w14:paraId="63579E3D">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3.本合同生效后，若有未尽事宜。经双方协商同意后，拟定补充文件。补充文件经双方法人代表或委托代理人签字后有效，作为本合同不可分割的部分。</w:t>
      </w:r>
    </w:p>
    <w:p w14:paraId="59DC34A2">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4.</w:t>
      </w:r>
      <w:r>
        <w:rPr>
          <w:rFonts w:hint="eastAsia" w:ascii="仿宋" w:hAnsi="仿宋" w:eastAsia="仿宋" w:cs="仿宋"/>
          <w:bCs/>
          <w:color w:val="auto"/>
          <w:sz w:val="24"/>
          <w:szCs w:val="24"/>
          <w:highlight w:val="none"/>
        </w:rPr>
        <w:t>本合同一式</w:t>
      </w:r>
      <w:r>
        <w:rPr>
          <w:rFonts w:hint="eastAsia" w:ascii="仿宋" w:hAnsi="仿宋" w:eastAsia="仿宋" w:cs="仿宋"/>
          <w:bCs/>
          <w:color w:val="auto"/>
          <w:sz w:val="24"/>
          <w:szCs w:val="24"/>
          <w:highlight w:val="none"/>
          <w:lang w:val="en-US" w:eastAsia="zh-CN"/>
        </w:rPr>
        <w:t>捌</w:t>
      </w:r>
      <w:r>
        <w:rPr>
          <w:rFonts w:hint="eastAsia" w:ascii="仿宋" w:hAnsi="仿宋" w:eastAsia="仿宋" w:cs="仿宋"/>
          <w:bCs/>
          <w:color w:val="auto"/>
          <w:sz w:val="24"/>
          <w:szCs w:val="24"/>
          <w:highlight w:val="none"/>
        </w:rPr>
        <w:t>份，其中甲方</w:t>
      </w:r>
      <w:r>
        <w:rPr>
          <w:rFonts w:hint="eastAsia" w:ascii="仿宋" w:hAnsi="仿宋" w:eastAsia="仿宋" w:cs="仿宋"/>
          <w:bCs/>
          <w:color w:val="auto"/>
          <w:sz w:val="24"/>
          <w:szCs w:val="24"/>
          <w:highlight w:val="none"/>
          <w:lang w:val="en-US" w:eastAsia="zh-CN"/>
        </w:rPr>
        <w:t>柒</w:t>
      </w:r>
      <w:r>
        <w:rPr>
          <w:rFonts w:hint="eastAsia" w:ascii="仿宋" w:hAnsi="仿宋" w:eastAsia="仿宋" w:cs="仿宋"/>
          <w:bCs/>
          <w:color w:val="auto"/>
          <w:sz w:val="24"/>
          <w:szCs w:val="24"/>
          <w:highlight w:val="none"/>
        </w:rPr>
        <w:t>份，乙方</w:t>
      </w:r>
      <w:r>
        <w:rPr>
          <w:rFonts w:hint="eastAsia" w:ascii="仿宋" w:hAnsi="仿宋" w:eastAsia="仿宋" w:cs="仿宋"/>
          <w:bCs/>
          <w:color w:val="auto"/>
          <w:sz w:val="24"/>
          <w:szCs w:val="24"/>
          <w:highlight w:val="none"/>
          <w:lang w:val="en-US" w:eastAsia="zh-CN"/>
        </w:rPr>
        <w:t>壹</w:t>
      </w:r>
      <w:r>
        <w:rPr>
          <w:rFonts w:hint="eastAsia" w:ascii="仿宋" w:hAnsi="仿宋" w:eastAsia="仿宋" w:cs="仿宋"/>
          <w:bCs/>
          <w:color w:val="auto"/>
          <w:sz w:val="24"/>
          <w:szCs w:val="24"/>
          <w:highlight w:val="none"/>
        </w:rPr>
        <w:t>份，并从签订之日起生效。</w:t>
      </w:r>
    </w:p>
    <w:p w14:paraId="3664DFDF">
      <w:pPr>
        <w:keepNext w:val="0"/>
        <w:keepLines w:val="0"/>
        <w:pageBreakBefore w:val="0"/>
        <w:widowControl w:val="0"/>
        <w:kinsoku/>
        <w:wordWrap/>
        <w:overflowPunct/>
        <w:topLinePunct w:val="0"/>
        <w:autoSpaceDE w:val="0"/>
        <w:autoSpaceDN w:val="0"/>
        <w:bidi w:val="0"/>
        <w:adjustRightInd w:val="0"/>
        <w:snapToGrid w:val="0"/>
        <w:spacing w:line="360" w:lineRule="auto"/>
        <w:ind w:leftChars="0" w:firstLine="480" w:firstLineChars="200"/>
        <w:jc w:val="both"/>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5.附件效力：所有经双方签署、确认的文件，包括购销廉洁协议、配置清单、售后服务承诺书等附件、中标通知书及投标书均为本合同不可分割的有效组成部分，与本合同具有同等的法律效力，其合同生效日期为签字盖章确认之日起（以后签字一方的落款日期计算）。</w:t>
      </w:r>
    </w:p>
    <w:p w14:paraId="45BC227E">
      <w:pPr>
        <w:rPr>
          <w:rFonts w:hint="eastAsia" w:ascii="仿宋" w:hAnsi="仿宋" w:eastAsia="仿宋" w:cs="仿宋"/>
          <w:color w:val="auto"/>
          <w:sz w:val="28"/>
          <w:szCs w:val="28"/>
          <w:highlight w:val="none"/>
          <w:lang w:val="en-US" w:eastAsia="zh-CN"/>
        </w:rPr>
      </w:pPr>
    </w:p>
    <w:p w14:paraId="31219C76">
      <w:pPr>
        <w:pStyle w:val="10"/>
        <w:keepNext w:val="0"/>
        <w:keepLines w:val="0"/>
        <w:pageBreakBefore w:val="0"/>
        <w:widowControl w:val="0"/>
        <w:kinsoku/>
        <w:wordWrap w:val="0"/>
        <w:overflowPunct/>
        <w:topLinePunct/>
        <w:autoSpaceDE/>
        <w:autoSpaceDN/>
        <w:bidi w:val="0"/>
        <w:adjustRightInd/>
        <w:snapToGrid/>
        <w:ind w:left="0" w:leftChars="0" w:right="0"/>
        <w:jc w:val="center"/>
        <w:outlineLvl w:val="0"/>
        <w:rPr>
          <w:rStyle w:val="25"/>
          <w:rFonts w:hint="eastAsia" w:ascii="仿宋" w:hAnsi="仿宋" w:eastAsia="仿宋" w:cs="仿宋"/>
          <w:color w:val="auto"/>
          <w:sz w:val="32"/>
          <w:szCs w:val="32"/>
          <w:highlight w:val="none"/>
          <w:lang w:eastAsia="zh-CN"/>
        </w:rPr>
      </w:pPr>
      <w:bookmarkStart w:id="543" w:name="_Toc17934"/>
      <w:bookmarkStart w:id="544" w:name="_Toc2286"/>
      <w:bookmarkStart w:id="545" w:name="_Toc7511"/>
      <w:r>
        <w:rPr>
          <w:rStyle w:val="25"/>
          <w:rFonts w:hint="eastAsia" w:ascii="仿宋" w:hAnsi="仿宋" w:eastAsia="仿宋" w:cs="仿宋"/>
          <w:color w:val="auto"/>
          <w:sz w:val="32"/>
          <w:szCs w:val="32"/>
          <w:highlight w:val="none"/>
          <w:lang w:eastAsia="zh-CN"/>
        </w:rPr>
        <w:t>第六章</w:t>
      </w:r>
      <w:r>
        <w:rPr>
          <w:rStyle w:val="25"/>
          <w:rFonts w:hint="eastAsia" w:ascii="仿宋" w:hAnsi="仿宋" w:eastAsia="仿宋" w:cs="仿宋"/>
          <w:color w:val="auto"/>
          <w:sz w:val="32"/>
          <w:szCs w:val="32"/>
          <w:highlight w:val="none"/>
          <w:lang w:val="en-US" w:eastAsia="zh-CN"/>
        </w:rPr>
        <w:t xml:space="preserve"> </w:t>
      </w:r>
      <w:r>
        <w:rPr>
          <w:rStyle w:val="25"/>
          <w:rFonts w:hint="eastAsia" w:ascii="仿宋" w:hAnsi="仿宋" w:eastAsia="仿宋" w:cs="仿宋"/>
          <w:color w:val="auto"/>
          <w:sz w:val="32"/>
          <w:szCs w:val="32"/>
          <w:highlight w:val="none"/>
          <w:lang w:eastAsia="zh-CN"/>
        </w:rPr>
        <w:t>投标文件格式</w:t>
      </w:r>
      <w:bookmarkEnd w:id="543"/>
      <w:bookmarkEnd w:id="544"/>
    </w:p>
    <w:bookmarkEnd w:id="545"/>
    <w:p w14:paraId="2B6D342E">
      <w:pPr>
        <w:pStyle w:val="13"/>
        <w:keepNext w:val="0"/>
        <w:keepLines w:val="0"/>
        <w:pageBreakBefore w:val="0"/>
        <w:widowControl w:val="0"/>
        <w:kinsoku/>
        <w:wordWrap w:val="0"/>
        <w:overflowPunct/>
        <w:topLinePunct/>
        <w:autoSpaceDE/>
        <w:autoSpaceDN/>
        <w:bidi w:val="0"/>
        <w:adjustRightInd/>
        <w:snapToGrid/>
        <w:spacing w:line="360" w:lineRule="auto"/>
        <w:jc w:val="left"/>
        <w:textAlignment w:val="auto"/>
        <w:rPr>
          <w:rFonts w:hint="eastAsia" w:ascii="仿宋" w:hAnsi="仿宋" w:eastAsia="仿宋" w:cs="仿宋"/>
          <w:b/>
          <w:bCs w:val="0"/>
          <w:color w:val="auto"/>
          <w:sz w:val="21"/>
          <w:szCs w:val="21"/>
          <w:highlight w:val="none"/>
        </w:rPr>
      </w:pPr>
      <w:r>
        <w:rPr>
          <w:rFonts w:hint="eastAsia" w:ascii="仿宋" w:hAnsi="仿宋" w:eastAsia="仿宋" w:cs="仿宋"/>
          <w:b/>
          <w:bCs w:val="0"/>
          <w:color w:val="auto"/>
          <w:sz w:val="21"/>
          <w:szCs w:val="21"/>
          <w:highlight w:val="none"/>
          <w:lang w:val="en-US" w:eastAsia="zh-CN"/>
        </w:rPr>
        <w:t xml:space="preserve">投标人编制文件须知 </w:t>
      </w:r>
    </w:p>
    <w:p w14:paraId="46DF1E33">
      <w:pPr>
        <w:pStyle w:val="13"/>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bCs w:val="0"/>
          <w:color w:val="auto"/>
          <w:sz w:val="21"/>
          <w:szCs w:val="21"/>
          <w:highlight w:val="none"/>
          <w:u w:val="none"/>
        </w:rPr>
      </w:pPr>
      <w:r>
        <w:rPr>
          <w:rFonts w:hint="eastAsia" w:ascii="仿宋" w:hAnsi="仿宋" w:eastAsia="仿宋" w:cs="仿宋"/>
          <w:bCs/>
          <w:color w:val="auto"/>
          <w:sz w:val="21"/>
          <w:szCs w:val="21"/>
          <w:highlight w:val="none"/>
          <w:lang w:val="en-US" w:eastAsia="zh-CN"/>
        </w:rPr>
        <w:t>1.投标人按照本部分的顺序编制投标文件，编制中涉及格式资料的，应按照本部分提供的内容和格式（所有表格的格式可扩展）填写提交。</w:t>
      </w:r>
      <w:r>
        <w:rPr>
          <w:rFonts w:hint="eastAsia" w:ascii="仿宋" w:hAnsi="仿宋" w:eastAsia="仿宋" w:cs="仿宋"/>
          <w:b/>
          <w:bCs w:val="0"/>
          <w:color w:val="auto"/>
          <w:sz w:val="21"/>
          <w:szCs w:val="21"/>
          <w:highlight w:val="none"/>
          <w:u w:val="none"/>
          <w:lang w:val="en-US" w:eastAsia="zh-CN"/>
        </w:rPr>
        <w:t xml:space="preserve"> </w:t>
      </w:r>
    </w:p>
    <w:p w14:paraId="1932B47C">
      <w:pPr>
        <w:pStyle w:val="13"/>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仿宋" w:hAnsi="仿宋" w:eastAsia="仿宋" w:cs="仿宋"/>
          <w:b/>
          <w:bCs w:val="0"/>
          <w:color w:val="auto"/>
          <w:sz w:val="21"/>
          <w:szCs w:val="21"/>
          <w:highlight w:val="none"/>
          <w:lang w:val="en-US" w:eastAsia="zh-CN"/>
        </w:rPr>
        <w:t>响应无效</w:t>
      </w:r>
      <w:r>
        <w:rPr>
          <w:rFonts w:hint="eastAsia" w:ascii="仿宋" w:hAnsi="仿宋" w:eastAsia="仿宋" w:cs="仿宋"/>
          <w:bCs/>
          <w:color w:val="auto"/>
          <w:sz w:val="21"/>
          <w:szCs w:val="21"/>
          <w:highlight w:val="none"/>
          <w:lang w:val="en-US" w:eastAsia="zh-CN"/>
        </w:rPr>
        <w:t xml:space="preserve">。未标记“实质性格式”的文件和招标文件未提供格式的内容，可由投标人自行编写。 </w:t>
      </w:r>
    </w:p>
    <w:p w14:paraId="79A19E65">
      <w:pPr>
        <w:pStyle w:val="13"/>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3.全部声明和问题的回答及所附材料必须是真实的、准确的和完整的。</w:t>
      </w:r>
    </w:p>
    <w:p w14:paraId="157CDED2">
      <w:pPr>
        <w:pStyle w:val="13"/>
        <w:keepNext w:val="0"/>
        <w:keepLines w:val="0"/>
        <w:pageBreakBefore w:val="0"/>
        <w:widowControl w:val="0"/>
        <w:kinsoku/>
        <w:wordWrap w:val="0"/>
        <w:overflowPunct/>
        <w:topLinePunct/>
        <w:autoSpaceDE/>
        <w:autoSpaceDN/>
        <w:bidi w:val="0"/>
        <w:adjustRightInd/>
        <w:snapToGrid/>
        <w:spacing w:line="360" w:lineRule="auto"/>
        <w:ind w:firstLine="420" w:firstLineChars="200"/>
        <w:jc w:val="left"/>
        <w:textAlignment w:val="auto"/>
        <w:rPr>
          <w:rFonts w:hint="eastAsia" w:ascii="仿宋" w:hAnsi="仿宋" w:eastAsia="仿宋" w:cs="仿宋"/>
          <w:b/>
          <w:color w:val="auto"/>
          <w:sz w:val="40"/>
          <w:szCs w:val="40"/>
          <w:highlight w:val="none"/>
          <w:lang w:eastAsia="zh-CN"/>
        </w:rPr>
        <w:sectPr>
          <w:footerReference r:id="rId7" w:type="first"/>
          <w:footerReference r:id="rId6"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Cs/>
          <w:color w:val="auto"/>
          <w:sz w:val="21"/>
          <w:szCs w:val="21"/>
          <w:highlight w:val="none"/>
          <w:lang w:val="en-US" w:eastAsia="zh-CN"/>
        </w:rPr>
        <w:t>4.建议设置审查索引，以便资格审查小组顺利开展审查工作。</w:t>
      </w:r>
    </w:p>
    <w:p w14:paraId="0F6BE527">
      <w:pPr>
        <w:pStyle w:val="13"/>
        <w:wordWrap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封面格式：</w:t>
      </w:r>
    </w:p>
    <w:p w14:paraId="6A38E966">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u w:val="single"/>
          <w:lang w:val="en-US" w:eastAsia="zh-CN"/>
        </w:rPr>
      </w:pPr>
      <w:r>
        <w:rPr>
          <w:rFonts w:hint="eastAsia" w:ascii="仿宋" w:hAnsi="仿宋" w:eastAsia="仿宋" w:cs="仿宋"/>
          <w:b/>
          <w:bCs/>
          <w:color w:val="auto"/>
          <w:sz w:val="48"/>
          <w:szCs w:val="48"/>
          <w:highlight w:val="none"/>
          <w:u w:val="single"/>
          <w:lang w:val="en-US" w:eastAsia="zh-CN"/>
        </w:rPr>
        <w:t>项目名称</w:t>
      </w:r>
    </w:p>
    <w:p w14:paraId="7E6CCE12">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6"/>
          <w:szCs w:val="40"/>
          <w:highlight w:val="none"/>
          <w:lang w:eastAsia="zh-CN"/>
        </w:rPr>
      </w:pPr>
    </w:p>
    <w:p w14:paraId="080FD2B4">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40"/>
          <w:szCs w:val="44"/>
          <w:highlight w:val="none"/>
          <w:lang w:eastAsia="zh-CN"/>
        </w:rPr>
      </w:pPr>
    </w:p>
    <w:p w14:paraId="1ADC8A4B">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320331A5">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516" w:firstLineChars="700"/>
        <w:jc w:val="both"/>
        <w:rPr>
          <w:rFonts w:hint="eastAsia" w:ascii="仿宋" w:hAnsi="仿宋" w:eastAsia="仿宋" w:cs="仿宋"/>
          <w:b/>
          <w:color w:val="auto"/>
          <w:spacing w:val="-1"/>
          <w:sz w:val="36"/>
          <w:szCs w:val="36"/>
          <w:highlight w:val="none"/>
          <w:u w:val="single"/>
          <w:lang w:val="en-US" w:eastAsia="zh-CN"/>
        </w:rPr>
      </w:pPr>
      <w:r>
        <w:rPr>
          <w:rFonts w:hint="eastAsia" w:ascii="仿宋" w:hAnsi="仿宋" w:eastAsia="仿宋" w:cs="仿宋"/>
          <w:b/>
          <w:color w:val="auto"/>
          <w:spacing w:val="-1"/>
          <w:sz w:val="36"/>
          <w:szCs w:val="36"/>
          <w:highlight w:val="none"/>
          <w:lang w:val="zh-CN" w:eastAsia="zh-CN"/>
        </w:rPr>
        <w:t>项目编号</w:t>
      </w:r>
      <w:r>
        <w:rPr>
          <w:rFonts w:hint="eastAsia" w:ascii="仿宋" w:hAnsi="仿宋" w:eastAsia="仿宋" w:cs="仿宋"/>
          <w:b/>
          <w:color w:val="auto"/>
          <w:spacing w:val="-1"/>
          <w:sz w:val="36"/>
          <w:szCs w:val="36"/>
          <w:highlight w:val="none"/>
          <w:lang w:eastAsia="zh-CN"/>
        </w:rPr>
        <w:t>：</w:t>
      </w:r>
      <w:r>
        <w:rPr>
          <w:rFonts w:hint="eastAsia" w:ascii="仿宋" w:hAnsi="仿宋" w:eastAsia="仿宋" w:cs="仿宋"/>
          <w:b/>
          <w:color w:val="auto"/>
          <w:spacing w:val="-1"/>
          <w:sz w:val="36"/>
          <w:szCs w:val="36"/>
          <w:highlight w:val="none"/>
          <w:u w:val="single"/>
          <w:lang w:val="en-US" w:eastAsia="zh-CN"/>
        </w:rPr>
        <w:t xml:space="preserve">              </w:t>
      </w:r>
    </w:p>
    <w:p w14:paraId="7E709CC6">
      <w:pPr>
        <w:keepNext w:val="0"/>
        <w:keepLines w:val="0"/>
        <w:pageBreakBefore w:val="0"/>
        <w:widowControl w:val="0"/>
        <w:tabs>
          <w:tab w:val="left" w:pos="5834"/>
        </w:tabs>
        <w:kinsoku/>
        <w:wordWrap w:val="0"/>
        <w:overflowPunct/>
        <w:topLinePunct/>
        <w:autoSpaceDE/>
        <w:autoSpaceDN/>
        <w:bidi w:val="0"/>
        <w:adjustRightInd/>
        <w:snapToGrid/>
        <w:spacing w:line="480" w:lineRule="auto"/>
        <w:ind w:right="0" w:firstLine="2891" w:firstLineChars="800"/>
        <w:jc w:val="both"/>
        <w:rPr>
          <w:rFonts w:hint="eastAsia" w:ascii="仿宋" w:hAnsi="仿宋" w:eastAsia="仿宋" w:cs="仿宋"/>
          <w:b/>
          <w:color w:val="auto"/>
          <w:sz w:val="36"/>
          <w:szCs w:val="36"/>
          <w:highlight w:val="none"/>
          <w:lang w:val="en-US" w:eastAsia="zh-CN"/>
        </w:rPr>
      </w:pPr>
    </w:p>
    <w:p w14:paraId="44C26CB4">
      <w:pPr>
        <w:keepNext w:val="0"/>
        <w:keepLines w:val="0"/>
        <w:pageBreakBefore w:val="0"/>
        <w:widowControl w:val="0"/>
        <w:kinsoku/>
        <w:wordWrap w:val="0"/>
        <w:overflowPunct/>
        <w:topLinePunct/>
        <w:autoSpaceDE/>
        <w:autoSpaceDN/>
        <w:bidi w:val="0"/>
        <w:adjustRightInd/>
        <w:snapToGrid/>
        <w:spacing w:line="480" w:lineRule="auto"/>
        <w:ind w:left="0" w:leftChars="0" w:right="0"/>
        <w:jc w:val="center"/>
        <w:rPr>
          <w:rFonts w:hint="eastAsia" w:ascii="仿宋" w:hAnsi="仿宋" w:eastAsia="仿宋" w:cs="仿宋"/>
          <w:b/>
          <w:color w:val="auto"/>
          <w:sz w:val="40"/>
          <w:szCs w:val="44"/>
          <w:highlight w:val="none"/>
          <w:lang w:eastAsia="zh-CN"/>
        </w:rPr>
      </w:pPr>
      <w:r>
        <w:rPr>
          <w:rFonts w:hint="eastAsia" w:ascii="仿宋" w:hAnsi="仿宋" w:eastAsia="仿宋" w:cs="仿宋"/>
          <w:b/>
          <w:color w:val="auto"/>
          <w:spacing w:val="-1"/>
          <w:sz w:val="36"/>
          <w:szCs w:val="36"/>
          <w:highlight w:val="none"/>
          <w:lang w:val="en-US" w:eastAsia="zh-CN"/>
        </w:rPr>
        <w:t xml:space="preserve">  </w:t>
      </w:r>
      <w:r>
        <w:rPr>
          <w:rFonts w:hint="eastAsia" w:ascii="仿宋" w:hAnsi="仿宋" w:eastAsia="仿宋" w:cs="仿宋"/>
          <w:b/>
          <w:color w:val="auto"/>
          <w:sz w:val="40"/>
          <w:szCs w:val="44"/>
          <w:highlight w:val="none"/>
          <w:lang w:val="en-US" w:eastAsia="zh-CN"/>
        </w:rPr>
        <w:t xml:space="preserve"> </w:t>
      </w:r>
    </w:p>
    <w:p w14:paraId="16101E0F">
      <w:pPr>
        <w:keepNext w:val="0"/>
        <w:keepLines w:val="0"/>
        <w:pageBreakBefore w:val="0"/>
        <w:widowControl w:val="0"/>
        <w:kinsoku/>
        <w:wordWrap w:val="0"/>
        <w:overflowPunct/>
        <w:topLinePunct/>
        <w:autoSpaceDE/>
        <w:autoSpaceDN/>
        <w:bidi w:val="0"/>
        <w:adjustRightInd/>
        <w:snapToGrid/>
        <w:ind w:left="0" w:leftChars="0" w:right="0"/>
        <w:jc w:val="both"/>
        <w:rPr>
          <w:rFonts w:hint="eastAsia" w:ascii="仿宋" w:hAnsi="仿宋" w:eastAsia="仿宋" w:cs="仿宋"/>
          <w:b/>
          <w:color w:val="auto"/>
          <w:sz w:val="40"/>
          <w:szCs w:val="44"/>
          <w:highlight w:val="none"/>
          <w:lang w:eastAsia="zh-CN"/>
        </w:rPr>
      </w:pPr>
    </w:p>
    <w:p w14:paraId="1010F4C0">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sz w:val="72"/>
          <w:szCs w:val="28"/>
          <w:highlight w:val="none"/>
          <w:lang w:eastAsia="zh-CN"/>
        </w:rPr>
      </w:pPr>
      <w:r>
        <w:rPr>
          <w:rFonts w:hint="eastAsia" w:ascii="仿宋" w:hAnsi="仿宋" w:eastAsia="仿宋" w:cs="仿宋"/>
          <w:b/>
          <w:bCs/>
          <w:color w:val="auto"/>
          <w:sz w:val="72"/>
          <w:szCs w:val="28"/>
          <w:highlight w:val="none"/>
          <w:lang w:eastAsia="zh-CN"/>
        </w:rPr>
        <w:t>投 标 文 件</w:t>
      </w:r>
    </w:p>
    <w:p w14:paraId="553B3B3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7CA9C88C">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40"/>
          <w:szCs w:val="44"/>
          <w:highlight w:val="none"/>
          <w:lang w:eastAsia="zh-CN"/>
        </w:rPr>
      </w:pPr>
    </w:p>
    <w:p w14:paraId="04D16E8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1FD8AC9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3187D446">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41C81A0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rPr>
          <w:rFonts w:hint="eastAsia" w:ascii="仿宋" w:hAnsi="仿宋" w:eastAsia="仿宋" w:cs="仿宋"/>
          <w:b/>
          <w:color w:val="auto"/>
          <w:sz w:val="24"/>
          <w:szCs w:val="28"/>
          <w:highlight w:val="none"/>
          <w:lang w:eastAsia="zh-CN"/>
        </w:rPr>
      </w:pPr>
    </w:p>
    <w:p w14:paraId="095FA87A">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lang w:eastAsia="zh-CN"/>
        </w:rPr>
      </w:pPr>
      <w:r>
        <w:rPr>
          <w:rFonts w:hint="eastAsia" w:ascii="仿宋" w:hAnsi="仿宋" w:eastAsia="仿宋" w:cs="仿宋"/>
          <w:b/>
          <w:color w:val="auto"/>
          <w:sz w:val="24"/>
          <w:szCs w:val="28"/>
          <w:highlight w:val="none"/>
          <w:lang w:eastAsia="zh-CN"/>
        </w:rPr>
        <w:t>投标人：</w:t>
      </w:r>
      <w:r>
        <w:rPr>
          <w:rFonts w:hint="eastAsia" w:ascii="仿宋" w:hAnsi="仿宋" w:eastAsia="仿宋" w:cs="仿宋"/>
          <w:b/>
          <w:color w:val="auto"/>
          <w:sz w:val="24"/>
          <w:szCs w:val="28"/>
          <w:highlight w:val="none"/>
          <w:u w:val="single"/>
          <w:lang w:val="en-US" w:eastAsia="zh-CN"/>
        </w:rPr>
        <w:t xml:space="preserve">                                </w:t>
      </w:r>
      <w:r>
        <w:rPr>
          <w:rFonts w:hint="eastAsia" w:ascii="仿宋" w:hAnsi="仿宋" w:eastAsia="仿宋" w:cs="仿宋"/>
          <w:b/>
          <w:color w:val="auto"/>
          <w:sz w:val="24"/>
          <w:szCs w:val="28"/>
          <w:highlight w:val="none"/>
          <w:lang w:eastAsia="zh-CN"/>
        </w:rPr>
        <w:t>（电子公章）</w:t>
      </w:r>
    </w:p>
    <w:p w14:paraId="2E77DEB4">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both"/>
        <w:rPr>
          <w:rFonts w:hint="eastAsia" w:ascii="仿宋" w:hAnsi="仿宋" w:eastAsia="仿宋" w:cs="仿宋"/>
          <w:b/>
          <w:color w:val="auto"/>
          <w:spacing w:val="-1"/>
          <w:sz w:val="24"/>
          <w:szCs w:val="28"/>
          <w:highlight w:val="none"/>
          <w:lang w:eastAsia="zh-CN"/>
        </w:rPr>
      </w:pPr>
    </w:p>
    <w:p w14:paraId="0676BD85">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pacing w:val="-1"/>
          <w:sz w:val="24"/>
          <w:szCs w:val="28"/>
          <w:highlight w:val="none"/>
          <w:lang w:eastAsia="zh-CN"/>
        </w:rPr>
      </w:pPr>
      <w:r>
        <w:rPr>
          <w:rFonts w:hint="eastAsia" w:ascii="仿宋" w:hAnsi="仿宋" w:eastAsia="仿宋" w:cs="仿宋"/>
          <w:b/>
          <w:color w:val="auto"/>
          <w:spacing w:val="-1"/>
          <w:sz w:val="24"/>
          <w:szCs w:val="28"/>
          <w:highlight w:val="none"/>
          <w:lang w:eastAsia="zh-CN"/>
        </w:rPr>
        <w:t>法定代表人或其委托代理人：</w:t>
      </w:r>
      <w:r>
        <w:rPr>
          <w:rFonts w:hint="eastAsia" w:ascii="仿宋" w:hAnsi="仿宋" w:eastAsia="仿宋" w:cs="仿宋"/>
          <w:b/>
          <w:color w:val="auto"/>
          <w:spacing w:val="-1"/>
          <w:sz w:val="24"/>
          <w:szCs w:val="28"/>
          <w:highlight w:val="none"/>
          <w:u w:val="single"/>
          <w:lang w:val="en-US" w:eastAsia="zh-CN"/>
        </w:rPr>
        <w:t xml:space="preserve">              </w:t>
      </w:r>
      <w:r>
        <w:rPr>
          <w:rFonts w:hint="eastAsia" w:ascii="仿宋" w:hAnsi="仿宋" w:eastAsia="仿宋" w:cs="仿宋"/>
          <w:b/>
          <w:color w:val="auto"/>
          <w:spacing w:val="-1"/>
          <w:sz w:val="24"/>
          <w:szCs w:val="28"/>
          <w:highlight w:val="none"/>
          <w:lang w:eastAsia="zh-CN"/>
        </w:rPr>
        <w:t>（签字或电子签章）</w:t>
      </w:r>
    </w:p>
    <w:p w14:paraId="56B6006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color w:val="auto"/>
          <w:sz w:val="24"/>
          <w:szCs w:val="28"/>
          <w:highlight w:val="none"/>
          <w:u w:val="none" w:color="auto"/>
          <w:lang w:val="en-US" w:eastAsia="zh-CN"/>
        </w:rPr>
      </w:pPr>
    </w:p>
    <w:p w14:paraId="15159ED2">
      <w:pPr>
        <w:keepNext w:val="0"/>
        <w:keepLines w:val="0"/>
        <w:pageBreakBefore w:val="0"/>
        <w:widowControl w:val="0"/>
        <w:tabs>
          <w:tab w:val="left" w:pos="6942"/>
          <w:tab w:val="left" w:pos="7535"/>
        </w:tabs>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1"/>
          <w:highlight w:val="none"/>
          <w:lang w:eastAsia="zh-CN"/>
        </w:rPr>
        <w:sectPr>
          <w:footerReference r:id="rId9" w:type="first"/>
          <w:footerReference r:id="rId8" w:type="default"/>
          <w:pgSz w:w="11906" w:h="16838"/>
          <w:pgMar w:top="1134" w:right="1134" w:bottom="1134" w:left="1134" w:header="340"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b/>
          <w:color w:val="auto"/>
          <w:sz w:val="24"/>
          <w:szCs w:val="28"/>
          <w:highlight w:val="none"/>
          <w:u w:val="none" w:color="auto"/>
          <w:lang w:val="en-US" w:eastAsia="zh-CN"/>
        </w:rPr>
        <w:t>日期：</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年</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月</w:t>
      </w:r>
      <w:r>
        <w:rPr>
          <w:rFonts w:hint="eastAsia" w:ascii="仿宋" w:hAnsi="仿宋" w:eastAsia="仿宋" w:cs="仿宋"/>
          <w:b/>
          <w:color w:val="auto"/>
          <w:sz w:val="24"/>
          <w:szCs w:val="28"/>
          <w:highlight w:val="none"/>
          <w:u w:val="single" w:color="auto"/>
          <w:lang w:val="en-US" w:eastAsia="zh-CN"/>
        </w:rPr>
        <w:t xml:space="preserve">     </w:t>
      </w:r>
      <w:r>
        <w:rPr>
          <w:rFonts w:hint="eastAsia" w:ascii="仿宋" w:hAnsi="仿宋" w:eastAsia="仿宋" w:cs="仿宋"/>
          <w:b/>
          <w:color w:val="auto"/>
          <w:sz w:val="24"/>
          <w:szCs w:val="28"/>
          <w:highlight w:val="none"/>
          <w:lang w:eastAsia="zh-CN"/>
        </w:rPr>
        <w:t>日</w:t>
      </w:r>
      <w:bookmarkStart w:id="546" w:name="_Toc529957200"/>
      <w:bookmarkStart w:id="547" w:name="_Toc451856213"/>
      <w:bookmarkStart w:id="548" w:name="_Toc389644551"/>
      <w:bookmarkStart w:id="549" w:name="_Toc450064600"/>
      <w:bookmarkStart w:id="550" w:name="_Toc486584248"/>
      <w:bookmarkStart w:id="551" w:name="_Toc145164057"/>
      <w:bookmarkStart w:id="552" w:name="_Toc10117026"/>
      <w:bookmarkStart w:id="553" w:name="_Toc520749005"/>
    </w:p>
    <w:bookmarkEnd w:id="546"/>
    <w:bookmarkEnd w:id="547"/>
    <w:bookmarkEnd w:id="548"/>
    <w:bookmarkEnd w:id="549"/>
    <w:bookmarkEnd w:id="550"/>
    <w:bookmarkEnd w:id="551"/>
    <w:bookmarkEnd w:id="552"/>
    <w:bookmarkEnd w:id="553"/>
    <w:p w14:paraId="7B1D5B4A">
      <w:pPr>
        <w:pStyle w:val="3"/>
        <w:keepNext w:val="0"/>
        <w:keepLines w:val="0"/>
        <w:pageBreakBefore w:val="0"/>
        <w:widowControl w:val="0"/>
        <w:kinsoku/>
        <w:wordWrap w:val="0"/>
        <w:overflowPunct/>
        <w:topLinePunct/>
        <w:autoSpaceDE/>
        <w:autoSpaceDN/>
        <w:bidi w:val="0"/>
        <w:adjustRightInd/>
        <w:snapToGrid/>
        <w:spacing w:before="0" w:after="0"/>
        <w:ind w:left="0" w:leftChars="0" w:right="0"/>
        <w:rPr>
          <w:rFonts w:hint="eastAsia" w:ascii="仿宋" w:hAnsi="仿宋" w:eastAsia="仿宋" w:cs="仿宋"/>
          <w:color w:val="auto"/>
          <w:sz w:val="32"/>
          <w:szCs w:val="32"/>
          <w:highlight w:val="none"/>
          <w:lang w:val="en-US" w:eastAsia="zh-CN"/>
        </w:rPr>
      </w:pPr>
      <w:bookmarkStart w:id="554" w:name="_Toc8694"/>
      <w:bookmarkStart w:id="555" w:name="_Toc520749006"/>
      <w:bookmarkStart w:id="556" w:name="_Toc24168"/>
      <w:bookmarkStart w:id="557" w:name="_Toc18471"/>
      <w:bookmarkStart w:id="558" w:name="_Toc13272"/>
      <w:bookmarkStart w:id="559" w:name="_Toc10117027"/>
      <w:r>
        <w:rPr>
          <w:rFonts w:hint="eastAsia" w:ascii="仿宋" w:hAnsi="仿宋" w:eastAsia="仿宋" w:cs="仿宋"/>
          <w:color w:val="auto"/>
          <w:highlight w:val="none"/>
          <w:lang w:eastAsia="zh-CN"/>
        </w:rPr>
        <w:t>资格审查部分</w:t>
      </w:r>
      <w:bookmarkEnd w:id="554"/>
      <w:bookmarkEnd w:id="555"/>
      <w:bookmarkEnd w:id="556"/>
      <w:bookmarkEnd w:id="557"/>
      <w:bookmarkEnd w:id="558"/>
      <w:bookmarkEnd w:id="559"/>
      <w:bookmarkStart w:id="560" w:name="_Toc14819"/>
      <w:bookmarkStart w:id="561" w:name="_Toc20556"/>
      <w:bookmarkStart w:id="562" w:name="_Toc145164058"/>
      <w:bookmarkStart w:id="563" w:name="_Toc10812"/>
      <w:bookmarkStart w:id="564" w:name="_Toc16060"/>
      <w:bookmarkStart w:id="565" w:name="_Toc12779"/>
      <w:bookmarkStart w:id="566" w:name="_Toc11975"/>
      <w:bookmarkStart w:id="567" w:name="_Toc4306"/>
      <w:bookmarkStart w:id="568" w:name="_Toc12446"/>
      <w:bookmarkStart w:id="569" w:name="_Toc30229"/>
      <w:bookmarkStart w:id="570" w:name="_Toc30478"/>
      <w:bookmarkStart w:id="571" w:name="_Toc17869"/>
      <w:bookmarkStart w:id="572" w:name="_Toc21991"/>
    </w:p>
    <w:bookmarkEnd w:id="560"/>
    <w:bookmarkEnd w:id="561"/>
    <w:bookmarkEnd w:id="562"/>
    <w:bookmarkEnd w:id="563"/>
    <w:bookmarkEnd w:id="564"/>
    <w:bookmarkEnd w:id="565"/>
    <w:bookmarkEnd w:id="566"/>
    <w:bookmarkEnd w:id="567"/>
    <w:bookmarkEnd w:id="568"/>
    <w:bookmarkEnd w:id="569"/>
    <w:bookmarkEnd w:id="570"/>
    <w:bookmarkEnd w:id="571"/>
    <w:bookmarkEnd w:id="572"/>
    <w:p w14:paraId="20C83C2C">
      <w:pPr>
        <w:pStyle w:val="4"/>
        <w:numPr>
          <w:ilvl w:val="0"/>
          <w:numId w:val="0"/>
        </w:numPr>
        <w:tabs>
          <w:tab w:val="left" w:pos="900"/>
          <w:tab w:val="left" w:pos="1588"/>
        </w:tabs>
        <w:wordWrap w:val="0"/>
        <w:overflowPunct w:val="0"/>
        <w:topLinePunct/>
        <w:adjustRightInd/>
        <w:ind w:left="0" w:leftChars="0" w:firstLine="0" w:firstLineChars="0"/>
        <w:jc w:val="center"/>
        <w:outlineLvl w:val="1"/>
        <w:rPr>
          <w:rFonts w:hint="eastAsia" w:ascii="仿宋" w:hAnsi="仿宋" w:eastAsia="仿宋" w:cs="仿宋"/>
          <w:b/>
          <w:bCs/>
          <w:color w:val="auto"/>
          <w:sz w:val="28"/>
          <w:szCs w:val="28"/>
          <w:highlight w:val="none"/>
        </w:rPr>
      </w:pPr>
      <w:bookmarkStart w:id="573" w:name="_Toc9399"/>
      <w:bookmarkStart w:id="574" w:name="_Toc8669"/>
      <w:bookmarkStart w:id="575" w:name="_Toc25187"/>
      <w:bookmarkStart w:id="576" w:name="_Toc12367"/>
      <w:bookmarkStart w:id="577" w:name="_Toc9112"/>
      <w:bookmarkStart w:id="578" w:name="_Toc16238"/>
      <w:bookmarkStart w:id="579" w:name="_Toc30987"/>
      <w:bookmarkStart w:id="580" w:name="_Toc30809"/>
      <w:bookmarkStart w:id="581" w:name="_Toc20708"/>
      <w:bookmarkStart w:id="582" w:name="_Toc16708"/>
      <w:bookmarkStart w:id="583" w:name="_Toc11889"/>
      <w:bookmarkStart w:id="584" w:name="_Toc28293"/>
      <w:bookmarkStart w:id="585" w:name="_Toc20737"/>
      <w:bookmarkStart w:id="586" w:name="_Toc20443"/>
      <w:bookmarkStart w:id="587" w:name="_Toc8210"/>
      <w:bookmarkStart w:id="588" w:name="_Toc113"/>
      <w:bookmarkStart w:id="589" w:name="_Toc32118"/>
      <w:bookmarkStart w:id="590" w:name="_Toc14542"/>
      <w:bookmarkStart w:id="591" w:name="_Toc6772"/>
      <w:bookmarkStart w:id="592" w:name="_Toc28803"/>
      <w:bookmarkStart w:id="593" w:name="_Toc7165"/>
      <w:bookmarkStart w:id="594" w:name="_Toc28205"/>
      <w:bookmarkStart w:id="595" w:name="_Toc29724"/>
      <w:bookmarkStart w:id="596" w:name="_Toc11495"/>
      <w:bookmarkStart w:id="597" w:name="_Toc17095"/>
      <w:bookmarkStart w:id="598" w:name="_Toc17112"/>
      <w:bookmarkStart w:id="599" w:name="_Toc24304"/>
      <w:bookmarkStart w:id="600" w:name="_Toc485"/>
      <w:bookmarkStart w:id="601" w:name="_Toc6430"/>
      <w:bookmarkStart w:id="602" w:name="_Toc29111"/>
      <w:bookmarkStart w:id="603" w:name="_Toc8362"/>
      <w:bookmarkStart w:id="604" w:name="_Toc32506"/>
      <w:bookmarkStart w:id="605" w:name="_Toc16314"/>
      <w:bookmarkStart w:id="606" w:name="_Toc10117028"/>
      <w:bookmarkStart w:id="607" w:name="_Toc8243"/>
      <w:bookmarkStart w:id="608" w:name="_Toc14046"/>
      <w:bookmarkStart w:id="609" w:name="_Toc27820"/>
      <w:bookmarkStart w:id="610" w:name="_Toc25201"/>
      <w:bookmarkStart w:id="611" w:name="_Toc89951837"/>
      <w:bookmarkStart w:id="612" w:name="_Toc13388"/>
      <w:bookmarkStart w:id="613" w:name="_Toc520749007"/>
      <w:bookmarkStart w:id="614" w:name="_Toc25485"/>
      <w:bookmarkStart w:id="615" w:name="_Toc2489"/>
      <w:r>
        <w:rPr>
          <w:rFonts w:hint="eastAsia" w:ascii="仿宋" w:hAnsi="仿宋" w:eastAsia="仿宋" w:cs="仿宋"/>
          <w:b/>
          <w:bCs/>
          <w:color w:val="auto"/>
          <w:kern w:val="0"/>
          <w:sz w:val="28"/>
          <w:szCs w:val="28"/>
          <w:highlight w:val="none"/>
          <w:lang w:val="en-US" w:eastAsia="zh-CN" w:bidi="ar-SA"/>
        </w:rPr>
        <w:t>一、</w:t>
      </w:r>
      <w:r>
        <w:rPr>
          <w:rFonts w:hint="eastAsia" w:ascii="仿宋" w:hAnsi="仿宋" w:eastAsia="仿宋" w:cs="仿宋"/>
          <w:b/>
          <w:bCs/>
          <w:color w:val="auto"/>
          <w:sz w:val="28"/>
          <w:szCs w:val="28"/>
          <w:highlight w:val="none"/>
        </w:rPr>
        <w:t>具有独立承担民事责任的能力</w:t>
      </w:r>
      <w:bookmarkEnd w:id="573"/>
      <w:bookmarkEnd w:id="574"/>
      <w:bookmarkEnd w:id="575"/>
      <w:bookmarkEnd w:id="576"/>
      <w:bookmarkEnd w:id="577"/>
      <w:r>
        <w:rPr>
          <w:rFonts w:hint="eastAsia" w:ascii="仿宋" w:hAnsi="仿宋" w:eastAsia="仿宋" w:cs="仿宋"/>
          <w:b/>
          <w:bCs/>
          <w:color w:val="auto"/>
          <w:sz w:val="28"/>
          <w:szCs w:val="28"/>
          <w:highlight w:val="none"/>
          <w:lang w:val="en-US" w:eastAsia="zh-CN"/>
        </w:rPr>
        <w:t>（实质性格式）</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r>
        <w:rPr>
          <w:rFonts w:hint="eastAsia" w:ascii="仿宋" w:hAnsi="仿宋" w:eastAsia="仿宋" w:cs="仿宋"/>
          <w:b/>
          <w:bCs/>
          <w:color w:val="auto"/>
          <w:sz w:val="28"/>
          <w:szCs w:val="28"/>
          <w:highlight w:val="none"/>
          <w:lang w:val="en-US" w:eastAsia="zh-CN"/>
        </w:rPr>
        <w:t xml:space="preserve"> </w:t>
      </w:r>
    </w:p>
    <w:p w14:paraId="358C6903">
      <w:pPr>
        <w:pStyle w:val="4"/>
        <w:numPr>
          <w:ilvl w:val="0"/>
          <w:numId w:val="0"/>
        </w:numPr>
        <w:tabs>
          <w:tab w:val="left" w:pos="900"/>
          <w:tab w:val="left" w:pos="1588"/>
        </w:tabs>
        <w:wordWrap w:val="0"/>
        <w:overflowPunct w:val="0"/>
        <w:topLinePunct/>
        <w:adjustRightInd/>
        <w:ind w:leftChars="0"/>
        <w:jc w:val="center"/>
        <w:rPr>
          <w:rFonts w:hint="eastAsia" w:ascii="仿宋" w:hAnsi="仿宋" w:eastAsia="仿宋" w:cs="仿宋"/>
          <w:color w:val="auto"/>
          <w:highlight w:val="none"/>
        </w:rPr>
      </w:pPr>
      <w:bookmarkStart w:id="616" w:name="_Toc29862"/>
      <w:bookmarkStart w:id="617" w:name="_Toc825"/>
      <w:bookmarkStart w:id="618" w:name="_Toc7203"/>
      <w:bookmarkStart w:id="619" w:name="_Toc20426"/>
      <w:bookmarkStart w:id="620" w:name="_Toc16770"/>
      <w:bookmarkStart w:id="621" w:name="_Toc4464"/>
      <w:bookmarkStart w:id="622" w:name="_Toc1125"/>
      <w:bookmarkStart w:id="623" w:name="_Toc18023"/>
      <w:bookmarkStart w:id="624" w:name="_Toc12645"/>
      <w:bookmarkStart w:id="625" w:name="_Toc2516"/>
      <w:bookmarkStart w:id="626" w:name="_Toc29767"/>
      <w:bookmarkStart w:id="627" w:name="_Toc23641"/>
      <w:bookmarkStart w:id="628" w:name="_Toc26059"/>
      <w:bookmarkStart w:id="629" w:name="_Toc14521"/>
      <w:bookmarkStart w:id="630" w:name="_Toc331"/>
      <w:bookmarkStart w:id="631" w:name="_Toc7128"/>
      <w:bookmarkStart w:id="632" w:name="_Toc19573"/>
      <w:bookmarkStart w:id="633" w:name="_Toc21894"/>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）投标人</w:t>
      </w:r>
      <w:r>
        <w:rPr>
          <w:rFonts w:hint="eastAsia" w:ascii="仿宋" w:hAnsi="仿宋" w:eastAsia="仿宋" w:cs="仿宋"/>
          <w:b/>
          <w:bCs/>
          <w:color w:val="auto"/>
          <w:sz w:val="28"/>
          <w:szCs w:val="28"/>
          <w:highlight w:val="none"/>
        </w:rPr>
        <w:t>基本情况表</w:t>
      </w:r>
      <w:bookmarkEnd w:id="592"/>
      <w:bookmarkEnd w:id="593"/>
      <w:bookmarkEnd w:id="594"/>
      <w:bookmarkEnd w:id="595"/>
      <w:bookmarkEnd w:id="596"/>
      <w:bookmarkEnd w:id="597"/>
      <w:bookmarkEnd w:id="598"/>
      <w:bookmarkEnd w:id="599"/>
      <w:bookmarkEnd w:id="600"/>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tbl>
      <w:tblPr>
        <w:tblStyle w:val="2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79"/>
        <w:gridCol w:w="3859"/>
        <w:gridCol w:w="4738"/>
      </w:tblGrid>
      <w:tr w14:paraId="78DC5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F5AF6C8">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14E72762">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企业名称：</w:t>
            </w:r>
          </w:p>
        </w:tc>
      </w:tr>
      <w:tr w14:paraId="373A43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78FE83B">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334C8E6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总部地址：</w:t>
            </w:r>
          </w:p>
        </w:tc>
      </w:tr>
      <w:tr w14:paraId="65DE76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F7AFDB5">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53A94B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当地代表处地址：</w:t>
            </w:r>
          </w:p>
        </w:tc>
      </w:tr>
      <w:tr w14:paraId="2D3984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668B8A11">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p>
        </w:tc>
        <w:tc>
          <w:tcPr>
            <w:tcW w:w="3859" w:type="dxa"/>
            <w:tcBorders>
              <w:top w:val="single" w:color="auto" w:sz="6" w:space="0"/>
              <w:left w:val="single" w:color="auto" w:sz="6" w:space="0"/>
              <w:bottom w:val="single" w:color="auto" w:sz="6" w:space="0"/>
              <w:right w:val="single" w:color="auto" w:sz="6" w:space="0"/>
            </w:tcBorders>
            <w:vAlign w:val="center"/>
          </w:tcPr>
          <w:p w14:paraId="546E4DEB">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电话：</w:t>
            </w:r>
          </w:p>
        </w:tc>
        <w:tc>
          <w:tcPr>
            <w:tcW w:w="4738" w:type="dxa"/>
            <w:tcBorders>
              <w:top w:val="single" w:color="auto" w:sz="6" w:space="0"/>
              <w:left w:val="single" w:color="auto" w:sz="6" w:space="0"/>
              <w:bottom w:val="single" w:color="auto" w:sz="6" w:space="0"/>
              <w:right w:val="single" w:color="auto" w:sz="6" w:space="0"/>
            </w:tcBorders>
            <w:vAlign w:val="center"/>
          </w:tcPr>
          <w:p w14:paraId="69A5C178">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p>
        </w:tc>
      </w:tr>
      <w:tr w14:paraId="328C3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042C6D2C">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5</w:t>
            </w:r>
          </w:p>
        </w:tc>
        <w:tc>
          <w:tcPr>
            <w:tcW w:w="3859" w:type="dxa"/>
            <w:tcBorders>
              <w:top w:val="single" w:color="auto" w:sz="6" w:space="0"/>
              <w:left w:val="single" w:color="auto" w:sz="6" w:space="0"/>
              <w:bottom w:val="single" w:color="auto" w:sz="6" w:space="0"/>
              <w:right w:val="single" w:color="auto" w:sz="6" w:space="0"/>
            </w:tcBorders>
            <w:vAlign w:val="center"/>
          </w:tcPr>
          <w:p w14:paraId="4C7B674E">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传真：</w:t>
            </w:r>
          </w:p>
        </w:tc>
        <w:tc>
          <w:tcPr>
            <w:tcW w:w="4738" w:type="dxa"/>
            <w:tcBorders>
              <w:top w:val="single" w:color="auto" w:sz="6" w:space="0"/>
              <w:left w:val="single" w:color="auto" w:sz="6" w:space="0"/>
              <w:bottom w:val="single" w:color="auto" w:sz="6" w:space="0"/>
              <w:right w:val="single" w:color="auto" w:sz="6" w:space="0"/>
            </w:tcBorders>
            <w:vAlign w:val="center"/>
          </w:tcPr>
          <w:p w14:paraId="7B1AD2C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电子邮箱：</w:t>
            </w:r>
          </w:p>
        </w:tc>
      </w:tr>
      <w:tr w14:paraId="104CB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38ACA74">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6</w:t>
            </w:r>
          </w:p>
        </w:tc>
        <w:tc>
          <w:tcPr>
            <w:tcW w:w="3859" w:type="dxa"/>
            <w:tcBorders>
              <w:top w:val="single" w:color="auto" w:sz="6" w:space="0"/>
              <w:left w:val="single" w:color="auto" w:sz="6" w:space="0"/>
              <w:bottom w:val="single" w:color="auto" w:sz="6" w:space="0"/>
              <w:right w:val="single" w:color="auto" w:sz="6" w:space="0"/>
            </w:tcBorders>
            <w:vAlign w:val="center"/>
          </w:tcPr>
          <w:p w14:paraId="3008496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注册地：</w:t>
            </w:r>
          </w:p>
        </w:tc>
        <w:tc>
          <w:tcPr>
            <w:tcW w:w="4738" w:type="dxa"/>
            <w:tcBorders>
              <w:top w:val="single" w:color="auto" w:sz="6" w:space="0"/>
              <w:left w:val="single" w:color="auto" w:sz="6" w:space="0"/>
              <w:bottom w:val="single" w:color="auto" w:sz="6" w:space="0"/>
              <w:right w:val="single" w:color="auto" w:sz="6" w:space="0"/>
            </w:tcBorders>
            <w:vAlign w:val="center"/>
          </w:tcPr>
          <w:p w14:paraId="0F4CA0A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注册年份：  </w:t>
            </w:r>
          </w:p>
        </w:tc>
      </w:tr>
      <w:tr w14:paraId="3F423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1E9BDF29">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4022BBC">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行政主管部门颁发的</w:t>
            </w:r>
            <w:r>
              <w:rPr>
                <w:rFonts w:hint="eastAsia" w:ascii="仿宋" w:hAnsi="仿宋" w:eastAsia="仿宋" w:cs="仿宋"/>
                <w:color w:val="auto"/>
                <w:sz w:val="24"/>
                <w:highlight w:val="none"/>
              </w:rPr>
              <w:t>资质证书：</w:t>
            </w:r>
          </w:p>
          <w:p w14:paraId="689C39C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lang w:val="en-US" w:eastAsia="zh-CN"/>
              </w:rPr>
              <w:t>证书名称：</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资质等级：</w:t>
            </w:r>
            <w:r>
              <w:rPr>
                <w:rFonts w:hint="eastAsia" w:ascii="仿宋" w:hAnsi="仿宋" w:eastAsia="仿宋" w:cs="仿宋"/>
                <w:color w:val="auto"/>
                <w:sz w:val="24"/>
                <w:highlight w:val="none"/>
                <w:u w:val="single"/>
                <w:lang w:val="en-US" w:eastAsia="zh-CN"/>
              </w:rPr>
              <w:t xml:space="preserve">                     </w:t>
            </w:r>
          </w:p>
          <w:p w14:paraId="12F7F1D8">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证书编号：</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 xml:space="preserve">      证书有效期：</w:t>
            </w:r>
            <w:r>
              <w:rPr>
                <w:rFonts w:hint="eastAsia" w:ascii="仿宋" w:hAnsi="仿宋" w:eastAsia="仿宋" w:cs="仿宋"/>
                <w:color w:val="auto"/>
                <w:sz w:val="24"/>
                <w:highlight w:val="none"/>
                <w:u w:val="single"/>
                <w:lang w:val="en-US" w:eastAsia="zh-CN"/>
              </w:rPr>
              <w:t xml:space="preserve">                   </w:t>
            </w:r>
          </w:p>
          <w:p w14:paraId="495B743A">
            <w:pPr>
              <w:ind w:firstLine="100"/>
              <w:rPr>
                <w:rFonts w:hint="eastAsia" w:ascii="仿宋" w:hAnsi="仿宋" w:eastAsia="仿宋" w:cs="仿宋"/>
                <w:color w:val="auto"/>
                <w:sz w:val="24"/>
                <w:highlight w:val="none"/>
                <w:u w:val="single"/>
                <w:lang w:val="en-US" w:eastAsia="zh-CN"/>
              </w:rPr>
            </w:pPr>
            <w:r>
              <w:rPr>
                <w:rFonts w:hint="eastAsia" w:ascii="仿宋" w:hAnsi="仿宋" w:eastAsia="仿宋" w:cs="仿宋"/>
                <w:color w:val="auto"/>
                <w:sz w:val="24"/>
                <w:highlight w:val="none"/>
                <w:u w:val="none"/>
                <w:lang w:val="en-US" w:eastAsia="zh-CN"/>
              </w:rPr>
              <w:t>……</w:t>
            </w:r>
          </w:p>
        </w:tc>
      </w:tr>
      <w:tr w14:paraId="39241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7C2A1E07">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21542C70">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质量管理体系证书：</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1FD7209B">
            <w:pPr>
              <w:ind w:firstLine="100"/>
              <w:rPr>
                <w:rFonts w:hint="eastAsia" w:ascii="仿宋" w:hAnsi="仿宋" w:eastAsia="仿宋" w:cs="仿宋"/>
                <w:color w:val="auto"/>
                <w:sz w:val="24"/>
                <w:highlight w:val="none"/>
              </w:rPr>
            </w:pPr>
          </w:p>
          <w:p w14:paraId="23057FAD">
            <w:pPr>
              <w:ind w:firstLine="100"/>
              <w:rPr>
                <w:rFonts w:hint="eastAsia" w:ascii="仿宋" w:hAnsi="仿宋" w:eastAsia="仿宋" w:cs="仿宋"/>
                <w:color w:val="auto"/>
                <w:sz w:val="24"/>
                <w:highlight w:val="none"/>
                <w:u w:val="none"/>
                <w:lang w:val="en-US" w:eastAsia="zh-CN"/>
              </w:rPr>
            </w:pPr>
            <w:r>
              <w:rPr>
                <w:rFonts w:hint="eastAsia" w:ascii="仿宋" w:hAnsi="仿宋" w:eastAsia="仿宋" w:cs="仿宋"/>
                <w:color w:val="auto"/>
                <w:sz w:val="24"/>
                <w:highlight w:val="none"/>
              </w:rPr>
              <w:t xml:space="preserve">其他：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none"/>
                <w:lang w:val="en-US" w:eastAsia="zh-CN"/>
              </w:rPr>
              <w:t>（证书名称）</w:t>
            </w:r>
          </w:p>
          <w:p w14:paraId="75ED87DD">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r>
              <w:rPr>
                <w:rFonts w:hint="eastAsia" w:ascii="仿宋" w:hAnsi="仿宋" w:eastAsia="仿宋" w:cs="仿宋"/>
                <w:color w:val="auto"/>
                <w:sz w:val="24"/>
                <w:highlight w:val="none"/>
              </w:rPr>
              <w:t xml:space="preserve">             </w:t>
            </w:r>
          </w:p>
        </w:tc>
      </w:tr>
      <w:tr w14:paraId="7B96AA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57"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5924BC90">
            <w:pPr>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9</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7CE461F3">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经营范围</w:t>
            </w:r>
            <w:r>
              <w:rPr>
                <w:rFonts w:hint="eastAsia" w:ascii="仿宋" w:hAnsi="仿宋" w:eastAsia="仿宋" w:cs="仿宋"/>
                <w:color w:val="auto"/>
                <w:sz w:val="24"/>
                <w:highlight w:val="none"/>
              </w:rPr>
              <w:t>：</w:t>
            </w:r>
          </w:p>
          <w:p w14:paraId="0DE72FC7">
            <w:pPr>
              <w:ind w:firstLine="1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rPr>
              <w:t xml:space="preserve"> </w:t>
            </w:r>
          </w:p>
          <w:p w14:paraId="442CF23F">
            <w:pPr>
              <w:ind w:firstLine="1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2、</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p>
          <w:p w14:paraId="670C2CE0">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694CD6A6">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4、</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rPr>
              <w:tab/>
            </w:r>
            <w:r>
              <w:rPr>
                <w:rFonts w:hint="eastAsia" w:ascii="仿宋" w:hAnsi="仿宋" w:eastAsia="仿宋" w:cs="仿宋"/>
                <w:color w:val="auto"/>
                <w:sz w:val="24"/>
                <w:highlight w:val="none"/>
                <w:u w:val="single"/>
              </w:rPr>
              <w:t xml:space="preserve">                                                            </w:t>
            </w:r>
          </w:p>
          <w:p w14:paraId="388D9A89">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u w:val="none"/>
                <w:lang w:val="en-US" w:eastAsia="zh-CN"/>
              </w:rPr>
              <w:t>……</w:t>
            </w:r>
          </w:p>
        </w:tc>
      </w:tr>
      <w:tr w14:paraId="53B10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92" w:hRule="atLeast"/>
          <w:jc w:val="center"/>
        </w:trPr>
        <w:tc>
          <w:tcPr>
            <w:tcW w:w="579" w:type="dxa"/>
            <w:tcBorders>
              <w:top w:val="single" w:color="auto" w:sz="6" w:space="0"/>
              <w:left w:val="single" w:color="auto" w:sz="6" w:space="0"/>
              <w:bottom w:val="single" w:color="auto" w:sz="6" w:space="0"/>
              <w:right w:val="single" w:color="auto" w:sz="6" w:space="0"/>
            </w:tcBorders>
            <w:vAlign w:val="center"/>
          </w:tcPr>
          <w:p w14:paraId="327E03F2">
            <w:pPr>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8597" w:type="dxa"/>
            <w:gridSpan w:val="2"/>
            <w:tcBorders>
              <w:top w:val="single" w:color="auto" w:sz="6" w:space="0"/>
              <w:left w:val="single" w:color="auto" w:sz="6" w:space="0"/>
              <w:bottom w:val="single" w:color="auto" w:sz="6" w:space="0"/>
              <w:right w:val="single" w:color="auto" w:sz="6" w:space="0"/>
            </w:tcBorders>
            <w:vAlign w:val="center"/>
          </w:tcPr>
          <w:p w14:paraId="5EE7FD51">
            <w:pPr>
              <w:ind w:firstLine="100"/>
              <w:rPr>
                <w:rFonts w:hint="eastAsia" w:ascii="仿宋" w:hAnsi="仿宋" w:eastAsia="仿宋" w:cs="仿宋"/>
                <w:color w:val="auto"/>
                <w:sz w:val="24"/>
                <w:highlight w:val="none"/>
              </w:rPr>
            </w:pPr>
            <w:r>
              <w:rPr>
                <w:rFonts w:hint="eastAsia" w:ascii="仿宋" w:hAnsi="仿宋" w:eastAsia="仿宋" w:cs="仿宋"/>
                <w:color w:val="auto"/>
                <w:sz w:val="24"/>
                <w:highlight w:val="none"/>
              </w:rPr>
              <w:t>其他需要说明的情况</w:t>
            </w:r>
          </w:p>
        </w:tc>
      </w:tr>
    </w:tbl>
    <w:p w14:paraId="76BFAAC8">
      <w:pPr>
        <w:pStyle w:val="33"/>
        <w:wordWrap w:val="0"/>
        <w:overflowPunct w:val="0"/>
        <w:topLinePunct/>
        <w:ind w:firstLine="480"/>
        <w:rPr>
          <w:rFonts w:hint="eastAsia" w:ascii="仿宋" w:hAnsi="仿宋" w:eastAsia="仿宋" w:cs="仿宋"/>
          <w:color w:val="auto"/>
          <w:szCs w:val="21"/>
          <w:highlight w:val="none"/>
        </w:rPr>
      </w:pPr>
    </w:p>
    <w:p w14:paraId="36EDF16A">
      <w:pPr>
        <w:wordWrap w:val="0"/>
        <w:overflowPunct w:val="0"/>
        <w:topLinePunct/>
        <w:spacing w:line="360" w:lineRule="auto"/>
        <w:jc w:val="left"/>
        <w:rPr>
          <w:rFonts w:hint="eastAsia" w:ascii="仿宋" w:hAnsi="仿宋" w:eastAsia="仿宋" w:cs="仿宋"/>
          <w:color w:val="auto"/>
          <w:sz w:val="24"/>
          <w:highlight w:val="none"/>
          <w:lang w:eastAsia="zh-CN"/>
        </w:rPr>
      </w:pPr>
    </w:p>
    <w:p w14:paraId="71F33BC3">
      <w:pPr>
        <w:wordWrap w:val="0"/>
        <w:overflowPunct w:val="0"/>
        <w:topLinePunct/>
        <w:spacing w:line="360" w:lineRule="auto"/>
        <w:jc w:val="left"/>
        <w:rPr>
          <w:rFonts w:hint="eastAsia" w:ascii="仿宋" w:hAnsi="仿宋" w:eastAsia="仿宋" w:cs="仿宋"/>
          <w:color w:val="auto"/>
          <w:sz w:val="24"/>
          <w:highlight w:val="none"/>
          <w:lang w:eastAsia="zh-CN"/>
        </w:rPr>
      </w:pPr>
    </w:p>
    <w:p w14:paraId="00960904">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187B558">
      <w:pPr>
        <w:wordWrap w:val="0"/>
        <w:overflowPunct w:val="0"/>
        <w:topLinePunct/>
        <w:spacing w:line="360" w:lineRule="auto"/>
        <w:jc w:val="center"/>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25FA8AD">
      <w:pPr>
        <w:pStyle w:val="34"/>
        <w:autoSpaceDE w:val="0"/>
        <w:autoSpaceDN w:val="0"/>
        <w:spacing w:line="360" w:lineRule="auto"/>
        <w:ind w:firstLine="0" w:firstLineChars="0"/>
        <w:jc w:val="center"/>
        <w:textAlignment w:val="baseline"/>
        <w:rPr>
          <w:rFonts w:hint="eastAsia" w:ascii="仿宋" w:hAnsi="仿宋" w:eastAsia="仿宋" w:cs="仿宋"/>
          <w:color w:val="auto"/>
          <w:sz w:val="24"/>
          <w:highlight w:val="none"/>
        </w:rPr>
        <w:sectPr>
          <w:footerReference r:id="rId10"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601"/>
      <w:bookmarkEnd w:id="602"/>
      <w:bookmarkEnd w:id="603"/>
      <w:bookmarkEnd w:id="604"/>
      <w:bookmarkEnd w:id="605"/>
      <w:bookmarkEnd w:id="606"/>
      <w:bookmarkEnd w:id="607"/>
      <w:bookmarkEnd w:id="608"/>
      <w:bookmarkEnd w:id="609"/>
      <w:bookmarkEnd w:id="610"/>
      <w:bookmarkEnd w:id="611"/>
      <w:bookmarkEnd w:id="612"/>
      <w:bookmarkEnd w:id="613"/>
      <w:bookmarkStart w:id="634" w:name="_Toc16622"/>
      <w:bookmarkStart w:id="635" w:name="_Toc24615"/>
      <w:bookmarkStart w:id="636" w:name="_Toc10601"/>
      <w:bookmarkStart w:id="637" w:name="_Toc2887"/>
      <w:bookmarkStart w:id="638" w:name="_Toc32253"/>
      <w:bookmarkStart w:id="639" w:name="_Toc12102"/>
      <w:bookmarkStart w:id="640" w:name="_Toc19280"/>
      <w:bookmarkStart w:id="641" w:name="_Toc17892"/>
      <w:bookmarkStart w:id="642" w:name="_Toc9627"/>
      <w:bookmarkStart w:id="643" w:name="_Toc1847"/>
      <w:bookmarkStart w:id="644" w:name="_Toc8357"/>
    </w:p>
    <w:p w14:paraId="55F1BFD4">
      <w:pPr>
        <w:pStyle w:val="34"/>
        <w:autoSpaceDE w:val="0"/>
        <w:autoSpaceDN w:val="0"/>
        <w:spacing w:line="360" w:lineRule="auto"/>
        <w:ind w:firstLine="0" w:firstLineChars="0"/>
        <w:jc w:val="center"/>
        <w:textAlignment w:val="baseline"/>
        <w:outlineLvl w:val="2"/>
        <w:rPr>
          <w:rFonts w:hint="eastAsia" w:ascii="仿宋" w:hAnsi="仿宋" w:eastAsia="仿宋" w:cs="仿宋"/>
          <w:color w:val="auto"/>
          <w:highlight w:val="none"/>
        </w:rPr>
      </w:pPr>
      <w:bookmarkStart w:id="645" w:name="_Toc5438"/>
      <w:bookmarkStart w:id="646" w:name="_Toc2070"/>
      <w:bookmarkStart w:id="647" w:name="_Toc2594"/>
      <w:bookmarkStart w:id="648" w:name="_Toc22749"/>
      <w:bookmarkStart w:id="649" w:name="_Toc2748"/>
      <w:bookmarkStart w:id="650" w:name="_Toc28882"/>
      <w:bookmarkStart w:id="651" w:name="_Toc2165"/>
      <w:bookmarkStart w:id="652" w:name="_Toc26483"/>
      <w:bookmarkStart w:id="653" w:name="_Toc13390"/>
      <w:bookmarkStart w:id="654" w:name="_Toc32299"/>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提供具有独立承担民事责任的能力的证明材料</w:t>
      </w:r>
      <w:bookmarkEnd w:id="614"/>
      <w:bookmarkEnd w:id="615"/>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0B40AA3D">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highlight w:val="none"/>
        </w:rPr>
      </w:pPr>
      <w:bookmarkStart w:id="655" w:name="_Toc1054"/>
      <w:bookmarkStart w:id="656" w:name="_Toc22651"/>
      <w:bookmarkStart w:id="657" w:name="_Toc13521"/>
      <w:bookmarkStart w:id="658" w:name="_Toc15414"/>
      <w:bookmarkStart w:id="659" w:name="_Toc8238"/>
      <w:bookmarkStart w:id="660" w:name="_Toc27526"/>
      <w:bookmarkStart w:id="661" w:name="_Toc31389"/>
      <w:bookmarkStart w:id="662" w:name="_Toc32342"/>
      <w:bookmarkStart w:id="663" w:name="_Toc23927"/>
      <w:bookmarkStart w:id="664" w:name="_Toc28483"/>
      <w:bookmarkStart w:id="665" w:name="_Toc18379"/>
      <w:bookmarkStart w:id="666" w:name="_Toc28525"/>
      <w:bookmarkStart w:id="667" w:name="_Toc20851"/>
      <w:bookmarkStart w:id="668" w:name="_Toc2919"/>
      <w:bookmarkStart w:id="669" w:name="_Toc1262"/>
      <w:bookmarkStart w:id="670" w:name="_Toc8937"/>
      <w:bookmarkStart w:id="671" w:name="_Toc13025"/>
      <w:bookmarkStart w:id="672" w:name="_Toc13192"/>
      <w:bookmarkStart w:id="673" w:name="_Toc30146"/>
      <w:bookmarkStart w:id="674" w:name="_Toc5232"/>
      <w:bookmarkStart w:id="675" w:name="_Toc4872"/>
      <w:bookmarkStart w:id="676" w:name="_Toc30758"/>
      <w:bookmarkStart w:id="677" w:name="_Toc11620"/>
      <w:bookmarkStart w:id="678" w:name="_Toc19236"/>
      <w:bookmarkStart w:id="679" w:name="_Toc5280"/>
      <w:bookmarkStart w:id="680" w:name="_Toc20568"/>
      <w:bookmarkStart w:id="681" w:name="_Toc21345"/>
      <w:bookmarkStart w:id="682" w:name="_Toc8240"/>
      <w:bookmarkStart w:id="683" w:name="_Toc26688"/>
      <w:bookmarkStart w:id="684" w:name="_Toc1949"/>
      <w:bookmarkStart w:id="685" w:name="_Toc22989"/>
      <w:bookmarkStart w:id="686" w:name="_Toc21998"/>
      <w:bookmarkStart w:id="687" w:name="_Toc4823"/>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营业执照彩色</w:t>
      </w:r>
      <w:r>
        <w:rPr>
          <w:rFonts w:hint="eastAsia" w:ascii="仿宋" w:hAnsi="仿宋" w:eastAsia="仿宋" w:cs="仿宋"/>
          <w:color w:val="auto"/>
          <w:sz w:val="24"/>
          <w:szCs w:val="24"/>
          <w:highlight w:val="none"/>
          <w:lang w:eastAsia="zh-CN"/>
        </w:rPr>
        <w:t>扫描件</w:t>
      </w:r>
      <w:r>
        <w:rPr>
          <w:rFonts w:hint="eastAsia" w:ascii="仿宋" w:hAnsi="仿宋" w:eastAsia="仿宋" w:cs="仿宋"/>
          <w:color w:val="auto"/>
          <w:sz w:val="24"/>
          <w:szCs w:val="24"/>
          <w:highlight w:val="none"/>
          <w:lang w:val="en-US" w:eastAsia="zh-CN"/>
        </w:rPr>
        <w:t>加盖</w:t>
      </w:r>
      <w:r>
        <w:rPr>
          <w:rFonts w:hint="eastAsia" w:ascii="仿宋" w:hAnsi="仿宋" w:eastAsia="仿宋" w:cs="仿宋"/>
          <w:color w:val="auto"/>
          <w:sz w:val="24"/>
          <w:szCs w:val="24"/>
          <w:highlight w:val="none"/>
          <w:lang w:eastAsia="zh-CN"/>
        </w:rPr>
        <w:t>电子公章</w:t>
      </w:r>
      <w:r>
        <w:rPr>
          <w:rFonts w:hint="eastAsia" w:ascii="仿宋" w:hAnsi="仿宋" w:eastAsia="仿宋" w:cs="仿宋"/>
          <w:color w:val="auto"/>
          <w:sz w:val="24"/>
          <w:szCs w:val="24"/>
          <w:highlight w:val="none"/>
        </w:rPr>
        <w:t>）</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14:paraId="29B3A859">
      <w:pPr>
        <w:jc w:val="center"/>
        <w:rPr>
          <w:rFonts w:hint="eastAsia" w:ascii="仿宋" w:hAnsi="仿宋" w:eastAsia="仿宋" w:cs="仿宋"/>
          <w:color w:val="auto"/>
          <w:sz w:val="24"/>
          <w:highlight w:val="none"/>
        </w:rPr>
      </w:pPr>
      <w:bookmarkStart w:id="688" w:name="_Toc18700"/>
      <w:bookmarkStart w:id="689" w:name="_Toc30029"/>
      <w:bookmarkStart w:id="690" w:name="_Toc13488"/>
      <w:bookmarkStart w:id="691" w:name="_Toc20522"/>
      <w:bookmarkStart w:id="692" w:name="_Toc14718"/>
      <w:bookmarkStart w:id="693" w:name="_Toc7508"/>
      <w:bookmarkStart w:id="694" w:name="_Toc1417"/>
      <w:bookmarkStart w:id="695" w:name="_Toc25932"/>
      <w:bookmarkStart w:id="696" w:name="_Toc21719"/>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招标公告”及“第三章 评审办法”资格审查标准</w:t>
      </w:r>
    </w:p>
    <w:p w14:paraId="1DCB6C2C">
      <w:pPr>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相关要求。</w:t>
      </w:r>
    </w:p>
    <w:p w14:paraId="619E6FA6">
      <w:pPr>
        <w:jc w:val="center"/>
        <w:outlineLvl w:val="2"/>
        <w:rPr>
          <w:rFonts w:hint="eastAsia" w:ascii="仿宋" w:hAnsi="仿宋" w:eastAsia="仿宋" w:cs="仿宋"/>
          <w:color w:val="auto"/>
          <w:sz w:val="22"/>
          <w:szCs w:val="22"/>
          <w:highlight w:val="none"/>
        </w:rPr>
      </w:pPr>
      <w:bookmarkStart w:id="697" w:name="_Toc7706"/>
      <w:bookmarkStart w:id="698" w:name="_Toc8587"/>
      <w:bookmarkStart w:id="699" w:name="_Toc17491"/>
      <w:bookmarkStart w:id="700" w:name="_Toc7195"/>
      <w:bookmarkStart w:id="701" w:name="_Toc23265"/>
      <w:bookmarkStart w:id="702" w:name="_Toc18845"/>
      <w:bookmarkStart w:id="703" w:name="_Toc5453"/>
      <w:bookmarkStart w:id="704" w:name="_Toc29183"/>
      <w:bookmarkStart w:id="705" w:name="_Toc31108"/>
      <w:bookmarkStart w:id="706" w:name="_Toc28809"/>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法定代表人（负责人）身份证明书</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183FF73D">
      <w:pPr>
        <w:wordWrap w:val="0"/>
        <w:overflowPunct w:val="0"/>
        <w:topLinePunct/>
        <w:spacing w:line="360" w:lineRule="auto"/>
        <w:rPr>
          <w:rFonts w:hint="eastAsia" w:ascii="仿宋" w:hAnsi="仿宋" w:eastAsia="仿宋" w:cs="仿宋"/>
          <w:color w:val="auto"/>
          <w:szCs w:val="21"/>
          <w:highlight w:val="none"/>
        </w:rPr>
      </w:pPr>
    </w:p>
    <w:p w14:paraId="2D1E8016">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投 标 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10EBD7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14:paraId="7050BE29">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p>
    <w:p w14:paraId="58F021F4">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698CD86B">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14:paraId="3B814BE7">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    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    别：</w:t>
      </w:r>
      <w:r>
        <w:rPr>
          <w:rFonts w:hint="eastAsia" w:ascii="仿宋" w:hAnsi="仿宋" w:eastAsia="仿宋" w:cs="仿宋"/>
          <w:color w:val="auto"/>
          <w:sz w:val="24"/>
          <w:highlight w:val="none"/>
          <w:u w:val="single"/>
        </w:rPr>
        <w:t xml:space="preserve">               </w:t>
      </w:r>
    </w:p>
    <w:p w14:paraId="69EEE74E">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年    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14:paraId="0FAE48BF">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名称）的法定代表人（负责人）。</w:t>
      </w:r>
    </w:p>
    <w:p w14:paraId="0ED8D11E">
      <w:pPr>
        <w:wordWrap w:val="0"/>
        <w:overflowPunct w:val="0"/>
        <w:topLinePunct/>
        <w:spacing w:line="360" w:lineRule="auto"/>
        <w:rPr>
          <w:rFonts w:hint="eastAsia" w:ascii="仿宋" w:hAnsi="仿宋" w:eastAsia="仿宋" w:cs="仿宋"/>
          <w:b/>
          <w:color w:val="auto"/>
          <w:szCs w:val="21"/>
          <w:highlight w:val="none"/>
        </w:rPr>
      </w:pPr>
      <w:r>
        <w:rPr>
          <w:rFonts w:hint="eastAsia" w:ascii="仿宋" w:hAnsi="仿宋" w:eastAsia="仿宋" w:cs="仿宋"/>
          <w:color w:val="auto"/>
          <w:sz w:val="24"/>
          <w:highlight w:val="none"/>
        </w:rPr>
        <w:t>特此证明。</w:t>
      </w:r>
    </w:p>
    <w:p w14:paraId="37276DD7">
      <w:pPr>
        <w:wordWrap w:val="0"/>
        <w:overflowPunct w:val="0"/>
        <w:topLinePunct/>
        <w:spacing w:line="360" w:lineRule="auto"/>
        <w:rPr>
          <w:rFonts w:hint="eastAsia" w:ascii="仿宋" w:hAnsi="仿宋" w:eastAsia="仿宋" w:cs="仿宋"/>
          <w:b/>
          <w:color w:val="auto"/>
          <w:szCs w:val="21"/>
          <w:highlight w:val="none"/>
        </w:rPr>
      </w:pPr>
    </w:p>
    <w:p w14:paraId="1F096675">
      <w:pPr>
        <w:wordWrap w:val="0"/>
        <w:overflowPunct w:val="0"/>
        <w:topLinePunct/>
        <w:spacing w:line="360" w:lineRule="auto"/>
        <w:rPr>
          <w:rFonts w:hint="eastAsia" w:ascii="仿宋" w:hAnsi="仿宋" w:eastAsia="仿宋" w:cs="仿宋"/>
          <w:b/>
          <w:color w:val="auto"/>
          <w:szCs w:val="21"/>
          <w:highlight w:val="none"/>
        </w:rPr>
      </w:pPr>
    </w:p>
    <w:p w14:paraId="24959F1E">
      <w:pPr>
        <w:wordWrap w:val="0"/>
        <w:overflowPunct w:val="0"/>
        <w:topLinePunct/>
        <w:spacing w:line="360" w:lineRule="auto"/>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注：附法定代表人（负责人）身份证原件</w:t>
      </w:r>
      <w:r>
        <w:rPr>
          <w:rFonts w:hint="eastAsia" w:ascii="仿宋" w:hAnsi="仿宋" w:eastAsia="仿宋" w:cs="仿宋"/>
          <w:b/>
          <w:color w:val="auto"/>
          <w:szCs w:val="21"/>
          <w:highlight w:val="none"/>
          <w:lang w:eastAsia="zh-CN"/>
        </w:rPr>
        <w:t>扫描件</w:t>
      </w:r>
      <w:r>
        <w:rPr>
          <w:rFonts w:hint="eastAsia" w:ascii="仿宋" w:hAnsi="仿宋" w:eastAsia="仿宋" w:cs="仿宋"/>
          <w:b/>
          <w:color w:val="auto"/>
          <w:szCs w:val="21"/>
          <w:highlight w:val="none"/>
        </w:rPr>
        <w:t>。</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793"/>
      </w:tblGrid>
      <w:tr w14:paraId="706A357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694B7BC1">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569032F8">
            <w:pPr>
              <w:wordWrap w:val="0"/>
              <w:overflowPunct w:val="0"/>
              <w:topLinePunct/>
              <w:spacing w:line="460" w:lineRule="exact"/>
              <w:jc w:val="center"/>
              <w:rPr>
                <w:rFonts w:hint="eastAsia" w:ascii="仿宋" w:hAnsi="仿宋" w:eastAsia="仿宋" w:cs="仿宋"/>
                <w:color w:val="auto"/>
                <w:szCs w:val="21"/>
                <w:highlight w:val="none"/>
              </w:rPr>
            </w:pPr>
          </w:p>
          <w:p w14:paraId="42F6EACF">
            <w:pPr>
              <w:wordWrap w:val="0"/>
              <w:overflowPunct w:val="0"/>
              <w:topLinePunct/>
              <w:spacing w:line="460" w:lineRule="exact"/>
              <w:jc w:val="center"/>
              <w:rPr>
                <w:rFonts w:hint="eastAsia" w:ascii="仿宋" w:hAnsi="仿宋" w:eastAsia="仿宋" w:cs="仿宋"/>
                <w:color w:val="auto"/>
                <w:szCs w:val="21"/>
                <w:highlight w:val="none"/>
              </w:rPr>
            </w:pPr>
          </w:p>
        </w:tc>
        <w:tc>
          <w:tcPr>
            <w:tcW w:w="4793" w:type="dxa"/>
            <w:vAlign w:val="center"/>
          </w:tcPr>
          <w:p w14:paraId="56C11EC3">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法定代表人（负责人）身份证原件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3F03C83B">
      <w:pPr>
        <w:wordWrap w:val="0"/>
        <w:overflowPunct w:val="0"/>
        <w:topLinePunct/>
        <w:spacing w:line="360" w:lineRule="auto"/>
        <w:rPr>
          <w:rFonts w:hint="eastAsia" w:ascii="仿宋" w:hAnsi="仿宋" w:eastAsia="仿宋" w:cs="仿宋"/>
          <w:color w:val="auto"/>
          <w:szCs w:val="21"/>
          <w:highlight w:val="none"/>
        </w:rPr>
      </w:pPr>
    </w:p>
    <w:p w14:paraId="53C9E3CA">
      <w:pPr>
        <w:wordWrap w:val="0"/>
        <w:overflowPunct w:val="0"/>
        <w:topLinePunct/>
        <w:spacing w:line="360" w:lineRule="auto"/>
        <w:jc w:val="center"/>
        <w:outlineLvl w:val="9"/>
        <w:rPr>
          <w:rFonts w:hint="eastAsia" w:ascii="仿宋" w:hAnsi="仿宋" w:eastAsia="仿宋" w:cs="仿宋"/>
          <w:color w:val="auto"/>
          <w:sz w:val="24"/>
          <w:highlight w:val="none"/>
        </w:rPr>
      </w:pPr>
      <w:bookmarkStart w:id="707" w:name="_Toc22256"/>
      <w:bookmarkStart w:id="708" w:name="_Toc15523"/>
      <w:bookmarkStart w:id="709" w:name="_Toc30689"/>
      <w:bookmarkStart w:id="710" w:name="_Toc1220"/>
      <w:bookmarkStart w:id="711" w:name="_Toc29157"/>
      <w:bookmarkStart w:id="712" w:name="_Toc29456"/>
      <w:bookmarkStart w:id="713" w:name="_Toc22906"/>
      <w:bookmarkStart w:id="714" w:name="_Toc29647"/>
      <w:bookmarkStart w:id="715" w:name="_Toc16464"/>
      <w:bookmarkStart w:id="716" w:name="_Toc18649"/>
      <w:bookmarkStart w:id="717" w:name="_Toc10268"/>
      <w:bookmarkStart w:id="718" w:name="_Toc14214"/>
      <w:bookmarkStart w:id="719" w:name="_Toc27032"/>
      <w:bookmarkStart w:id="720" w:name="_Toc24067"/>
    </w:p>
    <w:p w14:paraId="4A1C612D">
      <w:pPr>
        <w:wordWrap w:val="0"/>
        <w:overflowPunct w:val="0"/>
        <w:topLinePunct/>
        <w:spacing w:line="360" w:lineRule="auto"/>
        <w:jc w:val="center"/>
        <w:outlineLvl w:val="1"/>
        <w:rPr>
          <w:rFonts w:hint="eastAsia" w:ascii="仿宋" w:hAnsi="仿宋" w:eastAsia="仿宋" w:cs="仿宋"/>
          <w:color w:val="auto"/>
          <w:sz w:val="24"/>
          <w:highlight w:val="none"/>
        </w:rPr>
      </w:pPr>
      <w:bookmarkStart w:id="721" w:name="_Toc27445"/>
      <w:bookmarkStart w:id="722" w:name="_Toc23658"/>
      <w:bookmarkStart w:id="723" w:name="_Toc32741"/>
      <w:bookmarkStart w:id="724" w:name="_Toc9484"/>
      <w:bookmarkStart w:id="725" w:name="_Toc30707"/>
      <w:bookmarkStart w:id="726" w:name="_Toc15051"/>
      <w:bookmarkStart w:id="727" w:name="_Toc26711"/>
      <w:bookmarkStart w:id="728" w:name="_Toc6575"/>
      <w:bookmarkStart w:id="729" w:name="_Toc31219"/>
      <w:bookmarkStart w:id="730" w:name="_Toc19207"/>
      <w:bookmarkStart w:id="731" w:name="_Toc18128"/>
      <w:bookmarkStart w:id="732" w:name="_Toc24641"/>
      <w:bookmarkStart w:id="733" w:name="_Toc12304"/>
      <w:bookmarkStart w:id="734" w:name="_Toc3578"/>
      <w:bookmarkStart w:id="735" w:name="_Toc10294"/>
      <w:bookmarkStart w:id="736" w:name="_Toc21889"/>
      <w:bookmarkStart w:id="737" w:name="_Toc18175"/>
      <w:bookmarkStart w:id="738" w:name="_Toc22991"/>
      <w:bookmarkStart w:id="739" w:name="_Toc30450"/>
      <w:bookmarkStart w:id="740" w:name="_Toc26112"/>
      <w:bookmarkStart w:id="741" w:name="_Toc27946"/>
      <w:bookmarkStart w:id="742" w:name="_Toc24102"/>
      <w:bookmarkStart w:id="743" w:name="_Toc30526"/>
      <w:bookmarkStart w:id="744" w:name="_Toc28749"/>
      <w:bookmarkStart w:id="745" w:name="_Toc14843"/>
      <w:bookmarkStart w:id="746" w:name="_Toc28300"/>
      <w:bookmarkStart w:id="747" w:name="_Toc15985"/>
      <w:bookmarkStart w:id="748" w:name="_Toc32294"/>
      <w:bookmarkStart w:id="749" w:name="_Toc25270"/>
      <w:bookmarkStart w:id="750" w:name="_Toc31415"/>
      <w:bookmarkStart w:id="751" w:name="_Toc31371"/>
      <w:bookmarkStart w:id="752" w:name="_Toc55"/>
      <w:bookmarkStart w:id="753" w:name="_Toc29348"/>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（电子公章）</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75693AAD">
      <w:pPr>
        <w:wordWrap w:val="0"/>
        <w:overflowPunct w:val="0"/>
        <w:topLinePunct/>
        <w:spacing w:line="360" w:lineRule="auto"/>
        <w:jc w:val="center"/>
        <w:outlineLvl w:val="1"/>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754" w:name="_Toc6364"/>
      <w:bookmarkStart w:id="755" w:name="_Toc2136"/>
      <w:bookmarkStart w:id="756" w:name="_Toc8655"/>
      <w:bookmarkStart w:id="757" w:name="_Toc8856"/>
      <w:bookmarkStart w:id="758" w:name="_Toc15294"/>
      <w:bookmarkStart w:id="759" w:name="_Toc19695"/>
      <w:bookmarkStart w:id="760" w:name="_Toc10705"/>
      <w:bookmarkStart w:id="761" w:name="_Toc9847"/>
      <w:bookmarkStart w:id="762" w:name="_Toc30715"/>
      <w:bookmarkStart w:id="763" w:name="_Toc18576"/>
      <w:bookmarkStart w:id="764" w:name="_Toc32288"/>
      <w:bookmarkStart w:id="765" w:name="_Toc23390"/>
      <w:bookmarkStart w:id="766" w:name="_Toc17725"/>
      <w:bookmarkStart w:id="767" w:name="_Toc23747"/>
      <w:bookmarkStart w:id="768" w:name="_Toc27858"/>
      <w:bookmarkStart w:id="769" w:name="_Toc12451"/>
      <w:bookmarkStart w:id="770" w:name="_Toc20023"/>
      <w:bookmarkStart w:id="771" w:name="_Toc28135"/>
      <w:bookmarkStart w:id="772" w:name="_Toc12133"/>
      <w:bookmarkStart w:id="773" w:name="_Toc4487"/>
      <w:bookmarkStart w:id="774" w:name="_Toc14874"/>
      <w:bookmarkStart w:id="775" w:name="_Toc10824"/>
      <w:bookmarkStart w:id="776" w:name="_Toc9190"/>
      <w:bookmarkStart w:id="777" w:name="_Toc11921"/>
      <w:bookmarkStart w:id="778" w:name="_Toc20859"/>
      <w:bookmarkStart w:id="779" w:name="_Toc22087"/>
      <w:bookmarkStart w:id="780" w:name="_Toc20508"/>
      <w:bookmarkStart w:id="781" w:name="_Toc23556"/>
      <w:bookmarkStart w:id="782" w:name="_Toc11794"/>
      <w:bookmarkStart w:id="783" w:name="_Toc7346"/>
      <w:bookmarkStart w:id="784" w:name="_Toc1711"/>
      <w:bookmarkStart w:id="785" w:name="_Toc22685"/>
      <w:bookmarkStart w:id="786" w:name="_Toc31303"/>
      <w:bookmarkStart w:id="787" w:name="_Toc23041"/>
      <w:bookmarkStart w:id="788" w:name="_Toc31942"/>
      <w:bookmarkStart w:id="789" w:name="_Toc6752"/>
      <w:bookmarkStart w:id="790" w:name="_Toc23117"/>
      <w:bookmarkStart w:id="791" w:name="_Toc15649"/>
      <w:bookmarkStart w:id="792" w:name="_Toc18846"/>
      <w:bookmarkStart w:id="793" w:name="_Toc23274"/>
      <w:bookmarkStart w:id="794" w:name="_Toc6487"/>
      <w:bookmarkStart w:id="795" w:name="_Toc2876"/>
      <w:bookmarkStart w:id="796" w:name="_Toc11384"/>
      <w:bookmarkStart w:id="797" w:name="_Toc22248"/>
      <w:bookmarkStart w:id="798" w:name="_Toc12658"/>
      <w:bookmarkStart w:id="799" w:name="_Toc26113"/>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bookmarkStart w:id="800" w:name="_Toc1763"/>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Start w:id="801" w:name="_Toc22693"/>
      <w:bookmarkStart w:id="802" w:name="_Toc10117038"/>
      <w:bookmarkStart w:id="803" w:name="_Toc30636"/>
      <w:bookmarkStart w:id="804" w:name="_Toc89951846"/>
      <w:bookmarkStart w:id="805" w:name="_Toc30066"/>
      <w:bookmarkStart w:id="806" w:name="_Toc6637"/>
      <w:bookmarkStart w:id="807" w:name="_Toc13689"/>
      <w:bookmarkStart w:id="808" w:name="_Toc16490"/>
      <w:bookmarkStart w:id="809" w:name="_Toc23322"/>
      <w:bookmarkStart w:id="810" w:name="_Toc2962"/>
      <w:bookmarkStart w:id="811" w:name="_Toc8164"/>
      <w:bookmarkStart w:id="812" w:name="_Toc5043"/>
      <w:bookmarkStart w:id="813" w:name="_Toc16717"/>
      <w:bookmarkStart w:id="814" w:name="_Toc18991"/>
      <w:bookmarkStart w:id="815" w:name="_Toc18667"/>
      <w:bookmarkStart w:id="816" w:name="_Toc17855"/>
      <w:bookmarkStart w:id="817" w:name="_Toc17641"/>
      <w:bookmarkStart w:id="818" w:name="_Toc5395"/>
      <w:bookmarkStart w:id="819" w:name="_Toc20029"/>
      <w:bookmarkStart w:id="820" w:name="_Toc5101"/>
      <w:bookmarkStart w:id="821" w:name="_Toc22953"/>
      <w:bookmarkStart w:id="822" w:name="_Toc20369"/>
      <w:bookmarkStart w:id="823" w:name="_Toc21113"/>
      <w:bookmarkStart w:id="824" w:name="_Toc14073"/>
      <w:bookmarkStart w:id="825" w:name="_Toc4950"/>
      <w:bookmarkStart w:id="826" w:name="_Toc27274"/>
      <w:bookmarkStart w:id="827" w:name="_Toc19112"/>
      <w:bookmarkStart w:id="828" w:name="_Toc18494"/>
    </w:p>
    <w:p w14:paraId="12745D7A">
      <w:pPr>
        <w:wordWrap w:val="0"/>
        <w:overflowPunct w:val="0"/>
        <w:topLinePunct/>
        <w:spacing w:line="360" w:lineRule="auto"/>
        <w:jc w:val="center"/>
        <w:outlineLvl w:val="1"/>
        <w:rPr>
          <w:rFonts w:hint="eastAsia" w:ascii="仿宋" w:hAnsi="仿宋" w:eastAsia="仿宋" w:cs="仿宋"/>
          <w:b/>
          <w:bCs/>
          <w:color w:val="auto"/>
          <w:sz w:val="21"/>
          <w:szCs w:val="21"/>
          <w:highlight w:val="none"/>
        </w:rPr>
      </w:pPr>
      <w:bookmarkStart w:id="829" w:name="_Toc20637"/>
      <w:bookmarkStart w:id="830" w:name="_Toc6706"/>
      <w:bookmarkStart w:id="831" w:name="_Toc1668"/>
      <w:bookmarkStart w:id="832" w:name="_Toc15087"/>
      <w:bookmarkStart w:id="833" w:name="_Toc13515"/>
      <w:bookmarkStart w:id="834" w:name="_Toc18780"/>
      <w:bookmarkStart w:id="835" w:name="_Toc13145"/>
      <w:bookmarkStart w:id="836" w:name="_Toc22768"/>
      <w:bookmarkStart w:id="837" w:name="_Toc12946"/>
      <w:bookmarkStart w:id="838" w:name="_Toc13796"/>
      <w:bookmarkStart w:id="839" w:name="_Toc17592"/>
      <w:bookmarkStart w:id="840" w:name="_Toc3798"/>
      <w:bookmarkStart w:id="841" w:name="_Toc17381"/>
      <w:bookmarkStart w:id="842" w:name="_Toc13495"/>
      <w:bookmarkStart w:id="843" w:name="_Toc10643"/>
      <w:bookmarkStart w:id="844" w:name="_Toc26278"/>
      <w:bookmarkStart w:id="845" w:name="_Toc2201"/>
      <w:r>
        <w:rPr>
          <w:rFonts w:hint="eastAsia" w:ascii="仿宋" w:hAnsi="仿宋" w:eastAsia="仿宋" w:cs="仿宋"/>
          <w:b/>
          <w:bCs/>
          <w:color w:val="auto"/>
          <w:sz w:val="28"/>
          <w:szCs w:val="28"/>
          <w:highlight w:val="none"/>
        </w:rPr>
        <w:t>法定代表人（负责人）授权委托书</w:t>
      </w:r>
      <w:bookmarkEnd w:id="801"/>
      <w:bookmarkEnd w:id="802"/>
      <w:bookmarkEnd w:id="803"/>
      <w:bookmarkEnd w:id="804"/>
      <w:r>
        <w:rPr>
          <w:rFonts w:hint="eastAsia" w:ascii="仿宋" w:hAnsi="仿宋" w:eastAsia="仿宋" w:cs="仿宋"/>
          <w:b/>
          <w:bCs/>
          <w:color w:val="auto"/>
          <w:sz w:val="28"/>
          <w:szCs w:val="28"/>
          <w:highlight w:val="none"/>
        </w:rPr>
        <w:t>（若有）</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p>
    <w:p w14:paraId="06DF07F3">
      <w:pPr>
        <w:wordWrap w:val="0"/>
        <w:overflowPunct w:val="0"/>
        <w:topLinePunct/>
        <w:spacing w:line="360" w:lineRule="auto"/>
        <w:rPr>
          <w:rFonts w:hint="eastAsia" w:ascii="仿宋" w:hAnsi="仿宋" w:eastAsia="仿宋" w:cs="仿宋"/>
          <w:color w:val="auto"/>
          <w:szCs w:val="21"/>
          <w:highlight w:val="none"/>
        </w:rPr>
      </w:pPr>
    </w:p>
    <w:p w14:paraId="75D0D320">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本授权委托书声明：我</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（姓名）系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名称）</w:t>
      </w:r>
      <w:r>
        <w:rPr>
          <w:rFonts w:hint="eastAsia" w:ascii="仿宋" w:hAnsi="仿宋" w:eastAsia="仿宋" w:cs="仿宋"/>
          <w:color w:val="auto"/>
          <w:sz w:val="24"/>
          <w:highlight w:val="none"/>
        </w:rPr>
        <w:t>的法定代表人（负责人），现授权委托</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投标人</w:t>
      </w:r>
      <w:r>
        <w:rPr>
          <w:rFonts w:hint="eastAsia" w:ascii="仿宋" w:hAnsi="仿宋" w:eastAsia="仿宋" w:cs="仿宋"/>
          <w:color w:val="auto"/>
          <w:sz w:val="24"/>
          <w:highlight w:val="none"/>
          <w:u w:val="single"/>
        </w:rPr>
        <w:t xml:space="preserve">名称）     </w:t>
      </w:r>
      <w:r>
        <w:rPr>
          <w:rFonts w:hint="eastAsia" w:ascii="仿宋" w:hAnsi="仿宋" w:eastAsia="仿宋" w:cs="仿宋"/>
          <w:color w:val="auto"/>
          <w:sz w:val="24"/>
          <w:highlight w:val="none"/>
        </w:rPr>
        <w:t>的</w:t>
      </w:r>
      <w:r>
        <w:rPr>
          <w:rFonts w:hint="eastAsia" w:ascii="仿宋" w:hAnsi="仿宋" w:eastAsia="仿宋" w:cs="仿宋"/>
          <w:color w:val="auto"/>
          <w:sz w:val="24"/>
          <w:highlight w:val="none"/>
          <w:u w:val="single"/>
        </w:rPr>
        <w:t xml:space="preserve">    （姓名）    </w:t>
      </w:r>
      <w:r>
        <w:rPr>
          <w:rFonts w:hint="eastAsia" w:ascii="仿宋" w:hAnsi="仿宋" w:eastAsia="仿宋" w:cs="仿宋"/>
          <w:color w:val="auto"/>
          <w:sz w:val="24"/>
          <w:highlight w:val="none"/>
        </w:rPr>
        <w:t>为我方代理人，以我方名义签署、澄清、说明、补正、递交、撤回、修改（</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、签订合同和处理有关事宜，其法律后果由我方承担。</w:t>
      </w:r>
    </w:p>
    <w:p w14:paraId="75840E1C">
      <w:pPr>
        <w:wordWrap w:val="0"/>
        <w:overflowPunct w:val="0"/>
        <w:topLinePunct/>
        <w:spacing w:line="360" w:lineRule="auto"/>
        <w:ind w:firstLine="540" w:firstLineChars="225"/>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代理人无转委托权，特此委托。</w:t>
      </w:r>
    </w:p>
    <w:p w14:paraId="64D8C140">
      <w:pPr>
        <w:wordWrap w:val="0"/>
        <w:overflowPunct w:val="0"/>
        <w:topLinePunct/>
        <w:spacing w:line="360" w:lineRule="auto"/>
        <w:rPr>
          <w:rFonts w:hint="eastAsia" w:ascii="仿宋" w:hAnsi="仿宋" w:eastAsia="仿宋" w:cs="仿宋"/>
          <w:color w:val="auto"/>
          <w:sz w:val="24"/>
          <w:highlight w:val="none"/>
        </w:rPr>
      </w:pPr>
    </w:p>
    <w:p w14:paraId="196D21AE">
      <w:pPr>
        <w:wordWrap w:val="0"/>
        <w:overflowPunct w:val="0"/>
        <w:topLinePunct/>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投标人</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lang w:eastAsia="zh-CN"/>
        </w:rPr>
        <w:t>（电子公章）</w:t>
      </w:r>
    </w:p>
    <w:p w14:paraId="1029A1F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214A2C1">
      <w:pPr>
        <w:wordWrap w:val="0"/>
        <w:overflowPunct w:val="0"/>
        <w:topLinePunct/>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45815BC3">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（签字）</w:t>
      </w:r>
    </w:p>
    <w:p w14:paraId="089F896D">
      <w:pPr>
        <w:wordWrap w:val="0"/>
        <w:overflowPunct w:val="0"/>
        <w:topLinePunct/>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身份证号码：</w:t>
      </w:r>
      <w:r>
        <w:rPr>
          <w:rFonts w:hint="eastAsia" w:ascii="仿宋" w:hAnsi="仿宋" w:eastAsia="仿宋" w:cs="仿宋"/>
          <w:color w:val="auto"/>
          <w:sz w:val="24"/>
          <w:highlight w:val="none"/>
          <w:u w:val="single"/>
        </w:rPr>
        <w:t xml:space="preserve">                         </w:t>
      </w:r>
    </w:p>
    <w:p w14:paraId="322940FB">
      <w:pPr>
        <w:wordWrap w:val="0"/>
        <w:overflowPunct w:val="0"/>
        <w:topLinePunct/>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 w:val="24"/>
          <w:highlight w:val="none"/>
        </w:rPr>
        <w:t>授权委托日期：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0CC1F812">
      <w:pPr>
        <w:wordWrap w:val="0"/>
        <w:overflowPunct w:val="0"/>
        <w:topLinePunct/>
        <w:spacing w:line="360" w:lineRule="auto"/>
        <w:rPr>
          <w:rFonts w:hint="eastAsia" w:ascii="仿宋" w:hAnsi="仿宋" w:eastAsia="仿宋" w:cs="仿宋"/>
          <w:color w:val="auto"/>
          <w:szCs w:val="21"/>
          <w:highlight w:val="none"/>
        </w:rPr>
      </w:pP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1E67EE2C">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055F492A">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正面</w:t>
            </w:r>
          </w:p>
        </w:tc>
        <w:tc>
          <w:tcPr>
            <w:tcW w:w="257" w:type="dxa"/>
            <w:tcBorders>
              <w:top w:val="nil"/>
              <w:bottom w:val="nil"/>
            </w:tcBorders>
            <w:vAlign w:val="center"/>
          </w:tcPr>
          <w:p w14:paraId="798C2D24">
            <w:pPr>
              <w:wordWrap w:val="0"/>
              <w:overflowPunct w:val="0"/>
              <w:topLinePunct/>
              <w:spacing w:line="460" w:lineRule="exact"/>
              <w:jc w:val="center"/>
              <w:rPr>
                <w:rFonts w:hint="eastAsia" w:ascii="仿宋" w:hAnsi="仿宋" w:eastAsia="仿宋" w:cs="仿宋"/>
                <w:color w:val="auto"/>
                <w:szCs w:val="21"/>
                <w:highlight w:val="none"/>
              </w:rPr>
            </w:pPr>
          </w:p>
          <w:p w14:paraId="758147BC">
            <w:pPr>
              <w:wordWrap w:val="0"/>
              <w:overflowPunct w:val="0"/>
              <w:topLinePunct/>
              <w:spacing w:line="460" w:lineRule="exact"/>
              <w:jc w:val="center"/>
              <w:rPr>
                <w:rFonts w:hint="eastAsia" w:ascii="仿宋" w:hAnsi="仿宋" w:eastAsia="仿宋" w:cs="仿宋"/>
                <w:color w:val="auto"/>
                <w:szCs w:val="21"/>
                <w:highlight w:val="none"/>
              </w:rPr>
            </w:pPr>
          </w:p>
        </w:tc>
        <w:tc>
          <w:tcPr>
            <w:tcW w:w="4674" w:type="dxa"/>
            <w:vAlign w:val="center"/>
          </w:tcPr>
          <w:p w14:paraId="6BFFBFE5">
            <w:pPr>
              <w:wordWrap w:val="0"/>
              <w:overflowPunct w:val="0"/>
              <w:topLinePunct/>
              <w:spacing w:line="460" w:lineRule="exact"/>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代理人身份证原件</w:t>
            </w:r>
            <w:r>
              <w:rPr>
                <w:rFonts w:hint="eastAsia" w:ascii="仿宋" w:hAnsi="仿宋" w:eastAsia="仿宋" w:cs="仿宋"/>
                <w:color w:val="auto"/>
                <w:szCs w:val="21"/>
                <w:highlight w:val="none"/>
                <w:lang w:eastAsia="zh-CN"/>
              </w:rPr>
              <w:t>扫描件</w:t>
            </w:r>
            <w:r>
              <w:rPr>
                <w:rFonts w:hint="eastAsia" w:ascii="仿宋" w:hAnsi="仿宋" w:eastAsia="仿宋" w:cs="仿宋"/>
                <w:color w:val="auto"/>
                <w:szCs w:val="21"/>
                <w:highlight w:val="none"/>
              </w:rPr>
              <w:t>背面</w:t>
            </w:r>
          </w:p>
        </w:tc>
      </w:tr>
    </w:tbl>
    <w:p w14:paraId="5D5C575D">
      <w:pPr>
        <w:wordWrap w:val="0"/>
        <w:overflowPunct w:val="0"/>
        <w:topLinePunct/>
        <w:spacing w:line="360" w:lineRule="auto"/>
        <w:rPr>
          <w:rFonts w:hint="eastAsia" w:ascii="仿宋" w:hAnsi="仿宋" w:eastAsia="仿宋" w:cs="仿宋"/>
          <w:color w:val="auto"/>
          <w:szCs w:val="21"/>
          <w:highlight w:val="none"/>
        </w:rPr>
      </w:pPr>
    </w:p>
    <w:p w14:paraId="19D9D49F">
      <w:pPr>
        <w:pStyle w:val="18"/>
        <w:wordWrap w:val="0"/>
        <w:overflowPunct w:val="0"/>
        <w:topLinePunct/>
        <w:spacing w:after="0"/>
        <w:ind w:firstLine="422" w:firstLineChars="200"/>
        <w:jc w:val="left"/>
        <w:rPr>
          <w:rFonts w:hint="eastAsia" w:ascii="仿宋" w:hAnsi="仿宋" w:eastAsia="仿宋" w:cs="仿宋"/>
          <w:b/>
          <w:color w:val="auto"/>
          <w:sz w:val="21"/>
          <w:szCs w:val="21"/>
          <w:highlight w:val="none"/>
        </w:rPr>
      </w:pPr>
    </w:p>
    <w:p w14:paraId="1065FD0B">
      <w:pPr>
        <w:pStyle w:val="19"/>
        <w:rPr>
          <w:rFonts w:hint="eastAsia" w:ascii="仿宋" w:hAnsi="仿宋" w:eastAsia="仿宋" w:cs="仿宋"/>
          <w:b/>
          <w:color w:val="auto"/>
          <w:sz w:val="21"/>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rPr>
        <w:t>注：附授权委托人身份证原件</w:t>
      </w:r>
      <w:r>
        <w:rPr>
          <w:rFonts w:hint="eastAsia" w:ascii="仿宋" w:hAnsi="仿宋" w:eastAsia="仿宋" w:cs="仿宋"/>
          <w:b/>
          <w:color w:val="auto"/>
          <w:sz w:val="21"/>
          <w:szCs w:val="21"/>
          <w:highlight w:val="none"/>
          <w:lang w:eastAsia="zh-CN"/>
        </w:rPr>
        <w:t>扫描件</w:t>
      </w:r>
      <w:r>
        <w:rPr>
          <w:rFonts w:hint="eastAsia" w:ascii="仿宋" w:hAnsi="仿宋" w:eastAsia="仿宋" w:cs="仿宋"/>
          <w:b/>
          <w:color w:val="auto"/>
          <w:sz w:val="21"/>
          <w:szCs w:val="21"/>
          <w:highlight w:val="none"/>
        </w:rPr>
        <w:t>，如</w:t>
      </w:r>
      <w:r>
        <w:rPr>
          <w:rFonts w:hint="eastAsia" w:ascii="仿宋" w:hAnsi="仿宋" w:eastAsia="仿宋" w:cs="仿宋"/>
          <w:b/>
          <w:color w:val="auto"/>
          <w:sz w:val="21"/>
          <w:szCs w:val="21"/>
          <w:highlight w:val="none"/>
          <w:lang w:eastAsia="zh-CN"/>
        </w:rPr>
        <w:t>投标人</w:t>
      </w:r>
      <w:r>
        <w:rPr>
          <w:rFonts w:hint="eastAsia" w:ascii="仿宋" w:hAnsi="仿宋" w:eastAsia="仿宋" w:cs="仿宋"/>
          <w:b/>
          <w:color w:val="auto"/>
          <w:sz w:val="21"/>
          <w:szCs w:val="21"/>
          <w:highlight w:val="none"/>
        </w:rPr>
        <w:t>由法定代表人（负责人）亲自签署</w:t>
      </w:r>
      <w:r>
        <w:rPr>
          <w:rFonts w:hint="eastAsia" w:ascii="仿宋" w:hAnsi="仿宋" w:eastAsia="仿宋" w:cs="仿宋"/>
          <w:b/>
          <w:color w:val="auto"/>
          <w:sz w:val="21"/>
          <w:szCs w:val="21"/>
          <w:highlight w:val="none"/>
          <w:lang w:eastAsia="zh-CN"/>
        </w:rPr>
        <w:t>投标文件</w:t>
      </w:r>
      <w:r>
        <w:rPr>
          <w:rFonts w:hint="eastAsia" w:ascii="仿宋" w:hAnsi="仿宋" w:eastAsia="仿宋" w:cs="仿宋"/>
          <w:b/>
          <w:color w:val="auto"/>
          <w:sz w:val="21"/>
          <w:szCs w:val="21"/>
          <w:highlight w:val="none"/>
        </w:rPr>
        <w:t>并参与相关活动，则不需要办理授权。如有被授权的代理人签署上述文件，则必须按本格式规定填报并提交授权书，否则被授权的代理人将不被认可。</w:t>
      </w:r>
      <w:bookmarkStart w:id="846" w:name="_Toc4894"/>
      <w:bookmarkStart w:id="847" w:name="_Toc21664"/>
      <w:bookmarkStart w:id="848" w:name="_Toc5671"/>
      <w:bookmarkStart w:id="849" w:name="_Toc4795"/>
      <w:bookmarkStart w:id="850" w:name="_Toc28918"/>
      <w:bookmarkStart w:id="851" w:name="_Toc23833"/>
      <w:bookmarkStart w:id="852" w:name="_Toc25299"/>
      <w:bookmarkStart w:id="853" w:name="_Toc14030"/>
      <w:bookmarkStart w:id="854" w:name="_Toc8211"/>
      <w:bookmarkStart w:id="855" w:name="_Toc24423"/>
      <w:bookmarkStart w:id="856" w:name="_Toc4341"/>
      <w:bookmarkStart w:id="857" w:name="_Toc11687"/>
      <w:bookmarkStart w:id="858" w:name="_Toc3893"/>
      <w:bookmarkStart w:id="859" w:name="_Toc30079"/>
      <w:bookmarkStart w:id="860" w:name="_Toc3751"/>
      <w:bookmarkStart w:id="861" w:name="_Toc12747"/>
      <w:bookmarkStart w:id="862" w:name="_Toc2811"/>
      <w:bookmarkStart w:id="863" w:name="_Toc19503"/>
      <w:bookmarkStart w:id="864" w:name="_Toc7472"/>
      <w:bookmarkStart w:id="865" w:name="_Toc25082"/>
      <w:bookmarkStart w:id="866" w:name="_Toc18692"/>
      <w:bookmarkStart w:id="867" w:name="_Toc20304"/>
    </w:p>
    <w:p w14:paraId="1DF3B7E5">
      <w:pPr>
        <w:pStyle w:val="19"/>
        <w:ind w:left="0" w:leftChars="0" w:firstLine="0" w:firstLineChars="0"/>
        <w:jc w:val="center"/>
        <w:outlineLvl w:val="1"/>
        <w:rPr>
          <w:rFonts w:hint="eastAsia" w:ascii="仿宋" w:hAnsi="仿宋" w:eastAsia="仿宋" w:cs="仿宋"/>
          <w:b/>
          <w:bCs/>
          <w:color w:val="auto"/>
          <w:sz w:val="32"/>
          <w:szCs w:val="32"/>
          <w:highlight w:val="none"/>
        </w:rPr>
      </w:pPr>
      <w:bookmarkStart w:id="868" w:name="_Toc24709"/>
      <w:bookmarkStart w:id="869" w:name="_Toc17765"/>
      <w:bookmarkStart w:id="870" w:name="_Toc13335"/>
      <w:bookmarkStart w:id="871" w:name="_Toc21473"/>
      <w:bookmarkStart w:id="872" w:name="_Toc18759"/>
      <w:bookmarkStart w:id="873" w:name="_Toc5803"/>
      <w:bookmarkStart w:id="874" w:name="_Toc20039"/>
      <w:bookmarkStart w:id="875" w:name="_Toc1040"/>
      <w:bookmarkStart w:id="876" w:name="_Toc29892"/>
      <w:bookmarkStart w:id="877" w:name="_Toc14371"/>
      <w:bookmarkStart w:id="878" w:name="_Toc17587"/>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rPr>
        <w:t>、具有良好的商业信誉和健全的财务会计制度</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r>
        <w:rPr>
          <w:rFonts w:hint="eastAsia" w:ascii="仿宋" w:hAnsi="仿宋" w:eastAsia="仿宋" w:cs="仿宋"/>
          <w:b/>
          <w:bCs/>
          <w:color w:val="auto"/>
          <w:sz w:val="28"/>
          <w:szCs w:val="28"/>
          <w:highlight w:val="none"/>
          <w:lang w:val="en-US" w:eastAsia="zh-CN"/>
        </w:rPr>
        <w:t>（实质性格式）</w:t>
      </w:r>
      <w:bookmarkEnd w:id="868"/>
      <w:bookmarkEnd w:id="869"/>
      <w:bookmarkEnd w:id="870"/>
      <w:bookmarkEnd w:id="871"/>
      <w:bookmarkEnd w:id="872"/>
      <w:bookmarkEnd w:id="873"/>
      <w:bookmarkEnd w:id="874"/>
      <w:bookmarkEnd w:id="875"/>
      <w:bookmarkEnd w:id="876"/>
      <w:bookmarkEnd w:id="877"/>
      <w:bookmarkEnd w:id="878"/>
      <w:r>
        <w:rPr>
          <w:rFonts w:hint="eastAsia" w:ascii="仿宋" w:hAnsi="仿宋" w:eastAsia="仿宋" w:cs="仿宋"/>
          <w:b/>
          <w:bCs/>
          <w:color w:val="auto"/>
          <w:sz w:val="32"/>
          <w:szCs w:val="32"/>
          <w:highlight w:val="none"/>
          <w:lang w:val="en-US" w:eastAsia="zh-CN"/>
        </w:rPr>
        <w:t xml:space="preserve"> </w:t>
      </w:r>
    </w:p>
    <w:p w14:paraId="578D87AC">
      <w:pPr>
        <w:wordWrap w:val="0"/>
        <w:spacing w:line="360" w:lineRule="auto"/>
        <w:ind w:firstLine="480" w:firstLineChars="200"/>
        <w:jc w:val="left"/>
        <w:rPr>
          <w:rFonts w:hint="eastAsia" w:ascii="仿宋" w:hAnsi="仿宋" w:eastAsia="仿宋" w:cs="仿宋"/>
          <w:color w:val="auto"/>
          <w:sz w:val="24"/>
          <w:highlight w:val="none"/>
          <w:lang w:eastAsia="zh-CN"/>
        </w:rPr>
      </w:pPr>
    </w:p>
    <w:p w14:paraId="3DD4829B">
      <w:pPr>
        <w:wordWrap w:val="0"/>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具备健全的财务会计制度的证明材料｛注（任选其一）：①可提供投标文件递交截止日前三年内至少1年经会计师事务所或审计机构出具的财务审计报告（除报告外至少包含资产负债表、利润表、现金流量表、</w:t>
      </w:r>
      <w:r>
        <w:rPr>
          <w:rFonts w:hint="eastAsia" w:ascii="仿宋" w:hAnsi="仿宋" w:eastAsia="仿宋" w:cs="仿宋"/>
          <w:color w:val="auto"/>
          <w:sz w:val="24"/>
          <w:highlight w:val="none"/>
          <w:lang w:val="en-US" w:eastAsia="zh-CN"/>
        </w:rPr>
        <w:t>附注</w:t>
      </w:r>
      <w:r>
        <w:rPr>
          <w:rFonts w:hint="eastAsia" w:ascii="仿宋" w:hAnsi="仿宋" w:eastAsia="仿宋" w:cs="仿宋"/>
          <w:color w:val="auto"/>
          <w:sz w:val="24"/>
          <w:highlight w:val="none"/>
          <w:lang w:eastAsia="zh-CN"/>
        </w:rPr>
        <w:t>）或投标人内部的财务报表（至少包含资产负债表、利润表、现金流量表）（任选其一）；②也可提供财政部门认可的政府采购专业担保机构出具的投标担保函；③也可提供截至投标文件递交截止日前六个月内银行出具的资信证明（复印件）；④投标人注册时间截至投标文件递交截止日不足一年的，也可提供在工商备案主管部门备案的公司章程复印件｝</w:t>
      </w:r>
      <w:r>
        <w:rPr>
          <w:rFonts w:hint="eastAsia" w:ascii="仿宋" w:hAnsi="仿宋" w:eastAsia="仿宋" w:cs="仿宋"/>
          <w:color w:val="auto"/>
          <w:sz w:val="24"/>
          <w:highlight w:val="none"/>
        </w:rPr>
        <w:t>；</w:t>
      </w:r>
    </w:p>
    <w:p w14:paraId="4BD9991F">
      <w:pPr>
        <w:wordWrap w:val="0"/>
        <w:spacing w:line="360" w:lineRule="auto"/>
        <w:jc w:val="left"/>
        <w:rPr>
          <w:rFonts w:hint="eastAsia" w:ascii="仿宋" w:hAnsi="仿宋" w:eastAsia="仿宋" w:cs="仿宋"/>
          <w:color w:val="auto"/>
          <w:sz w:val="24"/>
          <w:highlight w:val="none"/>
        </w:rPr>
      </w:pPr>
    </w:p>
    <w:p w14:paraId="45BB47D7">
      <w:pPr>
        <w:wordWrap w:val="0"/>
        <w:spacing w:line="360" w:lineRule="auto"/>
        <w:jc w:val="both"/>
        <w:rPr>
          <w:rFonts w:hint="eastAsia" w:ascii="仿宋" w:hAnsi="仿宋" w:eastAsia="仿宋" w:cs="仿宋"/>
          <w:b/>
          <w:bCs/>
          <w:color w:val="auto"/>
          <w:sz w:val="21"/>
          <w:szCs w:val="21"/>
          <w:highlight w:val="none"/>
          <w:lang w:val="en-US" w:eastAsia="zh-CN"/>
        </w:rPr>
      </w:pPr>
    </w:p>
    <w:p w14:paraId="50058DE6">
      <w:pPr>
        <w:wordWrap w:val="0"/>
        <w:spacing w:line="360" w:lineRule="auto"/>
        <w:jc w:val="both"/>
        <w:rPr>
          <w:rFonts w:hint="eastAsia" w:ascii="仿宋" w:hAnsi="仿宋" w:eastAsia="仿宋" w:cs="仿宋"/>
          <w:b/>
          <w:bCs/>
          <w:color w:val="auto"/>
          <w:sz w:val="21"/>
          <w:szCs w:val="21"/>
          <w:highlight w:val="none"/>
          <w:lang w:val="en-US" w:eastAsia="zh-CN"/>
        </w:rPr>
      </w:pPr>
    </w:p>
    <w:p w14:paraId="5EE2C0F9">
      <w:pPr>
        <w:wordWrap w:val="0"/>
        <w:spacing w:line="360" w:lineRule="auto"/>
        <w:jc w:val="both"/>
        <w:rPr>
          <w:rFonts w:hint="eastAsia" w:ascii="仿宋" w:hAnsi="仿宋" w:eastAsia="仿宋" w:cs="仿宋"/>
          <w:b/>
          <w:bCs/>
          <w:color w:val="auto"/>
          <w:sz w:val="21"/>
          <w:szCs w:val="21"/>
          <w:highlight w:val="none"/>
          <w:lang w:val="en-US" w:eastAsia="zh-CN"/>
        </w:rPr>
      </w:pPr>
    </w:p>
    <w:p w14:paraId="3275C246">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bookmarkStart w:id="879" w:name="_Toc25957"/>
      <w:bookmarkStart w:id="880" w:name="_Toc11047"/>
      <w:bookmarkStart w:id="881" w:name="_Toc9776"/>
      <w:bookmarkStart w:id="882" w:name="_Toc6785"/>
      <w:bookmarkStart w:id="883" w:name="_Toc32071"/>
      <w:bookmarkStart w:id="884" w:name="_Toc21554"/>
      <w:bookmarkStart w:id="885" w:name="_Toc24217"/>
      <w:bookmarkStart w:id="886" w:name="_Toc11937"/>
      <w:bookmarkStart w:id="887" w:name="_Toc32727"/>
      <w:bookmarkStart w:id="888" w:name="_Toc16897"/>
      <w:bookmarkStart w:id="889" w:name="_Toc29987"/>
      <w:bookmarkStart w:id="890" w:name="_Toc18160"/>
      <w:bookmarkStart w:id="891" w:name="_Toc29390"/>
      <w:bookmarkStart w:id="892" w:name="_Toc3873"/>
      <w:bookmarkStart w:id="893" w:name="_Toc9048"/>
      <w:bookmarkStart w:id="894" w:name="_Toc16253"/>
      <w:bookmarkStart w:id="895" w:name="_Toc32653"/>
      <w:bookmarkStart w:id="896" w:name="_Toc396"/>
      <w:bookmarkStart w:id="897" w:name="_Toc15847"/>
      <w:bookmarkStart w:id="898" w:name="_Toc29612"/>
      <w:bookmarkStart w:id="899" w:name="_Toc2663"/>
      <w:bookmarkStart w:id="900" w:name="_Toc29688"/>
      <w:bookmarkStart w:id="901" w:name="_Toc126"/>
      <w:bookmarkStart w:id="902" w:name="_Toc28020"/>
      <w:bookmarkStart w:id="903" w:name="_Toc15710"/>
      <w:bookmarkStart w:id="904" w:name="_Toc20891"/>
      <w:bookmarkStart w:id="905" w:name="_Toc27567"/>
      <w:bookmarkStart w:id="906" w:name="_Toc5305"/>
    </w:p>
    <w:p w14:paraId="349F8C75">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CF775F6">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11550BB">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C6DFC63">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0D1314">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478BF74">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3CACE6">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29F69353">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55AD149C">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088D188">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703F5895">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A8A6C44">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1596326C">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32CF274F">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F84BEE8">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0B96D8BF">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47477FF0">
      <w:pPr>
        <w:pStyle w:val="19"/>
        <w:ind w:left="0" w:leftChars="0" w:firstLine="0" w:firstLineChars="0"/>
        <w:jc w:val="center"/>
        <w:outlineLvl w:val="1"/>
        <w:rPr>
          <w:rFonts w:hint="eastAsia" w:ascii="仿宋" w:hAnsi="仿宋" w:eastAsia="仿宋" w:cs="仿宋"/>
          <w:b/>
          <w:bCs/>
          <w:color w:val="auto"/>
          <w:sz w:val="28"/>
          <w:szCs w:val="28"/>
          <w:highlight w:val="none"/>
          <w:lang w:val="en-US" w:eastAsia="zh-CN"/>
        </w:rPr>
      </w:pPr>
    </w:p>
    <w:p w14:paraId="65B38337">
      <w:pPr>
        <w:pStyle w:val="19"/>
        <w:ind w:left="0" w:leftChars="0" w:firstLine="0" w:firstLineChars="0"/>
        <w:jc w:val="center"/>
        <w:outlineLvl w:val="1"/>
        <w:rPr>
          <w:rFonts w:hint="eastAsia" w:ascii="仿宋" w:hAnsi="仿宋" w:eastAsia="仿宋" w:cs="仿宋"/>
          <w:b/>
          <w:bCs/>
          <w:color w:val="auto"/>
          <w:kern w:val="0"/>
          <w:sz w:val="28"/>
          <w:szCs w:val="28"/>
          <w:highlight w:val="none"/>
          <w:lang w:bidi="ar"/>
        </w:rPr>
      </w:pP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Pr>
          <w:rFonts w:hint="eastAsia" w:ascii="仿宋" w:hAnsi="仿宋" w:eastAsia="仿宋" w:cs="仿宋"/>
          <w:b/>
          <w:bCs/>
          <w:color w:val="auto"/>
          <w:kern w:val="0"/>
          <w:sz w:val="28"/>
          <w:szCs w:val="28"/>
          <w:highlight w:val="none"/>
          <w:lang w:bidi="ar"/>
        </w:rPr>
        <w:t>具有履行合同所必需的设备和专业技术能力的承诺函</w:t>
      </w:r>
      <w:r>
        <w:rPr>
          <w:rFonts w:hint="eastAsia" w:ascii="仿宋" w:hAnsi="仿宋" w:eastAsia="仿宋" w:cs="仿宋"/>
          <w:b/>
          <w:bCs/>
          <w:color w:val="auto"/>
          <w:kern w:val="0"/>
          <w:sz w:val="28"/>
          <w:szCs w:val="28"/>
          <w:highlight w:val="none"/>
          <w:lang w:val="en-US" w:eastAsia="zh-CN" w:bidi="ar"/>
        </w:rPr>
        <w:t>（实质性格式）</w:t>
      </w:r>
      <w:bookmarkEnd w:id="896"/>
      <w:bookmarkEnd w:id="897"/>
      <w:bookmarkEnd w:id="898"/>
      <w:bookmarkEnd w:id="899"/>
      <w:bookmarkEnd w:id="900"/>
      <w:bookmarkEnd w:id="901"/>
      <w:bookmarkEnd w:id="902"/>
      <w:bookmarkEnd w:id="903"/>
      <w:bookmarkEnd w:id="904"/>
      <w:bookmarkEnd w:id="905"/>
      <w:bookmarkEnd w:id="906"/>
    </w:p>
    <w:p w14:paraId="387C78D9">
      <w:pPr>
        <w:wordWrap w:val="0"/>
        <w:overflowPunct w:val="0"/>
        <w:topLinePunct/>
        <w:spacing w:line="360" w:lineRule="auto"/>
        <w:ind w:firstLine="480" w:firstLineChars="200"/>
        <w:jc w:val="left"/>
        <w:rPr>
          <w:rFonts w:hint="eastAsia" w:ascii="仿宋" w:hAnsi="仿宋" w:eastAsia="仿宋" w:cs="仿宋"/>
          <w:color w:val="auto"/>
          <w:kern w:val="0"/>
          <w:sz w:val="24"/>
          <w:highlight w:val="none"/>
          <w:lang w:bidi="ar"/>
        </w:rPr>
      </w:pPr>
    </w:p>
    <w:p w14:paraId="69FC64B5">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本承诺书声明：本公司参与贵方组织</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lang w:eastAsia="zh-CN"/>
        </w:rPr>
        <w:t>公开招标</w:t>
      </w:r>
      <w:r>
        <w:rPr>
          <w:rFonts w:hint="eastAsia" w:ascii="仿宋" w:hAnsi="仿宋" w:eastAsia="仿宋" w:cs="仿宋"/>
          <w:color w:val="auto"/>
          <w:sz w:val="24"/>
          <w:highlight w:val="none"/>
        </w:rPr>
        <w:t>采购活动</w:t>
      </w:r>
      <w:r>
        <w:rPr>
          <w:rFonts w:hint="eastAsia" w:ascii="仿宋" w:hAnsi="仿宋" w:eastAsia="仿宋" w:cs="仿宋"/>
          <w:color w:val="auto"/>
          <w:kern w:val="0"/>
          <w:sz w:val="24"/>
          <w:highlight w:val="none"/>
          <w:lang w:bidi="ar"/>
        </w:rPr>
        <w:t xml:space="preserve">做出如下承诺： </w:t>
      </w:r>
    </w:p>
    <w:p w14:paraId="6B5C0DC2">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本公司完全具备履行本项目合同所必需的供货、安装、专业售后团队、培训相关人</w:t>
      </w:r>
      <w:r>
        <w:rPr>
          <w:rFonts w:hint="eastAsia" w:ascii="仿宋" w:hAnsi="仿宋" w:eastAsia="仿宋" w:cs="仿宋"/>
          <w:color w:val="auto"/>
          <w:kern w:val="0"/>
          <w:sz w:val="24"/>
          <w:highlight w:val="none"/>
          <w:lang w:eastAsia="zh-CN" w:bidi="ar"/>
        </w:rPr>
        <w:t>员的</w:t>
      </w:r>
      <w:r>
        <w:rPr>
          <w:rFonts w:hint="eastAsia" w:ascii="仿宋" w:hAnsi="仿宋" w:eastAsia="仿宋" w:cs="仿宋"/>
          <w:color w:val="auto"/>
          <w:kern w:val="0"/>
          <w:sz w:val="24"/>
          <w:highlight w:val="none"/>
          <w:lang w:bidi="ar"/>
        </w:rPr>
        <w:t>能力，随时接受</w:t>
      </w:r>
      <w:r>
        <w:rPr>
          <w:rFonts w:hint="eastAsia" w:ascii="仿宋" w:hAnsi="仿宋" w:eastAsia="仿宋" w:cs="仿宋"/>
          <w:color w:val="auto"/>
          <w:kern w:val="0"/>
          <w:sz w:val="24"/>
          <w:highlight w:val="none"/>
          <w:lang w:eastAsia="zh-CN" w:bidi="ar"/>
        </w:rPr>
        <w:t>采购人</w:t>
      </w:r>
      <w:r>
        <w:rPr>
          <w:rFonts w:hint="eastAsia" w:ascii="仿宋" w:hAnsi="仿宋" w:eastAsia="仿宋" w:cs="仿宋"/>
          <w:color w:val="auto"/>
          <w:kern w:val="0"/>
          <w:sz w:val="24"/>
          <w:highlight w:val="none"/>
          <w:lang w:bidi="ar"/>
        </w:rPr>
        <w:t xml:space="preserve">的检查验证。如违反上述承诺，本公司将按照政府采购法有关规定接受处罚，并通过相关政府采购媒体予以公布。 </w:t>
      </w:r>
    </w:p>
    <w:p w14:paraId="05C790C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 xml:space="preserve">其他需要说明的事项（如无可不填报）： </w:t>
      </w:r>
    </w:p>
    <w:p w14:paraId="432689D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u w:val="single"/>
          <w:lang w:bidi="ar"/>
        </w:rPr>
        <w:t xml:space="preserve">                                                               </w:t>
      </w:r>
      <w:r>
        <w:rPr>
          <w:rFonts w:hint="eastAsia" w:ascii="仿宋" w:hAnsi="仿宋" w:eastAsia="仿宋" w:cs="仿宋"/>
          <w:color w:val="auto"/>
          <w:kern w:val="0"/>
          <w:sz w:val="24"/>
          <w:highlight w:val="none"/>
          <w:lang w:bidi="ar"/>
        </w:rPr>
        <w:t xml:space="preserve">。 </w:t>
      </w:r>
    </w:p>
    <w:p w14:paraId="16639D5E">
      <w:pPr>
        <w:wordWrap w:val="0"/>
        <w:overflowPunct w:val="0"/>
        <w:topLinePunct/>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特此承诺。</w:t>
      </w:r>
    </w:p>
    <w:p w14:paraId="4F24F437">
      <w:pPr>
        <w:wordWrap w:val="0"/>
        <w:overflowPunct w:val="0"/>
        <w:topLinePunct/>
        <w:spacing w:line="360" w:lineRule="auto"/>
        <w:jc w:val="center"/>
        <w:rPr>
          <w:rFonts w:hint="eastAsia" w:ascii="仿宋" w:hAnsi="仿宋" w:eastAsia="仿宋" w:cs="仿宋"/>
          <w:color w:val="auto"/>
          <w:sz w:val="24"/>
          <w:highlight w:val="none"/>
        </w:rPr>
      </w:pPr>
    </w:p>
    <w:p w14:paraId="769110BF">
      <w:pPr>
        <w:wordWrap w:val="0"/>
        <w:overflowPunct w:val="0"/>
        <w:topLinePunct/>
        <w:spacing w:line="360" w:lineRule="auto"/>
        <w:jc w:val="center"/>
        <w:rPr>
          <w:rFonts w:hint="eastAsia" w:ascii="仿宋" w:hAnsi="仿宋" w:eastAsia="仿宋" w:cs="仿宋"/>
          <w:color w:val="auto"/>
          <w:sz w:val="24"/>
          <w:highlight w:val="none"/>
        </w:rPr>
      </w:pPr>
    </w:p>
    <w:p w14:paraId="13C0CD91">
      <w:pPr>
        <w:wordWrap w:val="0"/>
        <w:overflowPunct w:val="0"/>
        <w:topLinePunct/>
        <w:spacing w:line="360" w:lineRule="auto"/>
        <w:jc w:val="center"/>
        <w:rPr>
          <w:rFonts w:hint="eastAsia" w:ascii="仿宋" w:hAnsi="仿宋" w:eastAsia="仿宋" w:cs="仿宋"/>
          <w:color w:val="auto"/>
          <w:sz w:val="24"/>
          <w:highlight w:val="none"/>
        </w:rPr>
      </w:pPr>
    </w:p>
    <w:p w14:paraId="0493C774">
      <w:pPr>
        <w:wordWrap w:val="0"/>
        <w:overflowPunct w:val="0"/>
        <w:topLinePunct/>
        <w:spacing w:line="360" w:lineRule="auto"/>
        <w:jc w:val="both"/>
        <w:rPr>
          <w:rFonts w:hint="eastAsia" w:ascii="仿宋" w:hAnsi="仿宋" w:eastAsia="仿宋" w:cs="仿宋"/>
          <w:color w:val="auto"/>
          <w:sz w:val="24"/>
          <w:highlight w:val="none"/>
        </w:rPr>
      </w:pPr>
    </w:p>
    <w:p w14:paraId="23553DFF">
      <w:pPr>
        <w:wordWrap w:val="0"/>
        <w:overflowPunct w:val="0"/>
        <w:topLinePunct/>
        <w:spacing w:line="360" w:lineRule="auto"/>
        <w:jc w:val="center"/>
        <w:rPr>
          <w:rFonts w:hint="eastAsia" w:ascii="仿宋" w:hAnsi="仿宋" w:eastAsia="仿宋" w:cs="仿宋"/>
          <w:color w:val="auto"/>
          <w:sz w:val="24"/>
          <w:highlight w:val="none"/>
        </w:rPr>
      </w:pPr>
    </w:p>
    <w:p w14:paraId="194BF86E">
      <w:pPr>
        <w:wordWrap w:val="0"/>
        <w:overflowPunct w:val="0"/>
        <w:topLinePunct/>
        <w:spacing w:line="360" w:lineRule="auto"/>
        <w:jc w:val="center"/>
        <w:rPr>
          <w:rFonts w:hint="eastAsia" w:ascii="仿宋" w:hAnsi="仿宋" w:eastAsia="仿宋" w:cs="仿宋"/>
          <w:color w:val="auto"/>
          <w:sz w:val="24"/>
          <w:highlight w:val="none"/>
        </w:rPr>
      </w:pPr>
    </w:p>
    <w:p w14:paraId="0E13F5AB">
      <w:pPr>
        <w:wordWrap w:val="0"/>
        <w:overflowPunct w:val="0"/>
        <w:topLinePunct/>
        <w:spacing w:line="360" w:lineRule="auto"/>
        <w:jc w:val="center"/>
        <w:rPr>
          <w:rFonts w:hint="eastAsia" w:ascii="仿宋" w:hAnsi="仿宋" w:eastAsia="仿宋" w:cs="仿宋"/>
          <w:color w:val="auto"/>
          <w:sz w:val="24"/>
          <w:highlight w:val="none"/>
        </w:rPr>
      </w:pPr>
    </w:p>
    <w:p w14:paraId="0F5F6725">
      <w:pPr>
        <w:wordWrap w:val="0"/>
        <w:overflowPunct w:val="0"/>
        <w:topLinePunct/>
        <w:spacing w:line="360" w:lineRule="auto"/>
        <w:rPr>
          <w:rFonts w:hint="eastAsia" w:ascii="仿宋" w:hAnsi="仿宋" w:eastAsia="仿宋" w:cs="仿宋"/>
          <w:color w:val="auto"/>
          <w:sz w:val="24"/>
          <w:highlight w:val="none"/>
        </w:rPr>
      </w:pPr>
    </w:p>
    <w:p w14:paraId="04B3BF60">
      <w:pPr>
        <w:wordWrap w:val="0"/>
        <w:overflowPunct w:val="0"/>
        <w:topLinePunct/>
        <w:spacing w:line="360" w:lineRule="auto"/>
        <w:jc w:val="center"/>
        <w:rPr>
          <w:rFonts w:hint="eastAsia" w:ascii="仿宋" w:hAnsi="仿宋" w:eastAsia="仿宋" w:cs="仿宋"/>
          <w:color w:val="auto"/>
          <w:sz w:val="24"/>
          <w:highlight w:val="none"/>
        </w:rPr>
      </w:pPr>
    </w:p>
    <w:p w14:paraId="5126A264">
      <w:pPr>
        <w:wordWrap w:val="0"/>
        <w:overflowPunct w:val="0"/>
        <w:topLinePunct/>
        <w:spacing w:line="360" w:lineRule="auto"/>
        <w:jc w:val="left"/>
        <w:rPr>
          <w:rFonts w:hint="eastAsia" w:ascii="仿宋" w:hAnsi="仿宋" w:eastAsia="仿宋" w:cs="仿宋"/>
          <w:color w:val="auto"/>
          <w:sz w:val="24"/>
          <w:highlight w:val="none"/>
          <w:lang w:eastAsia="zh-CN"/>
        </w:rPr>
      </w:pPr>
    </w:p>
    <w:p w14:paraId="1EC17394">
      <w:pPr>
        <w:wordWrap w:val="0"/>
        <w:overflowPunct w:val="0"/>
        <w:topLinePunct/>
        <w:spacing w:line="360" w:lineRule="auto"/>
        <w:jc w:val="left"/>
        <w:rPr>
          <w:rFonts w:hint="eastAsia" w:ascii="仿宋" w:hAnsi="仿宋" w:eastAsia="仿宋" w:cs="仿宋"/>
          <w:color w:val="auto"/>
          <w:sz w:val="24"/>
          <w:highlight w:val="none"/>
          <w:lang w:eastAsia="zh-CN"/>
        </w:rPr>
      </w:pPr>
    </w:p>
    <w:p w14:paraId="0076E49E">
      <w:pPr>
        <w:wordWrap w:val="0"/>
        <w:overflowPunct w:val="0"/>
        <w:topLinePunct/>
        <w:spacing w:line="360" w:lineRule="auto"/>
        <w:jc w:val="left"/>
        <w:rPr>
          <w:rFonts w:hint="eastAsia" w:ascii="仿宋" w:hAnsi="仿宋" w:eastAsia="仿宋" w:cs="仿宋"/>
          <w:color w:val="auto"/>
          <w:sz w:val="24"/>
          <w:highlight w:val="none"/>
          <w:lang w:eastAsia="zh-CN"/>
        </w:rPr>
      </w:pPr>
    </w:p>
    <w:p w14:paraId="3496ECF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3F2104F">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07" w:name="_Toc30115"/>
      <w:bookmarkStart w:id="908" w:name="_Toc13924"/>
      <w:bookmarkStart w:id="909" w:name="_Toc21989"/>
      <w:bookmarkStart w:id="910" w:name="_Toc10982"/>
      <w:bookmarkStart w:id="911" w:name="_Toc16461"/>
      <w:bookmarkStart w:id="912" w:name="_Toc9883"/>
      <w:bookmarkStart w:id="913" w:name="_Toc20149"/>
      <w:bookmarkStart w:id="914" w:name="_Toc5792"/>
      <w:bookmarkStart w:id="915" w:name="_Toc10192"/>
      <w:bookmarkStart w:id="916" w:name="_Toc7324"/>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07"/>
      <w:bookmarkEnd w:id="908"/>
      <w:bookmarkEnd w:id="909"/>
      <w:bookmarkEnd w:id="910"/>
      <w:bookmarkEnd w:id="911"/>
      <w:bookmarkEnd w:id="912"/>
      <w:bookmarkEnd w:id="913"/>
      <w:bookmarkEnd w:id="914"/>
      <w:bookmarkEnd w:id="915"/>
      <w:bookmarkEnd w:id="916"/>
    </w:p>
    <w:p w14:paraId="74BB13D5">
      <w:pPr>
        <w:pStyle w:val="18"/>
        <w:ind w:left="0" w:leftChars="0" w:firstLine="0" w:firstLineChars="0"/>
        <w:jc w:val="center"/>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bookmarkStart w:id="917" w:name="_Toc12656"/>
      <w:bookmarkStart w:id="918" w:name="_Toc28472"/>
      <w:bookmarkStart w:id="919" w:name="_Toc19171"/>
      <w:bookmarkStart w:id="920" w:name="_Toc26614"/>
      <w:bookmarkStart w:id="921" w:name="_Toc15385"/>
      <w:bookmarkStart w:id="922" w:name="_Toc14942"/>
    </w:p>
    <w:p w14:paraId="137420DE">
      <w:pPr>
        <w:pStyle w:val="18"/>
        <w:spacing w:line="360" w:lineRule="auto"/>
        <w:ind w:left="0" w:leftChars="0" w:firstLine="0" w:firstLineChars="0"/>
        <w:jc w:val="center"/>
        <w:outlineLvl w:val="1"/>
        <w:rPr>
          <w:rFonts w:hint="eastAsia" w:ascii="仿宋" w:hAnsi="仿宋" w:eastAsia="仿宋" w:cs="仿宋"/>
          <w:b/>
          <w:bCs/>
          <w:color w:val="auto"/>
          <w:sz w:val="32"/>
          <w:szCs w:val="32"/>
          <w:highlight w:val="none"/>
        </w:rPr>
      </w:pPr>
      <w:bookmarkStart w:id="923" w:name="_Toc3568"/>
      <w:bookmarkStart w:id="924" w:name="_Toc21796"/>
      <w:bookmarkStart w:id="925" w:name="_Toc15211"/>
      <w:bookmarkStart w:id="926" w:name="_Toc4897"/>
      <w:bookmarkStart w:id="927" w:name="_Toc838"/>
      <w:bookmarkStart w:id="928" w:name="_Toc12033"/>
      <w:bookmarkStart w:id="929" w:name="_Toc18034"/>
      <w:bookmarkStart w:id="930" w:name="_Toc22536"/>
      <w:bookmarkStart w:id="931" w:name="_Toc14543"/>
      <w:bookmarkStart w:id="932" w:name="_Toc5176"/>
      <w:bookmarkStart w:id="933" w:name="_Toc21495"/>
      <w:r>
        <w:rPr>
          <w:rFonts w:hint="eastAsia" w:ascii="仿宋" w:hAnsi="仿宋" w:eastAsia="仿宋" w:cs="仿宋"/>
          <w:b/>
          <w:bCs/>
          <w:color w:val="auto"/>
          <w:sz w:val="28"/>
          <w:szCs w:val="28"/>
          <w:highlight w:val="none"/>
          <w:lang w:val="en-US" w:eastAsia="zh-CN"/>
        </w:rPr>
        <w:t>四</w:t>
      </w:r>
      <w:r>
        <w:rPr>
          <w:rFonts w:hint="eastAsia" w:ascii="仿宋" w:hAnsi="仿宋" w:eastAsia="仿宋" w:cs="仿宋"/>
          <w:b/>
          <w:bCs/>
          <w:color w:val="auto"/>
          <w:sz w:val="28"/>
          <w:szCs w:val="28"/>
          <w:highlight w:val="none"/>
        </w:rPr>
        <w:t>、依法缴纳税收和社会保障资金</w:t>
      </w:r>
      <w:bookmarkEnd w:id="917"/>
      <w:bookmarkEnd w:id="918"/>
      <w:bookmarkEnd w:id="919"/>
      <w:bookmarkEnd w:id="920"/>
      <w:bookmarkEnd w:id="921"/>
      <w:bookmarkEnd w:id="922"/>
      <w:r>
        <w:rPr>
          <w:rFonts w:hint="eastAsia" w:ascii="仿宋" w:hAnsi="仿宋" w:eastAsia="仿宋" w:cs="仿宋"/>
          <w:b/>
          <w:bCs/>
          <w:color w:val="auto"/>
          <w:sz w:val="28"/>
          <w:szCs w:val="28"/>
          <w:highlight w:val="none"/>
          <w:lang w:eastAsia="zh-CN"/>
        </w:rPr>
        <w:t>的</w:t>
      </w:r>
      <w:r>
        <w:rPr>
          <w:rFonts w:hint="eastAsia" w:ascii="仿宋" w:hAnsi="仿宋" w:eastAsia="仿宋" w:cs="仿宋"/>
          <w:b/>
          <w:bCs/>
          <w:color w:val="auto"/>
          <w:sz w:val="28"/>
          <w:szCs w:val="28"/>
          <w:highlight w:val="none"/>
        </w:rPr>
        <w:t>良好记录</w:t>
      </w:r>
      <w:r>
        <w:rPr>
          <w:rFonts w:hint="eastAsia" w:ascii="仿宋" w:hAnsi="仿宋" w:eastAsia="仿宋" w:cs="仿宋"/>
          <w:b/>
          <w:bCs/>
          <w:color w:val="auto"/>
          <w:sz w:val="28"/>
          <w:szCs w:val="28"/>
          <w:highlight w:val="none"/>
          <w:lang w:val="en-US" w:eastAsia="zh-CN"/>
        </w:rPr>
        <w:t>（实质性格式）</w:t>
      </w:r>
      <w:bookmarkEnd w:id="923"/>
      <w:bookmarkEnd w:id="924"/>
      <w:bookmarkEnd w:id="925"/>
      <w:bookmarkEnd w:id="926"/>
      <w:bookmarkEnd w:id="927"/>
      <w:bookmarkEnd w:id="928"/>
      <w:bookmarkEnd w:id="929"/>
      <w:bookmarkEnd w:id="930"/>
      <w:bookmarkEnd w:id="931"/>
      <w:bookmarkEnd w:id="932"/>
      <w:bookmarkEnd w:id="933"/>
      <w:r>
        <w:rPr>
          <w:rFonts w:hint="eastAsia" w:ascii="仿宋" w:hAnsi="仿宋" w:eastAsia="仿宋" w:cs="仿宋"/>
          <w:b/>
          <w:bCs/>
          <w:color w:val="auto"/>
          <w:sz w:val="32"/>
          <w:szCs w:val="32"/>
          <w:highlight w:val="none"/>
          <w:lang w:val="en-US" w:eastAsia="zh-CN"/>
        </w:rPr>
        <w:t xml:space="preserve"> </w:t>
      </w:r>
    </w:p>
    <w:p w14:paraId="38A59D3A">
      <w:pPr>
        <w:wordWrap w:val="0"/>
        <w:topLinePunct/>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kern w:val="0"/>
          <w:sz w:val="24"/>
          <w:highlight w:val="none"/>
          <w:lang w:val="en-US" w:eastAsia="zh-CN" w:bidi="ar"/>
        </w:rPr>
        <w:t>1</w:t>
      </w:r>
      <w:r>
        <w:rPr>
          <w:rFonts w:hint="eastAsia" w:ascii="仿宋" w:hAnsi="仿宋" w:eastAsia="仿宋" w:cs="仿宋"/>
          <w:b/>
          <w:bCs/>
          <w:color w:val="auto"/>
          <w:kern w:val="0"/>
          <w:sz w:val="24"/>
          <w:highlight w:val="none"/>
          <w:lang w:bidi="ar"/>
        </w:rPr>
        <w:t>）税收缴纳证明：</w:t>
      </w:r>
      <w:r>
        <w:rPr>
          <w:rFonts w:hint="eastAsia" w:ascii="仿宋" w:hAnsi="仿宋" w:eastAsia="仿宋" w:cs="仿宋"/>
          <w:color w:val="auto"/>
          <w:kern w:val="0"/>
          <w:sz w:val="24"/>
          <w:highlight w:val="none"/>
          <w:lang w:bidi="ar"/>
        </w:rPr>
        <w:t>提供截至</w:t>
      </w:r>
      <w:r>
        <w:rPr>
          <w:rFonts w:hint="eastAsia" w:ascii="仿宋" w:hAnsi="仿宋" w:eastAsia="仿宋" w:cs="仿宋"/>
          <w:color w:val="auto"/>
          <w:kern w:val="0"/>
          <w:sz w:val="24"/>
          <w:highlight w:val="none"/>
          <w:lang w:eastAsia="zh-CN" w:bidi="ar"/>
        </w:rPr>
        <w:t>投标文件</w:t>
      </w:r>
      <w:r>
        <w:rPr>
          <w:rFonts w:hint="eastAsia" w:ascii="仿宋" w:hAnsi="仿宋" w:eastAsia="仿宋" w:cs="仿宋"/>
          <w:color w:val="auto"/>
          <w:kern w:val="0"/>
          <w:sz w:val="24"/>
          <w:highlight w:val="none"/>
          <w:lang w:bidi="ar"/>
        </w:rPr>
        <w:t>递交截止日前六个月内已缴纳至少1个月的纳税证明或完税证明（</w:t>
      </w:r>
      <w:r>
        <w:rPr>
          <w:rFonts w:hint="eastAsia" w:ascii="仿宋" w:hAnsi="仿宋" w:eastAsia="仿宋" w:cs="仿宋"/>
          <w:color w:val="auto"/>
          <w:kern w:val="0"/>
          <w:sz w:val="24"/>
          <w:highlight w:val="none"/>
          <w:lang w:eastAsia="zh-CN" w:bidi="ar"/>
        </w:rPr>
        <w:t>成立未满3个月的，提供成立以来的</w:t>
      </w:r>
      <w:r>
        <w:rPr>
          <w:rFonts w:hint="eastAsia" w:ascii="仿宋" w:hAnsi="仿宋" w:eastAsia="仿宋" w:cs="仿宋"/>
          <w:color w:val="auto"/>
          <w:kern w:val="0"/>
          <w:sz w:val="24"/>
          <w:highlight w:val="none"/>
          <w:lang w:bidi="ar"/>
        </w:rPr>
        <w:t>纳税证明或完税证明</w:t>
      </w:r>
      <w:r>
        <w:rPr>
          <w:rFonts w:hint="eastAsia" w:ascii="仿宋" w:hAnsi="仿宋" w:eastAsia="仿宋" w:cs="仿宋"/>
          <w:color w:val="auto"/>
          <w:kern w:val="0"/>
          <w:sz w:val="24"/>
          <w:highlight w:val="none"/>
          <w:lang w:eastAsia="zh-CN" w:bidi="ar"/>
        </w:rPr>
        <w:t>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w:t>
      </w:r>
      <w:r>
        <w:rPr>
          <w:rFonts w:hint="eastAsia" w:ascii="仿宋" w:hAnsi="仿宋" w:eastAsia="仿宋" w:cs="仿宋"/>
          <w:color w:val="auto"/>
          <w:kern w:val="0"/>
          <w:sz w:val="24"/>
          <w:highlight w:val="none"/>
          <w:lang w:bidi="ar"/>
        </w:rPr>
        <w:t>依法免税的</w:t>
      </w:r>
      <w:r>
        <w:rPr>
          <w:rFonts w:hint="eastAsia" w:ascii="仿宋" w:hAnsi="仿宋" w:eastAsia="仿宋" w:cs="仿宋"/>
          <w:color w:val="auto"/>
          <w:kern w:val="0"/>
          <w:sz w:val="24"/>
          <w:highlight w:val="none"/>
          <w:lang w:eastAsia="zh-CN" w:bidi="ar"/>
        </w:rPr>
        <w:t>投标人</w:t>
      </w:r>
      <w:r>
        <w:rPr>
          <w:rFonts w:hint="eastAsia" w:ascii="仿宋" w:hAnsi="仿宋" w:eastAsia="仿宋" w:cs="仿宋"/>
          <w:color w:val="auto"/>
          <w:kern w:val="0"/>
          <w:sz w:val="24"/>
          <w:highlight w:val="none"/>
          <w:lang w:bidi="ar"/>
        </w:rPr>
        <w:t>应提供相关文件证明；</w:t>
      </w:r>
      <w:r>
        <w:rPr>
          <w:rFonts w:hint="eastAsia" w:ascii="仿宋" w:hAnsi="仿宋" w:eastAsia="仿宋" w:cs="仿宋"/>
          <w:color w:val="auto"/>
          <w:sz w:val="24"/>
          <w:szCs w:val="24"/>
          <w:highlight w:val="none"/>
        </w:rPr>
        <w:t>（注：依法免税或零申报的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r>
        <w:rPr>
          <w:rFonts w:hint="eastAsia" w:ascii="仿宋" w:hAnsi="仿宋" w:eastAsia="仿宋" w:cs="仿宋"/>
          <w:color w:val="auto"/>
          <w:sz w:val="24"/>
          <w:szCs w:val="24"/>
          <w:highlight w:val="none"/>
          <w:lang w:eastAsia="zh-CN"/>
        </w:rPr>
        <w:t>）</w:t>
      </w:r>
    </w:p>
    <w:p w14:paraId="0ABD8741">
      <w:pPr>
        <w:wordWrap w:val="0"/>
        <w:topLinePunct/>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2CEE523C">
      <w:pPr>
        <w:spacing w:line="360" w:lineRule="auto"/>
        <w:ind w:firstLine="482" w:firstLineChars="200"/>
        <w:jc w:val="left"/>
        <w:rPr>
          <w:rFonts w:hint="eastAsia" w:ascii="仿宋" w:hAnsi="仿宋" w:eastAsia="仿宋" w:cs="仿宋"/>
          <w:b/>
          <w:bCs/>
          <w:color w:val="auto"/>
          <w:sz w:val="24"/>
          <w:szCs w:val="24"/>
          <w:highlight w:val="none"/>
          <w:lang w:val="en-US" w:eastAsia="zh-CN"/>
        </w:rPr>
      </w:pPr>
    </w:p>
    <w:p w14:paraId="7B2F4743">
      <w:pPr>
        <w:spacing w:line="360" w:lineRule="auto"/>
        <w:ind w:firstLine="482" w:firstLineChars="200"/>
        <w:jc w:val="lef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）社会保障资金缴纳证明：</w:t>
      </w:r>
      <w:r>
        <w:rPr>
          <w:rFonts w:hint="eastAsia" w:ascii="仿宋" w:hAnsi="仿宋" w:eastAsia="仿宋" w:cs="仿宋"/>
          <w:color w:val="auto"/>
          <w:sz w:val="24"/>
          <w:szCs w:val="24"/>
          <w:highlight w:val="none"/>
        </w:rPr>
        <w:t>提供截至</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递交截止日前六个月内已缴纳至少1个月的社会保障资金缴存单据或社保机构开具的社会保险参保缴费情况证明</w:t>
      </w:r>
      <w:r>
        <w:rPr>
          <w:rFonts w:hint="eastAsia" w:ascii="仿宋" w:hAnsi="仿宋" w:eastAsia="仿宋" w:cs="仿宋"/>
          <w:color w:val="auto"/>
          <w:kern w:val="0"/>
          <w:sz w:val="24"/>
          <w:highlight w:val="none"/>
          <w:lang w:bidi="ar"/>
        </w:rPr>
        <w:t>（</w:t>
      </w:r>
      <w:r>
        <w:rPr>
          <w:rFonts w:hint="eastAsia" w:ascii="仿宋" w:hAnsi="仿宋" w:eastAsia="仿宋" w:cs="仿宋"/>
          <w:color w:val="auto"/>
          <w:kern w:val="0"/>
          <w:sz w:val="24"/>
          <w:highlight w:val="none"/>
          <w:lang w:eastAsia="zh-CN" w:bidi="ar"/>
        </w:rPr>
        <w:t>成立未满3个月的，提供成立以来的社会保障资金缴纳凭证或相关情况说明</w:t>
      </w:r>
      <w:r>
        <w:rPr>
          <w:rFonts w:hint="eastAsia" w:ascii="仿宋" w:hAnsi="仿宋" w:eastAsia="仿宋" w:cs="仿宋"/>
          <w:color w:val="auto"/>
          <w:kern w:val="0"/>
          <w:sz w:val="24"/>
          <w:highlight w:val="none"/>
          <w:lang w:bidi="ar"/>
        </w:rPr>
        <w:t>）</w:t>
      </w:r>
      <w:r>
        <w:rPr>
          <w:rFonts w:hint="eastAsia" w:ascii="仿宋" w:hAnsi="仿宋" w:eastAsia="仿宋" w:cs="仿宋"/>
          <w:color w:val="auto"/>
          <w:sz w:val="24"/>
          <w:szCs w:val="24"/>
          <w:highlight w:val="none"/>
        </w:rPr>
        <w:t>。依法不需要缴纳社会保障资金的</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应提供相关文件证明；</w:t>
      </w:r>
    </w:p>
    <w:p w14:paraId="184ED6BE">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（复印件加盖</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公章或提供网上可查询的网址信息）</w:t>
      </w:r>
    </w:p>
    <w:p w14:paraId="4D289AAD">
      <w:pPr>
        <w:wordWrap w:val="0"/>
        <w:overflowPunct w:val="0"/>
        <w:topLinePunct/>
        <w:spacing w:line="360" w:lineRule="auto"/>
        <w:jc w:val="center"/>
        <w:rPr>
          <w:rFonts w:hint="eastAsia" w:ascii="仿宋" w:hAnsi="仿宋" w:eastAsia="仿宋" w:cs="仿宋"/>
          <w:color w:val="auto"/>
          <w:sz w:val="24"/>
          <w:highlight w:val="none"/>
        </w:rPr>
      </w:pPr>
    </w:p>
    <w:p w14:paraId="49A39008">
      <w:pPr>
        <w:wordWrap w:val="0"/>
        <w:overflowPunct w:val="0"/>
        <w:topLinePunct/>
        <w:spacing w:line="360" w:lineRule="auto"/>
        <w:jc w:val="center"/>
        <w:rPr>
          <w:rFonts w:hint="eastAsia" w:ascii="仿宋" w:hAnsi="仿宋" w:eastAsia="仿宋" w:cs="仿宋"/>
          <w:color w:val="auto"/>
          <w:sz w:val="24"/>
          <w:highlight w:val="none"/>
        </w:rPr>
      </w:pPr>
    </w:p>
    <w:p w14:paraId="7EFED54E">
      <w:pPr>
        <w:wordWrap w:val="0"/>
        <w:overflowPunct w:val="0"/>
        <w:topLinePunct/>
        <w:spacing w:line="360" w:lineRule="auto"/>
        <w:jc w:val="center"/>
        <w:rPr>
          <w:rFonts w:hint="eastAsia" w:ascii="仿宋" w:hAnsi="仿宋" w:eastAsia="仿宋" w:cs="仿宋"/>
          <w:color w:val="auto"/>
          <w:sz w:val="24"/>
          <w:highlight w:val="none"/>
        </w:rPr>
      </w:pPr>
    </w:p>
    <w:p w14:paraId="39AE9E07">
      <w:pPr>
        <w:wordWrap w:val="0"/>
        <w:overflowPunct w:val="0"/>
        <w:topLinePunct/>
        <w:spacing w:line="360" w:lineRule="auto"/>
        <w:jc w:val="center"/>
        <w:rPr>
          <w:rFonts w:hint="eastAsia" w:ascii="仿宋" w:hAnsi="仿宋" w:eastAsia="仿宋" w:cs="仿宋"/>
          <w:color w:val="auto"/>
          <w:sz w:val="24"/>
          <w:highlight w:val="none"/>
        </w:rPr>
      </w:pPr>
    </w:p>
    <w:p w14:paraId="7A1F756A">
      <w:pPr>
        <w:wordWrap w:val="0"/>
        <w:overflowPunct w:val="0"/>
        <w:topLinePunct/>
        <w:spacing w:line="360" w:lineRule="auto"/>
        <w:jc w:val="center"/>
        <w:rPr>
          <w:rFonts w:hint="eastAsia" w:ascii="仿宋" w:hAnsi="仿宋" w:eastAsia="仿宋" w:cs="仿宋"/>
          <w:color w:val="auto"/>
          <w:sz w:val="24"/>
          <w:highlight w:val="none"/>
        </w:rPr>
      </w:pPr>
    </w:p>
    <w:p w14:paraId="02BB7DBE">
      <w:pPr>
        <w:wordWrap w:val="0"/>
        <w:overflowPunct w:val="0"/>
        <w:topLinePunct/>
        <w:spacing w:line="360" w:lineRule="auto"/>
        <w:jc w:val="both"/>
        <w:rPr>
          <w:rFonts w:hint="eastAsia" w:ascii="仿宋" w:hAnsi="仿宋" w:eastAsia="仿宋" w:cs="仿宋"/>
          <w:color w:val="auto"/>
          <w:sz w:val="24"/>
          <w:highlight w:val="none"/>
        </w:rPr>
      </w:pPr>
    </w:p>
    <w:p w14:paraId="76053E50">
      <w:pPr>
        <w:wordWrap w:val="0"/>
        <w:overflowPunct w:val="0"/>
        <w:topLinePunct/>
        <w:spacing w:line="360" w:lineRule="auto"/>
        <w:jc w:val="center"/>
        <w:rPr>
          <w:rFonts w:hint="eastAsia" w:ascii="仿宋" w:hAnsi="仿宋" w:eastAsia="仿宋" w:cs="仿宋"/>
          <w:color w:val="auto"/>
          <w:sz w:val="24"/>
          <w:highlight w:val="none"/>
        </w:rPr>
      </w:pPr>
    </w:p>
    <w:p w14:paraId="2921190B">
      <w:pPr>
        <w:wordWrap w:val="0"/>
        <w:overflowPunct w:val="0"/>
        <w:topLinePunct/>
        <w:spacing w:line="360" w:lineRule="auto"/>
        <w:rPr>
          <w:rFonts w:hint="eastAsia" w:ascii="仿宋" w:hAnsi="仿宋" w:eastAsia="仿宋" w:cs="仿宋"/>
          <w:color w:val="auto"/>
          <w:sz w:val="24"/>
          <w:highlight w:val="none"/>
        </w:rPr>
      </w:pPr>
    </w:p>
    <w:p w14:paraId="51FC6B41">
      <w:pPr>
        <w:wordWrap w:val="0"/>
        <w:overflowPunct w:val="0"/>
        <w:topLinePunct/>
        <w:spacing w:line="360" w:lineRule="auto"/>
        <w:jc w:val="left"/>
        <w:rPr>
          <w:rFonts w:hint="eastAsia" w:ascii="仿宋" w:hAnsi="仿宋" w:eastAsia="仿宋" w:cs="仿宋"/>
          <w:color w:val="auto"/>
          <w:sz w:val="24"/>
          <w:highlight w:val="none"/>
          <w:lang w:eastAsia="zh-CN"/>
        </w:rPr>
      </w:pPr>
    </w:p>
    <w:p w14:paraId="5CCF1427">
      <w:pPr>
        <w:wordWrap w:val="0"/>
        <w:overflowPunct w:val="0"/>
        <w:topLinePunct/>
        <w:spacing w:line="360" w:lineRule="auto"/>
        <w:jc w:val="left"/>
        <w:rPr>
          <w:rFonts w:hint="eastAsia" w:ascii="仿宋" w:hAnsi="仿宋" w:eastAsia="仿宋" w:cs="仿宋"/>
          <w:color w:val="auto"/>
          <w:sz w:val="24"/>
          <w:highlight w:val="none"/>
          <w:lang w:eastAsia="zh-CN"/>
        </w:rPr>
      </w:pPr>
    </w:p>
    <w:p w14:paraId="5E5787A5">
      <w:pPr>
        <w:wordWrap w:val="0"/>
        <w:overflowPunct w:val="0"/>
        <w:topLinePunct/>
        <w:spacing w:line="360" w:lineRule="auto"/>
        <w:jc w:val="left"/>
        <w:rPr>
          <w:rFonts w:hint="eastAsia" w:ascii="仿宋" w:hAnsi="仿宋" w:eastAsia="仿宋" w:cs="仿宋"/>
          <w:color w:val="auto"/>
          <w:sz w:val="24"/>
          <w:highlight w:val="none"/>
          <w:lang w:eastAsia="zh-CN"/>
        </w:rPr>
      </w:pPr>
    </w:p>
    <w:p w14:paraId="1A35BD1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06B173AE">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34" w:name="_Toc10529"/>
      <w:bookmarkStart w:id="935" w:name="_Toc9607"/>
      <w:bookmarkStart w:id="936" w:name="_Toc15948"/>
      <w:bookmarkStart w:id="937" w:name="_Toc4184"/>
      <w:bookmarkStart w:id="938" w:name="_Toc623"/>
      <w:bookmarkStart w:id="939" w:name="_Toc9309"/>
      <w:bookmarkStart w:id="940" w:name="_Toc9266"/>
      <w:bookmarkStart w:id="941" w:name="_Toc17093"/>
      <w:bookmarkStart w:id="942" w:name="_Toc13614"/>
      <w:bookmarkStart w:id="943" w:name="_Toc29541"/>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34"/>
      <w:bookmarkEnd w:id="935"/>
      <w:bookmarkEnd w:id="936"/>
      <w:bookmarkEnd w:id="937"/>
      <w:bookmarkEnd w:id="938"/>
      <w:bookmarkEnd w:id="939"/>
      <w:bookmarkEnd w:id="940"/>
      <w:bookmarkEnd w:id="941"/>
      <w:bookmarkEnd w:id="942"/>
      <w:bookmarkEnd w:id="943"/>
    </w:p>
    <w:p w14:paraId="19000502">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bookmarkStart w:id="944" w:name="_Toc951"/>
      <w:bookmarkStart w:id="945" w:name="_Toc1938"/>
      <w:bookmarkStart w:id="946" w:name="_Toc1206"/>
      <w:bookmarkStart w:id="947" w:name="_Toc6499"/>
      <w:bookmarkStart w:id="948" w:name="_Toc26677"/>
      <w:bookmarkStart w:id="949" w:name="_Toc9859"/>
      <w:bookmarkStart w:id="950" w:name="_Toc12551"/>
      <w:bookmarkStart w:id="951" w:name="_Toc2730"/>
      <w:bookmarkStart w:id="952" w:name="_Toc22954"/>
      <w:bookmarkStart w:id="953" w:name="_Toc25918"/>
      <w:bookmarkStart w:id="954" w:name="_Toc28027"/>
      <w:bookmarkStart w:id="955" w:name="_Toc6427"/>
      <w:bookmarkStart w:id="956" w:name="_Toc21304"/>
      <w:bookmarkStart w:id="957" w:name="_Toc27102"/>
      <w:bookmarkStart w:id="958" w:name="_Toc17375"/>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Start w:id="959" w:name="_Toc16508"/>
      <w:bookmarkStart w:id="960" w:name="_Toc13148"/>
      <w:bookmarkStart w:id="961" w:name="_Toc12192"/>
      <w:bookmarkStart w:id="962" w:name="_Toc27660"/>
      <w:bookmarkStart w:id="963" w:name="_Toc16541"/>
      <w:bookmarkStart w:id="964" w:name="_Toc23251"/>
      <w:bookmarkStart w:id="965" w:name="_Toc18483"/>
      <w:bookmarkStart w:id="966" w:name="_Toc5784"/>
      <w:bookmarkStart w:id="967" w:name="_Toc2606"/>
      <w:bookmarkStart w:id="968" w:name="_Toc29999"/>
      <w:bookmarkStart w:id="969" w:name="_Toc9115"/>
      <w:bookmarkStart w:id="970" w:name="_Toc20354"/>
      <w:bookmarkStart w:id="971" w:name="_Toc29572"/>
      <w:bookmarkStart w:id="972" w:name="_Toc17246"/>
      <w:bookmarkStart w:id="973" w:name="_Toc15699"/>
      <w:bookmarkStart w:id="974" w:name="_Toc26515"/>
      <w:bookmarkStart w:id="975" w:name="_Toc1258"/>
      <w:bookmarkStart w:id="976" w:name="_Toc27342"/>
      <w:bookmarkStart w:id="977" w:name="_Toc24121"/>
      <w:bookmarkStart w:id="978" w:name="_Toc4512"/>
      <w:bookmarkStart w:id="979" w:name="_Toc31843"/>
      <w:bookmarkStart w:id="980" w:name="_Toc24824"/>
      <w:bookmarkStart w:id="981" w:name="_Toc18486"/>
    </w:p>
    <w:p w14:paraId="4F58E49A">
      <w:pPr>
        <w:numPr>
          <w:ilvl w:val="0"/>
          <w:numId w:val="5"/>
        </w:numPr>
        <w:jc w:val="center"/>
        <w:outlineLvl w:val="1"/>
        <w:rPr>
          <w:rFonts w:hint="eastAsia" w:ascii="仿宋" w:hAnsi="仿宋" w:eastAsia="仿宋" w:cs="仿宋"/>
          <w:b/>
          <w:bCs/>
          <w:color w:val="auto"/>
          <w:sz w:val="28"/>
          <w:szCs w:val="28"/>
          <w:highlight w:val="none"/>
        </w:rPr>
      </w:pPr>
      <w:bookmarkStart w:id="982" w:name="_Toc18491"/>
      <w:bookmarkStart w:id="983" w:name="_Toc20742"/>
      <w:bookmarkStart w:id="984" w:name="_Toc28740"/>
      <w:bookmarkStart w:id="985" w:name="_Toc24571"/>
      <w:bookmarkStart w:id="986" w:name="_Toc14343"/>
      <w:bookmarkStart w:id="987" w:name="_Toc31021"/>
      <w:bookmarkStart w:id="988" w:name="_Toc30680"/>
      <w:bookmarkStart w:id="989" w:name="_Toc10329"/>
      <w:bookmarkStart w:id="990" w:name="_Toc20416"/>
      <w:bookmarkStart w:id="991" w:name="_Toc30307"/>
      <w:bookmarkStart w:id="992" w:name="_Toc22817"/>
      <w:r>
        <w:rPr>
          <w:rFonts w:hint="eastAsia" w:ascii="仿宋" w:hAnsi="仿宋" w:eastAsia="仿宋" w:cs="仿宋"/>
          <w:b/>
          <w:bCs/>
          <w:color w:val="auto"/>
          <w:sz w:val="28"/>
          <w:szCs w:val="28"/>
          <w:highlight w:val="none"/>
        </w:rPr>
        <w:t>参加采购活动前三年内在经营活动中没有重大违法记录书面声明</w:t>
      </w:r>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14:paraId="47E381AA">
      <w:pPr>
        <w:numPr>
          <w:ilvl w:val="0"/>
          <w:numId w:val="0"/>
        </w:num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（实质性格式）</w:t>
      </w:r>
    </w:p>
    <w:p w14:paraId="1CE34B91">
      <w:pPr>
        <w:pStyle w:val="10"/>
        <w:wordWrap w:val="0"/>
        <w:overflowPunct w:val="0"/>
        <w:topLinePunct/>
        <w:rPr>
          <w:rFonts w:hint="eastAsia" w:ascii="仿宋" w:hAnsi="仿宋" w:eastAsia="仿宋" w:cs="仿宋"/>
          <w:color w:val="auto"/>
          <w:highlight w:val="none"/>
        </w:rPr>
      </w:pPr>
    </w:p>
    <w:p w14:paraId="63C68152">
      <w:pPr>
        <w:wordWrap w:val="0"/>
        <w:overflowPunct w:val="0"/>
        <w:topLinePunct/>
        <w:spacing w:line="360" w:lineRule="auto"/>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牟定县水务局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云南陈源项目管理有限公司</w:t>
      </w:r>
    </w:p>
    <w:p w14:paraId="47E2056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我方在此声明，我方在参加本次政府采购活动前三年内，在经营活动中没有以下重大违法记录：</w:t>
      </w:r>
    </w:p>
    <w:p w14:paraId="11A207E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1.我方因违法经营被追究过刑事责任；</w:t>
      </w:r>
    </w:p>
    <w:p w14:paraId="35C8715F">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2.我方因违法经营被责令停产停业、吊销许可证或者执照；</w:t>
      </w:r>
    </w:p>
    <w:p w14:paraId="02534F5A">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3.我方因违法经营被处以较大数额罚款等行政处罚。</w:t>
      </w:r>
    </w:p>
    <w:p w14:paraId="529D9FE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我方在近三年承接的项目中，无违法、违规的不良记录，未因违规或违约介入诉讼或仲裁，不存在拖欠工资情况及重大质量问题、重大安全事故，未因违规或违约解除合同。我方在投标期间没有处于被责令停业或财产被接管或冻结或被暂停参加投标活动的处罚阶段。</w:t>
      </w:r>
    </w:p>
    <w:p w14:paraId="630C46B8">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5.我方保证上述信息的完整、客观、真实、准确，若在本项目的招标投标的全过程中，被查实我方提供的资料及上述承诺不属实，或提供的相关资料不属实或不满足</w:t>
      </w:r>
      <w:r>
        <w:rPr>
          <w:rFonts w:hint="eastAsia" w:ascii="仿宋" w:hAnsi="仿宋" w:eastAsia="仿宋" w:cs="仿宋"/>
          <w:color w:val="auto"/>
          <w:sz w:val="24"/>
          <w:highlight w:val="none"/>
          <w:lang w:eastAsia="zh-CN"/>
        </w:rPr>
        <w:t>投标文件</w:t>
      </w:r>
      <w:r>
        <w:rPr>
          <w:rFonts w:hint="eastAsia" w:ascii="仿宋" w:hAnsi="仿宋" w:eastAsia="仿宋" w:cs="仿宋"/>
          <w:color w:val="auto"/>
          <w:sz w:val="24"/>
          <w:highlight w:val="none"/>
        </w:rPr>
        <w:t>的要求，则</w:t>
      </w:r>
      <w:r>
        <w:rPr>
          <w:rFonts w:hint="eastAsia" w:ascii="仿宋" w:hAnsi="仿宋" w:eastAsia="仿宋" w:cs="仿宋"/>
          <w:color w:val="auto"/>
          <w:sz w:val="24"/>
          <w:highlight w:val="none"/>
          <w:lang w:eastAsia="zh-CN"/>
        </w:rPr>
        <w:t>采购人</w:t>
      </w:r>
      <w:r>
        <w:rPr>
          <w:rFonts w:hint="eastAsia" w:ascii="仿宋" w:hAnsi="仿宋" w:eastAsia="仿宋" w:cs="仿宋"/>
          <w:color w:val="auto"/>
          <w:sz w:val="24"/>
          <w:highlight w:val="none"/>
        </w:rPr>
        <w:t>有权取消我方的投标及中标资格，且我方将无条件并愿意承担我方因提供虚假材料谋骗取中标、成交所引起的一切法律后果（包括经济损失）。</w:t>
      </w:r>
    </w:p>
    <w:p w14:paraId="2E95D746">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14:paraId="25361E24">
      <w:pPr>
        <w:pStyle w:val="10"/>
        <w:wordWrap w:val="0"/>
        <w:overflowPunct w:val="0"/>
        <w:topLinePunct/>
        <w:ind w:left="0" w:leftChars="0" w:firstLine="0" w:firstLineChars="0"/>
        <w:rPr>
          <w:rFonts w:hint="eastAsia" w:ascii="仿宋" w:hAnsi="仿宋" w:eastAsia="仿宋" w:cs="仿宋"/>
          <w:color w:val="auto"/>
          <w:highlight w:val="none"/>
        </w:rPr>
      </w:pPr>
    </w:p>
    <w:p w14:paraId="22C5B40E">
      <w:pPr>
        <w:wordWrap w:val="0"/>
        <w:overflowPunct w:val="0"/>
        <w:topLinePunct/>
        <w:spacing w:line="360" w:lineRule="auto"/>
        <w:jc w:val="left"/>
        <w:rPr>
          <w:rFonts w:hint="eastAsia" w:ascii="仿宋" w:hAnsi="仿宋" w:eastAsia="仿宋" w:cs="仿宋"/>
          <w:color w:val="auto"/>
          <w:sz w:val="24"/>
          <w:highlight w:val="none"/>
          <w:lang w:eastAsia="zh-CN"/>
        </w:rPr>
      </w:pPr>
    </w:p>
    <w:p w14:paraId="7A8DACBB">
      <w:pPr>
        <w:wordWrap w:val="0"/>
        <w:overflowPunct w:val="0"/>
        <w:topLinePunct/>
        <w:spacing w:line="360" w:lineRule="auto"/>
        <w:jc w:val="left"/>
        <w:rPr>
          <w:rFonts w:hint="eastAsia" w:ascii="仿宋" w:hAnsi="仿宋" w:eastAsia="仿宋" w:cs="仿宋"/>
          <w:color w:val="auto"/>
          <w:sz w:val="24"/>
          <w:highlight w:val="none"/>
          <w:lang w:eastAsia="zh-CN"/>
        </w:rPr>
      </w:pPr>
    </w:p>
    <w:p w14:paraId="13DFEE26">
      <w:pPr>
        <w:wordWrap w:val="0"/>
        <w:overflowPunct w:val="0"/>
        <w:topLinePunct/>
        <w:spacing w:line="360" w:lineRule="auto"/>
        <w:jc w:val="left"/>
        <w:rPr>
          <w:rFonts w:hint="eastAsia" w:ascii="仿宋" w:hAnsi="仿宋" w:eastAsia="仿宋" w:cs="仿宋"/>
          <w:color w:val="auto"/>
          <w:sz w:val="24"/>
          <w:highlight w:val="none"/>
          <w:lang w:eastAsia="zh-CN"/>
        </w:rPr>
      </w:pPr>
    </w:p>
    <w:p w14:paraId="522F94EA">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6BB2AE9">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993" w:name="_Toc7351"/>
      <w:bookmarkStart w:id="994" w:name="_Toc32726"/>
      <w:bookmarkStart w:id="995" w:name="_Toc22388"/>
      <w:bookmarkStart w:id="996" w:name="_Toc12291"/>
      <w:bookmarkStart w:id="997" w:name="_Toc19940"/>
      <w:bookmarkStart w:id="998" w:name="_Toc5533"/>
      <w:bookmarkStart w:id="999" w:name="_Toc25200"/>
      <w:bookmarkStart w:id="1000" w:name="_Toc9016"/>
      <w:bookmarkStart w:id="1001" w:name="_Toc23595"/>
      <w:bookmarkStart w:id="1002" w:name="_Toc615"/>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993"/>
      <w:bookmarkEnd w:id="994"/>
      <w:bookmarkEnd w:id="995"/>
      <w:bookmarkEnd w:id="996"/>
      <w:bookmarkEnd w:id="997"/>
      <w:bookmarkEnd w:id="998"/>
      <w:bookmarkEnd w:id="999"/>
      <w:bookmarkEnd w:id="1000"/>
      <w:bookmarkEnd w:id="1001"/>
      <w:bookmarkEnd w:id="1002"/>
    </w:p>
    <w:p w14:paraId="2062660B">
      <w:pPr>
        <w:wordWrap w:val="0"/>
        <w:overflowPunct w:val="0"/>
        <w:topLinePun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5D16E801">
      <w:pPr>
        <w:wordWrap w:val="0"/>
        <w:overflowPunct w:val="0"/>
        <w:topLinePunct/>
        <w:rPr>
          <w:rFonts w:hint="eastAsia" w:ascii="仿宋" w:hAnsi="仿宋" w:eastAsia="仿宋" w:cs="仿宋"/>
          <w:color w:val="auto"/>
          <w:szCs w:val="21"/>
          <w:highlight w:val="none"/>
        </w:rPr>
      </w:pPr>
    </w:p>
    <w:p w14:paraId="79B51C5A">
      <w:pPr>
        <w:wordWrap w:val="0"/>
        <w:overflowPunct w:val="0"/>
        <w:topLinePunct/>
        <w:spacing w:line="0" w:lineRule="atLeast"/>
        <w:ind w:firstLine="422" w:firstLineChars="200"/>
        <w:jc w:val="left"/>
        <w:rPr>
          <w:rFonts w:hint="eastAsia" w:ascii="仿宋" w:hAnsi="仿宋" w:eastAsia="仿宋" w:cs="仿宋"/>
          <w:b/>
          <w:bCs/>
          <w:color w:val="auto"/>
          <w:szCs w:val="21"/>
          <w:highlight w:val="none"/>
        </w:rPr>
      </w:pPr>
    </w:p>
    <w:p w14:paraId="2DC34805">
      <w:pPr>
        <w:pStyle w:val="19"/>
        <w:ind w:left="0" w:leftChars="0" w:firstLine="422" w:firstLineChars="200"/>
        <w:rPr>
          <w:rFonts w:hint="eastAsia" w:ascii="仿宋" w:hAnsi="仿宋" w:eastAsia="仿宋" w:cs="仿宋"/>
          <w:b/>
          <w:bCs/>
          <w:color w:val="auto"/>
          <w:szCs w:val="21"/>
          <w:highlight w:val="none"/>
        </w:rPr>
      </w:pPr>
    </w:p>
    <w:p w14:paraId="62629122">
      <w:pPr>
        <w:pStyle w:val="19"/>
        <w:ind w:left="0" w:leftChars="0" w:firstLine="422" w:firstLineChars="200"/>
        <w:rPr>
          <w:rFonts w:hint="eastAsia" w:ascii="仿宋" w:hAnsi="仿宋" w:eastAsia="仿宋" w:cs="仿宋"/>
          <w:b/>
          <w:bCs/>
          <w:color w:val="auto"/>
          <w:szCs w:val="21"/>
          <w:highlight w:val="none"/>
        </w:rPr>
      </w:pPr>
    </w:p>
    <w:p w14:paraId="58197ACE">
      <w:pPr>
        <w:pStyle w:val="19"/>
        <w:ind w:left="0" w:leftChars="0" w:firstLine="422" w:firstLineChars="200"/>
        <w:rPr>
          <w:rFonts w:hint="eastAsia" w:ascii="仿宋" w:hAnsi="仿宋" w:eastAsia="仿宋" w:cs="仿宋"/>
          <w:b/>
          <w:bCs/>
          <w:color w:val="auto"/>
          <w:szCs w:val="21"/>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Cs w:val="21"/>
          <w:highlight w:val="none"/>
        </w:rPr>
        <w:t>解释：参加采购活动前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年内，在经营活动中没有重大违法记录：参照投标函相关承诺格式内容。重大违法记录，是指</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因违法经营受到刑事处罚或者责令停产停业、吊销许可证或者执照、较大数额罚款（</w:t>
      </w:r>
      <w:r>
        <w:rPr>
          <w:rFonts w:hint="eastAsia" w:ascii="仿宋" w:hAnsi="仿宋" w:eastAsia="仿宋" w:cs="仿宋"/>
          <w:b/>
          <w:bCs/>
          <w:color w:val="auto"/>
          <w:szCs w:val="21"/>
          <w:highlight w:val="none"/>
          <w:lang w:eastAsia="zh-CN"/>
        </w:rPr>
        <w:t>较大数额罚款是指200万元以上罚款</w:t>
      </w:r>
      <w:r>
        <w:rPr>
          <w:rFonts w:hint="eastAsia" w:ascii="仿宋" w:hAnsi="仿宋" w:eastAsia="仿宋" w:cs="仿宋"/>
          <w:b/>
          <w:bCs/>
          <w:color w:val="auto"/>
          <w:szCs w:val="21"/>
          <w:highlight w:val="none"/>
        </w:rPr>
        <w:t>）等行政处罚。</w:t>
      </w:r>
      <w:r>
        <w:rPr>
          <w:rFonts w:hint="eastAsia" w:ascii="仿宋" w:hAnsi="仿宋" w:eastAsia="仿宋" w:cs="仿宋"/>
          <w:b/>
          <w:bCs/>
          <w:color w:val="auto"/>
          <w:szCs w:val="21"/>
          <w:highlight w:val="none"/>
          <w:lang w:eastAsia="zh-CN"/>
        </w:rPr>
        <w:t>投标人</w:t>
      </w:r>
      <w:r>
        <w:rPr>
          <w:rFonts w:hint="eastAsia" w:ascii="仿宋" w:hAnsi="仿宋" w:eastAsia="仿宋" w:cs="仿宋"/>
          <w:b/>
          <w:bCs/>
          <w:color w:val="auto"/>
          <w:szCs w:val="21"/>
          <w:highlight w:val="none"/>
        </w:rPr>
        <w:t>在参加政府采购活动前</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年内因违法经营被禁止在一定期限内参加政府采购活动，期限届满的，可以参加政府采购活动。</w:t>
      </w:r>
      <w:bookmarkStart w:id="1003" w:name="_Toc28798"/>
      <w:bookmarkStart w:id="1004" w:name="_Toc11659"/>
      <w:bookmarkStart w:id="1005" w:name="_Toc26414"/>
      <w:bookmarkStart w:id="1006" w:name="_Toc423"/>
      <w:bookmarkStart w:id="1007" w:name="_Toc31196"/>
      <w:bookmarkStart w:id="1008" w:name="_Toc27915"/>
      <w:bookmarkStart w:id="1009" w:name="_Toc18125"/>
      <w:bookmarkStart w:id="1010" w:name="_Toc16458"/>
      <w:bookmarkStart w:id="1011" w:name="_Toc3236"/>
      <w:bookmarkStart w:id="1012" w:name="_Toc15161"/>
      <w:bookmarkStart w:id="1013" w:name="_Toc9639"/>
      <w:bookmarkStart w:id="1014" w:name="_Toc6906"/>
      <w:bookmarkStart w:id="1015" w:name="_Toc25115"/>
      <w:bookmarkStart w:id="1016" w:name="_Toc21558"/>
      <w:bookmarkStart w:id="1017" w:name="_Toc11016"/>
      <w:bookmarkStart w:id="1018" w:name="_Toc27336"/>
      <w:bookmarkStart w:id="1019" w:name="_Toc9599"/>
      <w:bookmarkStart w:id="1020" w:name="_Toc13604"/>
      <w:bookmarkStart w:id="1021" w:name="_Toc21278"/>
      <w:bookmarkStart w:id="1022" w:name="_Toc32760"/>
      <w:bookmarkStart w:id="1023" w:name="_Toc22564"/>
      <w:bookmarkStart w:id="1024" w:name="_Toc10094"/>
      <w:bookmarkStart w:id="1025" w:name="_Toc29489"/>
      <w:bookmarkStart w:id="1026" w:name="_Toc13406"/>
      <w:bookmarkStart w:id="1027" w:name="_Toc29298"/>
    </w:p>
    <w:p w14:paraId="689D3972">
      <w:pPr>
        <w:pStyle w:val="19"/>
        <w:ind w:left="0" w:leftChars="0" w:firstLine="0" w:firstLineChars="0"/>
        <w:jc w:val="center"/>
        <w:outlineLvl w:val="1"/>
        <w:rPr>
          <w:rFonts w:hint="eastAsia" w:ascii="仿宋" w:hAnsi="仿宋" w:eastAsia="仿宋" w:cs="仿宋"/>
          <w:b/>
          <w:bCs/>
          <w:color w:val="auto"/>
          <w:sz w:val="28"/>
          <w:szCs w:val="28"/>
          <w:highlight w:val="none"/>
        </w:rPr>
      </w:pPr>
      <w:bookmarkStart w:id="1028" w:name="_Toc16867"/>
      <w:bookmarkStart w:id="1029" w:name="_Toc20536"/>
      <w:bookmarkStart w:id="1030" w:name="_Toc22347"/>
      <w:bookmarkStart w:id="1031" w:name="_Toc25079"/>
      <w:bookmarkStart w:id="1032" w:name="_Toc1871"/>
      <w:bookmarkStart w:id="1033" w:name="_Toc3157"/>
      <w:bookmarkStart w:id="1034" w:name="_Toc32324"/>
      <w:bookmarkStart w:id="1035" w:name="_Toc5650"/>
      <w:bookmarkStart w:id="1036" w:name="_Toc12565"/>
      <w:bookmarkStart w:id="1037" w:name="_Toc17479"/>
      <w:bookmarkStart w:id="1038" w:name="_Toc19345"/>
      <w:r>
        <w:rPr>
          <w:rFonts w:hint="eastAsia" w:ascii="仿宋" w:hAnsi="仿宋" w:eastAsia="仿宋" w:cs="仿宋"/>
          <w:b/>
          <w:bCs/>
          <w:color w:val="auto"/>
          <w:sz w:val="28"/>
          <w:szCs w:val="28"/>
          <w:highlight w:val="none"/>
          <w:lang w:val="en-US" w:eastAsia="zh-CN"/>
        </w:rPr>
        <w:t>六</w:t>
      </w:r>
      <w:r>
        <w:rPr>
          <w:rFonts w:hint="eastAsia" w:ascii="仿宋" w:hAnsi="仿宋" w:eastAsia="仿宋" w:cs="仿宋"/>
          <w:b/>
          <w:bCs/>
          <w:color w:val="auto"/>
          <w:sz w:val="28"/>
          <w:szCs w:val="28"/>
          <w:highlight w:val="none"/>
        </w:rPr>
        <w:t>、</w:t>
      </w:r>
      <w:bookmarkEnd w:id="1003"/>
      <w:bookmarkEnd w:id="1004"/>
      <w:bookmarkEnd w:id="1005"/>
      <w:bookmarkEnd w:id="1006"/>
      <w:bookmarkEnd w:id="1007"/>
      <w:bookmarkEnd w:id="1008"/>
      <w:bookmarkEnd w:id="1009"/>
      <w:bookmarkEnd w:id="1010"/>
      <w:bookmarkEnd w:id="1011"/>
      <w:r>
        <w:rPr>
          <w:rFonts w:hint="eastAsia" w:ascii="仿宋" w:hAnsi="仿宋" w:eastAsia="仿宋" w:cs="仿宋"/>
          <w:b/>
          <w:bCs/>
          <w:color w:val="auto"/>
          <w:sz w:val="28"/>
          <w:szCs w:val="28"/>
          <w:highlight w:val="none"/>
        </w:rPr>
        <w:t>法律、行政法规规定的其他条件</w:t>
      </w:r>
      <w:bookmarkEnd w:id="1012"/>
      <w:bookmarkEnd w:id="1013"/>
      <w:r>
        <w:rPr>
          <w:rFonts w:hint="eastAsia" w:ascii="仿宋" w:hAnsi="仿宋" w:eastAsia="仿宋" w:cs="仿宋"/>
          <w:b/>
          <w:bCs/>
          <w:color w:val="auto"/>
          <w:sz w:val="28"/>
          <w:szCs w:val="28"/>
          <w:highlight w:val="none"/>
          <w:lang w:val="en-US" w:eastAsia="zh-CN"/>
        </w:rPr>
        <w:t>（实质性格式）</w:t>
      </w:r>
      <w:bookmarkEnd w:id="1028"/>
      <w:bookmarkEnd w:id="1029"/>
      <w:bookmarkEnd w:id="1030"/>
      <w:bookmarkEnd w:id="1031"/>
      <w:bookmarkEnd w:id="1032"/>
      <w:bookmarkEnd w:id="1033"/>
      <w:bookmarkEnd w:id="1034"/>
      <w:bookmarkEnd w:id="1035"/>
      <w:bookmarkEnd w:id="1036"/>
      <w:bookmarkEnd w:id="1037"/>
      <w:bookmarkEnd w:id="1038"/>
      <w:r>
        <w:rPr>
          <w:rFonts w:hint="eastAsia" w:ascii="仿宋" w:hAnsi="仿宋" w:eastAsia="仿宋" w:cs="仿宋"/>
          <w:b/>
          <w:bCs/>
          <w:color w:val="auto"/>
          <w:sz w:val="28"/>
          <w:szCs w:val="28"/>
          <w:highlight w:val="none"/>
          <w:lang w:val="en-US" w:eastAsia="zh-CN"/>
        </w:rPr>
        <w:t xml:space="preserve"> </w:t>
      </w:r>
    </w:p>
    <w:p w14:paraId="23D84AB7">
      <w:pPr>
        <w:pStyle w:val="4"/>
        <w:tabs>
          <w:tab w:val="left" w:pos="900"/>
          <w:tab w:val="left" w:pos="1588"/>
        </w:tabs>
        <w:wordWrap w:val="0"/>
        <w:overflowPunct w:val="0"/>
        <w:topLinePunct/>
        <w:adjustRightInd/>
        <w:ind w:left="0" w:firstLine="0"/>
        <w:jc w:val="center"/>
        <w:textAlignment w:val="auto"/>
        <w:rPr>
          <w:rFonts w:hint="eastAsia" w:ascii="仿宋" w:hAnsi="仿宋" w:eastAsia="仿宋" w:cs="仿宋"/>
          <w:color w:val="auto"/>
          <w:sz w:val="24"/>
          <w:szCs w:val="24"/>
          <w:highlight w:val="none"/>
          <w:lang w:bidi="ar"/>
        </w:rPr>
      </w:pPr>
      <w:bookmarkStart w:id="1039" w:name="_Toc20069"/>
      <w:bookmarkStart w:id="1040" w:name="_Toc24666"/>
      <w:bookmarkStart w:id="1041" w:name="_Toc29726"/>
      <w:bookmarkStart w:id="1042" w:name="_Toc4613"/>
      <w:bookmarkStart w:id="1043" w:name="_Toc8366"/>
      <w:bookmarkStart w:id="1044" w:name="_Toc4314"/>
      <w:bookmarkStart w:id="1045" w:name="_Toc5353"/>
      <w:bookmarkStart w:id="1046" w:name="_Toc5509"/>
      <w:bookmarkStart w:id="1047" w:name="_Toc16013"/>
      <w:bookmarkStart w:id="1048" w:name="_Toc6292"/>
      <w:bookmarkStart w:id="1049" w:name="_Toc24546"/>
      <w:bookmarkStart w:id="1050" w:name="_Toc7558"/>
      <w:bookmarkStart w:id="1051" w:name="_Toc23157"/>
      <w:bookmarkStart w:id="1052" w:name="_Toc2717"/>
      <w:bookmarkStart w:id="1053" w:name="_Toc3079"/>
      <w:bookmarkStart w:id="1054" w:name="_Toc8699"/>
      <w:bookmarkStart w:id="1055" w:name="_Toc22023"/>
      <w:bookmarkStart w:id="1056" w:name="_Toc16863"/>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未被列入失信被执行人、重大税收违法案件当事人、政府采购严重违法失信行为名单的承诺函</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14:paraId="6BD6D701">
      <w:pPr>
        <w:pStyle w:val="33"/>
        <w:wordWrap w:val="0"/>
        <w:overflowPunct w:val="0"/>
        <w:topLinePunct/>
        <w:spacing w:before="0"/>
        <w:ind w:firstLine="0" w:firstLineChars="0"/>
        <w:jc w:val="left"/>
        <w:rPr>
          <w:rFonts w:hint="eastAsia" w:ascii="仿宋" w:hAnsi="仿宋" w:eastAsia="仿宋" w:cs="仿宋"/>
          <w:color w:val="auto"/>
          <w:highlight w:val="none"/>
        </w:rPr>
      </w:pPr>
    </w:p>
    <w:p w14:paraId="13C384BF">
      <w:pPr>
        <w:pStyle w:val="33"/>
        <w:wordWrap w:val="0"/>
        <w:overflowPunct w:val="0"/>
        <w:topLinePunct/>
        <w:spacing w:before="0"/>
        <w:ind w:firstLine="0" w:firstLineChars="0"/>
        <w:jc w:val="left"/>
        <w:rPr>
          <w:rFonts w:hint="eastAsia" w:ascii="仿宋" w:hAnsi="仿宋" w:eastAsia="仿宋" w:cs="仿宋"/>
          <w:color w:val="auto"/>
          <w:kern w:val="0"/>
          <w:highlight w:val="none"/>
          <w:lang w:bidi="ar"/>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牟定县水务局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云南陈源项目管理有限公司</w:t>
      </w:r>
    </w:p>
    <w:p w14:paraId="1AA5639B">
      <w:pPr>
        <w:pStyle w:val="33"/>
        <w:wordWrap w:val="0"/>
        <w:overflowPunct w:val="0"/>
        <w:topLinePunct/>
        <w:spacing w:before="0"/>
        <w:ind w:firstLine="480"/>
        <w:jc w:val="left"/>
        <w:rPr>
          <w:rFonts w:hint="eastAsia" w:ascii="仿宋" w:hAnsi="仿宋" w:eastAsia="仿宋" w:cs="仿宋"/>
          <w:color w:val="auto"/>
          <w:kern w:val="0"/>
          <w:highlight w:val="none"/>
          <w:lang w:bidi="ar"/>
        </w:rPr>
      </w:pPr>
      <w:r>
        <w:rPr>
          <w:rFonts w:hint="eastAsia" w:ascii="仿宋" w:hAnsi="仿宋" w:eastAsia="仿宋" w:cs="仿宋"/>
          <w:color w:val="auto"/>
          <w:kern w:val="0"/>
          <w:highlight w:val="none"/>
          <w:lang w:bidi="ar"/>
        </w:rPr>
        <w:t>我公司依法参加贵单位组织的</w:t>
      </w:r>
      <w:r>
        <w:rPr>
          <w:rFonts w:hint="eastAsia" w:ascii="仿宋" w:hAnsi="仿宋" w:eastAsia="仿宋" w:cs="仿宋"/>
          <w:color w:val="auto"/>
          <w:highlight w:val="none"/>
        </w:rPr>
        <w:t>（</w:t>
      </w:r>
      <w:r>
        <w:rPr>
          <w:rFonts w:hint="eastAsia" w:ascii="仿宋" w:hAnsi="仿宋" w:eastAsia="仿宋" w:cs="仿宋"/>
          <w:color w:val="auto"/>
          <w:sz w:val="24"/>
          <w:highlight w:val="none"/>
          <w:lang w:eastAsia="zh-CN"/>
        </w:rPr>
        <w:t>项目名称：</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sz w:val="24"/>
          <w:highlight w:val="none"/>
          <w:lang w:eastAsia="zh-CN"/>
        </w:rPr>
        <w:t>、项目编号：</w:t>
      </w:r>
      <w:r>
        <w:rPr>
          <w:rFonts w:hint="eastAsia" w:ascii="仿宋" w:hAnsi="仿宋" w:eastAsia="仿宋" w:cs="仿宋"/>
          <w:color w:val="auto"/>
          <w:sz w:val="24"/>
          <w:highlight w:val="none"/>
          <w:u w:val="single"/>
          <w:lang w:eastAsia="zh-CN"/>
        </w:rPr>
        <w:t xml:space="preserve">         </w:t>
      </w:r>
      <w:r>
        <w:rPr>
          <w:rFonts w:hint="eastAsia" w:ascii="仿宋" w:hAnsi="仿宋" w:eastAsia="仿宋" w:cs="仿宋"/>
          <w:color w:val="auto"/>
          <w:highlight w:val="none"/>
        </w:rPr>
        <w:t>）</w:t>
      </w:r>
      <w:r>
        <w:rPr>
          <w:rFonts w:hint="eastAsia" w:ascii="仿宋" w:hAnsi="仿宋" w:eastAsia="仿宋" w:cs="仿宋"/>
          <w:color w:val="auto"/>
          <w:highlight w:val="none"/>
          <w:u w:val="single"/>
          <w:lang w:eastAsia="zh-CN"/>
        </w:rPr>
        <w:t>公开招标</w:t>
      </w:r>
      <w:r>
        <w:rPr>
          <w:rFonts w:hint="eastAsia" w:ascii="仿宋" w:hAnsi="仿宋" w:eastAsia="仿宋" w:cs="仿宋"/>
          <w:color w:val="auto"/>
          <w:highlight w:val="none"/>
        </w:rPr>
        <w:t>采购活动</w:t>
      </w:r>
      <w:r>
        <w:rPr>
          <w:rFonts w:hint="eastAsia" w:ascii="仿宋" w:hAnsi="仿宋" w:eastAsia="仿宋" w:cs="仿宋"/>
          <w:color w:val="auto"/>
          <w:kern w:val="0"/>
          <w:highlight w:val="none"/>
          <w:lang w:bidi="ar"/>
        </w:rPr>
        <w:t>。现本公司郑重承诺：</w:t>
      </w:r>
    </w:p>
    <w:p w14:paraId="27F7F70D">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rPr>
        <w:t>我公司在参加政府采购活动前3年内未因违法经营被禁止在一定期限内参加政府采购活动，可以参加本次政府采购活动。</w:t>
      </w:r>
    </w:p>
    <w:p w14:paraId="2C5779F4">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rPr>
        <w:t>我方未被列入“信用中国”网站失信被执行人名单。</w:t>
      </w:r>
    </w:p>
    <w:p w14:paraId="25B42185">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3.</w:t>
      </w:r>
      <w:r>
        <w:rPr>
          <w:rFonts w:hint="eastAsia" w:ascii="仿宋" w:hAnsi="仿宋" w:eastAsia="仿宋" w:cs="仿宋"/>
          <w:color w:val="auto"/>
          <w:sz w:val="24"/>
          <w:highlight w:val="none"/>
        </w:rPr>
        <w:t>我方未被列入“信用中国”网站重大税收违法案件当事人名单。</w:t>
      </w:r>
    </w:p>
    <w:p w14:paraId="086B1FF9">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4.</w:t>
      </w:r>
      <w:r>
        <w:rPr>
          <w:rFonts w:hint="eastAsia" w:ascii="仿宋" w:hAnsi="仿宋" w:eastAsia="仿宋" w:cs="仿宋"/>
          <w:color w:val="auto"/>
          <w:sz w:val="24"/>
          <w:highlight w:val="none"/>
        </w:rPr>
        <w:t>我方未被列入“中国政府采购网”政府采购严重违法失信行为记录名单。</w:t>
      </w:r>
    </w:p>
    <w:p w14:paraId="3398B263">
      <w:pPr>
        <w:wordWrap w:val="0"/>
        <w:overflowPunct w:val="0"/>
        <w:topLinePunct/>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kern w:val="0"/>
          <w:sz w:val="24"/>
          <w:highlight w:val="none"/>
          <w:lang w:bidi="ar"/>
        </w:rPr>
        <w:t>以上承诺信息如有虚假或隐瞒，我方愿意承担一切后果，并不再寻求任何旨在减轻或免除法律责任的辩解。</w:t>
      </w:r>
      <w:r>
        <w:rPr>
          <w:rFonts w:hint="eastAsia" w:ascii="仿宋" w:hAnsi="仿宋" w:eastAsia="仿宋" w:cs="仿宋"/>
          <w:color w:val="auto"/>
          <w:sz w:val="24"/>
          <w:highlight w:val="none"/>
        </w:rPr>
        <w:t>如有不实，我方将无条件地退出本项目的采购活动，并遵照《</w:t>
      </w:r>
      <w:r>
        <w:rPr>
          <w:rFonts w:hint="eastAsia" w:ascii="仿宋" w:hAnsi="仿宋" w:eastAsia="仿宋" w:cs="仿宋"/>
          <w:color w:val="auto"/>
          <w:sz w:val="24"/>
          <w:highlight w:val="none"/>
          <w:lang w:eastAsia="zh-CN"/>
        </w:rPr>
        <w:t>中华人民共和国政府采购法</w:t>
      </w:r>
      <w:r>
        <w:rPr>
          <w:rFonts w:hint="eastAsia" w:ascii="仿宋" w:hAnsi="仿宋" w:eastAsia="仿宋" w:cs="仿宋"/>
          <w:color w:val="auto"/>
          <w:sz w:val="24"/>
          <w:highlight w:val="none"/>
        </w:rPr>
        <w:t>》有关“提供虚假材料的规定”接受处罚</w:t>
      </w:r>
      <w:r>
        <w:rPr>
          <w:rFonts w:hint="eastAsia" w:ascii="仿宋" w:hAnsi="仿宋" w:eastAsia="仿宋" w:cs="仿宋"/>
          <w:color w:val="auto"/>
          <w:kern w:val="0"/>
          <w:sz w:val="24"/>
          <w:highlight w:val="none"/>
          <w:lang w:bidi="ar"/>
        </w:rPr>
        <w:t>。</w:t>
      </w:r>
    </w:p>
    <w:p w14:paraId="6186A64F">
      <w:pPr>
        <w:wordWrap w:val="0"/>
        <w:overflowPunct w:val="0"/>
        <w:topLinePunct/>
        <w:spacing w:line="360" w:lineRule="auto"/>
        <w:jc w:val="both"/>
        <w:rPr>
          <w:rFonts w:hint="eastAsia" w:ascii="仿宋" w:hAnsi="仿宋" w:eastAsia="仿宋" w:cs="仿宋"/>
          <w:color w:val="auto"/>
          <w:sz w:val="24"/>
          <w:highlight w:val="none"/>
        </w:rPr>
      </w:pPr>
    </w:p>
    <w:p w14:paraId="54E9E068">
      <w:pPr>
        <w:wordWrap w:val="0"/>
        <w:overflowPunct w:val="0"/>
        <w:topLinePunct/>
        <w:spacing w:line="360" w:lineRule="auto"/>
        <w:jc w:val="center"/>
        <w:rPr>
          <w:rFonts w:hint="eastAsia" w:ascii="仿宋" w:hAnsi="仿宋" w:eastAsia="仿宋" w:cs="仿宋"/>
          <w:color w:val="auto"/>
          <w:sz w:val="24"/>
          <w:highlight w:val="none"/>
        </w:rPr>
      </w:pPr>
    </w:p>
    <w:p w14:paraId="0AD752A4">
      <w:pPr>
        <w:wordWrap w:val="0"/>
        <w:overflowPunct w:val="0"/>
        <w:topLinePunct/>
        <w:spacing w:line="360" w:lineRule="auto"/>
        <w:jc w:val="center"/>
        <w:rPr>
          <w:rFonts w:hint="eastAsia" w:ascii="仿宋" w:hAnsi="仿宋" w:eastAsia="仿宋" w:cs="仿宋"/>
          <w:color w:val="auto"/>
          <w:sz w:val="24"/>
          <w:highlight w:val="none"/>
          <w:lang w:eastAsia="zh-CN"/>
        </w:rPr>
      </w:pPr>
    </w:p>
    <w:p w14:paraId="4FF6101D">
      <w:pPr>
        <w:wordWrap w:val="0"/>
        <w:overflowPunct w:val="0"/>
        <w:topLinePunct/>
        <w:spacing w:line="360" w:lineRule="auto"/>
        <w:jc w:val="center"/>
        <w:rPr>
          <w:rFonts w:hint="eastAsia" w:ascii="仿宋" w:hAnsi="仿宋" w:eastAsia="仿宋" w:cs="仿宋"/>
          <w:color w:val="auto"/>
          <w:sz w:val="24"/>
          <w:highlight w:val="none"/>
          <w:lang w:eastAsia="zh-CN"/>
        </w:rPr>
      </w:pPr>
    </w:p>
    <w:p w14:paraId="574E13A4">
      <w:pPr>
        <w:wordWrap w:val="0"/>
        <w:overflowPunct w:val="0"/>
        <w:topLinePunct/>
        <w:spacing w:line="360" w:lineRule="auto"/>
        <w:jc w:val="center"/>
        <w:rPr>
          <w:rFonts w:hint="eastAsia" w:ascii="仿宋" w:hAnsi="仿宋" w:eastAsia="仿宋" w:cs="仿宋"/>
          <w:color w:val="auto"/>
          <w:sz w:val="24"/>
          <w:highlight w:val="none"/>
          <w:lang w:eastAsia="zh-CN"/>
        </w:rPr>
      </w:pPr>
    </w:p>
    <w:p w14:paraId="7E92160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A5A097F">
      <w:pPr>
        <w:pStyle w:val="33"/>
        <w:wordWrap w:val="0"/>
        <w:overflowPunct w:val="0"/>
        <w:topLinePunct/>
        <w:spacing w:before="0"/>
        <w:ind w:firstLine="480"/>
        <w:jc w:val="center"/>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525DEFEF">
      <w:pPr>
        <w:pStyle w:val="33"/>
        <w:wordWrap w:val="0"/>
        <w:overflowPunct w:val="0"/>
        <w:topLinePunct/>
        <w:spacing w:before="0"/>
        <w:jc w:val="both"/>
        <w:rPr>
          <w:rFonts w:hint="eastAsia" w:ascii="仿宋" w:hAnsi="仿宋" w:eastAsia="仿宋" w:cs="仿宋"/>
          <w:color w:val="auto"/>
          <w:highlight w:val="none"/>
        </w:rPr>
      </w:pPr>
    </w:p>
    <w:p w14:paraId="08E6E32B">
      <w:pPr>
        <w:wordWrap w:val="0"/>
        <w:overflowPunct w:val="0"/>
        <w:topLinePunct/>
        <w:spacing w:line="0" w:lineRule="atLeast"/>
        <w:ind w:firstLine="482" w:firstLineChars="200"/>
        <w:jc w:val="left"/>
        <w:rPr>
          <w:rFonts w:hint="eastAsia" w:ascii="仿宋" w:hAnsi="仿宋" w:eastAsia="仿宋" w:cs="仿宋"/>
          <w:b/>
          <w:bCs/>
          <w:color w:val="auto"/>
          <w:sz w:val="24"/>
          <w:highlight w:val="none"/>
        </w:rPr>
      </w:pPr>
    </w:p>
    <w:p w14:paraId="66FEB103">
      <w:pPr>
        <w:pStyle w:val="18"/>
        <w:rPr>
          <w:rFonts w:hint="eastAsia" w:ascii="仿宋" w:hAnsi="仿宋" w:eastAsia="仿宋" w:cs="仿宋"/>
          <w:b/>
          <w:bCs/>
          <w:color w:val="auto"/>
          <w:sz w:val="21"/>
          <w:szCs w:val="21"/>
          <w:highlight w:val="none"/>
        </w:rPr>
      </w:pPr>
    </w:p>
    <w:p w14:paraId="47050835">
      <w:pPr>
        <w:pStyle w:val="18"/>
        <w:rPr>
          <w:rFonts w:hint="eastAsia" w:ascii="仿宋" w:hAnsi="仿宋" w:eastAsia="仿宋" w:cs="仿宋"/>
          <w:b/>
          <w:bCs/>
          <w:color w:val="auto"/>
          <w:sz w:val="21"/>
          <w:szCs w:val="21"/>
          <w:highlight w:val="none"/>
        </w:rPr>
      </w:pPr>
    </w:p>
    <w:p w14:paraId="40E7F52B">
      <w:pPr>
        <w:pStyle w:val="18"/>
        <w:rPr>
          <w:rFonts w:hint="eastAsia" w:ascii="仿宋" w:hAnsi="仿宋" w:eastAsia="仿宋" w:cs="仿宋"/>
          <w:b/>
          <w:bCs/>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bCs/>
          <w:color w:val="auto"/>
          <w:sz w:val="21"/>
          <w:szCs w:val="21"/>
          <w:highlight w:val="none"/>
        </w:rPr>
        <w:t>注：3年内因违法经营被禁止在一定期限内参加政府采购，处罚期限届满可以参加政府采购活动的，但应提供期限届满的证明材料。</w:t>
      </w:r>
      <w:bookmarkStart w:id="1057" w:name="_Toc28900"/>
      <w:bookmarkStart w:id="1058" w:name="_Toc3606"/>
      <w:bookmarkStart w:id="1059" w:name="_Toc25072"/>
      <w:bookmarkStart w:id="1060" w:name="_Toc18012"/>
      <w:bookmarkStart w:id="1061" w:name="_Toc4238"/>
      <w:bookmarkStart w:id="1062" w:name="_Toc16693"/>
      <w:bookmarkStart w:id="1063" w:name="_Toc23880"/>
      <w:bookmarkStart w:id="1064" w:name="_Toc16572"/>
      <w:bookmarkStart w:id="1065" w:name="_Toc4806"/>
      <w:bookmarkStart w:id="1066" w:name="_Toc7287"/>
      <w:bookmarkStart w:id="1067" w:name="_Toc32199"/>
    </w:p>
    <w:bookmarkEnd w:id="1057"/>
    <w:bookmarkEnd w:id="1058"/>
    <w:bookmarkEnd w:id="1059"/>
    <w:bookmarkEnd w:id="1060"/>
    <w:bookmarkEnd w:id="1061"/>
    <w:bookmarkEnd w:id="1062"/>
    <w:bookmarkEnd w:id="1063"/>
    <w:bookmarkEnd w:id="1064"/>
    <w:bookmarkEnd w:id="1065"/>
    <w:bookmarkEnd w:id="1066"/>
    <w:bookmarkEnd w:id="1067"/>
    <w:p w14:paraId="4936FBD2">
      <w:pPr>
        <w:pStyle w:val="18"/>
        <w:keepNext w:val="0"/>
        <w:keepLines w:val="0"/>
        <w:pageBreakBefore w:val="0"/>
        <w:widowControl w:val="0"/>
        <w:kinsoku/>
        <w:wordWrap/>
        <w:overflowPunct/>
        <w:topLinePunct w:val="0"/>
        <w:autoSpaceDE/>
        <w:autoSpaceDN/>
        <w:bidi w:val="0"/>
        <w:adjustRightInd/>
        <w:snapToGrid/>
        <w:spacing w:after="0"/>
        <w:ind w:left="0" w:leftChars="0" w:firstLine="0" w:firstLineChars="0"/>
        <w:jc w:val="center"/>
        <w:textAlignment w:val="auto"/>
        <w:outlineLvl w:val="2"/>
        <w:rPr>
          <w:rFonts w:hint="eastAsia" w:ascii="仿宋" w:hAnsi="仿宋" w:eastAsia="仿宋" w:cs="仿宋"/>
          <w:b/>
          <w:bCs/>
          <w:color w:val="auto"/>
          <w:sz w:val="32"/>
          <w:szCs w:val="32"/>
          <w:highlight w:val="none"/>
        </w:rPr>
      </w:pPr>
      <w:bookmarkStart w:id="1068" w:name="_Toc3027"/>
      <w:bookmarkStart w:id="1069" w:name="_Toc14260"/>
      <w:bookmarkStart w:id="1070" w:name="_Toc25852"/>
      <w:bookmarkStart w:id="1071" w:name="_Toc9598"/>
      <w:bookmarkStart w:id="1072" w:name="_Toc22029"/>
      <w:bookmarkStart w:id="1073" w:name="_Toc7120"/>
      <w:bookmarkStart w:id="1074" w:name="_Toc32517"/>
      <w:bookmarkStart w:id="1075" w:name="_Toc26176"/>
      <w:bookmarkStart w:id="1076" w:name="_Toc22500"/>
      <w:bookmarkStart w:id="1077" w:name="_Toc17726"/>
      <w:bookmarkStart w:id="1078" w:name="_Toc112677164"/>
      <w:bookmarkStart w:id="1079" w:name="_Toc120277425"/>
      <w:bookmarkStart w:id="1080" w:name="_Toc698"/>
      <w:bookmarkStart w:id="1081" w:name="_Toc19537"/>
      <w:bookmarkStart w:id="1082" w:name="_Toc9578"/>
      <w:bookmarkStart w:id="1083" w:name="_Toc20757"/>
      <w:bookmarkStart w:id="1084" w:name="_Toc22394"/>
      <w:bookmarkStart w:id="1085" w:name="_Toc15174"/>
      <w:bookmarkStart w:id="1086" w:name="_Toc27828"/>
      <w:bookmarkStart w:id="1087" w:name="_Toc23889"/>
      <w:bookmarkStart w:id="1088" w:name="_Toc7746"/>
      <w:bookmarkStart w:id="1089" w:name="_Toc31270"/>
      <w:bookmarkStart w:id="1090" w:name="_Toc21545"/>
      <w:bookmarkStart w:id="1091" w:name="_Toc22406"/>
      <w:bookmarkStart w:id="1092" w:name="_Toc1648"/>
      <w:bookmarkStart w:id="1093" w:name="_Toc7266"/>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资格声明函</w:t>
      </w:r>
      <w:r>
        <w:rPr>
          <w:rFonts w:hint="eastAsia" w:ascii="仿宋" w:hAnsi="仿宋" w:eastAsia="仿宋" w:cs="仿宋"/>
          <w:b/>
          <w:bCs/>
          <w:color w:val="auto"/>
          <w:sz w:val="28"/>
          <w:szCs w:val="28"/>
          <w:highlight w:val="none"/>
          <w:lang w:val="en-US" w:eastAsia="zh-CN"/>
        </w:rPr>
        <w:t>（实质性格式）</w:t>
      </w:r>
      <w:bookmarkEnd w:id="1068"/>
      <w:bookmarkEnd w:id="1069"/>
      <w:bookmarkEnd w:id="1070"/>
      <w:bookmarkEnd w:id="1071"/>
      <w:bookmarkEnd w:id="1072"/>
      <w:bookmarkEnd w:id="1073"/>
      <w:bookmarkEnd w:id="1074"/>
      <w:bookmarkEnd w:id="1075"/>
      <w:bookmarkEnd w:id="1076"/>
      <w:bookmarkEnd w:id="1077"/>
    </w:p>
    <w:p w14:paraId="77B051F3">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highlight w:val="none"/>
        </w:rPr>
        <w:t>致：</w:t>
      </w:r>
      <w:r>
        <w:rPr>
          <w:rFonts w:hint="eastAsia" w:ascii="仿宋" w:hAnsi="仿宋" w:eastAsia="仿宋" w:cs="仿宋"/>
          <w:color w:val="auto"/>
          <w:sz w:val="24"/>
          <w:szCs w:val="24"/>
          <w:highlight w:val="none"/>
          <w:u w:val="single"/>
          <w:lang w:val="en-US" w:eastAsia="zh-CN"/>
        </w:rPr>
        <w:t>牟定县水务局</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云南陈源项目管理有限公司</w:t>
      </w:r>
    </w:p>
    <w:p w14:paraId="70356A94">
      <w:pPr>
        <w:keepNext w:val="0"/>
        <w:keepLines w:val="0"/>
        <w:pageBreakBefore w:val="0"/>
        <w:widowControl w:val="0"/>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关于贵方组织的（</w:t>
      </w:r>
      <w:r>
        <w:rPr>
          <w:rFonts w:hint="eastAsia" w:ascii="仿宋" w:hAnsi="仿宋" w:eastAsia="仿宋" w:cs="仿宋"/>
          <w:color w:val="auto"/>
          <w:sz w:val="24"/>
          <w:szCs w:val="24"/>
          <w:highlight w:val="none"/>
          <w:lang w:eastAsia="zh-CN"/>
        </w:rPr>
        <w:t>项目名称：</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eastAsia="zh-CN"/>
        </w:rPr>
        <w:t>公开招标</w:t>
      </w:r>
      <w:r>
        <w:rPr>
          <w:rFonts w:hint="eastAsia" w:ascii="仿宋" w:hAnsi="仿宋" w:eastAsia="仿宋" w:cs="仿宋"/>
          <w:color w:val="auto"/>
          <w:sz w:val="24"/>
          <w:szCs w:val="24"/>
          <w:highlight w:val="none"/>
        </w:rPr>
        <w:t>采购活动，我公司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（公司名称）愿意参加，提供</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中规定的货物及服务，并针对本项目的相关资格条款，我公司作出以下声明；</w:t>
      </w:r>
    </w:p>
    <w:p w14:paraId="6700CA2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bookmarkStart w:id="1094" w:name="_Toc26981"/>
      <w:bookmarkStart w:id="1095" w:name="_Toc10065"/>
      <w:bookmarkStart w:id="1096" w:name="_Toc30423"/>
      <w:bookmarkStart w:id="1097" w:name="_Toc3450"/>
      <w:bookmarkStart w:id="1098" w:name="_Toc14160"/>
      <w:bookmarkStart w:id="1099" w:name="_Toc5283"/>
      <w:bookmarkStart w:id="1100" w:name="_Toc26904"/>
      <w:bookmarkStart w:id="1101" w:name="_Toc23865"/>
      <w:bookmarkStart w:id="1102" w:name="_Toc28986"/>
      <w:r>
        <w:rPr>
          <w:rFonts w:hint="eastAsia" w:ascii="仿宋" w:hAnsi="仿宋" w:eastAsia="仿宋" w:cs="仿宋"/>
          <w:color w:val="auto"/>
          <w:sz w:val="24"/>
          <w:szCs w:val="24"/>
          <w:highlight w:val="none"/>
        </w:rPr>
        <w:t>1.我公司是依法注册的法人，在法律上、财务上和运作上完全独立于</w:t>
      </w:r>
      <w:r>
        <w:rPr>
          <w:rFonts w:hint="eastAsia" w:ascii="仿宋" w:hAnsi="仿宋" w:eastAsia="仿宋" w:cs="仿宋"/>
          <w:color w:val="auto"/>
          <w:sz w:val="24"/>
          <w:szCs w:val="24"/>
          <w:highlight w:val="none"/>
          <w:u w:val="single"/>
          <w:lang w:val="en-US" w:eastAsia="zh-CN"/>
        </w:rPr>
        <w:t>牟定县水务局</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u w:val="single"/>
          <w:lang w:val="en-US" w:eastAsia="zh-CN"/>
        </w:rPr>
        <w:t>云南陈源项目管理有限公司</w:t>
      </w:r>
    </w:p>
    <w:p w14:paraId="2DA571B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2.</w:t>
      </w:r>
      <w:r>
        <w:rPr>
          <w:rFonts w:hint="eastAsia" w:ascii="仿宋" w:hAnsi="仿宋" w:eastAsia="仿宋" w:cs="仿宋"/>
          <w:color w:val="auto"/>
          <w:sz w:val="24"/>
          <w:szCs w:val="24"/>
          <w:highlight w:val="none"/>
        </w:rPr>
        <w:t>我公司</w:t>
      </w:r>
      <w:r>
        <w:rPr>
          <w:rFonts w:hint="eastAsia" w:ascii="仿宋" w:hAnsi="仿宋" w:eastAsia="仿宋" w:cs="仿宋"/>
          <w:b w:val="0"/>
          <w:bCs w:val="0"/>
          <w:color w:val="auto"/>
          <w:sz w:val="24"/>
          <w:szCs w:val="24"/>
          <w:highlight w:val="none"/>
          <w:lang w:eastAsia="zh-CN"/>
        </w:rPr>
        <w:t>遵守国家有关的法律、法令和条例，以及符合并承认和履行招标文件中的各项规定。</w:t>
      </w:r>
    </w:p>
    <w:p w14:paraId="64E65E28">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bookmarkEnd w:id="1094"/>
      <w:bookmarkEnd w:id="1095"/>
      <w:bookmarkEnd w:id="1096"/>
      <w:bookmarkEnd w:id="1097"/>
      <w:bookmarkEnd w:id="1098"/>
      <w:bookmarkEnd w:id="1099"/>
      <w:bookmarkEnd w:id="1100"/>
      <w:bookmarkEnd w:id="1101"/>
      <w:bookmarkEnd w:id="1102"/>
      <w:r>
        <w:rPr>
          <w:rFonts w:hint="eastAsia" w:ascii="仿宋" w:hAnsi="仿宋" w:eastAsia="仿宋" w:cs="仿宋"/>
          <w:color w:val="auto"/>
          <w:sz w:val="24"/>
          <w:szCs w:val="24"/>
          <w:highlight w:val="none"/>
        </w:rPr>
        <w:t>我单位不属于政府采购法律、行政法规规定的公益一类事业单位</w:t>
      </w:r>
      <w:r>
        <w:rPr>
          <w:rFonts w:hint="eastAsia" w:ascii="仿宋" w:hAnsi="仿宋" w:eastAsia="仿宋" w:cs="仿宋"/>
          <w:color w:val="auto"/>
          <w:sz w:val="24"/>
          <w:szCs w:val="24"/>
          <w:highlight w:val="none"/>
          <w:lang w:eastAsia="zh-CN"/>
        </w:rPr>
        <w:t>或</w:t>
      </w:r>
      <w:r>
        <w:rPr>
          <w:rFonts w:hint="eastAsia" w:ascii="仿宋" w:hAnsi="仿宋" w:eastAsia="仿宋" w:cs="仿宋"/>
          <w:color w:val="auto"/>
          <w:sz w:val="24"/>
          <w:szCs w:val="24"/>
          <w:highlight w:val="none"/>
        </w:rPr>
        <w:t>使用事业编制且由财政拨款保障的群团组织（仅适用于政府购买服务项目）</w:t>
      </w:r>
      <w:r>
        <w:rPr>
          <w:rFonts w:hint="eastAsia" w:ascii="仿宋" w:hAnsi="仿宋" w:eastAsia="仿宋" w:cs="仿宋"/>
          <w:color w:val="auto"/>
          <w:sz w:val="24"/>
          <w:szCs w:val="24"/>
          <w:highlight w:val="none"/>
          <w:lang w:eastAsia="zh-CN"/>
        </w:rPr>
        <w:t>；</w:t>
      </w:r>
    </w:p>
    <w:p w14:paraId="1C92E895">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我单位不存在为采购项目提供整体设计、规范编制或者项目管理、监理、检测等服务后，再参加该采购项目的其他采购活动的情形（单一来源采购项目除外）</w:t>
      </w:r>
      <w:r>
        <w:rPr>
          <w:rFonts w:hint="eastAsia" w:ascii="仿宋" w:hAnsi="仿宋" w:eastAsia="仿宋" w:cs="仿宋"/>
          <w:color w:val="auto"/>
          <w:sz w:val="24"/>
          <w:szCs w:val="24"/>
          <w:highlight w:val="none"/>
          <w:lang w:eastAsia="zh-CN"/>
        </w:rPr>
        <w:t>；</w:t>
      </w:r>
    </w:p>
    <w:p w14:paraId="7547D1C1">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与我单位存在“单位负责人为同一人或者存在直接控股、管理关系”的其他法人单位信息如下（如有，不论其是否参加同一合同项下的政府采购活动均须填写）：</w:t>
      </w:r>
    </w:p>
    <w:tbl>
      <w:tblPr>
        <w:tblStyle w:val="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57"/>
        <w:gridCol w:w="5102"/>
        <w:gridCol w:w="3320"/>
      </w:tblGrid>
      <w:tr w14:paraId="3D72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710E6EE">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5102" w:type="dxa"/>
            <w:noWrap w:val="0"/>
            <w:vAlign w:val="center"/>
          </w:tcPr>
          <w:p w14:paraId="6D8358E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单位名称</w:t>
            </w:r>
          </w:p>
        </w:tc>
        <w:tc>
          <w:tcPr>
            <w:tcW w:w="3320" w:type="dxa"/>
            <w:noWrap w:val="0"/>
            <w:vAlign w:val="center"/>
          </w:tcPr>
          <w:p w14:paraId="05FFEBF5">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相互关系</w:t>
            </w:r>
          </w:p>
        </w:tc>
      </w:tr>
      <w:tr w14:paraId="2A544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566D7D5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5102" w:type="dxa"/>
            <w:noWrap w:val="0"/>
            <w:vAlign w:val="center"/>
          </w:tcPr>
          <w:p w14:paraId="5284EB2B">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1E1E8470">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312B8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004CF96C">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5102" w:type="dxa"/>
            <w:noWrap w:val="0"/>
            <w:vAlign w:val="center"/>
          </w:tcPr>
          <w:p w14:paraId="64C819F2">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40645FC7">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r w14:paraId="70E0AC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057" w:type="dxa"/>
            <w:noWrap w:val="0"/>
            <w:vAlign w:val="center"/>
          </w:tcPr>
          <w:p w14:paraId="103F9AA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5102" w:type="dxa"/>
            <w:noWrap w:val="0"/>
            <w:vAlign w:val="center"/>
          </w:tcPr>
          <w:p w14:paraId="6A56D1F1">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c>
          <w:tcPr>
            <w:tcW w:w="3320" w:type="dxa"/>
            <w:noWrap w:val="0"/>
            <w:vAlign w:val="center"/>
          </w:tcPr>
          <w:p w14:paraId="70C9ED6A">
            <w:pPr>
              <w:keepNext w:val="0"/>
              <w:keepLines w:val="0"/>
              <w:pageBreakBefore w:val="0"/>
              <w:widowControl w:val="0"/>
              <w:numPr>
                <w:ilvl w:val="3"/>
                <w:numId w:val="0"/>
              </w:numPr>
              <w:kinsoku/>
              <w:wordWrap w:val="0"/>
              <w:overflowPunct/>
              <w:topLinePunct/>
              <w:autoSpaceDE/>
              <w:autoSpaceDN/>
              <w:bidi w:val="0"/>
              <w:adjustRightInd/>
              <w:snapToGrid/>
              <w:spacing w:before="63" w:beforeLines="20" w:after="63" w:afterLines="20" w:line="0" w:lineRule="atLeast"/>
              <w:ind w:firstLine="0" w:firstLineChars="0"/>
              <w:jc w:val="center"/>
              <w:textAlignment w:val="baseline"/>
              <w:rPr>
                <w:rFonts w:hint="eastAsia" w:ascii="仿宋" w:hAnsi="仿宋" w:eastAsia="仿宋" w:cs="仿宋"/>
                <w:color w:val="auto"/>
                <w:sz w:val="24"/>
                <w:szCs w:val="24"/>
                <w:highlight w:val="none"/>
              </w:rPr>
            </w:pPr>
          </w:p>
        </w:tc>
      </w:tr>
    </w:tbl>
    <w:p w14:paraId="36428526">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.我公司完全符合本项目的投标资格，我公司对上述声明内容事项真实性负责。如经查实上述承诺声明的内容事项存在虚假或未履行，本单位愿意接受相关处罚并追究法律责任。</w:t>
      </w:r>
    </w:p>
    <w:p w14:paraId="1B399850">
      <w:pPr>
        <w:keepNext w:val="0"/>
        <w:keepLines w:val="0"/>
        <w:pageBreakBefore w:val="0"/>
        <w:widowControl w:val="0"/>
        <w:numPr>
          <w:ilvl w:val="3"/>
          <w:numId w:val="0"/>
        </w:numPr>
        <w:kinsoku/>
        <w:overflowPunct/>
        <w:autoSpaceDE/>
        <w:autoSpaceDN/>
        <w:bidi w:val="0"/>
        <w:adjustRightInd/>
        <w:snapToGrid/>
        <w:spacing w:before="63" w:beforeLines="20" w:after="63" w:afterLines="20" w:line="0" w:lineRule="atLeas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4D087D94">
      <w:pPr>
        <w:pStyle w:val="34"/>
        <w:keepNext w:val="0"/>
        <w:keepLines w:val="0"/>
        <w:pageBreakBefore w:val="0"/>
        <w:widowControl w:val="0"/>
        <w:kinsoku/>
        <w:autoSpaceDE w:val="0"/>
        <w:autoSpaceDN w:val="0"/>
        <w:bidi w:val="0"/>
        <w:adjustRightInd/>
        <w:snapToGrid/>
        <w:spacing w:before="63" w:beforeLines="20" w:after="63" w:afterLines="20" w:line="0" w:lineRule="atLeast"/>
        <w:ind w:left="0" w:leftChars="0" w:firstLine="0" w:firstLineChars="0"/>
        <w:jc w:val="left"/>
        <w:textAlignment w:val="baseline"/>
        <w:rPr>
          <w:rFonts w:hint="eastAsia" w:ascii="仿宋" w:hAnsi="仿宋" w:eastAsia="仿宋" w:cs="仿宋"/>
          <w:color w:val="auto"/>
          <w:kern w:val="0"/>
          <w:sz w:val="24"/>
          <w:szCs w:val="24"/>
          <w:highlight w:val="none"/>
          <w:u w:val="single"/>
        </w:rPr>
      </w:pPr>
    </w:p>
    <w:p w14:paraId="32FFFF88">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8C24D52">
      <w:pPr>
        <w:keepNext w:val="0"/>
        <w:keepLines w:val="0"/>
        <w:pageBreakBefore w:val="0"/>
        <w:widowControl w:val="0"/>
        <w:kinsoku/>
        <w:wordWrap w:val="0"/>
        <w:overflowPunct w:val="0"/>
        <w:topLinePunct/>
        <w:bidi w:val="0"/>
        <w:adjustRightInd/>
        <w:snapToGrid/>
        <w:spacing w:before="63" w:beforeLines="20" w:after="63" w:afterLines="20" w:line="0" w:lineRule="atLeast"/>
        <w:jc w:val="left"/>
        <w:rPr>
          <w:rFonts w:hint="eastAsia" w:ascii="仿宋" w:hAnsi="仿宋" w:eastAsia="仿宋" w:cs="仿宋"/>
          <w:color w:val="auto"/>
          <w:sz w:val="24"/>
          <w:szCs w:val="24"/>
          <w:highlight w:val="none"/>
          <w:lang w:eastAsia="zh-CN"/>
        </w:rPr>
      </w:pPr>
    </w:p>
    <w:p w14:paraId="45B835FE">
      <w:pPr>
        <w:keepNext w:val="0"/>
        <w:keepLines w:val="0"/>
        <w:pageBreakBefore w:val="0"/>
        <w:widowControl w:val="0"/>
        <w:kinsoku/>
        <w:wordWrap w:val="0"/>
        <w:overflowPunct w:val="0"/>
        <w:topLinePunct/>
        <w:bidi w:val="0"/>
        <w:adjustRightInd/>
        <w:snapToGrid/>
        <w:spacing w:before="63" w:beforeLines="20" w:after="63" w:afterLines="20" w:line="0" w:lineRule="atLeas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none"/>
          <w:lang w:eastAsia="zh-CN"/>
        </w:rPr>
        <w:t>（电子公章）</w:t>
      </w:r>
    </w:p>
    <w:p w14:paraId="220DA9F9">
      <w:pPr>
        <w:keepNext w:val="0"/>
        <w:keepLines w:val="0"/>
        <w:pageBreakBefore w:val="0"/>
        <w:widowControl w:val="0"/>
        <w:kinsoku/>
        <w:wordWrap w:val="0"/>
        <w:overflowPunct w:val="0"/>
        <w:topLinePunct/>
        <w:bidi w:val="0"/>
        <w:adjustRightInd/>
        <w:snapToGrid/>
        <w:spacing w:before="63" w:beforeLines="20" w:after="63" w:afterLines="20" w:line="0" w:lineRule="atLeast"/>
        <w:jc w:val="center"/>
        <w:outlineLvl w:val="1"/>
        <w:rPr>
          <w:rFonts w:hint="eastAsia" w:ascii="仿宋" w:hAnsi="仿宋" w:eastAsia="仿宋" w:cs="仿宋"/>
          <w:color w:val="auto"/>
          <w:sz w:val="24"/>
          <w:szCs w:val="24"/>
          <w:highlight w:val="none"/>
          <w:u w:val="single"/>
        </w:rPr>
      </w:pPr>
      <w:bookmarkStart w:id="1103" w:name="_Toc22019"/>
      <w:bookmarkStart w:id="1104" w:name="_Toc27762"/>
      <w:bookmarkStart w:id="1105" w:name="_Toc8792"/>
      <w:bookmarkStart w:id="1106" w:name="_Toc19428"/>
      <w:bookmarkStart w:id="1107" w:name="_Toc11847"/>
      <w:bookmarkStart w:id="1108" w:name="_Toc14851"/>
      <w:bookmarkStart w:id="1109" w:name="_Toc5323"/>
      <w:bookmarkStart w:id="1110" w:name="_Toc13847"/>
      <w:bookmarkStart w:id="1111" w:name="_Toc2101"/>
      <w:bookmarkStart w:id="1112" w:name="_Toc4675"/>
      <w:bookmarkStart w:id="1113" w:name="_Toc29188"/>
      <w:r>
        <w:rPr>
          <w:rFonts w:hint="eastAsia" w:ascii="仿宋" w:hAnsi="仿宋" w:eastAsia="仿宋" w:cs="仿宋"/>
          <w:color w:val="auto"/>
          <w:sz w:val="24"/>
          <w:szCs w:val="24"/>
          <w:highlight w:val="none"/>
        </w:rPr>
        <w:t>法定代表人（负责人）或授权委托人：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签字或电子签章</w:t>
      </w:r>
      <w:r>
        <w:rPr>
          <w:rFonts w:hint="eastAsia" w:ascii="仿宋" w:hAnsi="仿宋" w:eastAsia="仿宋" w:cs="仿宋"/>
          <w:color w:val="auto"/>
          <w:sz w:val="24"/>
          <w:szCs w:val="24"/>
          <w:highlight w:val="none"/>
        </w:rPr>
        <w:t>）</w:t>
      </w:r>
      <w:bookmarkEnd w:id="1103"/>
      <w:bookmarkEnd w:id="1104"/>
      <w:bookmarkEnd w:id="1105"/>
      <w:bookmarkEnd w:id="1106"/>
      <w:bookmarkEnd w:id="1107"/>
      <w:bookmarkEnd w:id="1108"/>
      <w:bookmarkEnd w:id="1109"/>
      <w:bookmarkEnd w:id="1110"/>
      <w:bookmarkEnd w:id="1111"/>
      <w:bookmarkEnd w:id="1112"/>
      <w:bookmarkEnd w:id="1113"/>
    </w:p>
    <w:p w14:paraId="661E4B49">
      <w:pPr>
        <w:keepNext w:val="0"/>
        <w:keepLines w:val="0"/>
        <w:pageBreakBefore w:val="0"/>
        <w:widowControl w:val="0"/>
        <w:kinsoku/>
        <w:bidi w:val="0"/>
        <w:adjustRightInd/>
        <w:snapToGrid/>
        <w:spacing w:before="63" w:beforeLines="20" w:after="63" w:afterLines="20" w:line="0" w:lineRule="atLeas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3DB96AE1">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135AF58">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7ACC525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65EC2789">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p>
    <w:p w14:paraId="4F483A5C">
      <w:pPr>
        <w:keepNext w:val="0"/>
        <w:keepLines w:val="0"/>
        <w:pageBreakBefore w:val="0"/>
        <w:widowControl w:val="0"/>
        <w:kinsoku/>
        <w:wordWrap w:val="0"/>
        <w:overflowPunct/>
        <w:topLinePunct/>
        <w:autoSpaceDE/>
        <w:autoSpaceDN/>
        <w:bidi w:val="0"/>
        <w:adjustRightInd/>
        <w:snapToGrid/>
        <w:spacing w:line="0" w:lineRule="atLeast"/>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注：</w:t>
      </w:r>
    </w:p>
    <w:p w14:paraId="2FBB7931">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1.</w:t>
      </w:r>
      <w:r>
        <w:rPr>
          <w:rFonts w:hint="eastAsia" w:ascii="仿宋" w:hAnsi="仿宋" w:eastAsia="仿宋" w:cs="仿宋"/>
          <w:b/>
          <w:color w:val="auto"/>
          <w:sz w:val="21"/>
          <w:szCs w:val="21"/>
          <w:highlight w:val="none"/>
        </w:rPr>
        <w:t>单位负责人，是指单位法定代表人或者法律、行政法规规定代表单位行使职权的主要负责人。</w:t>
      </w:r>
    </w:p>
    <w:p w14:paraId="55EB85FC">
      <w:pPr>
        <w:keepNext w:val="0"/>
        <w:keepLines w:val="0"/>
        <w:pageBreakBefore w:val="0"/>
        <w:widowControl w:val="0"/>
        <w:kinsoku/>
        <w:wordWrap w:val="0"/>
        <w:overflowPunct/>
        <w:topLinePunct/>
        <w:autoSpaceDE/>
        <w:autoSpaceDN/>
        <w:bidi w:val="0"/>
        <w:adjustRightInd/>
        <w:snapToGrid/>
        <w:spacing w:line="0" w:lineRule="atLeast"/>
        <w:ind w:firstLine="422" w:firstLineChars="200"/>
        <w:textAlignment w:val="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eastAsia="zh-CN"/>
        </w:rPr>
        <w:t>2.</w:t>
      </w:r>
      <w:r>
        <w:rPr>
          <w:rFonts w:hint="eastAsia" w:ascii="仿宋" w:hAnsi="仿宋" w:eastAsia="仿宋" w:cs="仿宋"/>
          <w:b/>
          <w:color w:val="auto"/>
          <w:sz w:val="21"/>
          <w:szCs w:val="21"/>
          <w:highlight w:val="none"/>
        </w:rPr>
        <w:t>直接控股关系，</w:t>
      </w:r>
      <w:r>
        <w:rPr>
          <w:rFonts w:hint="eastAsia" w:ascii="仿宋" w:hAnsi="仿宋" w:eastAsia="仿宋" w:cs="仿宋"/>
          <w:b/>
          <w:color w:val="auto"/>
          <w:sz w:val="21"/>
          <w:szCs w:val="21"/>
          <w:highlight w:val="none"/>
          <w:shd w:val="clear" w:color="auto" w:fill="FFFFFF"/>
        </w:rPr>
        <w:t>是指单位或个人股东的直接控股关系；控股股东，是指其出资额占有限责任公司资本总额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以上或者其持有的股份占股份有限公司股本总额</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以上的股东；出资额或者持有股份的比例虽然不足</w:t>
      </w:r>
      <w:r>
        <w:rPr>
          <w:rFonts w:hint="eastAsia" w:ascii="仿宋" w:hAnsi="仿宋" w:eastAsia="仿宋" w:cs="仿宋"/>
          <w:b/>
          <w:color w:val="auto"/>
          <w:sz w:val="21"/>
          <w:szCs w:val="21"/>
          <w:highlight w:val="none"/>
          <w:shd w:val="clear" w:color="auto" w:fill="FFFFFF"/>
          <w:lang w:eastAsia="zh-CN"/>
        </w:rPr>
        <w:t>50%</w:t>
      </w:r>
      <w:r>
        <w:rPr>
          <w:rFonts w:hint="eastAsia" w:ascii="仿宋" w:hAnsi="仿宋" w:eastAsia="仿宋" w:cs="仿宋"/>
          <w:b/>
          <w:color w:val="auto"/>
          <w:sz w:val="21"/>
          <w:szCs w:val="21"/>
          <w:highlight w:val="none"/>
          <w:shd w:val="clear" w:color="auto" w:fill="FFFFFF"/>
        </w:rPr>
        <w:t>，但依其出资额或者持有的股份所享有的表决权已足以对股东会、股东大会的决议产生重大影响的股东</w:t>
      </w:r>
      <w:r>
        <w:rPr>
          <w:rFonts w:hint="eastAsia" w:ascii="仿宋" w:hAnsi="仿宋" w:eastAsia="仿宋" w:cs="仿宋"/>
          <w:b/>
          <w:color w:val="auto"/>
          <w:sz w:val="21"/>
          <w:szCs w:val="21"/>
          <w:highlight w:val="none"/>
        </w:rPr>
        <w:t>。</w:t>
      </w:r>
    </w:p>
    <w:p w14:paraId="237530B7">
      <w:pPr>
        <w:keepNext w:val="0"/>
        <w:keepLines w:val="0"/>
        <w:pageBreakBefore w:val="0"/>
        <w:widowControl w:val="0"/>
        <w:kinsoku/>
        <w:wordWrap w:val="0"/>
        <w:overflowPunct/>
        <w:topLinePunct/>
        <w:autoSpaceDE/>
        <w:autoSpaceDN/>
        <w:bidi w:val="0"/>
        <w:adjustRightInd/>
        <w:snapToGrid/>
        <w:spacing w:line="0" w:lineRule="atLeast"/>
        <w:ind w:firstLine="422" w:firstLineChars="200"/>
        <w:jc w:val="left"/>
        <w:textAlignment w:val="auto"/>
        <w:rPr>
          <w:rFonts w:hint="eastAsia" w:ascii="仿宋" w:hAnsi="仿宋" w:eastAsia="仿宋" w:cs="仿宋"/>
          <w:color w:val="auto"/>
          <w:sz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425" w:num="1"/>
          <w:rtlGutter w:val="0"/>
          <w:docGrid w:type="lines" w:linePitch="312" w:charSpace="0"/>
        </w:sectPr>
      </w:pPr>
      <w:r>
        <w:rPr>
          <w:rFonts w:hint="eastAsia" w:ascii="仿宋" w:hAnsi="仿宋" w:eastAsia="仿宋" w:cs="仿宋"/>
          <w:b/>
          <w:color w:val="auto"/>
          <w:sz w:val="21"/>
          <w:szCs w:val="21"/>
          <w:highlight w:val="none"/>
          <w:lang w:eastAsia="zh-CN"/>
        </w:rPr>
        <w:t>3.</w:t>
      </w:r>
      <w:r>
        <w:rPr>
          <w:rFonts w:hint="eastAsia" w:ascii="仿宋" w:hAnsi="仿宋" w:eastAsia="仿宋" w:cs="仿宋"/>
          <w:b/>
          <w:color w:val="auto"/>
          <w:sz w:val="21"/>
          <w:szCs w:val="21"/>
          <w:highlight w:val="none"/>
        </w:rPr>
        <w:t>直接管理关系，是指不具有出资持股关系的其他单位之间存在的直接管理与被管理关系，如上下级关系的事业单位和团体组织。</w:t>
      </w:r>
    </w:p>
    <w:p w14:paraId="696E153A">
      <w:pPr>
        <w:pStyle w:val="3"/>
        <w:keepNext w:val="0"/>
        <w:keepLines w:val="0"/>
        <w:pageBreakBefore w:val="0"/>
        <w:widowControl w:val="0"/>
        <w:numPr>
          <w:ilvl w:val="0"/>
          <w:numId w:val="0"/>
        </w:numPr>
        <w:kinsoku/>
        <w:wordWrap w:val="0"/>
        <w:overflowPunct/>
        <w:topLinePunct/>
        <w:autoSpaceDE/>
        <w:autoSpaceDN/>
        <w:bidi w:val="0"/>
        <w:adjustRightInd/>
        <w:snapToGrid/>
        <w:spacing w:before="0" w:after="0" w:line="360" w:lineRule="auto"/>
        <w:jc w:val="center"/>
        <w:textAlignment w:val="auto"/>
        <w:rPr>
          <w:rFonts w:hint="eastAsia" w:ascii="仿宋" w:hAnsi="仿宋" w:eastAsia="仿宋" w:cs="仿宋"/>
          <w:color w:val="auto"/>
          <w:sz w:val="40"/>
          <w:szCs w:val="24"/>
          <w:highlight w:val="none"/>
        </w:rPr>
      </w:pPr>
      <w:bookmarkStart w:id="1114" w:name="_Toc14390"/>
      <w:bookmarkStart w:id="1115" w:name="_Toc28297"/>
      <w:bookmarkStart w:id="1116" w:name="_Toc10657"/>
      <w:bookmarkStart w:id="1117" w:name="_Toc14317"/>
      <w:bookmarkStart w:id="1118" w:name="_Toc19200"/>
      <w:bookmarkStart w:id="1119" w:name="_Toc2607"/>
      <w:bookmarkStart w:id="1120" w:name="_Toc23453"/>
      <w:bookmarkStart w:id="1121" w:name="_Toc10708"/>
      <w:bookmarkStart w:id="1122" w:name="_Toc3515"/>
      <w:bookmarkStart w:id="1123" w:name="_Toc25347"/>
      <w:bookmarkStart w:id="1124" w:name="_Toc25946"/>
      <w:bookmarkStart w:id="1125" w:name="_Toc6890"/>
      <w:bookmarkStart w:id="1126" w:name="_Toc12270"/>
      <w:bookmarkStart w:id="1127" w:name="_Toc20617"/>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无串通投标行为的承诺函</w:t>
      </w:r>
      <w:bookmarkEnd w:id="1078"/>
      <w:bookmarkEnd w:id="1079"/>
      <w:bookmarkEnd w:id="1080"/>
      <w:bookmarkEnd w:id="1081"/>
      <w:r>
        <w:rPr>
          <w:rFonts w:hint="eastAsia" w:ascii="仿宋" w:hAnsi="仿宋" w:eastAsia="仿宋" w:cs="仿宋"/>
          <w:color w:val="auto"/>
          <w:sz w:val="28"/>
          <w:szCs w:val="28"/>
          <w:highlight w:val="none"/>
          <w:lang w:val="en-US" w:eastAsia="zh-CN"/>
        </w:rPr>
        <w:t>（实质性格式）</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r>
        <w:rPr>
          <w:rFonts w:hint="eastAsia" w:ascii="仿宋" w:hAnsi="仿宋" w:eastAsia="仿宋" w:cs="仿宋"/>
          <w:color w:val="auto"/>
          <w:sz w:val="28"/>
          <w:szCs w:val="28"/>
          <w:highlight w:val="none"/>
          <w:lang w:val="en-US" w:eastAsia="zh-CN"/>
        </w:rPr>
        <w:t xml:space="preserve"> </w:t>
      </w:r>
    </w:p>
    <w:p w14:paraId="282E6386">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b/>
          <w:color w:val="auto"/>
          <w:kern w:val="0"/>
          <w:sz w:val="24"/>
          <w:highlight w:val="none"/>
        </w:rPr>
      </w:pPr>
      <w:bookmarkStart w:id="1128" w:name="_Toc6957"/>
      <w:r>
        <w:rPr>
          <w:rFonts w:hint="eastAsia" w:ascii="仿宋" w:hAnsi="仿宋" w:eastAsia="仿宋" w:cs="仿宋"/>
          <w:b/>
          <w:color w:val="auto"/>
          <w:kern w:val="0"/>
          <w:sz w:val="24"/>
          <w:highlight w:val="none"/>
        </w:rPr>
        <w:t>一、</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公司承诺无下列恶意串通投标的情形（包括但不限于）</w:t>
      </w:r>
      <w:r>
        <w:rPr>
          <w:rFonts w:hint="eastAsia" w:ascii="仿宋" w:hAnsi="仿宋" w:eastAsia="仿宋" w:cs="仿宋"/>
          <w:b/>
          <w:color w:val="auto"/>
          <w:kern w:val="0"/>
          <w:sz w:val="24"/>
          <w:highlight w:val="none"/>
        </w:rPr>
        <w:t>：</w:t>
      </w:r>
      <w:bookmarkEnd w:id="1128"/>
    </w:p>
    <w:p w14:paraId="7C3F5CE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直接或者间接从采购人或者采购代理机构处获得其他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的相关情况并修改其投标文件或者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w:t>
      </w:r>
    </w:p>
    <w:p w14:paraId="6863D32B">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按照采购人或者采购代理机构的授意撤换、修改投标文件或者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w:t>
      </w:r>
    </w:p>
    <w:p w14:paraId="123316CF">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之间协商报价、技术方案等投标文件或者</w:t>
      </w:r>
      <w:r>
        <w:rPr>
          <w:rFonts w:hint="eastAsia" w:ascii="仿宋" w:hAnsi="仿宋" w:eastAsia="仿宋" w:cs="仿宋"/>
          <w:color w:val="auto"/>
          <w:kern w:val="0"/>
          <w:sz w:val="24"/>
          <w:highlight w:val="none"/>
          <w:lang w:eastAsia="zh-CN"/>
        </w:rPr>
        <w:t>投标文件</w:t>
      </w:r>
      <w:r>
        <w:rPr>
          <w:rFonts w:hint="eastAsia" w:ascii="仿宋" w:hAnsi="仿宋" w:eastAsia="仿宋" w:cs="仿宋"/>
          <w:color w:val="auto"/>
          <w:kern w:val="0"/>
          <w:sz w:val="24"/>
          <w:highlight w:val="none"/>
        </w:rPr>
        <w:t>的实质性内容；</w:t>
      </w:r>
    </w:p>
    <w:p w14:paraId="3323694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（四）属于同一集团、协会、商会等组织成员的</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按照该组织要求协同参加政府采购活动；</w:t>
      </w:r>
    </w:p>
    <w:p w14:paraId="45F1F62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之间事先约定由某一特定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w:t>
      </w:r>
    </w:p>
    <w:p w14:paraId="544789B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之间商定部分</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放弃参加政府采购活动或者放弃中标、成交；</w:t>
      </w:r>
    </w:p>
    <w:p w14:paraId="6EB2455E">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（七）</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与采购人或者采购代理机构之间、</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相互之间，为谋求特定</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中标、成交或者排斥其他</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的其他串通行为。</w:t>
      </w:r>
    </w:p>
    <w:p w14:paraId="6AC667D8">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outlineLvl w:val="1"/>
        <w:rPr>
          <w:rFonts w:hint="eastAsia" w:ascii="仿宋" w:hAnsi="仿宋" w:eastAsia="仿宋" w:cs="仿宋"/>
          <w:color w:val="auto"/>
          <w:kern w:val="0"/>
          <w:sz w:val="24"/>
          <w:highlight w:val="none"/>
        </w:rPr>
      </w:pPr>
      <w:bookmarkStart w:id="1129" w:name="_Toc27695"/>
      <w:r>
        <w:rPr>
          <w:rFonts w:hint="eastAsia" w:ascii="仿宋" w:hAnsi="仿宋" w:eastAsia="仿宋" w:cs="仿宋"/>
          <w:b/>
          <w:color w:val="auto"/>
          <w:kern w:val="0"/>
          <w:sz w:val="24"/>
          <w:highlight w:val="none"/>
        </w:rPr>
        <w:t>二、</w:t>
      </w:r>
      <w:r>
        <w:rPr>
          <w:rFonts w:hint="eastAsia" w:ascii="仿宋" w:hAnsi="仿宋" w:eastAsia="仿宋" w:cs="仿宋"/>
          <w:b/>
          <w:color w:val="auto"/>
          <w:kern w:val="0"/>
          <w:sz w:val="24"/>
          <w:highlight w:val="none"/>
          <w:lang w:eastAsia="zh-CN"/>
        </w:rPr>
        <w:t>我</w:t>
      </w:r>
      <w:r>
        <w:rPr>
          <w:rFonts w:hint="eastAsia" w:ascii="仿宋" w:hAnsi="仿宋" w:eastAsia="仿宋" w:cs="仿宋"/>
          <w:b/>
          <w:color w:val="auto"/>
          <w:kern w:val="0"/>
          <w:sz w:val="24"/>
          <w:highlight w:val="none"/>
          <w:lang w:val="en-US" w:eastAsia="zh-CN"/>
        </w:rPr>
        <w:t>公司承诺无下列相互串通投标的情形（包括但不限于）</w:t>
      </w:r>
      <w:r>
        <w:rPr>
          <w:rFonts w:hint="eastAsia" w:ascii="仿宋" w:hAnsi="仿宋" w:eastAsia="仿宋" w:cs="仿宋"/>
          <w:b/>
          <w:color w:val="auto"/>
          <w:kern w:val="0"/>
          <w:sz w:val="24"/>
          <w:highlight w:val="none"/>
        </w:rPr>
        <w:t>：</w:t>
      </w:r>
      <w:bookmarkEnd w:id="1129"/>
    </w:p>
    <w:p w14:paraId="70C10431">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（一）不同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的投标文件由同一单位或者个人编制；</w:t>
      </w:r>
    </w:p>
    <w:p w14:paraId="7B23A83D">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（二）不同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委托同一单位或者个人办理投标事宜；</w:t>
      </w:r>
    </w:p>
    <w:p w14:paraId="01BB1C02">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（三）不同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的投标文件载明的项目管理成员或者联系人员为同一人；</w:t>
      </w:r>
    </w:p>
    <w:p w14:paraId="6D01BBCA">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（四）不同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的投标文件异常一致或者投标报价呈规律性差异；</w:t>
      </w:r>
    </w:p>
    <w:p w14:paraId="7168302C">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（五）不同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的投标文件相互混装；</w:t>
      </w:r>
    </w:p>
    <w:p w14:paraId="6C8624B5">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jc w:val="left"/>
        <w:textAlignment w:val="auto"/>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（六）不同</w:t>
      </w:r>
      <w:r>
        <w:rPr>
          <w:rFonts w:hint="eastAsia" w:ascii="仿宋" w:hAnsi="仿宋" w:eastAsia="仿宋" w:cs="仿宋"/>
          <w:color w:val="auto"/>
          <w:kern w:val="0"/>
          <w:sz w:val="24"/>
          <w:highlight w:val="none"/>
          <w:lang w:eastAsia="zh-CN"/>
        </w:rPr>
        <w:t>投标人</w:t>
      </w:r>
      <w:r>
        <w:rPr>
          <w:rFonts w:hint="eastAsia" w:ascii="仿宋" w:hAnsi="仿宋" w:eastAsia="仿宋" w:cs="仿宋"/>
          <w:color w:val="auto"/>
          <w:kern w:val="0"/>
          <w:sz w:val="24"/>
          <w:highlight w:val="none"/>
        </w:rPr>
        <w:t>的投标保证金从同一单位或者个人的账户转出。</w:t>
      </w:r>
    </w:p>
    <w:p w14:paraId="47DDB981">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r>
        <w:rPr>
          <w:rFonts w:hint="eastAsia" w:ascii="仿宋" w:hAnsi="仿宋" w:eastAsia="仿宋" w:cs="仿宋"/>
          <w:b/>
          <w:color w:val="auto"/>
          <w:kern w:val="0"/>
          <w:sz w:val="24"/>
          <w:highlight w:val="none"/>
        </w:rPr>
        <w:t>以上情形一经核查属实，我方愿意承担一切后果，并不再寻求任何旨在减轻或者免除法律责任的辩解。</w:t>
      </w:r>
    </w:p>
    <w:p w14:paraId="2818DAA4">
      <w:pPr>
        <w:keepNext w:val="0"/>
        <w:keepLines w:val="0"/>
        <w:pageBreakBefore w:val="0"/>
        <w:widowControl w:val="0"/>
        <w:kinsoku/>
        <w:wordWrap w:val="0"/>
        <w:overflowPunct/>
        <w:topLinePunct/>
        <w:autoSpaceDE/>
        <w:autoSpaceDN/>
        <w:bidi w:val="0"/>
        <w:adjustRightInd/>
        <w:snapToGrid/>
        <w:spacing w:line="360" w:lineRule="auto"/>
        <w:ind w:left="0" w:firstLine="482" w:firstLineChars="200"/>
        <w:jc w:val="left"/>
        <w:textAlignment w:val="auto"/>
        <w:rPr>
          <w:rFonts w:hint="eastAsia" w:ascii="仿宋" w:hAnsi="仿宋" w:eastAsia="仿宋" w:cs="仿宋"/>
          <w:b/>
          <w:color w:val="auto"/>
          <w:kern w:val="0"/>
          <w:sz w:val="24"/>
          <w:highlight w:val="none"/>
        </w:rPr>
      </w:pPr>
    </w:p>
    <w:p w14:paraId="53716B3F">
      <w:pPr>
        <w:wordWrap w:val="0"/>
        <w:overflowPunct w:val="0"/>
        <w:topLinePunct/>
        <w:spacing w:line="360" w:lineRule="auto"/>
        <w:jc w:val="left"/>
        <w:rPr>
          <w:rFonts w:hint="eastAsia" w:ascii="仿宋" w:hAnsi="仿宋" w:eastAsia="仿宋" w:cs="仿宋"/>
          <w:color w:val="auto"/>
          <w:sz w:val="24"/>
          <w:highlight w:val="none"/>
          <w:lang w:eastAsia="zh-CN"/>
        </w:rPr>
      </w:pPr>
    </w:p>
    <w:p w14:paraId="65E57853">
      <w:pPr>
        <w:wordWrap w:val="0"/>
        <w:overflowPunct w:val="0"/>
        <w:topLinePunct/>
        <w:spacing w:line="360" w:lineRule="auto"/>
        <w:jc w:val="left"/>
        <w:rPr>
          <w:rFonts w:hint="eastAsia" w:ascii="仿宋" w:hAnsi="仿宋" w:eastAsia="仿宋" w:cs="仿宋"/>
          <w:color w:val="auto"/>
          <w:sz w:val="24"/>
          <w:highlight w:val="none"/>
          <w:lang w:eastAsia="zh-CN"/>
        </w:rPr>
      </w:pPr>
    </w:p>
    <w:p w14:paraId="577EABB5">
      <w:pPr>
        <w:wordWrap w:val="0"/>
        <w:overflowPunct w:val="0"/>
        <w:topLinePunct/>
        <w:spacing w:line="360" w:lineRule="auto"/>
        <w:jc w:val="left"/>
        <w:rPr>
          <w:rFonts w:hint="eastAsia" w:ascii="仿宋" w:hAnsi="仿宋" w:eastAsia="仿宋" w:cs="仿宋"/>
          <w:color w:val="auto"/>
          <w:sz w:val="24"/>
          <w:highlight w:val="none"/>
          <w:lang w:eastAsia="zh-CN"/>
        </w:rPr>
      </w:pPr>
    </w:p>
    <w:p w14:paraId="6ECF1C55">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9DC0BC4">
      <w:pPr>
        <w:wordWrap w:val="0"/>
        <w:overflowPunct w:val="0"/>
        <w:topLinePunct/>
        <w:spacing w:line="360" w:lineRule="auto"/>
        <w:jc w:val="center"/>
        <w:outlineLvl w:val="2"/>
        <w:rPr>
          <w:rFonts w:hint="eastAsia" w:ascii="仿宋" w:hAnsi="仿宋" w:eastAsia="仿宋" w:cs="仿宋"/>
          <w:color w:val="auto"/>
          <w:sz w:val="24"/>
          <w:highlight w:val="none"/>
          <w:u w:val="single"/>
        </w:rPr>
      </w:pPr>
      <w:bookmarkStart w:id="1130" w:name="_Toc31825"/>
      <w:bookmarkStart w:id="1131" w:name="_Toc11005"/>
      <w:bookmarkStart w:id="1132" w:name="_Toc10443"/>
      <w:bookmarkStart w:id="1133" w:name="_Toc7315"/>
      <w:bookmarkStart w:id="1134" w:name="_Toc17160"/>
      <w:bookmarkStart w:id="1135" w:name="_Toc16803"/>
      <w:bookmarkStart w:id="1136" w:name="_Toc13274"/>
      <w:bookmarkStart w:id="1137" w:name="_Toc27773"/>
      <w:bookmarkStart w:id="1138" w:name="_Toc16604"/>
      <w:bookmarkStart w:id="1139" w:name="_Toc9216"/>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30"/>
      <w:bookmarkEnd w:id="1131"/>
      <w:bookmarkEnd w:id="1132"/>
      <w:bookmarkEnd w:id="1133"/>
      <w:bookmarkEnd w:id="1134"/>
      <w:bookmarkEnd w:id="1135"/>
      <w:bookmarkEnd w:id="1136"/>
      <w:bookmarkEnd w:id="1137"/>
      <w:bookmarkEnd w:id="1138"/>
      <w:bookmarkEnd w:id="1139"/>
    </w:p>
    <w:p w14:paraId="4FD4D4C2">
      <w:pPr>
        <w:keepNext w:val="0"/>
        <w:keepLines w:val="0"/>
        <w:pageBreakBefore w:val="0"/>
        <w:widowControl w:val="0"/>
        <w:kinsoku/>
        <w:wordWrap w:val="0"/>
        <w:overflowPunct/>
        <w:topLinePunct/>
        <w:autoSpaceDE/>
        <w:autoSpaceDN/>
        <w:bidi w:val="0"/>
        <w:adjustRightInd/>
        <w:snapToGrid/>
        <w:spacing w:line="360" w:lineRule="auto"/>
        <w:jc w:val="center"/>
        <w:textAlignment w:val="auto"/>
        <w:rPr>
          <w:rFonts w:hint="eastAsia" w:ascii="仿宋" w:hAnsi="仿宋" w:eastAsia="仿宋" w:cs="仿宋"/>
          <w:b/>
          <w:color w:val="auto"/>
          <w:kern w:val="0"/>
          <w:sz w:val="24"/>
          <w:highlight w:val="none"/>
          <w:lang w:val="en-US" w:eastAsia="zh-CN"/>
        </w:rPr>
        <w:sectPr>
          <w:footerReference r:id="rId12" w:type="first"/>
          <w:footerReference r:id="rId11"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bookmarkEnd w:id="1082"/>
    <w:bookmarkEnd w:id="1083"/>
    <w:bookmarkEnd w:id="1084"/>
    <w:bookmarkEnd w:id="1085"/>
    <w:bookmarkEnd w:id="1086"/>
    <w:bookmarkEnd w:id="1087"/>
    <w:bookmarkEnd w:id="1088"/>
    <w:bookmarkEnd w:id="1089"/>
    <w:bookmarkEnd w:id="1090"/>
    <w:bookmarkEnd w:id="1091"/>
    <w:bookmarkEnd w:id="1092"/>
    <w:bookmarkEnd w:id="1093"/>
    <w:p w14:paraId="706F37B1">
      <w:pPr>
        <w:jc w:val="center"/>
        <w:outlineLvl w:val="1"/>
        <w:rPr>
          <w:rFonts w:hint="eastAsia" w:ascii="仿宋" w:hAnsi="仿宋" w:eastAsia="仿宋" w:cs="仿宋"/>
          <w:b/>
          <w:bCs/>
          <w:color w:val="auto"/>
          <w:sz w:val="32"/>
          <w:szCs w:val="32"/>
          <w:highlight w:val="none"/>
          <w:lang w:val="en-US" w:eastAsia="zh-CN"/>
        </w:rPr>
      </w:pPr>
      <w:bookmarkStart w:id="1140" w:name="_Toc10101"/>
      <w:bookmarkStart w:id="1141" w:name="_Toc19107"/>
      <w:bookmarkStart w:id="1142" w:name="_Toc22255"/>
      <w:bookmarkStart w:id="1143" w:name="_Toc14138"/>
      <w:bookmarkStart w:id="1144" w:name="_Toc18548"/>
      <w:bookmarkStart w:id="1145" w:name="_Toc20820"/>
      <w:bookmarkStart w:id="1146" w:name="_Toc8670"/>
      <w:bookmarkStart w:id="1147" w:name="_Toc12343"/>
      <w:bookmarkStart w:id="1148" w:name="_Toc16335"/>
      <w:bookmarkStart w:id="1149" w:name="_Toc5455"/>
      <w:bookmarkStart w:id="1150" w:name="_Toc2263"/>
      <w:bookmarkStart w:id="1151" w:name="_Toc15822"/>
      <w:bookmarkStart w:id="1152" w:name="_Toc22372"/>
      <w:bookmarkStart w:id="1153" w:name="_Toc17347"/>
      <w:bookmarkStart w:id="1154" w:name="_Toc27318"/>
      <w:bookmarkStart w:id="1155" w:name="_Toc6708"/>
      <w:r>
        <w:rPr>
          <w:rFonts w:hint="eastAsia" w:ascii="仿宋" w:hAnsi="仿宋" w:eastAsia="仿宋" w:cs="仿宋"/>
          <w:b/>
          <w:bCs/>
          <w:color w:val="auto"/>
          <w:sz w:val="28"/>
          <w:szCs w:val="28"/>
          <w:highlight w:val="none"/>
          <w:lang w:val="en-US" w:eastAsia="zh-CN"/>
        </w:rPr>
        <w:t>七</w:t>
      </w:r>
      <w:r>
        <w:rPr>
          <w:rFonts w:hint="eastAsia" w:ascii="仿宋" w:hAnsi="仿宋" w:eastAsia="仿宋" w:cs="仿宋"/>
          <w:b/>
          <w:bCs/>
          <w:color w:val="auto"/>
          <w:sz w:val="28"/>
          <w:szCs w:val="28"/>
          <w:highlight w:val="none"/>
        </w:rPr>
        <w:t>、本项目的特定资格</w:t>
      </w:r>
      <w:r>
        <w:rPr>
          <w:rFonts w:hint="eastAsia" w:ascii="仿宋" w:hAnsi="仿宋" w:eastAsia="仿宋" w:cs="仿宋"/>
          <w:b/>
          <w:bCs/>
          <w:color w:val="auto"/>
          <w:sz w:val="28"/>
          <w:szCs w:val="28"/>
          <w:highlight w:val="none"/>
          <w:lang w:val="en-US" w:eastAsia="zh-CN"/>
        </w:rPr>
        <w:t>证明文件</w:t>
      </w:r>
      <w:bookmarkEnd w:id="1140"/>
      <w:bookmarkEnd w:id="1141"/>
      <w:bookmarkEnd w:id="1142"/>
      <w:bookmarkEnd w:id="1143"/>
      <w:bookmarkEnd w:id="1144"/>
      <w:bookmarkEnd w:id="1145"/>
      <w:bookmarkEnd w:id="1146"/>
      <w:bookmarkEnd w:id="1147"/>
      <w:bookmarkEnd w:id="1148"/>
      <w:bookmarkEnd w:id="1149"/>
      <w:bookmarkEnd w:id="1150"/>
      <w:r>
        <w:rPr>
          <w:rFonts w:hint="eastAsia" w:ascii="仿宋" w:hAnsi="仿宋" w:eastAsia="仿宋" w:cs="仿宋"/>
          <w:b/>
          <w:bCs/>
          <w:color w:val="auto"/>
          <w:sz w:val="32"/>
          <w:szCs w:val="32"/>
          <w:highlight w:val="none"/>
          <w:lang w:val="en-US" w:eastAsia="zh-CN"/>
        </w:rPr>
        <w:t xml:space="preserve"> </w:t>
      </w:r>
    </w:p>
    <w:p w14:paraId="0B780F6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highlight w:val="none"/>
          <w:lang w:eastAsia="zh-CN"/>
        </w:rPr>
      </w:pPr>
    </w:p>
    <w:p w14:paraId="762BB646">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具体要求详见</w:t>
      </w:r>
      <w:r>
        <w:rPr>
          <w:rFonts w:hint="eastAsia" w:ascii="仿宋" w:hAnsi="仿宋" w:eastAsia="仿宋" w:cs="仿宋"/>
          <w:color w:val="auto"/>
          <w:sz w:val="24"/>
          <w:highlight w:val="none"/>
          <w:lang w:eastAsia="zh-CN"/>
        </w:rPr>
        <w:t>招标文件</w:t>
      </w:r>
      <w:r>
        <w:rPr>
          <w:rFonts w:hint="eastAsia" w:ascii="仿宋" w:hAnsi="仿宋" w:eastAsia="仿宋" w:cs="仿宋"/>
          <w:color w:val="auto"/>
          <w:sz w:val="24"/>
          <w:highlight w:val="none"/>
        </w:rPr>
        <w:t>“第一章 招标公告”及“第三章 评审办法”资格审查标准</w:t>
      </w:r>
    </w:p>
    <w:p w14:paraId="395BBA2D">
      <w:pPr>
        <w:pStyle w:val="4"/>
        <w:jc w:val="center"/>
        <w:rPr>
          <w:rStyle w:val="30"/>
          <w:rFonts w:hint="default" w:ascii="仿宋" w:hAnsi="仿宋" w:eastAsia="仿宋" w:cs="仿宋"/>
          <w:b/>
          <w:bCs/>
          <w:color w:val="auto"/>
          <w:sz w:val="44"/>
          <w:szCs w:val="44"/>
          <w:highlight w:val="none"/>
          <w:lang w:val="en-US" w:eastAsia="zh-CN"/>
        </w:rPr>
        <w:sectPr>
          <w:footerReference r:id="rId13" w:type="default"/>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auto"/>
          <w:sz w:val="24"/>
          <w:highlight w:val="none"/>
        </w:rPr>
        <w:t>相关要求。</w:t>
      </w:r>
    </w:p>
    <w:p w14:paraId="1523F3F3">
      <w:pPr>
        <w:pStyle w:val="4"/>
        <w:jc w:val="center"/>
        <w:rPr>
          <w:rFonts w:hint="eastAsia" w:ascii="仿宋" w:hAnsi="仿宋" w:eastAsia="仿宋" w:cs="仿宋"/>
          <w:b w:val="0"/>
          <w:color w:val="auto"/>
          <w:highlight w:val="none"/>
          <w:lang w:eastAsia="zh-CN"/>
        </w:rPr>
      </w:pPr>
      <w:r>
        <w:rPr>
          <w:rStyle w:val="30"/>
          <w:rFonts w:hint="eastAsia" w:ascii="仿宋" w:hAnsi="仿宋" w:eastAsia="仿宋" w:cs="仿宋"/>
          <w:b/>
          <w:bCs/>
          <w:color w:val="auto"/>
          <w:sz w:val="44"/>
          <w:szCs w:val="44"/>
          <w:highlight w:val="none"/>
          <w:lang w:val="en-US" w:eastAsia="zh-CN"/>
        </w:rPr>
        <w:t>报价</w:t>
      </w:r>
      <w:r>
        <w:rPr>
          <w:rStyle w:val="30"/>
          <w:rFonts w:hint="eastAsia" w:ascii="仿宋" w:hAnsi="仿宋" w:eastAsia="仿宋" w:cs="仿宋"/>
          <w:b/>
          <w:bCs/>
          <w:color w:val="auto"/>
          <w:sz w:val="44"/>
          <w:szCs w:val="44"/>
          <w:highlight w:val="none"/>
          <w:lang w:eastAsia="zh-CN"/>
        </w:rPr>
        <w:t>部分</w:t>
      </w:r>
      <w:bookmarkEnd w:id="1151"/>
      <w:bookmarkEnd w:id="1152"/>
      <w:bookmarkEnd w:id="1153"/>
      <w:bookmarkEnd w:id="1154"/>
      <w:bookmarkEnd w:id="1155"/>
    </w:p>
    <w:p w14:paraId="099FC444">
      <w:pPr>
        <w:pStyle w:val="4"/>
        <w:bidi w:val="0"/>
        <w:jc w:val="center"/>
        <w:outlineLvl w:val="1"/>
        <w:rPr>
          <w:rFonts w:hint="eastAsia" w:ascii="仿宋" w:hAnsi="仿宋" w:eastAsia="仿宋" w:cs="仿宋"/>
          <w:color w:val="auto"/>
          <w:sz w:val="28"/>
          <w:szCs w:val="28"/>
          <w:highlight w:val="none"/>
          <w:lang w:val="en-US" w:eastAsia="zh-CN"/>
        </w:rPr>
      </w:pPr>
      <w:bookmarkStart w:id="1156" w:name="_Toc17485"/>
      <w:bookmarkStart w:id="1157" w:name="_Toc2199"/>
      <w:bookmarkStart w:id="1158" w:name="_Toc14293"/>
      <w:bookmarkStart w:id="1159" w:name="_Toc30656"/>
      <w:bookmarkStart w:id="1160" w:name="_Toc19698"/>
      <w:bookmarkStart w:id="1161" w:name="_Toc6010"/>
      <w:bookmarkStart w:id="1162" w:name="_Toc20840"/>
      <w:bookmarkStart w:id="1163" w:name="_Toc1452"/>
      <w:bookmarkStart w:id="1164" w:name="_Toc10605"/>
      <w:bookmarkStart w:id="1165" w:name="_Toc21143"/>
      <w:bookmarkStart w:id="1166" w:name="_Toc8360"/>
      <w:bookmarkStart w:id="1167" w:name="_Toc18783"/>
      <w:bookmarkStart w:id="1168" w:name="_Toc19622"/>
      <w:bookmarkStart w:id="1169" w:name="_Toc24607"/>
    </w:p>
    <w:p w14:paraId="59311212">
      <w:pPr>
        <w:pStyle w:val="4"/>
        <w:bidi w:val="0"/>
        <w:jc w:val="center"/>
        <w:outlineLvl w:val="1"/>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一、开标</w:t>
      </w:r>
      <w:r>
        <w:rPr>
          <w:rFonts w:hint="eastAsia" w:ascii="仿宋" w:hAnsi="仿宋" w:eastAsia="仿宋" w:cs="仿宋"/>
          <w:color w:val="auto"/>
          <w:sz w:val="28"/>
          <w:szCs w:val="28"/>
          <w:highlight w:val="none"/>
          <w:lang w:eastAsia="zh-CN"/>
        </w:rPr>
        <w:t>一览表</w:t>
      </w:r>
      <w:r>
        <w:rPr>
          <w:rFonts w:hint="eastAsia" w:ascii="仿宋" w:hAnsi="仿宋" w:eastAsia="仿宋" w:cs="仿宋"/>
          <w:color w:val="auto"/>
          <w:sz w:val="28"/>
          <w:szCs w:val="28"/>
          <w:highlight w:val="none"/>
          <w:lang w:val="en-US" w:eastAsia="zh-CN"/>
        </w:rPr>
        <w:t>（实质性格式）</w:t>
      </w:r>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p>
    <w:p w14:paraId="692FDD19">
      <w:pPr>
        <w:keepNext w:val="0"/>
        <w:keepLines w:val="0"/>
        <w:pageBreakBefore w:val="0"/>
        <w:widowControl w:val="0"/>
        <w:numPr>
          <w:ilvl w:val="0"/>
          <w:numId w:val="0"/>
        </w:numPr>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kern w:val="0"/>
          <w:sz w:val="24"/>
          <w:szCs w:val="24"/>
          <w:highlight w:val="none"/>
          <w:u w:val="single"/>
          <w:lang w:val="en-US" w:eastAsia="zh-CN"/>
        </w:rPr>
        <w:t xml:space="preserve">  </w:t>
      </w:r>
    </w:p>
    <w:p w14:paraId="13EE3A52">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4FF78E16">
      <w:pPr>
        <w:keepNext w:val="0"/>
        <w:keepLines w:val="0"/>
        <w:pageBreakBefore w:val="0"/>
        <w:widowControl w:val="0"/>
        <w:kinsoku/>
        <w:wordWrap w:val="0"/>
        <w:overflowPunct w:val="0"/>
        <w:topLinePunct/>
        <w:autoSpaceDE/>
        <w:autoSpaceDN/>
        <w:bidi w:val="0"/>
        <w:adjustRightInd/>
        <w:snapToGrid/>
        <w:ind w:left="-88" w:leftChars="-42"/>
        <w:rPr>
          <w:rFonts w:hint="eastAsia" w:ascii="仿宋" w:hAnsi="仿宋" w:eastAsia="仿宋" w:cs="仿宋"/>
          <w:color w:val="auto"/>
          <w:sz w:val="24"/>
          <w:szCs w:val="24"/>
          <w:highlight w:val="none"/>
          <w:lang w:val="en-US" w:eastAsia="zh-CN"/>
        </w:rPr>
      </w:pPr>
    </w:p>
    <w:p w14:paraId="26FA349A">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金额单位：人民币 元</w:t>
      </w:r>
    </w:p>
    <w:tbl>
      <w:tblPr>
        <w:tblStyle w:val="20"/>
        <w:tblW w:w="1032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410"/>
        <w:gridCol w:w="7911"/>
      </w:tblGrid>
      <w:tr w14:paraId="29613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69" w:hRule="atLeast"/>
          <w:jc w:val="center"/>
        </w:trPr>
        <w:tc>
          <w:tcPr>
            <w:tcW w:w="2410" w:type="dxa"/>
            <w:noWrap w:val="0"/>
            <w:vAlign w:val="center"/>
          </w:tcPr>
          <w:p w14:paraId="204E5744">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投标总报价</w:t>
            </w:r>
            <w:r>
              <w:rPr>
                <w:rFonts w:hint="eastAsia" w:ascii="仿宋" w:hAnsi="仿宋" w:eastAsia="仿宋" w:cs="仿宋"/>
                <w:color w:val="auto"/>
                <w:sz w:val="24"/>
                <w:szCs w:val="24"/>
                <w:highlight w:val="none"/>
              </w:rPr>
              <w:t>（元）</w:t>
            </w:r>
          </w:p>
        </w:tc>
        <w:tc>
          <w:tcPr>
            <w:tcW w:w="7911" w:type="dxa"/>
            <w:tcBorders>
              <w:right w:val="single" w:color="auto" w:sz="4" w:space="0"/>
            </w:tcBorders>
            <w:noWrap w:val="0"/>
            <w:vAlign w:val="center"/>
          </w:tcPr>
          <w:p w14:paraId="54452233">
            <w:pPr>
              <w:widowControl/>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lang w:val="en-US" w:eastAsia="zh-CN"/>
              </w:rPr>
              <w:t xml:space="preserve">                            </w:t>
            </w:r>
          </w:p>
          <w:p w14:paraId="2C397352">
            <w:pPr>
              <w:pStyle w:val="10"/>
              <w:rPr>
                <w:rFonts w:hint="eastAsia" w:ascii="仿宋" w:hAnsi="仿宋" w:eastAsia="仿宋" w:cs="仿宋"/>
                <w:color w:val="auto"/>
                <w:highlight w:val="none"/>
                <w:lang w:val="en-US" w:eastAsia="zh-CN"/>
              </w:rPr>
            </w:pPr>
          </w:p>
          <w:p w14:paraId="436AB95B">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lang w:val="en-US" w:eastAsia="zh-CN"/>
              </w:rPr>
              <w:t xml:space="preserve">                            </w:t>
            </w:r>
          </w:p>
        </w:tc>
      </w:tr>
      <w:tr w14:paraId="64A1D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2410" w:type="dxa"/>
            <w:noWrap w:val="0"/>
            <w:vAlign w:val="center"/>
          </w:tcPr>
          <w:p w14:paraId="534BE11C">
            <w:pPr>
              <w:ind w:firstLine="9" w:firstLineChars="4"/>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7911" w:type="dxa"/>
            <w:tcBorders>
              <w:right w:val="single" w:color="auto" w:sz="4" w:space="0"/>
            </w:tcBorders>
            <w:noWrap w:val="0"/>
            <w:vAlign w:val="center"/>
          </w:tcPr>
          <w:p w14:paraId="513BA0F5">
            <w:pPr>
              <w:widowControl/>
              <w:rPr>
                <w:rFonts w:hint="eastAsia" w:ascii="仿宋" w:hAnsi="仿宋" w:eastAsia="仿宋" w:cs="仿宋"/>
                <w:color w:val="auto"/>
                <w:sz w:val="24"/>
                <w:szCs w:val="24"/>
                <w:highlight w:val="none"/>
              </w:rPr>
            </w:pPr>
          </w:p>
        </w:tc>
      </w:tr>
      <w:tr w14:paraId="6906C6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1" w:hRule="atLeast"/>
          <w:jc w:val="center"/>
        </w:trPr>
        <w:tc>
          <w:tcPr>
            <w:tcW w:w="2410" w:type="dxa"/>
            <w:noWrap w:val="0"/>
            <w:vAlign w:val="center"/>
          </w:tcPr>
          <w:p w14:paraId="3085409E">
            <w:pPr>
              <w:ind w:firstLine="9" w:firstLineChars="4"/>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合同履行期限</w:t>
            </w:r>
          </w:p>
        </w:tc>
        <w:tc>
          <w:tcPr>
            <w:tcW w:w="7911" w:type="dxa"/>
            <w:tcBorders>
              <w:right w:val="single" w:color="auto" w:sz="4" w:space="0"/>
            </w:tcBorders>
            <w:noWrap w:val="0"/>
            <w:vAlign w:val="center"/>
          </w:tcPr>
          <w:p w14:paraId="004E6AFB">
            <w:pPr>
              <w:widowControl/>
              <w:rPr>
                <w:rFonts w:hint="eastAsia" w:ascii="仿宋" w:hAnsi="仿宋" w:eastAsia="仿宋" w:cs="仿宋"/>
                <w:color w:val="auto"/>
                <w:sz w:val="24"/>
                <w:szCs w:val="24"/>
                <w:highlight w:val="none"/>
              </w:rPr>
            </w:pPr>
          </w:p>
        </w:tc>
      </w:tr>
      <w:tr w14:paraId="1342A8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28" w:hRule="atLeast"/>
          <w:jc w:val="center"/>
        </w:trPr>
        <w:tc>
          <w:tcPr>
            <w:tcW w:w="2410" w:type="dxa"/>
            <w:noWrap w:val="0"/>
            <w:vAlign w:val="center"/>
          </w:tcPr>
          <w:p w14:paraId="7C8515CB">
            <w:pPr>
              <w:keepNext w:val="0"/>
              <w:keepLines w:val="0"/>
              <w:pageBreakBefore w:val="0"/>
              <w:widowControl/>
              <w:kinsoku w:val="0"/>
              <w:wordWrap/>
              <w:overflowPunct/>
              <w:topLinePunct w:val="0"/>
              <w:autoSpaceDE w:val="0"/>
              <w:autoSpaceDN w:val="0"/>
              <w:bidi w:val="0"/>
              <w:adjustRightInd/>
              <w:snapToGrid/>
              <w:ind w:firstLine="9" w:firstLineChars="4"/>
              <w:jc w:val="center"/>
              <w:textAlignment w:val="baseline"/>
              <w:rPr>
                <w:rFonts w:hint="eastAsia" w:ascii="仿宋" w:hAnsi="仿宋" w:eastAsia="仿宋" w:cs="仿宋"/>
                <w:color w:val="auto"/>
                <w:highlight w:val="none"/>
              </w:rPr>
            </w:pPr>
            <w:r>
              <w:rPr>
                <w:rFonts w:hint="eastAsia" w:ascii="仿宋" w:hAnsi="仿宋" w:eastAsia="仿宋" w:cs="仿宋"/>
                <w:color w:val="auto"/>
                <w:sz w:val="24"/>
                <w:szCs w:val="24"/>
                <w:highlight w:val="none"/>
                <w:lang w:eastAsia="zh-CN"/>
              </w:rPr>
              <w:t>交货地点</w:t>
            </w:r>
          </w:p>
        </w:tc>
        <w:tc>
          <w:tcPr>
            <w:tcW w:w="7911" w:type="dxa"/>
            <w:tcBorders>
              <w:right w:val="single" w:color="auto" w:sz="4" w:space="0"/>
            </w:tcBorders>
            <w:noWrap w:val="0"/>
            <w:vAlign w:val="center"/>
          </w:tcPr>
          <w:p w14:paraId="50E4444D">
            <w:pPr>
              <w:keepNext w:val="0"/>
              <w:keepLines w:val="0"/>
              <w:pageBreakBefore w:val="0"/>
              <w:widowControl/>
              <w:kinsoku w:val="0"/>
              <w:wordWrap/>
              <w:overflowPunct/>
              <w:topLinePunct w:val="0"/>
              <w:autoSpaceDE w:val="0"/>
              <w:autoSpaceDN w:val="0"/>
              <w:bidi w:val="0"/>
              <w:adjustRightInd/>
              <w:snapToGrid/>
              <w:textAlignment w:val="baseline"/>
              <w:rPr>
                <w:rFonts w:hint="eastAsia" w:ascii="仿宋" w:hAnsi="仿宋" w:eastAsia="仿宋" w:cs="仿宋"/>
                <w:color w:val="auto"/>
                <w:sz w:val="24"/>
                <w:szCs w:val="24"/>
                <w:highlight w:val="none"/>
              </w:rPr>
            </w:pPr>
          </w:p>
        </w:tc>
      </w:tr>
      <w:tr w14:paraId="6B0E9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2410" w:type="dxa"/>
            <w:noWrap w:val="0"/>
            <w:vAlign w:val="center"/>
          </w:tcPr>
          <w:p w14:paraId="69300067">
            <w:pPr>
              <w:keepNext w:val="0"/>
              <w:keepLines w:val="0"/>
              <w:pageBreakBefore w:val="0"/>
              <w:widowControl/>
              <w:kinsoku w:val="0"/>
              <w:wordWrap/>
              <w:overflowPunct/>
              <w:topLinePunct w:val="0"/>
              <w:autoSpaceDE w:val="0"/>
              <w:autoSpaceDN w:val="0"/>
              <w:bidi w:val="0"/>
              <w:adjustRightInd/>
              <w:snapToGrid/>
              <w:spacing w:line="240" w:lineRule="auto"/>
              <w:jc w:val="center"/>
              <w:textAlignment w:val="baseline"/>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投标有效期</w:t>
            </w:r>
          </w:p>
        </w:tc>
        <w:tc>
          <w:tcPr>
            <w:tcW w:w="7911" w:type="dxa"/>
            <w:tcBorders>
              <w:right w:val="single" w:color="auto" w:sz="4" w:space="0"/>
            </w:tcBorders>
            <w:noWrap w:val="0"/>
            <w:vAlign w:val="center"/>
          </w:tcPr>
          <w:p w14:paraId="42D6DE80">
            <w:pPr>
              <w:keepNext w:val="0"/>
              <w:keepLines w:val="0"/>
              <w:pageBreakBefore w:val="0"/>
              <w:widowControl/>
              <w:kinsoku w:val="0"/>
              <w:wordWrap/>
              <w:overflowPunct/>
              <w:topLinePunct w:val="0"/>
              <w:autoSpaceDE w:val="0"/>
              <w:autoSpaceDN w:val="0"/>
              <w:bidi w:val="0"/>
              <w:adjustRightInd/>
              <w:snapToGrid/>
              <w:spacing w:line="240" w:lineRule="auto"/>
              <w:textAlignment w:val="baseline"/>
              <w:rPr>
                <w:rFonts w:hint="eastAsia" w:ascii="仿宋" w:hAnsi="仿宋" w:eastAsia="仿宋" w:cs="仿宋"/>
                <w:color w:val="auto"/>
                <w:sz w:val="24"/>
                <w:szCs w:val="24"/>
                <w:highlight w:val="none"/>
              </w:rPr>
            </w:pPr>
          </w:p>
        </w:tc>
      </w:tr>
      <w:tr w14:paraId="3D75EC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69" w:hRule="atLeast"/>
          <w:jc w:val="center"/>
        </w:trPr>
        <w:tc>
          <w:tcPr>
            <w:tcW w:w="2410" w:type="dxa"/>
            <w:noWrap w:val="0"/>
            <w:vAlign w:val="center"/>
          </w:tcPr>
          <w:p w14:paraId="64C68E35">
            <w:pPr>
              <w:ind w:firstLine="9" w:firstLineChars="4"/>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其他承诺或声明</w:t>
            </w:r>
          </w:p>
        </w:tc>
        <w:tc>
          <w:tcPr>
            <w:tcW w:w="7911" w:type="dxa"/>
            <w:tcBorders>
              <w:right w:val="single" w:color="auto" w:sz="4" w:space="0"/>
            </w:tcBorders>
            <w:noWrap w:val="0"/>
            <w:vAlign w:val="center"/>
          </w:tcPr>
          <w:p w14:paraId="43EF4286">
            <w:pPr>
              <w:widowControl/>
              <w:rPr>
                <w:rFonts w:hint="eastAsia" w:ascii="仿宋" w:hAnsi="仿宋" w:eastAsia="仿宋" w:cs="仿宋"/>
                <w:color w:val="auto"/>
                <w:sz w:val="24"/>
                <w:szCs w:val="24"/>
                <w:highlight w:val="none"/>
              </w:rPr>
            </w:pPr>
          </w:p>
        </w:tc>
      </w:tr>
    </w:tbl>
    <w:p w14:paraId="5FB1E135">
      <w:pPr>
        <w:keepNext w:val="0"/>
        <w:keepLines w:val="0"/>
        <w:pageBreakBefore w:val="0"/>
        <w:widowControl w:val="0"/>
        <w:kinsoku/>
        <w:wordWrap/>
        <w:overflowPunct w:val="0"/>
        <w:topLinePunct/>
        <w:autoSpaceDE/>
        <w:autoSpaceDN/>
        <w:bidi w:val="0"/>
        <w:adjustRightInd/>
        <w:snapToGrid/>
        <w:ind w:left="-88" w:leftChars="-42"/>
        <w:jc w:val="center"/>
        <w:rPr>
          <w:rFonts w:hint="eastAsia" w:ascii="仿宋" w:hAnsi="仿宋" w:eastAsia="仿宋" w:cs="仿宋"/>
          <w:color w:val="auto"/>
          <w:sz w:val="24"/>
          <w:szCs w:val="24"/>
          <w:highlight w:val="none"/>
          <w:lang w:val="en-US" w:eastAsia="zh-CN"/>
        </w:rPr>
      </w:pPr>
    </w:p>
    <w:p w14:paraId="40A0554C">
      <w:pPr>
        <w:wordWrap w:val="0"/>
        <w:overflowPunct w:val="0"/>
        <w:topLinePunct/>
        <w:spacing w:line="360" w:lineRule="auto"/>
        <w:jc w:val="center"/>
        <w:rPr>
          <w:rFonts w:hint="eastAsia" w:ascii="仿宋" w:hAnsi="仿宋" w:eastAsia="仿宋" w:cs="仿宋"/>
          <w:color w:val="auto"/>
          <w:sz w:val="24"/>
          <w:highlight w:val="none"/>
          <w:lang w:eastAsia="zh-CN"/>
        </w:rPr>
      </w:pPr>
    </w:p>
    <w:p w14:paraId="5A9C44ED">
      <w:pPr>
        <w:wordWrap w:val="0"/>
        <w:overflowPunct w:val="0"/>
        <w:topLinePunct/>
        <w:spacing w:line="360" w:lineRule="auto"/>
        <w:jc w:val="center"/>
        <w:rPr>
          <w:rFonts w:hint="eastAsia" w:ascii="仿宋" w:hAnsi="仿宋" w:eastAsia="仿宋" w:cs="仿宋"/>
          <w:color w:val="auto"/>
          <w:sz w:val="24"/>
          <w:highlight w:val="none"/>
          <w:lang w:eastAsia="zh-CN"/>
        </w:rPr>
      </w:pPr>
    </w:p>
    <w:p w14:paraId="2BFC4FEA">
      <w:pPr>
        <w:wordWrap w:val="0"/>
        <w:overflowPunct w:val="0"/>
        <w:topLinePunct/>
        <w:spacing w:line="360" w:lineRule="auto"/>
        <w:jc w:val="center"/>
        <w:rPr>
          <w:rFonts w:hint="eastAsia" w:ascii="仿宋" w:hAnsi="仿宋" w:eastAsia="仿宋" w:cs="仿宋"/>
          <w:color w:val="auto"/>
          <w:sz w:val="24"/>
          <w:highlight w:val="none"/>
          <w:lang w:eastAsia="zh-CN"/>
        </w:rPr>
      </w:pPr>
    </w:p>
    <w:p w14:paraId="3B291E94">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54BF7BBC">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07855C96">
      <w:pPr>
        <w:wordWrap w:val="0"/>
        <w:overflowPunct w:val="0"/>
        <w:topLinePunct/>
        <w:spacing w:line="360" w:lineRule="auto"/>
        <w:jc w:val="center"/>
        <w:rPr>
          <w:rFonts w:hint="eastAsia" w:ascii="仿宋" w:hAnsi="仿宋" w:eastAsia="仿宋" w:cs="仿宋"/>
          <w:color w:val="auto"/>
          <w:sz w:val="24"/>
          <w:highlight w:val="none"/>
          <w:u w:val="none"/>
          <w:lang w:eastAsia="zh-CN"/>
        </w:rPr>
      </w:pPr>
    </w:p>
    <w:p w14:paraId="73E4538F">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outlineLvl w:val="2"/>
        <w:rPr>
          <w:rFonts w:hint="eastAsia" w:ascii="仿宋" w:hAnsi="仿宋" w:eastAsia="仿宋" w:cs="仿宋"/>
          <w:color w:val="auto"/>
          <w:sz w:val="24"/>
          <w:szCs w:val="24"/>
          <w:highlight w:val="none"/>
          <w:u w:val="single"/>
          <w:lang w:eastAsia="zh-CN"/>
        </w:rPr>
      </w:pPr>
      <w:bookmarkStart w:id="1170" w:name="_Toc5585"/>
      <w:bookmarkStart w:id="1171" w:name="_Toc3855"/>
      <w:bookmarkStart w:id="1172" w:name="_Toc30449"/>
      <w:bookmarkStart w:id="1173" w:name="_Toc7659"/>
      <w:bookmarkStart w:id="1174" w:name="_Toc30101"/>
      <w:bookmarkStart w:id="1175" w:name="_Toc4682"/>
      <w:bookmarkStart w:id="1176" w:name="_Toc12085"/>
      <w:bookmarkStart w:id="1177" w:name="_Toc11077"/>
      <w:bookmarkStart w:id="1178" w:name="_Toc20204"/>
      <w:bookmarkStart w:id="1179" w:name="_Toc23518"/>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170"/>
      <w:bookmarkEnd w:id="1171"/>
      <w:bookmarkEnd w:id="1172"/>
      <w:bookmarkEnd w:id="1173"/>
      <w:bookmarkEnd w:id="1174"/>
      <w:bookmarkEnd w:id="1175"/>
      <w:bookmarkEnd w:id="1176"/>
      <w:bookmarkEnd w:id="1177"/>
      <w:bookmarkEnd w:id="1178"/>
      <w:bookmarkEnd w:id="1179"/>
    </w:p>
    <w:p w14:paraId="520B725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2A834AC8">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sectPr>
      </w:pPr>
    </w:p>
    <w:p w14:paraId="6EA47F34">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r>
        <w:rPr>
          <w:rStyle w:val="35"/>
          <w:rFonts w:hint="eastAsia" w:ascii="仿宋" w:hAnsi="仿宋" w:eastAsia="仿宋" w:cs="仿宋"/>
          <w:color w:val="auto"/>
          <w:sz w:val="28"/>
          <w:szCs w:val="28"/>
          <w:highlight w:val="none"/>
          <w:lang w:val="en-US" w:eastAsia="zh-CN"/>
        </w:rPr>
        <w:t>二、</w:t>
      </w:r>
      <w:r>
        <w:rPr>
          <w:rStyle w:val="35"/>
          <w:rFonts w:hint="eastAsia" w:ascii="仿宋" w:hAnsi="仿宋" w:eastAsia="仿宋" w:cs="仿宋"/>
          <w:color w:val="auto"/>
          <w:sz w:val="32"/>
          <w:szCs w:val="32"/>
          <w:highlight w:val="none"/>
          <w:lang w:val="en-US" w:eastAsia="zh-CN"/>
        </w:rPr>
        <w:t>分项报价表（实质性格式）</w:t>
      </w:r>
    </w:p>
    <w:p w14:paraId="561A5E59">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p w14:paraId="716EF9A8">
      <w:pPr>
        <w:keepNext w:val="0"/>
        <w:keepLines w:val="0"/>
        <w:pageBreakBefore w:val="0"/>
        <w:widowControl w:val="0"/>
        <w:kinsoku/>
        <w:wordWrap/>
        <w:overflowPunct w:val="0"/>
        <w:topLinePunct/>
        <w:autoSpaceDE/>
        <w:autoSpaceDN/>
        <w:bidi w:val="0"/>
        <w:adjustRightInd/>
        <w:snapToGrid/>
        <w:ind w:left="-88" w:leftChars="-42"/>
        <w:jc w:val="left"/>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772ACB4A">
      <w:pPr>
        <w:keepNext w:val="0"/>
        <w:keepLines w:val="0"/>
        <w:pageBreakBefore w:val="0"/>
        <w:widowControl w:val="0"/>
        <w:kinsoku/>
        <w:wordWrap w:val="0"/>
        <w:overflowPunct w:val="0"/>
        <w:topLinePunct/>
        <w:autoSpaceDE/>
        <w:autoSpaceDN/>
        <w:bidi w:val="0"/>
        <w:adjustRightInd/>
        <w:snapToGrid/>
        <w:ind w:left="-88" w:leftChars="-42"/>
        <w:jc w:val="left"/>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p w14:paraId="7850E199">
      <w:pPr>
        <w:keepNext w:val="0"/>
        <w:keepLines w:val="0"/>
        <w:pageBreakBefore w:val="0"/>
        <w:widowControl w:val="0"/>
        <w:kinsoku/>
        <w:wordWrap w:val="0"/>
        <w:overflowPunct w:val="0"/>
        <w:topLinePunct/>
        <w:autoSpaceDE/>
        <w:autoSpaceDN/>
        <w:bidi w:val="0"/>
        <w:adjustRightInd/>
        <w:snapToGrid/>
        <w:ind w:left="-88" w:leftChars="-42"/>
        <w:jc w:val="right"/>
        <w:rPr>
          <w:rFonts w:hint="eastAsia" w:ascii="仿宋" w:hAnsi="仿宋" w:eastAsia="仿宋" w:cs="仿宋"/>
          <w:color w:val="auto"/>
          <w:highlight w:val="none"/>
          <w:u w:val="single"/>
          <w:lang w:val="en-US" w:eastAsia="zh-CN"/>
        </w:rPr>
      </w:pPr>
      <w:r>
        <w:rPr>
          <w:rFonts w:hint="eastAsia" w:ascii="仿宋" w:hAnsi="仿宋" w:eastAsia="仿宋" w:cs="仿宋"/>
          <w:color w:val="auto"/>
          <w:sz w:val="24"/>
          <w:szCs w:val="24"/>
          <w:highlight w:val="none"/>
        </w:rPr>
        <w:t>金额单位：人民币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single"/>
          <w:lang w:val="en-US" w:eastAsia="zh-CN"/>
        </w:rPr>
        <w:t xml:space="preserve"> </w:t>
      </w:r>
    </w:p>
    <w:p w14:paraId="216BE03F">
      <w:pPr>
        <w:keepNext w:val="0"/>
        <w:keepLines w:val="0"/>
        <w:pageBreakBefore w:val="0"/>
        <w:widowControl w:val="0"/>
        <w:kinsoku/>
        <w:wordWrap/>
        <w:overflowPunct w:val="0"/>
        <w:topLinePunct/>
        <w:autoSpaceDE/>
        <w:autoSpaceDN/>
        <w:bidi w:val="0"/>
        <w:adjustRightInd/>
        <w:snapToGrid/>
        <w:ind w:left="-88" w:leftChars="-42"/>
        <w:jc w:val="center"/>
        <w:outlineLvl w:val="1"/>
        <w:rPr>
          <w:rFonts w:hint="eastAsia" w:ascii="仿宋" w:hAnsi="仿宋" w:eastAsia="仿宋" w:cs="仿宋"/>
          <w:color w:val="auto"/>
          <w:szCs w:val="21"/>
          <w:highlight w:val="none"/>
          <w:lang w:eastAsia="zh-CN"/>
        </w:rPr>
      </w:pPr>
    </w:p>
    <w:tbl>
      <w:tblPr>
        <w:tblStyle w:val="29"/>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64"/>
        <w:gridCol w:w="1536"/>
        <w:gridCol w:w="967"/>
        <w:gridCol w:w="930"/>
        <w:gridCol w:w="1407"/>
        <w:gridCol w:w="1407"/>
        <w:gridCol w:w="1084"/>
        <w:gridCol w:w="1664"/>
        <w:gridCol w:w="679"/>
        <w:gridCol w:w="1107"/>
        <w:gridCol w:w="763"/>
        <w:gridCol w:w="755"/>
        <w:gridCol w:w="755"/>
        <w:gridCol w:w="852"/>
      </w:tblGrid>
      <w:tr w14:paraId="005C0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jc w:val="center"/>
        </w:trPr>
        <w:tc>
          <w:tcPr>
            <w:tcW w:w="228" w:type="pct"/>
            <w:vAlign w:val="center"/>
          </w:tcPr>
          <w:p w14:paraId="04666504">
            <w:pPr>
              <w:bidi w:val="0"/>
              <w:jc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序号</w:t>
            </w:r>
          </w:p>
        </w:tc>
        <w:tc>
          <w:tcPr>
            <w:tcW w:w="527" w:type="pct"/>
            <w:vAlign w:val="center"/>
          </w:tcPr>
          <w:p w14:paraId="63174595">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货物名称</w:t>
            </w:r>
          </w:p>
        </w:tc>
        <w:tc>
          <w:tcPr>
            <w:tcW w:w="332" w:type="pct"/>
            <w:vAlign w:val="center"/>
          </w:tcPr>
          <w:p w14:paraId="4B914204">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所属行业</w:t>
            </w:r>
          </w:p>
        </w:tc>
        <w:tc>
          <w:tcPr>
            <w:tcW w:w="319" w:type="pct"/>
            <w:vAlign w:val="center"/>
          </w:tcPr>
          <w:p w14:paraId="57DD3A89">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品牌</w:t>
            </w:r>
          </w:p>
        </w:tc>
        <w:tc>
          <w:tcPr>
            <w:tcW w:w="483" w:type="pct"/>
            <w:vAlign w:val="center"/>
          </w:tcPr>
          <w:p w14:paraId="12B9507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制造商</w:t>
            </w:r>
          </w:p>
        </w:tc>
        <w:tc>
          <w:tcPr>
            <w:tcW w:w="483" w:type="pct"/>
            <w:vAlign w:val="center"/>
          </w:tcPr>
          <w:p w14:paraId="0F1F1246">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型号/服务要求</w:t>
            </w:r>
          </w:p>
        </w:tc>
        <w:tc>
          <w:tcPr>
            <w:tcW w:w="372" w:type="pct"/>
            <w:vAlign w:val="center"/>
          </w:tcPr>
          <w:p w14:paraId="1BF66BEC">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节能/节水/环保</w:t>
            </w:r>
          </w:p>
        </w:tc>
        <w:tc>
          <w:tcPr>
            <w:tcW w:w="571" w:type="pct"/>
            <w:vAlign w:val="center"/>
          </w:tcPr>
          <w:p w14:paraId="295FEF1D">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lang w:val="en-US" w:eastAsia="zh-CN"/>
              </w:rPr>
            </w:pPr>
            <w:r>
              <w:rPr>
                <w:rFonts w:hint="eastAsia" w:ascii="仿宋" w:hAnsi="仿宋" w:eastAsia="仿宋" w:cs="仿宋"/>
                <w:b w:val="0"/>
                <w:bCs w:val="0"/>
                <w:i w:val="0"/>
                <w:iCs w:val="0"/>
                <w:color w:val="auto"/>
                <w:kern w:val="0"/>
                <w:sz w:val="21"/>
                <w:szCs w:val="21"/>
                <w:highlight w:val="none"/>
                <w:u w:val="none"/>
                <w:lang w:val="en-US" w:eastAsia="zh-CN" w:bidi="ar"/>
              </w:rPr>
              <w:t>产地类型</w:t>
            </w:r>
          </w:p>
        </w:tc>
        <w:tc>
          <w:tcPr>
            <w:tcW w:w="233" w:type="pct"/>
            <w:vAlign w:val="center"/>
          </w:tcPr>
          <w:p w14:paraId="4C46BC71">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国家</w:t>
            </w:r>
          </w:p>
        </w:tc>
        <w:tc>
          <w:tcPr>
            <w:tcW w:w="380" w:type="pct"/>
            <w:vAlign w:val="center"/>
          </w:tcPr>
          <w:p w14:paraId="3A2830B7">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企业类型</w:t>
            </w:r>
          </w:p>
        </w:tc>
        <w:tc>
          <w:tcPr>
            <w:tcW w:w="262" w:type="pct"/>
            <w:vAlign w:val="center"/>
          </w:tcPr>
          <w:p w14:paraId="19A767B7">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数量</w:t>
            </w:r>
          </w:p>
        </w:tc>
        <w:tc>
          <w:tcPr>
            <w:tcW w:w="259" w:type="pct"/>
            <w:vAlign w:val="center"/>
          </w:tcPr>
          <w:p w14:paraId="68F66F29">
            <w:pPr>
              <w:keepNext w:val="0"/>
              <w:keepLines w:val="0"/>
              <w:widowControl/>
              <w:suppressLineNumbers w:val="0"/>
              <w:jc w:val="center"/>
              <w:textAlignment w:val="center"/>
              <w:rPr>
                <w:rFonts w:hint="default"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单位</w:t>
            </w:r>
          </w:p>
        </w:tc>
        <w:tc>
          <w:tcPr>
            <w:tcW w:w="259" w:type="pct"/>
            <w:vAlign w:val="center"/>
          </w:tcPr>
          <w:p w14:paraId="5567843E">
            <w:pPr>
              <w:keepNext w:val="0"/>
              <w:keepLines w:val="0"/>
              <w:widowControl/>
              <w:suppressLineNumbers w:val="0"/>
              <w:jc w:val="center"/>
              <w:textAlignment w:val="center"/>
              <w:rPr>
                <w:rFonts w:hint="eastAsia" w:ascii="仿宋" w:hAnsi="仿宋" w:eastAsia="仿宋" w:cs="仿宋"/>
                <w:b w:val="0"/>
                <w:bCs w:val="0"/>
                <w:color w:val="auto"/>
                <w:sz w:val="21"/>
                <w:szCs w:val="21"/>
                <w:highlight w:val="none"/>
              </w:rPr>
            </w:pPr>
            <w:r>
              <w:rPr>
                <w:rFonts w:hint="eastAsia" w:ascii="仿宋" w:hAnsi="仿宋" w:eastAsia="仿宋" w:cs="仿宋"/>
                <w:b w:val="0"/>
                <w:bCs w:val="0"/>
                <w:i w:val="0"/>
                <w:iCs w:val="0"/>
                <w:color w:val="auto"/>
                <w:kern w:val="0"/>
                <w:sz w:val="21"/>
                <w:szCs w:val="21"/>
                <w:highlight w:val="none"/>
                <w:u w:val="none"/>
                <w:lang w:val="en-US" w:eastAsia="zh-CN" w:bidi="ar"/>
              </w:rPr>
              <w:t>单价</w:t>
            </w:r>
          </w:p>
        </w:tc>
        <w:tc>
          <w:tcPr>
            <w:tcW w:w="283" w:type="pct"/>
            <w:vAlign w:val="center"/>
          </w:tcPr>
          <w:p w14:paraId="3FDF9BBB">
            <w:pPr>
              <w:keepNext w:val="0"/>
              <w:keepLines w:val="0"/>
              <w:widowControl/>
              <w:suppressLineNumbers w:val="0"/>
              <w:jc w:val="center"/>
              <w:textAlignment w:val="center"/>
              <w:rPr>
                <w:rFonts w:hint="eastAsia" w:ascii="仿宋" w:hAnsi="仿宋" w:eastAsia="仿宋" w:cs="仿宋"/>
                <w:b w:val="0"/>
                <w:bCs w:val="0"/>
                <w:i w:val="0"/>
                <w:iCs w:val="0"/>
                <w:color w:val="auto"/>
                <w:kern w:val="0"/>
                <w:sz w:val="21"/>
                <w:szCs w:val="21"/>
                <w:highlight w:val="none"/>
                <w:u w:val="none"/>
                <w:lang w:val="en-US" w:eastAsia="zh-CN" w:bidi="ar"/>
              </w:rPr>
            </w:pPr>
            <w:r>
              <w:rPr>
                <w:rFonts w:hint="eastAsia" w:ascii="仿宋" w:hAnsi="仿宋" w:eastAsia="仿宋" w:cs="仿宋"/>
                <w:b w:val="0"/>
                <w:bCs w:val="0"/>
                <w:i w:val="0"/>
                <w:iCs w:val="0"/>
                <w:color w:val="auto"/>
                <w:kern w:val="0"/>
                <w:sz w:val="21"/>
                <w:szCs w:val="21"/>
                <w:highlight w:val="none"/>
                <w:u w:val="none"/>
                <w:lang w:val="en-US" w:eastAsia="zh-CN" w:bidi="ar"/>
              </w:rPr>
              <w:t>合计</w:t>
            </w:r>
          </w:p>
        </w:tc>
      </w:tr>
      <w:tr w14:paraId="4077E7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4EEA4FE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527" w:type="pct"/>
            <w:vAlign w:val="center"/>
          </w:tcPr>
          <w:p w14:paraId="7C0BD58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3F56FA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747E3E7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279E01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8F4EA1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6B29D2B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7AA7AD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0A18C2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5FAB190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7214430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F8982B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1601C4F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2679265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0FB79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7B10602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527" w:type="pct"/>
            <w:vAlign w:val="center"/>
          </w:tcPr>
          <w:p w14:paraId="5D0F06DC">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12A9F4E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1FAF7E5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6DC2A98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FB98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5B30F05">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743550A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0B273CB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6D89FD2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5B82DE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23D79F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1C4F389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1827E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E939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174AC9A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527" w:type="pct"/>
            <w:vAlign w:val="center"/>
          </w:tcPr>
          <w:p w14:paraId="4A623FE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0CBD49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555D4EC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78C62C8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1A8C02A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4AD53B42">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0AC51DB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7671637A">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7A3E123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2BC2831F">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0AF2457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758043D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65414D0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64920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jc w:val="center"/>
        </w:trPr>
        <w:tc>
          <w:tcPr>
            <w:tcW w:w="228" w:type="pct"/>
            <w:vAlign w:val="center"/>
          </w:tcPr>
          <w:p w14:paraId="071BA45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w:t>
            </w:r>
          </w:p>
        </w:tc>
        <w:tc>
          <w:tcPr>
            <w:tcW w:w="527" w:type="pct"/>
            <w:vAlign w:val="center"/>
          </w:tcPr>
          <w:p w14:paraId="675547D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32" w:type="pct"/>
            <w:vAlign w:val="center"/>
          </w:tcPr>
          <w:p w14:paraId="664260D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19" w:type="pct"/>
            <w:vAlign w:val="center"/>
          </w:tcPr>
          <w:p w14:paraId="4187BB60">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2CA7933E">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483" w:type="pct"/>
            <w:vAlign w:val="center"/>
          </w:tcPr>
          <w:p w14:paraId="474D9248">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72" w:type="pct"/>
            <w:vAlign w:val="center"/>
          </w:tcPr>
          <w:p w14:paraId="03502663">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571" w:type="pct"/>
            <w:vAlign w:val="center"/>
          </w:tcPr>
          <w:p w14:paraId="46BFA549">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国内□  进口□</w:t>
            </w:r>
          </w:p>
        </w:tc>
        <w:tc>
          <w:tcPr>
            <w:tcW w:w="233" w:type="pct"/>
            <w:vAlign w:val="center"/>
          </w:tcPr>
          <w:p w14:paraId="18565976">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380" w:type="pct"/>
            <w:vAlign w:val="center"/>
          </w:tcPr>
          <w:p w14:paraId="04B784E7">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62" w:type="pct"/>
            <w:vAlign w:val="center"/>
          </w:tcPr>
          <w:p w14:paraId="3ACB6E44">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34518A91">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59" w:type="pct"/>
            <w:vAlign w:val="center"/>
          </w:tcPr>
          <w:p w14:paraId="4687D39D">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c>
          <w:tcPr>
            <w:tcW w:w="283" w:type="pct"/>
            <w:vAlign w:val="center"/>
          </w:tcPr>
          <w:p w14:paraId="30C0E0FB">
            <w:pPr>
              <w:keepNext w:val="0"/>
              <w:keepLines w:val="0"/>
              <w:pageBreakBefore w:val="0"/>
              <w:widowControl w:val="0"/>
              <w:kinsoku/>
              <w:wordWrap w:val="0"/>
              <w:overflowPunct/>
              <w:topLinePunct/>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p>
        </w:tc>
      </w:tr>
      <w:tr w14:paraId="26933E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jc w:val="center"/>
        </w:trPr>
        <w:tc>
          <w:tcPr>
            <w:tcW w:w="5000" w:type="pct"/>
            <w:gridSpan w:val="14"/>
            <w:vAlign w:val="center"/>
          </w:tcPr>
          <w:p w14:paraId="1897B071">
            <w:pPr>
              <w:keepNext w:val="0"/>
              <w:keepLines w:val="0"/>
              <w:pageBreakBefore w:val="0"/>
              <w:widowControl w:val="0"/>
              <w:kinsoku/>
              <w:wordWrap w:val="0"/>
              <w:overflowPunct/>
              <w:topLinePunct/>
              <w:autoSpaceDE/>
              <w:autoSpaceDN/>
              <w:bidi w:val="0"/>
              <w:adjustRightInd/>
              <w:snapToGrid/>
              <w:spacing w:line="360" w:lineRule="auto"/>
              <w:ind w:left="0" w:right="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共计：</w:t>
            </w:r>
          </w:p>
        </w:tc>
      </w:tr>
    </w:tbl>
    <w:p w14:paraId="060DE277">
      <w:pPr>
        <w:keepNext w:val="0"/>
        <w:keepLines w:val="0"/>
        <w:pageBreakBefore w:val="0"/>
        <w:widowControl w:val="0"/>
        <w:kinsoku/>
        <w:wordWrap w:val="0"/>
        <w:overflowPunct w:val="0"/>
        <w:topLinePunct/>
        <w:autoSpaceDE/>
        <w:autoSpaceDN/>
        <w:bidi w:val="0"/>
        <w:adjustRightInd/>
        <w:snapToGrid/>
        <w:spacing w:line="0" w:lineRule="atLeast"/>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注：</w:t>
      </w:r>
    </w:p>
    <w:p w14:paraId="7BD344DA">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（1）★投标人须对所投标项的所有产品进行整体投标报价，不得缺项漏项，否则按不实质性响应招标文件要求处理。</w:t>
      </w:r>
    </w:p>
    <w:p w14:paraId="140770EE">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bCs/>
          <w:color w:val="auto"/>
          <w:sz w:val="21"/>
          <w:szCs w:val="21"/>
          <w:highlight w:val="none"/>
          <w:lang w:val="en-US" w:eastAsia="zh-CN" w:bidi="ar"/>
        </w:rPr>
      </w:pPr>
      <w:r>
        <w:rPr>
          <w:rFonts w:hint="eastAsia" w:ascii="仿宋" w:hAnsi="仿宋" w:eastAsia="仿宋" w:cs="仿宋"/>
          <w:b/>
          <w:bCs/>
          <w:color w:val="auto"/>
          <w:sz w:val="21"/>
          <w:szCs w:val="21"/>
          <w:highlight w:val="none"/>
          <w:lang w:val="en-US" w:eastAsia="zh-CN" w:bidi="ar"/>
        </w:rPr>
        <w:t xml:space="preserve">（2）如所投设备为中型、小型、微型企业产品，须在上表“企业类型”中全部体现并明确。 </w:t>
      </w:r>
    </w:p>
    <w:p w14:paraId="26FAEEFD">
      <w:pPr>
        <w:keepNext w:val="0"/>
        <w:keepLines w:val="0"/>
        <w:pageBreakBefore w:val="0"/>
        <w:widowControl w:val="0"/>
        <w:kinsoku/>
        <w:wordWrap w:val="0"/>
        <w:overflowPunct w:val="0"/>
        <w:topLinePunct/>
        <w:autoSpaceDE/>
        <w:autoSpaceDN/>
        <w:bidi w:val="0"/>
        <w:adjustRightInd/>
        <w:snapToGrid/>
        <w:spacing w:line="0" w:lineRule="atLeast"/>
        <w:ind w:firstLine="422" w:firstLineChars="200"/>
        <w:jc w:val="left"/>
        <w:textAlignment w:val="auto"/>
        <w:rPr>
          <w:rFonts w:hint="eastAsia" w:ascii="仿宋" w:hAnsi="仿宋" w:eastAsia="仿宋" w:cs="仿宋"/>
          <w:b/>
          <w:color w:val="auto"/>
          <w:sz w:val="20"/>
          <w:szCs w:val="21"/>
          <w:highlight w:val="none"/>
        </w:rPr>
      </w:pPr>
      <w:r>
        <w:rPr>
          <w:rFonts w:hint="eastAsia" w:ascii="仿宋" w:hAnsi="仿宋" w:eastAsia="仿宋" w:cs="仿宋"/>
          <w:b/>
          <w:bCs/>
          <w:color w:val="auto"/>
          <w:sz w:val="21"/>
          <w:szCs w:val="21"/>
          <w:highlight w:val="none"/>
          <w:lang w:val="en-US" w:eastAsia="zh-CN" w:bidi="ar"/>
        </w:rPr>
        <w:t>（3）投标人对填写生产制造企业的企业类型负责，如有虚假，将依法承担相应责任</w:t>
      </w:r>
      <w:r>
        <w:rPr>
          <w:rFonts w:hint="eastAsia" w:ascii="仿宋" w:hAnsi="仿宋" w:eastAsia="仿宋" w:cs="仿宋"/>
          <w:b/>
          <w:color w:val="auto"/>
          <w:sz w:val="20"/>
          <w:szCs w:val="21"/>
          <w:highlight w:val="none"/>
        </w:rPr>
        <w:t>。</w:t>
      </w:r>
    </w:p>
    <w:p w14:paraId="29739E92">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val="en-US" w:eastAsia="zh-CN"/>
        </w:rPr>
        <w:t>4</w:t>
      </w:r>
      <w:r>
        <w:rPr>
          <w:rFonts w:hint="eastAsia" w:ascii="仿宋" w:hAnsi="仿宋" w:eastAsia="仿宋" w:cs="仿宋"/>
          <w:b/>
          <w:color w:val="auto"/>
          <w:sz w:val="20"/>
          <w:szCs w:val="21"/>
          <w:highlight w:val="none"/>
        </w:rPr>
        <w:t>）</w:t>
      </w:r>
      <w:r>
        <w:rPr>
          <w:rFonts w:hint="eastAsia" w:ascii="仿宋" w:hAnsi="仿宋" w:eastAsia="仿宋" w:cs="仿宋"/>
          <w:b/>
          <w:color w:val="auto"/>
          <w:sz w:val="20"/>
          <w:szCs w:val="21"/>
          <w:highlight w:val="none"/>
          <w:lang w:eastAsia="zh-CN"/>
        </w:rPr>
        <w:t>投标人</w:t>
      </w:r>
      <w:r>
        <w:rPr>
          <w:rFonts w:hint="eastAsia" w:ascii="仿宋" w:hAnsi="仿宋" w:eastAsia="仿宋" w:cs="仿宋"/>
          <w:b/>
          <w:color w:val="auto"/>
          <w:sz w:val="20"/>
          <w:szCs w:val="21"/>
          <w:highlight w:val="none"/>
        </w:rPr>
        <w:t>可根据项目性质自行增减行数，但不得对表格中规定的内容进行更改。</w:t>
      </w:r>
    </w:p>
    <w:p w14:paraId="6E2F4B4A">
      <w:pPr>
        <w:keepNext w:val="0"/>
        <w:keepLines w:val="0"/>
        <w:pageBreakBefore w:val="0"/>
        <w:widowControl w:val="0"/>
        <w:kinsoku/>
        <w:wordWrap/>
        <w:overflowPunct w:val="0"/>
        <w:topLinePunct/>
        <w:autoSpaceDE/>
        <w:autoSpaceDN/>
        <w:bidi w:val="0"/>
        <w:adjustRightInd/>
        <w:snapToGrid/>
        <w:ind w:firstLine="402" w:firstLineChars="200"/>
        <w:jc w:val="both"/>
        <w:outlineLvl w:val="1"/>
        <w:rPr>
          <w:rFonts w:hint="eastAsia" w:ascii="仿宋" w:hAnsi="仿宋" w:eastAsia="仿宋" w:cs="仿宋"/>
          <w:b/>
          <w:color w:val="auto"/>
          <w:sz w:val="20"/>
          <w:szCs w:val="21"/>
          <w:highlight w:val="none"/>
        </w:rPr>
      </w:pPr>
    </w:p>
    <w:p w14:paraId="0A57F56A">
      <w:pPr>
        <w:wordWrap w:val="0"/>
        <w:overflowPunct w:val="0"/>
        <w:topLinePunct/>
        <w:spacing w:line="360" w:lineRule="auto"/>
        <w:jc w:val="both"/>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CA08DE7">
      <w:pPr>
        <w:keepNext w:val="0"/>
        <w:keepLines w:val="0"/>
        <w:pageBreakBefore w:val="0"/>
        <w:widowControl w:val="0"/>
        <w:kinsoku/>
        <w:wordWrap w:val="0"/>
        <w:overflowPunct w:val="0"/>
        <w:topLinePunct/>
        <w:autoSpaceDE/>
        <w:autoSpaceDN/>
        <w:bidi w:val="0"/>
        <w:adjustRightInd/>
        <w:snapToGrid/>
        <w:spacing w:line="360" w:lineRule="auto"/>
        <w:jc w:val="both"/>
        <w:textAlignment w:val="auto"/>
        <w:outlineLvl w:val="2"/>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49662F2">
      <w:pPr>
        <w:keepNext w:val="0"/>
        <w:keepLines w:val="0"/>
        <w:pageBreakBefore w:val="0"/>
        <w:widowControl w:val="0"/>
        <w:kinsoku/>
        <w:wordWrap/>
        <w:overflowPunct w:val="0"/>
        <w:topLinePunct/>
        <w:autoSpaceDE/>
        <w:autoSpaceDN/>
        <w:bidi w:val="0"/>
        <w:adjustRightInd/>
        <w:snapToGrid/>
        <w:spacing w:line="360" w:lineRule="auto"/>
        <w:jc w:val="both"/>
        <w:outlineLvl w:val="1"/>
        <w:rPr>
          <w:rFonts w:hint="eastAsia" w:ascii="仿宋" w:hAnsi="仿宋" w:eastAsia="仿宋" w:cs="仿宋"/>
          <w:color w:val="auto"/>
          <w:sz w:val="24"/>
          <w:szCs w:val="24"/>
          <w:highlight w:val="none"/>
          <w:lang w:eastAsia="zh-CN"/>
        </w:rPr>
        <w:sectPr>
          <w:pgSz w:w="16838" w:h="11906" w:orient="landscape"/>
          <w:pgMar w:top="1134" w:right="1134" w:bottom="1134" w:left="1134" w:header="720" w:footer="907" w:gutter="0"/>
          <w:pgBorders>
            <w:top w:val="none" w:sz="0" w:space="0"/>
            <w:left w:val="none" w:sz="0" w:space="0"/>
            <w:bottom w:val="none" w:sz="0" w:space="0"/>
            <w:right w:val="none" w:sz="0" w:space="0"/>
          </w:pgBorders>
          <w:pgNumType w:fmt="decimal"/>
          <w:cols w:space="720" w:num="1"/>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3C23A53">
      <w:pPr>
        <w:wordWrap w:val="0"/>
        <w:overflowPunct w:val="0"/>
        <w:topLinePunct/>
        <w:jc w:val="center"/>
        <w:outlineLvl w:val="1"/>
        <w:rPr>
          <w:rFonts w:hint="eastAsia" w:ascii="仿宋" w:hAnsi="仿宋" w:eastAsia="仿宋" w:cs="仿宋"/>
          <w:b/>
          <w:bCs/>
          <w:color w:val="auto"/>
          <w:sz w:val="28"/>
          <w:szCs w:val="28"/>
          <w:highlight w:val="none"/>
        </w:rPr>
      </w:pPr>
      <w:bookmarkStart w:id="1180" w:name="_Toc23692"/>
      <w:bookmarkStart w:id="1181" w:name="_Toc19233"/>
      <w:r>
        <w:rPr>
          <w:rFonts w:hint="eastAsia" w:ascii="仿宋" w:hAnsi="仿宋" w:eastAsia="仿宋" w:cs="仿宋"/>
          <w:b/>
          <w:bCs/>
          <w:color w:val="auto"/>
          <w:sz w:val="32"/>
          <w:szCs w:val="32"/>
          <w:highlight w:val="none"/>
          <w:lang w:val="en-US" w:eastAsia="zh-CN"/>
        </w:rPr>
        <w:t>三、</w:t>
      </w:r>
      <w:bookmarkEnd w:id="1180"/>
      <w:bookmarkStart w:id="1182" w:name="_Toc25464"/>
      <w:bookmarkStart w:id="1183" w:name="_Toc30860"/>
      <w:bookmarkStart w:id="1184" w:name="_Toc15219"/>
      <w:bookmarkStart w:id="1185" w:name="_Toc25002"/>
      <w:bookmarkStart w:id="1186" w:name="_Toc9901"/>
      <w:bookmarkStart w:id="1187" w:name="_Toc29820"/>
      <w:bookmarkStart w:id="1188" w:name="_Toc11920"/>
      <w:bookmarkStart w:id="1189" w:name="_Toc25916"/>
      <w:bookmarkStart w:id="1190" w:name="_Toc6244"/>
      <w:bookmarkStart w:id="1191" w:name="_Toc32557"/>
      <w:bookmarkStart w:id="1192" w:name="_Toc16354"/>
      <w:bookmarkStart w:id="1193" w:name="_Toc2034"/>
      <w:bookmarkStart w:id="1194" w:name="_Toc13036"/>
      <w:bookmarkStart w:id="1195" w:name="_Toc26367"/>
      <w:bookmarkStart w:id="1196" w:name="_Toc6574"/>
      <w:r>
        <w:rPr>
          <w:rFonts w:hint="eastAsia" w:ascii="仿宋" w:hAnsi="仿宋" w:eastAsia="仿宋" w:cs="仿宋"/>
          <w:b/>
          <w:bCs/>
          <w:color w:val="auto"/>
          <w:sz w:val="32"/>
          <w:szCs w:val="32"/>
          <w:highlight w:val="none"/>
          <w:lang w:eastAsia="zh-CN"/>
        </w:rPr>
        <w:t>落实政府采购政策</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p>
    <w:p w14:paraId="62743AE1">
      <w:pPr>
        <w:wordWrap w:val="0"/>
        <w:overflowPunct w:val="0"/>
        <w:topLinePunct/>
        <w:jc w:val="center"/>
        <w:outlineLvl w:val="9"/>
        <w:rPr>
          <w:rFonts w:hint="eastAsia" w:ascii="仿宋" w:hAnsi="仿宋" w:eastAsia="仿宋" w:cs="仿宋"/>
          <w:color w:val="auto"/>
          <w:szCs w:val="30"/>
          <w:highlight w:val="none"/>
        </w:rPr>
      </w:pPr>
    </w:p>
    <w:p w14:paraId="6624CEB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2"/>
        <w:rPr>
          <w:rFonts w:hint="eastAsia" w:ascii="仿宋" w:hAnsi="仿宋" w:eastAsia="仿宋" w:cs="仿宋"/>
          <w:i w:val="0"/>
          <w:iCs w:val="0"/>
          <w:color w:val="auto"/>
          <w:sz w:val="22"/>
          <w:szCs w:val="22"/>
          <w:highlight w:val="none"/>
          <w:lang w:val="en-US" w:eastAsia="zh-CN"/>
        </w:rPr>
      </w:pPr>
      <w:bookmarkStart w:id="1197" w:name="_Toc24522"/>
      <w:bookmarkStart w:id="1198" w:name="_Toc5639"/>
      <w:bookmarkStart w:id="1199" w:name="_Toc10936"/>
      <w:bookmarkStart w:id="1200" w:name="_Toc27261"/>
      <w:bookmarkStart w:id="1201" w:name="_Toc5034"/>
      <w:bookmarkStart w:id="1202" w:name="_Toc11649"/>
      <w:bookmarkStart w:id="1203" w:name="_Toc19520"/>
      <w:bookmarkStart w:id="1204" w:name="_Toc14451"/>
      <w:bookmarkStart w:id="1205" w:name="_Toc3976"/>
      <w:bookmarkStart w:id="1206" w:name="_Toc6156"/>
      <w:bookmarkStart w:id="1207" w:name="_Toc7090"/>
      <w:bookmarkStart w:id="1208" w:name="_Toc7683"/>
      <w:bookmarkStart w:id="1209" w:name="_Toc26620"/>
      <w:bookmarkStart w:id="1210" w:name="_Toc8646"/>
      <w:bookmarkStart w:id="1211" w:name="_Toc26557"/>
      <w:bookmarkStart w:id="1212" w:name="_Toc5426"/>
      <w:bookmarkStart w:id="1213" w:name="_Toc6532"/>
      <w:bookmarkStart w:id="1214" w:name="_Toc18460"/>
      <w:bookmarkStart w:id="1215" w:name="_Toc15831"/>
      <w:bookmarkStart w:id="1216" w:name="_Toc6169"/>
      <w:bookmarkStart w:id="1217" w:name="_Toc3101"/>
      <w:bookmarkStart w:id="1218" w:name="_Toc32564"/>
      <w:bookmarkStart w:id="1219" w:name="_Toc30990"/>
      <w:bookmarkStart w:id="1220" w:name="_Toc13096"/>
      <w:bookmarkStart w:id="1221" w:name="_Toc4362"/>
      <w:bookmarkStart w:id="1222" w:name="_Toc3382"/>
      <w:bookmarkStart w:id="1223" w:name="_Toc16149"/>
      <w:bookmarkStart w:id="1224" w:name="_Toc29581"/>
      <w:bookmarkStart w:id="1225" w:name="_Toc4785"/>
      <w:bookmarkStart w:id="1226" w:name="_Toc29070"/>
      <w:bookmarkStart w:id="1227" w:name="_Toc29802"/>
      <w:bookmarkStart w:id="1228" w:name="_Toc9189"/>
      <w:bookmarkStart w:id="1229" w:name="_Toc31097"/>
      <w:bookmarkStart w:id="1230" w:name="_Toc5567"/>
      <w:bookmarkStart w:id="1231" w:name="_Toc13683"/>
      <w:bookmarkStart w:id="1232" w:name="_Toc7953"/>
      <w:bookmarkStart w:id="1233" w:name="_Toc10388"/>
      <w:bookmarkStart w:id="1234" w:name="_Toc25444"/>
      <w:bookmarkStart w:id="1235" w:name="_Toc31351"/>
      <w:bookmarkStart w:id="1236" w:name="_Toc9989"/>
      <w:r>
        <w:rPr>
          <w:rFonts w:hint="eastAsia" w:ascii="仿宋" w:hAnsi="仿宋" w:eastAsia="仿宋" w:cs="仿宋"/>
          <w:b/>
          <w:bCs/>
          <w:i w:val="0"/>
          <w:iCs w:val="0"/>
          <w:color w:val="auto"/>
          <w:sz w:val="28"/>
          <w:szCs w:val="28"/>
          <w:highlight w:val="none"/>
          <w:lang w:val="en-US" w:eastAsia="zh-CN"/>
        </w:rPr>
        <w:t>中小企业声明函（货物）</w:t>
      </w:r>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p w14:paraId="7D5313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（单位名称）的</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（项目名称）</w:t>
      </w:r>
      <w:r>
        <w:rPr>
          <w:rFonts w:hint="eastAsia" w:ascii="仿宋" w:hAnsi="仿宋" w:eastAsia="仿宋" w:cs="仿宋"/>
          <w:i w:val="0"/>
          <w:iCs w:val="0"/>
          <w:color w:val="auto"/>
          <w:sz w:val="24"/>
          <w:szCs w:val="24"/>
          <w:highlight w:val="none"/>
          <w:lang w:val="en-US" w:eastAsia="zh-CN"/>
        </w:rPr>
        <w:t>采购活动，货物全部由符合政策要求的中小企业承接。相关企业（含联合体中的中小企业、签订分包意向协议的中小企业）的具体情况如下：</w:t>
      </w:r>
    </w:p>
    <w:p w14:paraId="61B29D6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1.（</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1CDF90E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2.（</w:t>
      </w:r>
      <w:r>
        <w:rPr>
          <w:rFonts w:hint="eastAsia" w:ascii="仿宋" w:hAnsi="仿宋" w:eastAsia="仿宋" w:cs="仿宋"/>
          <w:i w:val="0"/>
          <w:iCs w:val="0"/>
          <w:color w:val="auto"/>
          <w:sz w:val="24"/>
          <w:szCs w:val="24"/>
          <w:highlight w:val="none"/>
          <w:u w:val="single"/>
          <w:lang w:val="en-US" w:eastAsia="zh-CN"/>
        </w:rPr>
        <w:t>标的名称</w:t>
      </w:r>
      <w:r>
        <w:rPr>
          <w:rFonts w:hint="eastAsia" w:ascii="仿宋" w:hAnsi="仿宋" w:eastAsia="仿宋" w:cs="仿宋"/>
          <w:i w:val="0"/>
          <w:iCs w:val="0"/>
          <w:color w:val="auto"/>
          <w:sz w:val="24"/>
          <w:szCs w:val="24"/>
          <w:highlight w:val="none"/>
          <w:lang w:val="en-US" w:eastAsia="zh-CN"/>
        </w:rPr>
        <w:t>），属于（</w:t>
      </w:r>
      <w:r>
        <w:rPr>
          <w:rFonts w:hint="eastAsia" w:ascii="仿宋" w:hAnsi="仿宋" w:eastAsia="仿宋" w:cs="仿宋"/>
          <w:i w:val="0"/>
          <w:iCs w:val="0"/>
          <w:color w:val="auto"/>
          <w:sz w:val="24"/>
          <w:szCs w:val="24"/>
          <w:highlight w:val="none"/>
          <w:u w:val="single"/>
          <w:lang w:val="en-US" w:eastAsia="zh-CN"/>
        </w:rPr>
        <w:t>招标文件中明确的所属行业</w:t>
      </w:r>
      <w:r>
        <w:rPr>
          <w:rFonts w:hint="eastAsia" w:ascii="仿宋" w:hAnsi="仿宋" w:eastAsia="仿宋" w:cs="仿宋"/>
          <w:i w:val="0"/>
          <w:iCs w:val="0"/>
          <w:color w:val="auto"/>
          <w:sz w:val="24"/>
          <w:szCs w:val="24"/>
          <w:highlight w:val="none"/>
          <w:lang w:val="en-US" w:eastAsia="zh-CN"/>
        </w:rPr>
        <w:t>）；制造商为（</w:t>
      </w:r>
      <w:r>
        <w:rPr>
          <w:rFonts w:hint="eastAsia" w:ascii="仿宋" w:hAnsi="仿宋" w:eastAsia="仿宋" w:cs="仿宋"/>
          <w:i w:val="0"/>
          <w:iCs w:val="0"/>
          <w:color w:val="auto"/>
          <w:sz w:val="24"/>
          <w:szCs w:val="24"/>
          <w:highlight w:val="none"/>
          <w:u w:val="single"/>
          <w:lang w:val="en-US" w:eastAsia="zh-CN"/>
        </w:rPr>
        <w:t>企业名称</w:t>
      </w:r>
      <w:r>
        <w:rPr>
          <w:rFonts w:hint="eastAsia" w:ascii="仿宋" w:hAnsi="仿宋" w:eastAsia="仿宋" w:cs="仿宋"/>
          <w:i w:val="0"/>
          <w:iCs w:val="0"/>
          <w:color w:val="auto"/>
          <w:sz w:val="24"/>
          <w:szCs w:val="24"/>
          <w:highlight w:val="none"/>
          <w:lang w:val="en-US" w:eastAsia="zh-CN"/>
        </w:rPr>
        <w:t>），从业人员</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人，营业收入为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万元，资产总额为</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万元，属于</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（中型企业、小型企业、微型企业）；</w:t>
      </w:r>
    </w:p>
    <w:p w14:paraId="27AF80C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w:t>
      </w:r>
    </w:p>
    <w:p w14:paraId="1DAE0C04">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以上企业，不属于大企业的分支机构，不存在控股股东为大企业的情形，也不存在与大企业的负责人为同一人的情形。</w:t>
      </w:r>
    </w:p>
    <w:p w14:paraId="4B35711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本企业对上述声明内容的真实性负责。如有虚假，将依法承担相应责任。</w:t>
      </w:r>
    </w:p>
    <w:p w14:paraId="28CC60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sz w:val="24"/>
          <w:szCs w:val="24"/>
          <w:highlight w:val="none"/>
          <w:lang w:val="en-US" w:eastAsia="zh-CN"/>
        </w:rPr>
      </w:pPr>
    </w:p>
    <w:p w14:paraId="1F2E339B">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i w:val="0"/>
          <w:iCs w:val="0"/>
          <w:color w:val="auto"/>
          <w:highlight w:val="none"/>
          <w:lang w:val="en-US" w:eastAsia="zh-CN"/>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1E13770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00A449C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4A52692D">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630CFD5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34EE0622">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p>
    <w:p w14:paraId="1756235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企业名称：</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（电子公章）</w:t>
      </w:r>
    </w:p>
    <w:p w14:paraId="5A7C7133">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日期：</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年</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月</w:t>
      </w:r>
      <w:r>
        <w:rPr>
          <w:rFonts w:hint="eastAsia" w:ascii="仿宋" w:hAnsi="仿宋" w:eastAsia="仿宋" w:cs="仿宋"/>
          <w:i w:val="0"/>
          <w:iCs w:val="0"/>
          <w:color w:val="auto"/>
          <w:sz w:val="24"/>
          <w:szCs w:val="24"/>
          <w:highlight w:val="none"/>
          <w:u w:val="single"/>
          <w:lang w:eastAsia="zh-CN"/>
        </w:rPr>
        <w:t xml:space="preserve">     </w:t>
      </w:r>
      <w:r>
        <w:rPr>
          <w:rFonts w:hint="eastAsia" w:ascii="仿宋" w:hAnsi="仿宋" w:eastAsia="仿宋" w:cs="仿宋"/>
          <w:i w:val="0"/>
          <w:iCs w:val="0"/>
          <w:color w:val="auto"/>
          <w:sz w:val="24"/>
          <w:szCs w:val="24"/>
          <w:highlight w:val="none"/>
          <w:lang w:eastAsia="zh-CN"/>
        </w:rPr>
        <w:t>日</w:t>
      </w:r>
    </w:p>
    <w:p w14:paraId="22861B30">
      <w:pPr>
        <w:pStyle w:val="10"/>
        <w:keepNext w:val="0"/>
        <w:keepLines w:val="0"/>
        <w:pageBreakBefore w:val="0"/>
        <w:widowControl w:val="0"/>
        <w:kinsoku/>
        <w:wordWrap w:val="0"/>
        <w:overflowPunct/>
        <w:topLinePunct/>
        <w:autoSpaceDE/>
        <w:autoSpaceDN/>
        <w:bidi w:val="0"/>
        <w:adjustRightInd/>
        <w:snapToGrid/>
        <w:ind w:left="0" w:leftChars="0" w:right="0" w:firstLine="480" w:firstLineChars="200"/>
        <w:rPr>
          <w:rFonts w:hint="eastAsia" w:ascii="仿宋" w:hAnsi="仿宋" w:eastAsia="仿宋" w:cs="仿宋"/>
          <w:i w:val="0"/>
          <w:iCs w:val="0"/>
          <w:color w:val="auto"/>
          <w:sz w:val="24"/>
          <w:szCs w:val="24"/>
          <w:highlight w:val="none"/>
          <w:lang w:val="en-US" w:eastAsia="zh-CN"/>
        </w:rPr>
      </w:pPr>
    </w:p>
    <w:p w14:paraId="69BA9656">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51560346">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0" w:firstLineChars="200"/>
        <w:jc w:val="left"/>
        <w:textAlignment w:val="auto"/>
        <w:rPr>
          <w:rFonts w:hint="eastAsia" w:ascii="仿宋" w:hAnsi="仿宋" w:eastAsia="仿宋" w:cs="仿宋"/>
          <w:i w:val="0"/>
          <w:iCs w:val="0"/>
          <w:color w:val="auto"/>
          <w:sz w:val="21"/>
          <w:szCs w:val="21"/>
          <w:highlight w:val="none"/>
          <w:lang w:val="en-US" w:eastAsia="zh-CN"/>
        </w:rPr>
      </w:pPr>
    </w:p>
    <w:p w14:paraId="7ED330C4">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8A27EBF">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192EB1">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B4DE67A">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6EC3777A">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584075AF">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en-US" w:eastAsia="zh-CN"/>
        </w:rPr>
      </w:pPr>
    </w:p>
    <w:p w14:paraId="3CCEDC61">
      <w:pPr>
        <w:pStyle w:val="10"/>
        <w:keepNext w:val="0"/>
        <w:keepLines w:val="0"/>
        <w:pageBreakBefore w:val="0"/>
        <w:widowControl w:val="0"/>
        <w:kinsoku/>
        <w:wordWrap w:val="0"/>
        <w:overflowPunct/>
        <w:topLinePunct/>
        <w:autoSpaceDE/>
        <w:autoSpaceDN/>
        <w:bidi w:val="0"/>
        <w:adjustRightInd/>
        <w:snapToGrid/>
        <w:spacing w:line="0" w:lineRule="atLeast"/>
        <w:ind w:left="0" w:leftChars="0" w:right="0" w:firstLine="422" w:firstLineChars="200"/>
        <w:jc w:val="left"/>
        <w:textAlignment w:val="auto"/>
        <w:rPr>
          <w:rFonts w:hint="eastAsia" w:ascii="仿宋" w:hAnsi="仿宋" w:eastAsia="仿宋" w:cs="仿宋"/>
          <w:b/>
          <w:bCs/>
          <w:i w:val="0"/>
          <w:iCs w:val="0"/>
          <w:color w:val="auto"/>
          <w:sz w:val="21"/>
          <w:szCs w:val="21"/>
          <w:highlight w:val="none"/>
          <w:lang w:val="zh-CN"/>
        </w:rPr>
      </w:pPr>
      <w:r>
        <w:rPr>
          <w:rFonts w:hint="eastAsia" w:ascii="仿宋" w:hAnsi="仿宋" w:eastAsia="仿宋" w:cs="仿宋"/>
          <w:b/>
          <w:bCs/>
          <w:i w:val="0"/>
          <w:iCs w:val="0"/>
          <w:color w:val="auto"/>
          <w:sz w:val="21"/>
          <w:szCs w:val="21"/>
          <w:highlight w:val="none"/>
          <w:lang w:val="en-US" w:eastAsia="zh-CN"/>
        </w:rPr>
        <w:t>注：从业人员、营业收入、资产总额填报上一年度数据，无上一年度数据的新成立企业可不填报。</w:t>
      </w:r>
    </w:p>
    <w:p w14:paraId="5F857CCA">
      <w:pPr>
        <w:pStyle w:val="17"/>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9"/>
        <w:rPr>
          <w:rFonts w:hint="eastAsia" w:ascii="仿宋" w:hAnsi="仿宋" w:eastAsia="仿宋" w:cs="仿宋"/>
          <w:bCs w:val="0"/>
          <w:i w:val="0"/>
          <w:iCs w:val="0"/>
          <w:color w:val="auto"/>
          <w:sz w:val="30"/>
          <w:szCs w:val="30"/>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bookmarkStart w:id="1237" w:name="_Toc18540"/>
      <w:bookmarkStart w:id="1238" w:name="_Toc4282"/>
      <w:bookmarkStart w:id="1239" w:name="_Toc19525"/>
      <w:bookmarkStart w:id="1240" w:name="_Toc5927"/>
      <w:bookmarkStart w:id="1241" w:name="_Toc13592"/>
      <w:bookmarkStart w:id="1242" w:name="_Toc991"/>
      <w:bookmarkStart w:id="1243" w:name="_Toc515908228"/>
      <w:bookmarkStart w:id="1244" w:name="_Toc31050"/>
      <w:bookmarkStart w:id="1245" w:name="_Toc1572"/>
    </w:p>
    <w:p w14:paraId="151B7B7F">
      <w:pPr>
        <w:pStyle w:val="17"/>
        <w:keepNext w:val="0"/>
        <w:keepLines w:val="0"/>
        <w:pageBreakBefore w:val="0"/>
        <w:widowControl w:val="0"/>
        <w:kinsoku/>
        <w:wordWrap w:val="0"/>
        <w:overflowPunct/>
        <w:topLinePunct/>
        <w:autoSpaceDE/>
        <w:autoSpaceDN/>
        <w:bidi w:val="0"/>
        <w:adjustRightInd/>
        <w:snapToGrid/>
        <w:spacing w:beforeLines="0" w:after="0" w:line="360" w:lineRule="auto"/>
        <w:ind w:left="0" w:leftChars="0" w:right="0"/>
        <w:jc w:val="center"/>
        <w:outlineLvl w:val="1"/>
        <w:rPr>
          <w:rFonts w:hint="eastAsia" w:ascii="仿宋" w:hAnsi="仿宋" w:eastAsia="仿宋" w:cs="仿宋"/>
          <w:b w:val="0"/>
          <w:color w:val="auto"/>
          <w:sz w:val="30"/>
          <w:szCs w:val="30"/>
          <w:highlight w:val="none"/>
        </w:rPr>
      </w:pPr>
      <w:bookmarkStart w:id="1246" w:name="_Toc27571"/>
      <w:bookmarkStart w:id="1247" w:name="_Toc23323"/>
      <w:bookmarkStart w:id="1248" w:name="_Toc24407"/>
      <w:bookmarkStart w:id="1249" w:name="_Toc13667"/>
      <w:bookmarkStart w:id="1250" w:name="_Toc20833"/>
      <w:bookmarkStart w:id="1251" w:name="_Toc13642"/>
      <w:bookmarkStart w:id="1252" w:name="_Toc12749"/>
      <w:bookmarkStart w:id="1253" w:name="_Toc20255"/>
      <w:bookmarkStart w:id="1254" w:name="_Toc3522"/>
      <w:bookmarkStart w:id="1255" w:name="_Toc31390"/>
      <w:bookmarkStart w:id="1256" w:name="_Toc27655"/>
      <w:bookmarkStart w:id="1257" w:name="_Toc31247"/>
      <w:bookmarkStart w:id="1258" w:name="_Toc4303"/>
      <w:bookmarkStart w:id="1259" w:name="_Toc5620"/>
      <w:bookmarkStart w:id="1260" w:name="_Toc16676"/>
      <w:bookmarkStart w:id="1261" w:name="_Toc23027"/>
      <w:bookmarkStart w:id="1262" w:name="_Toc21610"/>
      <w:bookmarkStart w:id="1263" w:name="_Toc25597"/>
      <w:bookmarkStart w:id="1264" w:name="_Toc3342"/>
      <w:bookmarkStart w:id="1265" w:name="_Toc3944"/>
      <w:bookmarkStart w:id="1266" w:name="_Toc30322"/>
      <w:bookmarkStart w:id="1267" w:name="_Toc8964"/>
      <w:bookmarkStart w:id="1268" w:name="_Toc29933"/>
      <w:bookmarkStart w:id="1269" w:name="_Toc8038"/>
      <w:bookmarkStart w:id="1270" w:name="_Toc26487"/>
      <w:bookmarkStart w:id="1271" w:name="_Toc17945"/>
      <w:bookmarkStart w:id="1272" w:name="_Toc26327"/>
      <w:bookmarkStart w:id="1273" w:name="_Toc12561"/>
      <w:bookmarkStart w:id="1274" w:name="_Toc12660"/>
      <w:bookmarkStart w:id="1275" w:name="_Toc23749"/>
      <w:bookmarkStart w:id="1276" w:name="_Toc28166"/>
      <w:bookmarkStart w:id="1277" w:name="_Toc28979"/>
      <w:bookmarkStart w:id="1278" w:name="_Toc30489"/>
      <w:bookmarkStart w:id="1279" w:name="_Toc12525"/>
      <w:bookmarkStart w:id="1280" w:name="_Toc30821"/>
      <w:r>
        <w:rPr>
          <w:rFonts w:hint="eastAsia" w:ascii="仿宋" w:hAnsi="仿宋" w:eastAsia="仿宋" w:cs="仿宋"/>
          <w:bCs w:val="0"/>
          <w:color w:val="auto"/>
          <w:sz w:val="28"/>
          <w:szCs w:val="28"/>
          <w:highlight w:val="none"/>
          <w:lang w:val="zh-CN"/>
        </w:rPr>
        <w:t>残疾人</w:t>
      </w:r>
      <w:r>
        <w:rPr>
          <w:rFonts w:hint="eastAsia" w:ascii="仿宋" w:hAnsi="仿宋" w:eastAsia="仿宋" w:cs="仿宋"/>
          <w:bCs w:val="0"/>
          <w:color w:val="auto"/>
          <w:sz w:val="28"/>
          <w:szCs w:val="28"/>
          <w:highlight w:val="none"/>
        </w:rPr>
        <w:t>福利性单位声明函</w:t>
      </w:r>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p>
    <w:p w14:paraId="2ECEDC79">
      <w:pPr>
        <w:keepNext w:val="0"/>
        <w:keepLines w:val="0"/>
        <w:pageBreakBefore w:val="0"/>
        <w:widowControl w:val="0"/>
        <w:kinsoku/>
        <w:wordWrap w:val="0"/>
        <w:overflowPunct/>
        <w:topLinePunct/>
        <w:autoSpaceDE/>
        <w:autoSpaceDN/>
        <w:bidi w:val="0"/>
        <w:adjustRightInd/>
        <w:snapToGrid/>
        <w:spacing w:line="360" w:lineRule="auto"/>
        <w:ind w:left="0" w:leftChars="0" w:right="0"/>
        <w:rPr>
          <w:rFonts w:hint="eastAsia" w:ascii="仿宋" w:hAnsi="仿宋" w:eastAsia="仿宋" w:cs="仿宋"/>
          <w:color w:val="auto"/>
          <w:sz w:val="24"/>
          <w:highlight w:val="none"/>
        </w:rPr>
      </w:pPr>
    </w:p>
    <w:p w14:paraId="5B722E9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本单位郑重声明，根据《财政部、民政部、中国残疾人联合会关于促进残疾人就业政府采购政策的通知》（财库〔2017〕141号）的规定，本单位为符合条件的残疾人福利性单位，本单位在职职工人数为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人，安置的残疾人人数</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人。且本单位参加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单位的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项目采购活动提供本单位制造的货物（由本单位承担工程/提供服务），或者提供其他残疾人福利性单位制造的货物（不包括使用非残疾人福利性单位注册商标的货物）。</w:t>
      </w:r>
    </w:p>
    <w:p w14:paraId="5517C93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689B91B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rPr>
          <w:rFonts w:hint="eastAsia" w:ascii="仿宋" w:hAnsi="仿宋" w:eastAsia="仿宋" w:cs="仿宋"/>
          <w:color w:val="auto"/>
          <w:sz w:val="24"/>
          <w:highlight w:val="none"/>
        </w:rPr>
      </w:pPr>
    </w:p>
    <w:p w14:paraId="621CFD0B">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512601BD">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DE412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5457DFC">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2D82A561">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1DCBFE45">
      <w:pPr>
        <w:keepNext w:val="0"/>
        <w:keepLines w:val="0"/>
        <w:pageBreakBefore w:val="0"/>
        <w:widowControl w:val="0"/>
        <w:kinsoku/>
        <w:wordWrap w:val="0"/>
        <w:overflowPunct/>
        <w:topLinePunct/>
        <w:autoSpaceDE/>
        <w:autoSpaceDN/>
        <w:bidi w:val="0"/>
        <w:adjustRightInd/>
        <w:snapToGrid/>
        <w:spacing w:line="400" w:lineRule="exact"/>
        <w:ind w:left="0" w:leftChars="0" w:right="0"/>
        <w:jc w:val="both"/>
        <w:rPr>
          <w:rFonts w:hint="eastAsia" w:ascii="仿宋" w:hAnsi="仿宋" w:eastAsia="仿宋" w:cs="仿宋"/>
          <w:color w:val="auto"/>
          <w:kern w:val="0"/>
          <w:sz w:val="24"/>
          <w:highlight w:val="none"/>
          <w:lang w:val="zh-CN"/>
        </w:rPr>
      </w:pPr>
    </w:p>
    <w:p w14:paraId="663A384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0925789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B7B575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58D09410">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3949531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2A5EA27">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8F52563">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7565A0C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1680E8A6">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p>
    <w:p w14:paraId="6124F315">
      <w:pPr>
        <w:keepNext w:val="0"/>
        <w:keepLines w:val="0"/>
        <w:pageBreakBefore w:val="0"/>
        <w:widowControl w:val="0"/>
        <w:kinsoku/>
        <w:wordWrap w:val="0"/>
        <w:overflowPunct/>
        <w:topLinePunct/>
        <w:autoSpaceDE/>
        <w:autoSpaceDN/>
        <w:bidi w:val="0"/>
        <w:adjustRightInd/>
        <w:snapToGrid/>
        <w:spacing w:line="400" w:lineRule="exact"/>
        <w:ind w:left="0" w:leftChars="0" w:right="0"/>
        <w:jc w:val="center"/>
        <w:rPr>
          <w:rFonts w:hint="eastAsia" w:ascii="仿宋" w:hAnsi="仿宋" w:eastAsia="仿宋" w:cs="仿宋"/>
          <w:color w:val="auto"/>
          <w:kern w:val="0"/>
          <w:sz w:val="24"/>
          <w:highlight w:val="none"/>
          <w:lang w:val="zh-CN"/>
        </w:rPr>
      </w:pPr>
      <w:r>
        <w:rPr>
          <w:rFonts w:hint="eastAsia" w:ascii="仿宋" w:hAnsi="仿宋" w:eastAsia="仿宋" w:cs="仿宋"/>
          <w:color w:val="auto"/>
          <w:kern w:val="0"/>
          <w:sz w:val="24"/>
          <w:highlight w:val="none"/>
          <w:lang w:val="zh-CN"/>
        </w:rPr>
        <w:t>投标人：</w:t>
      </w:r>
      <w:r>
        <w:rPr>
          <w:rFonts w:hint="eastAsia" w:ascii="仿宋" w:hAnsi="仿宋" w:eastAsia="仿宋" w:cs="仿宋"/>
          <w:color w:val="auto"/>
          <w:kern w:val="0"/>
          <w:sz w:val="24"/>
          <w:highlight w:val="none"/>
          <w:u w:val="single"/>
          <w:lang w:val="zh-CN"/>
        </w:rPr>
        <w:t xml:space="preserve">             </w:t>
      </w:r>
      <w:r>
        <w:rPr>
          <w:rFonts w:hint="eastAsia" w:ascii="仿宋" w:hAnsi="仿宋" w:eastAsia="仿宋" w:cs="仿宋"/>
          <w:color w:val="auto"/>
          <w:kern w:val="0"/>
          <w:sz w:val="24"/>
          <w:highlight w:val="none"/>
          <w:u w:val="single"/>
          <w:lang w:val="en-US" w:eastAsia="zh-CN"/>
        </w:rPr>
        <w:t xml:space="preserve">            </w:t>
      </w:r>
      <w:r>
        <w:rPr>
          <w:rFonts w:hint="eastAsia" w:ascii="仿宋" w:hAnsi="仿宋" w:eastAsia="仿宋" w:cs="仿宋"/>
          <w:color w:val="auto"/>
          <w:kern w:val="0"/>
          <w:sz w:val="24"/>
          <w:highlight w:val="none"/>
          <w:lang w:val="zh-CN"/>
        </w:rPr>
        <w:t>（电子公章）</w:t>
      </w:r>
    </w:p>
    <w:p w14:paraId="68233CE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pPr>
    </w:p>
    <w:p w14:paraId="60E63E1A">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b w:val="0"/>
          <w:bCs w:val="0"/>
          <w:color w:val="auto"/>
          <w:kern w:val="0"/>
          <w:sz w:val="24"/>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b w:val="0"/>
          <w:bCs w:val="0"/>
          <w:color w:val="auto"/>
          <w:kern w:val="0"/>
          <w:sz w:val="24"/>
          <w:highlight w:val="none"/>
          <w:lang w:val="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6EE4263A">
      <w:pPr>
        <w:pStyle w:val="16"/>
        <w:keepNext w:val="0"/>
        <w:keepLines w:val="0"/>
        <w:pageBreakBefore w:val="0"/>
        <w:widowControl w:val="0"/>
        <w:suppressLineNumbers w:val="0"/>
        <w:kinsoku/>
        <w:wordWrap w:val="0"/>
        <w:overflowPunct/>
        <w:topLinePunct/>
        <w:autoSpaceDE/>
        <w:autoSpaceDN/>
        <w:bidi w:val="0"/>
        <w:adjustRightInd/>
        <w:snapToGrid/>
        <w:spacing w:before="0" w:beforeAutospacing="0" w:after="0" w:afterAutospacing="0" w:line="360" w:lineRule="auto"/>
        <w:ind w:left="0" w:leftChars="0" w:right="0"/>
        <w:jc w:val="center"/>
        <w:textAlignment w:val="auto"/>
        <w:outlineLvl w:val="1"/>
        <w:rPr>
          <w:rFonts w:hint="eastAsia" w:ascii="仿宋" w:hAnsi="仿宋" w:eastAsia="仿宋" w:cs="仿宋"/>
          <w:color w:val="auto"/>
          <w:sz w:val="22"/>
          <w:szCs w:val="22"/>
          <w:highlight w:val="none"/>
        </w:rPr>
      </w:pPr>
      <w:bookmarkStart w:id="1281" w:name="_Toc21829"/>
      <w:bookmarkStart w:id="1282" w:name="_Toc7575"/>
      <w:bookmarkStart w:id="1283" w:name="_Toc15186"/>
      <w:bookmarkStart w:id="1284" w:name="_Toc23316"/>
      <w:bookmarkStart w:id="1285" w:name="_Toc21220"/>
      <w:bookmarkStart w:id="1286" w:name="_Toc31166"/>
      <w:bookmarkStart w:id="1287" w:name="_Toc3712"/>
      <w:bookmarkStart w:id="1288" w:name="_Toc18265"/>
      <w:bookmarkStart w:id="1289" w:name="_Toc19429"/>
      <w:bookmarkStart w:id="1290" w:name="_Toc27477"/>
      <w:bookmarkStart w:id="1291" w:name="_Toc18227"/>
      <w:bookmarkStart w:id="1292" w:name="_Toc3658"/>
      <w:bookmarkStart w:id="1293" w:name="_Toc24184"/>
      <w:bookmarkStart w:id="1294" w:name="_Toc19777"/>
      <w:bookmarkStart w:id="1295" w:name="_Toc4375"/>
      <w:bookmarkStart w:id="1296" w:name="_Toc14312"/>
      <w:bookmarkStart w:id="1297" w:name="_Toc4256"/>
      <w:bookmarkStart w:id="1298" w:name="_Toc12345"/>
      <w:bookmarkStart w:id="1299" w:name="_Toc25936"/>
      <w:bookmarkStart w:id="1300" w:name="_Toc28512"/>
      <w:bookmarkStart w:id="1301" w:name="_Toc8740"/>
      <w:bookmarkStart w:id="1302" w:name="_Toc13397"/>
      <w:bookmarkStart w:id="1303" w:name="_Toc21948"/>
      <w:bookmarkStart w:id="1304" w:name="_Toc21718"/>
      <w:bookmarkStart w:id="1305" w:name="_Toc7854"/>
      <w:bookmarkStart w:id="1306" w:name="_Toc28662"/>
      <w:bookmarkStart w:id="1307" w:name="_Toc6778"/>
      <w:bookmarkStart w:id="1308" w:name="_Toc451"/>
      <w:bookmarkStart w:id="1309" w:name="_Toc24011"/>
      <w:bookmarkStart w:id="1310" w:name="_Toc2219"/>
      <w:bookmarkStart w:id="1311" w:name="_Toc8182"/>
      <w:bookmarkStart w:id="1312" w:name="_Toc5961"/>
      <w:bookmarkStart w:id="1313" w:name="_Toc17582"/>
      <w:bookmarkStart w:id="1314" w:name="_Toc21004"/>
      <w:bookmarkStart w:id="1315" w:name="_Toc20260"/>
      <w:bookmarkStart w:id="1316" w:name="_Toc29078"/>
      <w:bookmarkStart w:id="1317" w:name="_Toc1388"/>
      <w:bookmarkStart w:id="1318" w:name="_Toc24860"/>
      <w:bookmarkStart w:id="1319" w:name="_Toc27539"/>
      <w:bookmarkStart w:id="1320" w:name="_Toc27186"/>
      <w:bookmarkStart w:id="1321" w:name="_Toc29894"/>
      <w:bookmarkStart w:id="1322" w:name="_Toc3442"/>
      <w:r>
        <w:rPr>
          <w:rFonts w:hint="eastAsia" w:ascii="仿宋" w:hAnsi="仿宋" w:eastAsia="仿宋" w:cs="仿宋"/>
          <w:b/>
          <w:bCs/>
          <w:color w:val="auto"/>
          <w:sz w:val="28"/>
          <w:szCs w:val="28"/>
          <w:highlight w:val="none"/>
        </w:rPr>
        <w:t>监狱企业声明函</w:t>
      </w:r>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14:paraId="4A7A438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p>
    <w:p w14:paraId="51BC559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本公司郑重声明，根据《关于政府采购支持监狱企业发展有关问题的通知》（财库</w:t>
      </w:r>
      <w:r>
        <w:rPr>
          <w:rFonts w:hint="eastAsia" w:ascii="仿宋" w:hAnsi="仿宋" w:eastAsia="仿宋" w:cs="仿宋"/>
          <w:color w:val="auto"/>
          <w:sz w:val="24"/>
          <w:szCs w:val="24"/>
          <w:highlight w:val="none"/>
          <w:lang w:eastAsia="zh-CN"/>
        </w:rPr>
        <w:t>〔2014〕</w:t>
      </w:r>
      <w:r>
        <w:rPr>
          <w:rFonts w:hint="eastAsia" w:ascii="仿宋" w:hAnsi="仿宋" w:eastAsia="仿宋" w:cs="仿宋"/>
          <w:color w:val="auto"/>
          <w:sz w:val="24"/>
          <w:szCs w:val="24"/>
          <w:highlight w:val="none"/>
        </w:rPr>
        <w:t>68 号）的规定，本公司为监狱企业。</w:t>
      </w:r>
    </w:p>
    <w:p w14:paraId="01E15BD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根据上述标准，我公司属于监狱企业的理由为：</w:t>
      </w:r>
    </w:p>
    <w:p w14:paraId="721A2BA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323" w:name="_Toc6373"/>
      <w:bookmarkStart w:id="1324" w:name="_Toc15073"/>
      <w:bookmarkStart w:id="1325" w:name="_Toc5764"/>
      <w:bookmarkStart w:id="1326" w:name="_Toc7890"/>
      <w:bookmarkStart w:id="1327" w:name="_Toc31432"/>
      <w:bookmarkStart w:id="1328" w:name="_Toc2104"/>
      <w:bookmarkStart w:id="1329" w:name="_Toc21415"/>
      <w:bookmarkStart w:id="1330" w:name="_Toc22432"/>
      <w:bookmarkStart w:id="1331" w:name="_Toc10980"/>
      <w:bookmarkStart w:id="1332" w:name="_Toc22325"/>
      <w:bookmarkStart w:id="1333" w:name="_Toc31990"/>
      <w:bookmarkStart w:id="1334" w:name="_Toc6301"/>
      <w:bookmarkStart w:id="1335" w:name="_Toc26888"/>
      <w:bookmarkStart w:id="1336" w:name="_Toc32680"/>
      <w:bookmarkStart w:id="1337" w:name="_Toc23621"/>
      <w:bookmarkStart w:id="1338" w:name="_Toc9548"/>
      <w:bookmarkStart w:id="1339" w:name="_Toc20595"/>
      <w:bookmarkStart w:id="1340" w:name="_Toc3070"/>
      <w:bookmarkStart w:id="1341" w:name="_Toc4816"/>
      <w:bookmarkStart w:id="1342" w:name="_Toc21660"/>
      <w:bookmarkStart w:id="1343" w:name="_Toc28879"/>
      <w:bookmarkStart w:id="1344" w:name="_Toc2869"/>
      <w:bookmarkStart w:id="1345" w:name="_Toc16117"/>
      <w:bookmarkStart w:id="1346" w:name="_Toc9956"/>
      <w:bookmarkStart w:id="1347" w:name="_Toc23466"/>
      <w:bookmarkStart w:id="1348" w:name="_Toc28812"/>
      <w:bookmarkStart w:id="1349" w:name="_Toc18008"/>
      <w:bookmarkStart w:id="1350" w:name="_Toc22729"/>
      <w:bookmarkStart w:id="1351" w:name="_Toc20412"/>
      <w:bookmarkStart w:id="1352" w:name="_Toc8013"/>
      <w:bookmarkStart w:id="1353" w:name="_Toc28"/>
      <w:bookmarkStart w:id="1354" w:name="_Toc1480"/>
      <w:bookmarkStart w:id="1355" w:name="_Toc26304"/>
      <w:bookmarkStart w:id="1356" w:name="_Toc21392"/>
      <w:bookmarkStart w:id="1357" w:name="_Toc11261"/>
      <w:bookmarkStart w:id="1358" w:name="_Toc31896"/>
      <w:bookmarkStart w:id="1359" w:name="_Toc9022"/>
      <w:bookmarkStart w:id="1360" w:name="_Toc26209"/>
      <w:bookmarkStart w:id="1361" w:name="_Toc139"/>
      <w:bookmarkStart w:id="1362" w:name="_Toc738"/>
      <w:bookmarkStart w:id="1363" w:name="_Toc13508"/>
      <w:bookmarkStart w:id="1364" w:name="_Toc1015"/>
      <w:bookmarkStart w:id="1365" w:name="_Toc24342"/>
      <w:bookmarkStart w:id="1366" w:name="_Toc6171"/>
      <w:bookmarkStart w:id="1367" w:name="_Toc30129"/>
      <w:bookmarkStart w:id="1368" w:name="_Toc17052"/>
      <w:bookmarkStart w:id="1369" w:name="_Toc9210"/>
      <w:bookmarkStart w:id="1370" w:name="_Toc17344"/>
      <w:r>
        <w:rPr>
          <w:rFonts w:hint="eastAsia" w:ascii="仿宋" w:hAnsi="仿宋" w:eastAsia="仿宋" w:cs="仿宋"/>
          <w:color w:val="auto"/>
          <w:sz w:val="24"/>
          <w:szCs w:val="24"/>
          <w:highlight w:val="none"/>
          <w:lang w:val="en-US" w:eastAsia="zh-CN"/>
        </w:rPr>
        <w:t>1、</w:t>
      </w:r>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p>
    <w:p w14:paraId="7E231CD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371" w:name="_Toc19995"/>
      <w:bookmarkStart w:id="1372" w:name="_Toc14473"/>
      <w:bookmarkStart w:id="1373" w:name="_Toc12669"/>
      <w:bookmarkStart w:id="1374" w:name="_Toc18958"/>
      <w:bookmarkStart w:id="1375" w:name="_Toc13724"/>
      <w:bookmarkStart w:id="1376" w:name="_Toc22253"/>
      <w:bookmarkStart w:id="1377" w:name="_Toc7389"/>
      <w:bookmarkStart w:id="1378" w:name="_Toc30883"/>
      <w:bookmarkStart w:id="1379" w:name="_Toc12149"/>
      <w:bookmarkStart w:id="1380" w:name="_Toc565"/>
      <w:bookmarkStart w:id="1381" w:name="_Toc25751"/>
      <w:bookmarkStart w:id="1382" w:name="_Toc2605"/>
      <w:bookmarkStart w:id="1383" w:name="_Toc25974"/>
      <w:bookmarkStart w:id="1384" w:name="_Toc1257"/>
      <w:bookmarkStart w:id="1385" w:name="_Toc10850"/>
      <w:bookmarkStart w:id="1386" w:name="_Toc29815"/>
      <w:bookmarkStart w:id="1387" w:name="_Toc18693"/>
      <w:bookmarkStart w:id="1388" w:name="_Toc27202"/>
      <w:bookmarkStart w:id="1389" w:name="_Toc32561"/>
      <w:bookmarkStart w:id="1390" w:name="_Toc29889"/>
      <w:bookmarkStart w:id="1391" w:name="_Toc11720"/>
      <w:bookmarkStart w:id="1392" w:name="_Toc25807"/>
      <w:bookmarkStart w:id="1393" w:name="_Toc19413"/>
      <w:bookmarkStart w:id="1394" w:name="_Toc11746"/>
      <w:bookmarkStart w:id="1395" w:name="_Toc27447"/>
      <w:bookmarkStart w:id="1396" w:name="_Toc31542"/>
      <w:bookmarkStart w:id="1397" w:name="_Toc8098"/>
      <w:bookmarkStart w:id="1398" w:name="_Toc17261"/>
      <w:bookmarkStart w:id="1399" w:name="_Toc4584"/>
      <w:bookmarkStart w:id="1400" w:name="_Toc2698"/>
      <w:bookmarkStart w:id="1401" w:name="_Toc9330"/>
      <w:bookmarkStart w:id="1402" w:name="_Toc10259"/>
      <w:bookmarkStart w:id="1403" w:name="_Toc29787"/>
      <w:bookmarkStart w:id="1404" w:name="_Toc12358"/>
      <w:bookmarkStart w:id="1405" w:name="_Toc17791"/>
      <w:bookmarkStart w:id="1406" w:name="_Toc21190"/>
      <w:bookmarkStart w:id="1407" w:name="_Toc27967"/>
      <w:bookmarkStart w:id="1408" w:name="_Toc17536"/>
      <w:bookmarkStart w:id="1409" w:name="_Toc12984"/>
      <w:bookmarkStart w:id="1410" w:name="_Toc25186"/>
      <w:bookmarkStart w:id="1411" w:name="_Toc7385"/>
      <w:bookmarkStart w:id="1412" w:name="_Toc17825"/>
      <w:bookmarkStart w:id="1413" w:name="_Toc18997"/>
      <w:bookmarkStart w:id="1414" w:name="_Toc9638"/>
      <w:bookmarkStart w:id="1415" w:name="_Toc26415"/>
      <w:bookmarkStart w:id="1416" w:name="_Toc9157"/>
      <w:bookmarkStart w:id="1417" w:name="_Toc22544"/>
      <w:bookmarkStart w:id="1418" w:name="_Toc4758"/>
      <w:r>
        <w:rPr>
          <w:rFonts w:hint="eastAsia" w:ascii="仿宋" w:hAnsi="仿宋" w:eastAsia="仿宋" w:cs="仿宋"/>
          <w:color w:val="auto"/>
          <w:sz w:val="24"/>
          <w:szCs w:val="24"/>
          <w:highlight w:val="none"/>
          <w:lang w:val="en-US" w:eastAsia="zh-CN"/>
        </w:rPr>
        <w:t>2、</w:t>
      </w:r>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p>
    <w:p w14:paraId="08858C0F">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outlineLvl w:val="1"/>
        <w:rPr>
          <w:rFonts w:hint="eastAsia" w:ascii="仿宋" w:hAnsi="仿宋" w:eastAsia="仿宋" w:cs="仿宋"/>
          <w:color w:val="auto"/>
          <w:sz w:val="24"/>
          <w:szCs w:val="24"/>
          <w:highlight w:val="none"/>
          <w:lang w:val="en-US" w:eastAsia="zh-CN"/>
        </w:rPr>
      </w:pPr>
      <w:bookmarkStart w:id="1419" w:name="_Toc16779"/>
      <w:bookmarkStart w:id="1420" w:name="_Toc26542"/>
      <w:bookmarkStart w:id="1421" w:name="_Toc7295"/>
      <w:bookmarkStart w:id="1422" w:name="_Toc32267"/>
      <w:bookmarkStart w:id="1423" w:name="_Toc31171"/>
      <w:bookmarkStart w:id="1424" w:name="_Toc31034"/>
      <w:bookmarkStart w:id="1425" w:name="_Toc11643"/>
      <w:bookmarkStart w:id="1426" w:name="_Toc19333"/>
      <w:bookmarkStart w:id="1427" w:name="_Toc17337"/>
      <w:bookmarkStart w:id="1428" w:name="_Toc1347"/>
      <w:bookmarkStart w:id="1429" w:name="_Toc8022"/>
      <w:bookmarkStart w:id="1430" w:name="_Toc4947"/>
      <w:bookmarkStart w:id="1431" w:name="_Toc23118"/>
      <w:bookmarkStart w:id="1432" w:name="_Toc3580"/>
      <w:bookmarkStart w:id="1433" w:name="_Toc5554"/>
      <w:bookmarkStart w:id="1434" w:name="_Toc12955"/>
      <w:bookmarkStart w:id="1435" w:name="_Toc1247"/>
      <w:bookmarkStart w:id="1436" w:name="_Toc25064"/>
      <w:bookmarkStart w:id="1437" w:name="_Toc30903"/>
      <w:bookmarkStart w:id="1438" w:name="_Toc27931"/>
      <w:bookmarkStart w:id="1439" w:name="_Toc25372"/>
      <w:bookmarkStart w:id="1440" w:name="_Toc20016"/>
      <w:bookmarkStart w:id="1441" w:name="_Toc2677"/>
      <w:bookmarkStart w:id="1442" w:name="_Toc13396"/>
      <w:bookmarkStart w:id="1443" w:name="_Toc1464"/>
      <w:bookmarkStart w:id="1444" w:name="_Toc7053"/>
      <w:bookmarkStart w:id="1445" w:name="_Toc2778"/>
      <w:bookmarkStart w:id="1446" w:name="_Toc12399"/>
      <w:bookmarkStart w:id="1447" w:name="_Toc24087"/>
      <w:bookmarkStart w:id="1448" w:name="_Toc31364"/>
      <w:bookmarkStart w:id="1449" w:name="_Toc19116"/>
      <w:bookmarkStart w:id="1450" w:name="_Toc27872"/>
      <w:bookmarkStart w:id="1451" w:name="_Toc686"/>
      <w:bookmarkStart w:id="1452" w:name="_Toc1948"/>
      <w:bookmarkStart w:id="1453" w:name="_Toc11156"/>
      <w:bookmarkStart w:id="1454" w:name="_Toc249"/>
      <w:bookmarkStart w:id="1455" w:name="_Toc27725"/>
      <w:bookmarkStart w:id="1456" w:name="_Toc20592"/>
      <w:bookmarkStart w:id="1457" w:name="_Toc9734"/>
      <w:bookmarkStart w:id="1458" w:name="_Toc15504"/>
      <w:bookmarkStart w:id="1459" w:name="_Toc9240"/>
      <w:bookmarkStart w:id="1460" w:name="_Toc24635"/>
      <w:bookmarkStart w:id="1461" w:name="_Toc11055"/>
      <w:bookmarkStart w:id="1462" w:name="_Toc18044"/>
      <w:bookmarkStart w:id="1463" w:name="_Toc22728"/>
      <w:bookmarkStart w:id="1464" w:name="_Toc29881"/>
      <w:bookmarkStart w:id="1465" w:name="_Toc10774"/>
      <w:bookmarkStart w:id="1466" w:name="_Toc6007"/>
      <w:r>
        <w:rPr>
          <w:rFonts w:hint="eastAsia" w:ascii="仿宋" w:hAnsi="仿宋" w:eastAsia="仿宋" w:cs="仿宋"/>
          <w:color w:val="auto"/>
          <w:sz w:val="24"/>
          <w:szCs w:val="24"/>
          <w:highlight w:val="none"/>
          <w:lang w:val="en-US" w:eastAsia="zh-CN"/>
        </w:rPr>
        <w:t>3、</w:t>
      </w:r>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p>
    <w:p w14:paraId="65F7E97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sz w:val="24"/>
          <w:szCs w:val="24"/>
          <w:highlight w:val="none"/>
          <w:lang w:val="en-US" w:eastAsia="zh-CN"/>
        </w:rPr>
        <w:t>…</w:t>
      </w:r>
    </w:p>
    <w:p w14:paraId="0141654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本公司为参加（</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 xml:space="preserve"> 公开招标 </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提供本企业提供服务。</w:t>
      </w:r>
    </w:p>
    <w:p w14:paraId="07A798E9">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本公司对上述声明的真实性负责。如有虚假，将依法承担相应责任。</w:t>
      </w:r>
    </w:p>
    <w:p w14:paraId="185E0BF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textAlignment w:val="auto"/>
        <w:rPr>
          <w:rFonts w:hint="eastAsia" w:ascii="仿宋" w:hAnsi="仿宋" w:eastAsia="仿宋" w:cs="仿宋"/>
          <w:color w:val="auto"/>
          <w:sz w:val="24"/>
          <w:szCs w:val="24"/>
          <w:highlight w:val="none"/>
          <w:lang w:val="en-US" w:eastAsia="zh-CN"/>
        </w:rPr>
      </w:pPr>
    </w:p>
    <w:p w14:paraId="7A4EE84A">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F23846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7DAE4A83">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A5FB3">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BCB044B">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DBB8FFD">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7FC2797E">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64CFAAE6">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val="en-US" w:eastAsia="zh-CN"/>
        </w:rPr>
      </w:pPr>
    </w:p>
    <w:p w14:paraId="26A4CC7E">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val="en-US" w:eastAsia="zh-CN"/>
        </w:rPr>
      </w:pPr>
    </w:p>
    <w:p w14:paraId="2776642C">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bookmarkStart w:id="1467" w:name="_Toc26600"/>
      <w:bookmarkStart w:id="1468" w:name="_Toc18210"/>
      <w:bookmarkStart w:id="1469" w:name="_Toc28772"/>
      <w:bookmarkStart w:id="1470" w:name="_Toc25033"/>
      <w:bookmarkStart w:id="1471" w:name="_Toc13699"/>
      <w:bookmarkStart w:id="1472" w:name="_Toc3864"/>
      <w:bookmarkStart w:id="1473" w:name="_Toc31757"/>
      <w:bookmarkStart w:id="1474" w:name="_Toc20546"/>
      <w:bookmarkStart w:id="1475" w:name="_Toc1622"/>
      <w:bookmarkStart w:id="1476" w:name="_Toc25944"/>
      <w:bookmarkStart w:id="1477" w:name="_Toc32504"/>
      <w:bookmarkStart w:id="1478" w:name="_Toc14387"/>
      <w:bookmarkStart w:id="1479" w:name="_Toc29094"/>
      <w:bookmarkStart w:id="1480" w:name="_Toc29567"/>
      <w:bookmarkStart w:id="1481" w:name="_Toc7623"/>
      <w:bookmarkStart w:id="1482" w:name="_Toc25524"/>
      <w:bookmarkStart w:id="1483" w:name="_Toc3669"/>
      <w:bookmarkStart w:id="1484" w:name="_Toc19474"/>
      <w:bookmarkStart w:id="1485" w:name="_Toc13262"/>
      <w:bookmarkStart w:id="1486" w:name="_Toc32349"/>
      <w:bookmarkStart w:id="1487" w:name="_Toc23531"/>
      <w:bookmarkStart w:id="1488" w:name="_Toc30945"/>
      <w:bookmarkStart w:id="1489" w:name="_Toc16202"/>
      <w:bookmarkStart w:id="1490" w:name="_Toc24558"/>
      <w:bookmarkStart w:id="1491" w:name="_Toc4834"/>
      <w:bookmarkStart w:id="1492" w:name="_Toc13225"/>
      <w:bookmarkStart w:id="1493" w:name="_Toc27772"/>
      <w:bookmarkStart w:id="1494" w:name="_Toc17540"/>
      <w:bookmarkStart w:id="1495" w:name="_Toc3444"/>
      <w:bookmarkStart w:id="1496" w:name="_Toc32185"/>
      <w:bookmarkStart w:id="1497" w:name="_Toc15689"/>
      <w:bookmarkStart w:id="1498" w:name="_Toc22484"/>
      <w:bookmarkStart w:id="1499" w:name="_Toc25161"/>
      <w:bookmarkStart w:id="1500" w:name="_Toc28320"/>
    </w:p>
    <w:p w14:paraId="09AB4669">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1A795F5">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9"/>
        <w:rPr>
          <w:rFonts w:hint="eastAsia" w:ascii="仿宋" w:hAnsi="仿宋" w:eastAsia="仿宋" w:cs="仿宋"/>
          <w:color w:val="auto"/>
          <w:sz w:val="24"/>
          <w:szCs w:val="24"/>
          <w:highlight w:val="none"/>
          <w:lang w:val="en-US" w:eastAsia="zh-CN"/>
        </w:rPr>
      </w:pPr>
    </w:p>
    <w:p w14:paraId="4334790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outlineLvl w:val="1"/>
        <w:rPr>
          <w:rFonts w:hint="eastAsia" w:ascii="仿宋" w:hAnsi="仿宋" w:eastAsia="仿宋" w:cs="仿宋"/>
          <w:color w:val="auto"/>
          <w:sz w:val="24"/>
          <w:szCs w:val="24"/>
          <w:highlight w:val="none"/>
          <w:u w:val="none"/>
          <w:lang w:val="en-US" w:eastAsia="zh-CN"/>
        </w:rPr>
      </w:pPr>
      <w:bookmarkStart w:id="1501" w:name="_Toc20962"/>
      <w:bookmarkStart w:id="1502" w:name="_Toc3282"/>
      <w:bookmarkStart w:id="1503" w:name="_Toc28504"/>
      <w:bookmarkStart w:id="1504" w:name="_Toc6166"/>
      <w:bookmarkStart w:id="1505" w:name="_Toc13033"/>
      <w:bookmarkStart w:id="1506" w:name="_Toc16425"/>
      <w:bookmarkStart w:id="1507" w:name="_Toc19373"/>
      <w:bookmarkStart w:id="1508" w:name="_Toc15598"/>
      <w:bookmarkStart w:id="1509" w:name="_Toc4648"/>
      <w:bookmarkStart w:id="1510" w:name="_Toc1972"/>
      <w:bookmarkStart w:id="1511" w:name="_Toc18118"/>
      <w:bookmarkStart w:id="1512" w:name="_Toc4419"/>
      <w:bookmarkStart w:id="1513" w:name="_Toc11241"/>
      <w:bookmarkStart w:id="1514" w:name="_Toc21875"/>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u w:val="single"/>
          <w:lang w:val="en-US" w:eastAsia="zh-CN"/>
        </w:rPr>
        <w:t xml:space="preserve">                                     </w:t>
      </w:r>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r>
        <w:rPr>
          <w:rFonts w:hint="eastAsia" w:ascii="仿宋" w:hAnsi="仿宋" w:eastAsia="仿宋" w:cs="仿宋"/>
          <w:color w:val="auto"/>
          <w:sz w:val="24"/>
          <w:szCs w:val="24"/>
          <w:highlight w:val="none"/>
          <w:u w:val="none"/>
          <w:lang w:val="en-US" w:eastAsia="zh-CN"/>
        </w:rPr>
        <w:t>（电子公章）</w:t>
      </w:r>
      <w:bookmarkEnd w:id="1512"/>
      <w:bookmarkEnd w:id="1513"/>
      <w:bookmarkEnd w:id="1514"/>
    </w:p>
    <w:p w14:paraId="5440D08B">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rPr>
          <w:rFonts w:hint="eastAsia" w:ascii="仿宋" w:hAnsi="仿宋" w:eastAsia="仿宋" w:cs="仿宋"/>
          <w:color w:val="auto"/>
          <w:sz w:val="24"/>
          <w:szCs w:val="24"/>
          <w:highlight w:val="none"/>
          <w:lang w:val="en-US" w:eastAsia="zh-CN"/>
        </w:rPr>
      </w:pPr>
    </w:p>
    <w:p w14:paraId="732B07C5">
      <w:pPr>
        <w:pStyle w:val="10"/>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color w:val="auto"/>
          <w:highlight w:val="none"/>
          <w:lang w:val="zh-CN"/>
        </w:rPr>
        <w:sectPr>
          <w:pgSz w:w="11906" w:h="16838"/>
          <w:pgMar w:top="1134" w:right="1134" w:bottom="1134" w:left="1134" w:header="720" w:footer="907" w:gutter="0"/>
          <w:pgBorders>
            <w:top w:val="none" w:sz="0" w:space="0"/>
            <w:left w:val="none" w:sz="0" w:space="0"/>
            <w:bottom w:val="none" w:sz="0" w:space="0"/>
            <w:right w:val="none" w:sz="0" w:space="0"/>
          </w:pgBorders>
          <w:pgNumType w:fmt="decimal"/>
          <w:cols w:space="720" w:num="1"/>
          <w:rtlGutter w:val="0"/>
        </w:sectPr>
      </w:pPr>
      <w:r>
        <w:rPr>
          <w:rFonts w:hint="eastAsia" w:ascii="仿宋" w:hAnsi="仿宋" w:eastAsia="仿宋" w:cs="仿宋"/>
          <w:color w:val="auto"/>
          <w:sz w:val="24"/>
          <w:szCs w:val="24"/>
          <w:highlight w:val="none"/>
          <w:lang w:val="en-US"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4F1B9DD3">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auto"/>
          <w:spacing w:val="0"/>
          <w:sz w:val="28"/>
          <w:szCs w:val="28"/>
          <w:highlight w:val="none"/>
        </w:rPr>
      </w:pPr>
      <w:bookmarkStart w:id="1515" w:name="_Toc20214"/>
      <w:bookmarkStart w:id="1516" w:name="_Toc13841"/>
      <w:bookmarkStart w:id="1517" w:name="_Toc30737"/>
      <w:r>
        <w:rPr>
          <w:rStyle w:val="23"/>
          <w:rFonts w:hint="eastAsia" w:ascii="仿宋" w:hAnsi="仿宋" w:eastAsia="仿宋" w:cs="仿宋"/>
          <w:i w:val="0"/>
          <w:iCs w:val="0"/>
          <w:caps w:val="0"/>
          <w:color w:val="auto"/>
          <w:spacing w:val="0"/>
          <w:sz w:val="28"/>
          <w:szCs w:val="28"/>
          <w:highlight w:val="none"/>
          <w:shd w:val="clear" w:fill="FFFFFF"/>
        </w:rPr>
        <w:t>关于符合本国产品标准的声明函</w:t>
      </w:r>
    </w:p>
    <w:p w14:paraId="68FA81D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eastAsia="宋体" w:cs="宋体"/>
          <w:i w:val="0"/>
          <w:iCs w:val="0"/>
          <w:caps w:val="0"/>
          <w:color w:val="auto"/>
          <w:spacing w:val="0"/>
          <w:sz w:val="24"/>
          <w:szCs w:val="24"/>
          <w:highlight w:val="none"/>
        </w:rPr>
      </w:pPr>
    </w:p>
    <w:p w14:paraId="760DF862">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本公司（单位）郑重声明，根据《国务院办公厅关于在政府采购中实施本国产品标准及相关政策的通知》（国办发〔2025〕34号）的规定，本公司（单位）提供的以下产品属于本国产品。具体情况如下：</w:t>
      </w:r>
    </w:p>
    <w:p w14:paraId="30DB60FA">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w:t>
      </w:r>
      <w:r>
        <w:rPr>
          <w:rStyle w:val="24"/>
          <w:rFonts w:hint="eastAsia" w:ascii="仿宋" w:hAnsi="仿宋" w:eastAsia="仿宋" w:cs="仿宋"/>
          <w:i w:val="0"/>
          <w:iCs w:val="0"/>
          <w:caps w:val="0"/>
          <w:color w:val="auto"/>
          <w:spacing w:val="0"/>
          <w:sz w:val="24"/>
          <w:szCs w:val="24"/>
          <w:highlight w:val="none"/>
          <w:shd w:val="clear" w:fill="FFFFFF"/>
        </w:rPr>
        <w:t>（产品名称1）</w:t>
      </w:r>
      <w:r>
        <w:rPr>
          <w:rStyle w:val="24"/>
          <w:rFonts w:hint="eastAsia" w:ascii="仿宋" w:hAnsi="仿宋" w:eastAsia="仿宋" w:cs="仿宋"/>
          <w:i w:val="0"/>
          <w:iCs w:val="0"/>
          <w:caps w:val="0"/>
          <w:color w:val="auto"/>
          <w:spacing w:val="0"/>
          <w:sz w:val="24"/>
          <w:szCs w:val="24"/>
          <w:highlight w:val="none"/>
          <w:shd w:val="clear" w:fill="FFFFFF"/>
          <w:vertAlign w:val="superscript"/>
        </w:rPr>
        <w:t>1</w:t>
      </w:r>
      <w:r>
        <w:rPr>
          <w:rFonts w:hint="eastAsia" w:ascii="仿宋" w:hAnsi="仿宋" w:eastAsia="仿宋" w:cs="仿宋"/>
          <w:i w:val="0"/>
          <w:iCs w:val="0"/>
          <w:caps w:val="0"/>
          <w:color w:val="auto"/>
          <w:spacing w:val="0"/>
          <w:sz w:val="24"/>
          <w:szCs w:val="24"/>
          <w:highlight w:val="none"/>
          <w:shd w:val="clear" w:fill="FFFFFF"/>
        </w:rPr>
        <w:t>，生产厂为</w:t>
      </w:r>
      <w:r>
        <w:rPr>
          <w:rStyle w:val="24"/>
          <w:rFonts w:hint="eastAsia" w:ascii="仿宋" w:hAnsi="仿宋" w:eastAsia="仿宋" w:cs="仿宋"/>
          <w:i w:val="0"/>
          <w:iCs w:val="0"/>
          <w:caps w:val="0"/>
          <w:color w:val="auto"/>
          <w:spacing w:val="0"/>
          <w:sz w:val="24"/>
          <w:szCs w:val="24"/>
          <w:highlight w:val="none"/>
          <w:shd w:val="clear" w:fill="FFFFFF"/>
        </w:rPr>
        <w:t>（厂名）</w:t>
      </w:r>
      <w:r>
        <w:rPr>
          <w:rStyle w:val="24"/>
          <w:rFonts w:hint="eastAsia" w:ascii="仿宋" w:hAnsi="仿宋" w:eastAsia="仿宋" w:cs="仿宋"/>
          <w:i w:val="0"/>
          <w:iCs w:val="0"/>
          <w:caps w:val="0"/>
          <w:color w:val="auto"/>
          <w:spacing w:val="0"/>
          <w:sz w:val="24"/>
          <w:szCs w:val="24"/>
          <w:highlight w:val="none"/>
          <w:shd w:val="clear" w:fill="FFFFFF"/>
          <w:vertAlign w:val="superscript"/>
        </w:rPr>
        <w:t>2</w:t>
      </w:r>
      <w:r>
        <w:rPr>
          <w:rFonts w:hint="eastAsia" w:ascii="仿宋" w:hAnsi="仿宋" w:eastAsia="仿宋" w:cs="仿宋"/>
          <w:i w:val="0"/>
          <w:iCs w:val="0"/>
          <w:caps w:val="0"/>
          <w:color w:val="auto"/>
          <w:spacing w:val="0"/>
          <w:sz w:val="24"/>
          <w:szCs w:val="24"/>
          <w:highlight w:val="none"/>
          <w:shd w:val="clear" w:fill="FFFFFF"/>
        </w:rPr>
        <w:t>，厂址为</w:t>
      </w:r>
      <w:r>
        <w:rPr>
          <w:rStyle w:val="24"/>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2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24"/>
          <w:rFonts w:hint="eastAsia" w:ascii="仿宋" w:hAnsi="仿宋" w:eastAsia="仿宋" w:cs="仿宋"/>
          <w:i w:val="0"/>
          <w:iCs w:val="0"/>
          <w:caps w:val="0"/>
          <w:color w:val="auto"/>
          <w:spacing w:val="0"/>
          <w:sz w:val="24"/>
          <w:szCs w:val="24"/>
          <w:highlight w:val="none"/>
          <w:shd w:val="clear" w:fill="FFFFFF"/>
        </w:rPr>
        <w:t>（规定比例）</w:t>
      </w:r>
      <w:r>
        <w:rPr>
          <w:rStyle w:val="24"/>
          <w:rFonts w:hint="eastAsia" w:ascii="仿宋" w:hAnsi="仿宋" w:eastAsia="仿宋" w:cs="仿宋"/>
          <w:i w:val="0"/>
          <w:iCs w:val="0"/>
          <w:caps w:val="0"/>
          <w:color w:val="auto"/>
          <w:spacing w:val="0"/>
          <w:sz w:val="24"/>
          <w:szCs w:val="24"/>
          <w:highlight w:val="none"/>
          <w:shd w:val="clear" w:fill="FFFFFF"/>
          <w:vertAlign w:val="superscript"/>
        </w:rPr>
        <w:t>3</w:t>
      </w:r>
      <w:r>
        <w:rPr>
          <w:rFonts w:hint="eastAsia" w:ascii="仿宋" w:hAnsi="仿宋" w:eastAsia="仿宋" w:cs="仿宋"/>
          <w:i w:val="0"/>
          <w:iCs w:val="0"/>
          <w:caps w:val="0"/>
          <w:color w:val="auto"/>
          <w:spacing w:val="0"/>
          <w:sz w:val="24"/>
          <w:szCs w:val="24"/>
          <w:highlight w:val="none"/>
          <w:shd w:val="clear" w:fill="FFFFFF"/>
        </w:rPr>
        <w:t>。</w:t>
      </w:r>
      <w:r>
        <w:rPr>
          <w:rStyle w:val="2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24"/>
          <w:rFonts w:hint="eastAsia" w:ascii="仿宋" w:hAnsi="仿宋" w:eastAsia="仿宋" w:cs="仿宋"/>
          <w:i w:val="0"/>
          <w:iCs w:val="0"/>
          <w:caps w:val="0"/>
          <w:color w:val="auto"/>
          <w:spacing w:val="0"/>
          <w:sz w:val="24"/>
          <w:szCs w:val="24"/>
          <w:highlight w:val="none"/>
          <w:shd w:val="clear" w:fill="FFFFFF"/>
        </w:rPr>
        <w:t>（关键组件）</w:t>
      </w:r>
      <w:r>
        <w:rPr>
          <w:rStyle w:val="24"/>
          <w:rFonts w:hint="eastAsia" w:ascii="仿宋" w:hAnsi="仿宋" w:eastAsia="仿宋" w:cs="仿宋"/>
          <w:i w:val="0"/>
          <w:iCs w:val="0"/>
          <w:caps w:val="0"/>
          <w:color w:val="auto"/>
          <w:spacing w:val="0"/>
          <w:sz w:val="24"/>
          <w:szCs w:val="24"/>
          <w:highlight w:val="none"/>
          <w:shd w:val="clear" w:fill="FFFFFF"/>
          <w:vertAlign w:val="superscript"/>
        </w:rPr>
        <w:t>4</w:t>
      </w:r>
      <w:r>
        <w:rPr>
          <w:rFonts w:hint="eastAsia" w:ascii="仿宋" w:hAnsi="仿宋" w:eastAsia="仿宋" w:cs="仿宋"/>
          <w:i w:val="0"/>
          <w:iCs w:val="0"/>
          <w:caps w:val="0"/>
          <w:color w:val="auto"/>
          <w:spacing w:val="0"/>
          <w:sz w:val="24"/>
          <w:szCs w:val="24"/>
          <w:highlight w:val="none"/>
          <w:shd w:val="clear" w:fill="FFFFFF"/>
        </w:rPr>
        <w:t>在中国境内生产。</w:t>
      </w:r>
      <w:r>
        <w:rPr>
          <w:rStyle w:val="24"/>
          <w:rFonts w:hint="eastAsia" w:ascii="仿宋" w:hAnsi="仿宋" w:eastAsia="仿宋" w:cs="仿宋"/>
          <w:i w:val="0"/>
          <w:iCs w:val="0"/>
          <w:caps w:val="0"/>
          <w:color w:val="auto"/>
          <w:spacing w:val="0"/>
          <w:sz w:val="24"/>
          <w:szCs w:val="24"/>
          <w:highlight w:val="none"/>
          <w:shd w:val="clear" w:fill="FFFFFF"/>
        </w:rPr>
        <w:t>（产品名称1）</w:t>
      </w:r>
      <w:r>
        <w:rPr>
          <w:rFonts w:hint="eastAsia" w:ascii="仿宋" w:hAnsi="仿宋" w:eastAsia="仿宋" w:cs="仿宋"/>
          <w:i w:val="0"/>
          <w:iCs w:val="0"/>
          <w:caps w:val="0"/>
          <w:color w:val="auto"/>
          <w:spacing w:val="0"/>
          <w:sz w:val="24"/>
          <w:szCs w:val="24"/>
          <w:highlight w:val="none"/>
          <w:shd w:val="clear" w:fill="FFFFFF"/>
        </w:rPr>
        <w:t>的</w:t>
      </w:r>
      <w:r>
        <w:rPr>
          <w:rStyle w:val="24"/>
          <w:rFonts w:hint="eastAsia" w:ascii="仿宋" w:hAnsi="仿宋" w:eastAsia="仿宋" w:cs="仿宋"/>
          <w:i w:val="0"/>
          <w:iCs w:val="0"/>
          <w:caps w:val="0"/>
          <w:color w:val="auto"/>
          <w:spacing w:val="0"/>
          <w:sz w:val="24"/>
          <w:szCs w:val="24"/>
          <w:highlight w:val="none"/>
          <w:shd w:val="clear" w:fill="FFFFFF"/>
        </w:rPr>
        <w:t>（关键工序）</w:t>
      </w:r>
      <w:r>
        <w:rPr>
          <w:rStyle w:val="24"/>
          <w:rFonts w:hint="eastAsia" w:ascii="仿宋" w:hAnsi="仿宋" w:eastAsia="仿宋" w:cs="仿宋"/>
          <w:i w:val="0"/>
          <w:iCs w:val="0"/>
          <w:caps w:val="0"/>
          <w:color w:val="auto"/>
          <w:spacing w:val="0"/>
          <w:sz w:val="24"/>
          <w:szCs w:val="24"/>
          <w:highlight w:val="none"/>
          <w:shd w:val="clear" w:fill="FFFFFF"/>
          <w:vertAlign w:val="superscript"/>
        </w:rPr>
        <w:t>5</w:t>
      </w:r>
      <w:r>
        <w:rPr>
          <w:rFonts w:hint="eastAsia" w:ascii="仿宋" w:hAnsi="仿宋" w:eastAsia="仿宋" w:cs="仿宋"/>
          <w:i w:val="0"/>
          <w:iCs w:val="0"/>
          <w:caps w:val="0"/>
          <w:color w:val="auto"/>
          <w:spacing w:val="0"/>
          <w:sz w:val="24"/>
          <w:szCs w:val="24"/>
          <w:highlight w:val="none"/>
          <w:shd w:val="clear" w:fill="FFFFFF"/>
        </w:rPr>
        <w:t>在中国境内完成。</w:t>
      </w:r>
    </w:p>
    <w:p w14:paraId="557F191A">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w:t>
      </w:r>
      <w:r>
        <w:rPr>
          <w:rStyle w:val="2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，生产厂为</w:t>
      </w:r>
      <w:r>
        <w:rPr>
          <w:rStyle w:val="24"/>
          <w:rFonts w:hint="eastAsia" w:ascii="仿宋" w:hAnsi="仿宋" w:eastAsia="仿宋" w:cs="仿宋"/>
          <w:i w:val="0"/>
          <w:iCs w:val="0"/>
          <w:caps w:val="0"/>
          <w:color w:val="auto"/>
          <w:spacing w:val="0"/>
          <w:sz w:val="24"/>
          <w:szCs w:val="24"/>
          <w:highlight w:val="none"/>
          <w:shd w:val="clear" w:fill="FFFFFF"/>
        </w:rPr>
        <w:t>（厂名）</w:t>
      </w:r>
      <w:r>
        <w:rPr>
          <w:rFonts w:hint="eastAsia" w:ascii="仿宋" w:hAnsi="仿宋" w:eastAsia="仿宋" w:cs="仿宋"/>
          <w:i w:val="0"/>
          <w:iCs w:val="0"/>
          <w:caps w:val="0"/>
          <w:color w:val="auto"/>
          <w:spacing w:val="0"/>
          <w:sz w:val="24"/>
          <w:szCs w:val="24"/>
          <w:highlight w:val="none"/>
          <w:shd w:val="clear" w:fill="FFFFFF"/>
        </w:rPr>
        <w:t>，厂址为</w:t>
      </w:r>
      <w:r>
        <w:rPr>
          <w:rStyle w:val="24"/>
          <w:rFonts w:hint="eastAsia" w:ascii="仿宋" w:hAnsi="仿宋" w:eastAsia="仿宋" w:cs="仿宋"/>
          <w:i w:val="0"/>
          <w:iCs w:val="0"/>
          <w:caps w:val="0"/>
          <w:color w:val="auto"/>
          <w:spacing w:val="0"/>
          <w:sz w:val="24"/>
          <w:szCs w:val="24"/>
          <w:highlight w:val="none"/>
          <w:shd w:val="clear" w:fill="FFFFFF"/>
        </w:rPr>
        <w:t>（生产厂址）</w:t>
      </w:r>
      <w:r>
        <w:rPr>
          <w:rFonts w:hint="eastAsia" w:ascii="仿宋" w:hAnsi="仿宋" w:eastAsia="仿宋" w:cs="仿宋"/>
          <w:i w:val="0"/>
          <w:iCs w:val="0"/>
          <w:caps w:val="0"/>
          <w:color w:val="auto"/>
          <w:spacing w:val="0"/>
          <w:sz w:val="24"/>
          <w:szCs w:val="24"/>
          <w:highlight w:val="none"/>
          <w:shd w:val="clear" w:fill="FFFFFF"/>
        </w:rPr>
        <w:t>。</w:t>
      </w:r>
      <w:r>
        <w:rPr>
          <w:rStyle w:val="2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的中国境内生产的组件成本占比≥</w:t>
      </w:r>
      <w:r>
        <w:rPr>
          <w:rStyle w:val="24"/>
          <w:rFonts w:hint="eastAsia" w:ascii="仿宋" w:hAnsi="仿宋" w:eastAsia="仿宋" w:cs="仿宋"/>
          <w:i w:val="0"/>
          <w:iCs w:val="0"/>
          <w:caps w:val="0"/>
          <w:color w:val="auto"/>
          <w:spacing w:val="0"/>
          <w:sz w:val="24"/>
          <w:szCs w:val="24"/>
          <w:highlight w:val="none"/>
          <w:shd w:val="clear" w:fill="FFFFFF"/>
        </w:rPr>
        <w:t>（规定比例）</w:t>
      </w:r>
      <w:r>
        <w:rPr>
          <w:rFonts w:hint="eastAsia" w:ascii="仿宋" w:hAnsi="仿宋" w:eastAsia="仿宋" w:cs="仿宋"/>
          <w:i w:val="0"/>
          <w:iCs w:val="0"/>
          <w:caps w:val="0"/>
          <w:color w:val="auto"/>
          <w:spacing w:val="0"/>
          <w:sz w:val="24"/>
          <w:szCs w:val="24"/>
          <w:highlight w:val="none"/>
          <w:shd w:val="clear" w:fill="FFFFFF"/>
        </w:rPr>
        <w:t>。</w:t>
      </w:r>
      <w:r>
        <w:rPr>
          <w:rStyle w:val="2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24"/>
          <w:rFonts w:hint="eastAsia" w:ascii="仿宋" w:hAnsi="仿宋" w:eastAsia="仿宋" w:cs="仿宋"/>
          <w:i w:val="0"/>
          <w:iCs w:val="0"/>
          <w:caps w:val="0"/>
          <w:color w:val="auto"/>
          <w:spacing w:val="0"/>
          <w:sz w:val="24"/>
          <w:szCs w:val="24"/>
          <w:highlight w:val="none"/>
          <w:shd w:val="clear" w:fill="FFFFFF"/>
        </w:rPr>
        <w:t>（关键组件）</w:t>
      </w:r>
      <w:r>
        <w:rPr>
          <w:rFonts w:hint="eastAsia" w:ascii="仿宋" w:hAnsi="仿宋" w:eastAsia="仿宋" w:cs="仿宋"/>
          <w:i w:val="0"/>
          <w:iCs w:val="0"/>
          <w:caps w:val="0"/>
          <w:color w:val="auto"/>
          <w:spacing w:val="0"/>
          <w:sz w:val="24"/>
          <w:szCs w:val="24"/>
          <w:highlight w:val="none"/>
          <w:shd w:val="clear" w:fill="FFFFFF"/>
        </w:rPr>
        <w:t>在中国境内生产。</w:t>
      </w:r>
      <w:r>
        <w:rPr>
          <w:rStyle w:val="24"/>
          <w:rFonts w:hint="eastAsia" w:ascii="仿宋" w:hAnsi="仿宋" w:eastAsia="仿宋" w:cs="仿宋"/>
          <w:i w:val="0"/>
          <w:iCs w:val="0"/>
          <w:caps w:val="0"/>
          <w:color w:val="auto"/>
          <w:spacing w:val="0"/>
          <w:sz w:val="24"/>
          <w:szCs w:val="24"/>
          <w:highlight w:val="none"/>
          <w:shd w:val="clear" w:fill="FFFFFF"/>
        </w:rPr>
        <w:t>（产品名称2）</w:t>
      </w:r>
      <w:r>
        <w:rPr>
          <w:rFonts w:hint="eastAsia" w:ascii="仿宋" w:hAnsi="仿宋" w:eastAsia="仿宋" w:cs="仿宋"/>
          <w:i w:val="0"/>
          <w:iCs w:val="0"/>
          <w:caps w:val="0"/>
          <w:color w:val="auto"/>
          <w:spacing w:val="0"/>
          <w:sz w:val="24"/>
          <w:szCs w:val="24"/>
          <w:highlight w:val="none"/>
          <w:shd w:val="clear" w:fill="FFFFFF"/>
        </w:rPr>
        <w:t>的</w:t>
      </w:r>
      <w:r>
        <w:rPr>
          <w:rStyle w:val="24"/>
          <w:rFonts w:hint="eastAsia" w:ascii="仿宋" w:hAnsi="仿宋" w:eastAsia="仿宋" w:cs="仿宋"/>
          <w:i w:val="0"/>
          <w:iCs w:val="0"/>
          <w:caps w:val="0"/>
          <w:color w:val="auto"/>
          <w:spacing w:val="0"/>
          <w:sz w:val="24"/>
          <w:szCs w:val="24"/>
          <w:highlight w:val="none"/>
          <w:shd w:val="clear" w:fill="FFFFFF"/>
        </w:rPr>
        <w:t>（关键工序）</w:t>
      </w:r>
      <w:r>
        <w:rPr>
          <w:rFonts w:hint="eastAsia" w:ascii="仿宋" w:hAnsi="仿宋" w:eastAsia="仿宋" w:cs="仿宋"/>
          <w:i w:val="0"/>
          <w:iCs w:val="0"/>
          <w:caps w:val="0"/>
          <w:color w:val="auto"/>
          <w:spacing w:val="0"/>
          <w:sz w:val="24"/>
          <w:szCs w:val="24"/>
          <w:highlight w:val="none"/>
          <w:shd w:val="clear" w:fill="FFFFFF"/>
        </w:rPr>
        <w:t>在中国境内完成。</w:t>
      </w:r>
    </w:p>
    <w:p w14:paraId="4E4ACA06">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w:t>
      </w:r>
    </w:p>
    <w:p w14:paraId="2BCE712A">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本公司（单位）对上述声明内容的真实性负责。如有虚假，愿承担相应法律责任。</w:t>
      </w:r>
    </w:p>
    <w:p w14:paraId="29E7B2C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公司（单位）名称（盖章）：      </w:t>
      </w:r>
    </w:p>
    <w:p w14:paraId="4515080C">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jc w:val="right"/>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日期：　　　　　年　　月　日    </w:t>
      </w:r>
    </w:p>
    <w:p w14:paraId="497AE8F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color w:val="auto"/>
          <w:sz w:val="24"/>
          <w:highlight w:val="none"/>
        </w:rPr>
        <w:t>注：若无此项内容，可不</w:t>
      </w:r>
      <w:r>
        <w:rPr>
          <w:rFonts w:hint="eastAsia" w:ascii="仿宋" w:hAnsi="仿宋" w:eastAsia="仿宋" w:cs="仿宋"/>
          <w:color w:val="auto"/>
          <w:sz w:val="24"/>
          <w:highlight w:val="none"/>
          <w:lang w:eastAsia="zh-CN"/>
        </w:rPr>
        <w:t>填写</w:t>
      </w:r>
      <w:r>
        <w:rPr>
          <w:rFonts w:hint="eastAsia" w:ascii="仿宋" w:hAnsi="仿宋" w:eastAsia="仿宋" w:cs="仿宋"/>
          <w:color w:val="auto"/>
          <w:sz w:val="24"/>
          <w:highlight w:val="none"/>
        </w:rPr>
        <w:t>此函。</w:t>
      </w:r>
    </w:p>
    <w:p w14:paraId="2859919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p>
    <w:p w14:paraId="363AEE1B">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_____________________________</w:t>
      </w:r>
    </w:p>
    <w:p w14:paraId="6D63E0B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1.产品如有型号，请在“产品名称”栏一并填写。</w:t>
      </w:r>
    </w:p>
    <w:p w14:paraId="19D6FB8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2.生产厂名与厂址应与生产厂营业执照载明的相关信息保持一致。</w:t>
      </w:r>
    </w:p>
    <w:p w14:paraId="5CB69D2F">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3.该产品的中国境内生产的组件成本占比相关要求实施前，“规定比例”栏可不填，下同。</w:t>
      </w:r>
    </w:p>
    <w:p w14:paraId="51F9DC2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4.该产品的关键组件要求实施前，“关键组件”栏可不填，下同。</w:t>
      </w:r>
    </w:p>
    <w:p w14:paraId="46AB816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360" w:lineRule="auto"/>
        <w:ind w:left="0" w:right="0" w:firstLine="420"/>
        <w:rPr>
          <w:rFonts w:hint="eastAsia" w:ascii="仿宋" w:hAnsi="仿宋" w:eastAsia="仿宋" w:cs="仿宋"/>
          <w:i w:val="0"/>
          <w:iCs w:val="0"/>
          <w:caps w:val="0"/>
          <w:color w:val="auto"/>
          <w:spacing w:val="0"/>
          <w:sz w:val="24"/>
          <w:szCs w:val="24"/>
          <w:highlight w:val="none"/>
        </w:rPr>
      </w:pPr>
      <w:r>
        <w:rPr>
          <w:rFonts w:hint="eastAsia" w:ascii="仿宋" w:hAnsi="仿宋" w:eastAsia="仿宋" w:cs="仿宋"/>
          <w:i w:val="0"/>
          <w:iCs w:val="0"/>
          <w:caps w:val="0"/>
          <w:color w:val="auto"/>
          <w:spacing w:val="0"/>
          <w:sz w:val="24"/>
          <w:szCs w:val="24"/>
          <w:highlight w:val="none"/>
          <w:shd w:val="clear" w:fill="FFFFFF"/>
        </w:rPr>
        <w:t>5.该产品的关键工序要求实施前，“关键工序”栏可不填，下同。</w:t>
      </w:r>
    </w:p>
    <w:p w14:paraId="77F5886E">
      <w:pPr>
        <w:pStyle w:val="3"/>
        <w:bidi w:val="0"/>
        <w:spacing w:line="360" w:lineRule="auto"/>
        <w:rPr>
          <w:rFonts w:hint="eastAsia" w:ascii="仿宋" w:hAnsi="仿宋" w:eastAsia="仿宋" w:cs="仿宋"/>
          <w:color w:val="auto"/>
          <w:highlight w:val="none"/>
          <w:lang w:eastAsia="zh-CN"/>
        </w:rPr>
        <w:sectPr>
          <w:footerReference r:id="rId15" w:type="first"/>
          <w:footerReference r:id="rId14"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p w14:paraId="7127B6B7">
      <w:pPr>
        <w:pStyle w:val="8"/>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一、本国产品标准</w:t>
      </w:r>
    </w:p>
    <w:p w14:paraId="51E7E64F">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本国产品应当符合以下条件：</w:t>
      </w:r>
    </w:p>
    <w:p w14:paraId="65F18211">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（一）在中国境内生产</w:t>
      </w:r>
    </w:p>
    <w:p w14:paraId="52A490A3">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产品应当在中国境内生产，即在中华人民共和国关境内实现从原材料、组件到产品的属性改变。</w:t>
      </w:r>
    </w:p>
    <w:p w14:paraId="065FB803">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属性改变是指经过制造、加工或者组装等工序，产生完全不同于原材料、组件的新产品，并具有新的名称和特征（用途）。属性改变不包括以下细微操作：</w:t>
      </w:r>
    </w:p>
    <w:p w14:paraId="143448C3">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1.为确保产品在运输或者储存期间保持某种状态而进行的操作；</w:t>
      </w:r>
    </w:p>
    <w:p w14:paraId="50ECE02C">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2.为产品运输或者销售进行的包装或者展示；</w:t>
      </w:r>
    </w:p>
    <w:p w14:paraId="67EB16CB">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3.在产品或者其包装上粘贴或者印刷品牌、标志、标识以及其他用于区别的标记；</w:t>
      </w:r>
    </w:p>
    <w:p w14:paraId="5C85F7D8">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4.简单的上漆、磨光和分装；</w:t>
      </w:r>
    </w:p>
    <w:p w14:paraId="3E2594B6">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5.其他不属于属性改变的情形。</w:t>
      </w:r>
    </w:p>
    <w:p w14:paraId="56905C47">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（二）在中国境内生产的组件成本占比达到规定比例</w:t>
      </w:r>
    </w:p>
    <w:p w14:paraId="2E846D63">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产品在中国境内生产的组件成本占比应当达到规定比例，计算公式为：</w:t>
      </w:r>
    </w:p>
    <w:p w14:paraId="56FF1AFF">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drawing>
          <wp:inline distT="0" distB="0" distL="114300" distR="114300">
            <wp:extent cx="2733675" cy="390525"/>
            <wp:effectExtent l="0" t="0" r="9525" b="9525"/>
            <wp:docPr id="1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IMG_256"/>
                    <pic:cNvPicPr>
                      <a:picLocks noChangeAspect="1"/>
                    </pic:cNvPicPr>
                  </pic:nvPicPr>
                  <pic:blipFill>
                    <a:blip r:embed="rId29"/>
                    <a:stretch>
                      <a:fillRect/>
                    </a:stretch>
                  </pic:blipFill>
                  <pic:spPr>
                    <a:xfrm>
                      <a:off x="0" y="0"/>
                      <a:ext cx="2733675" cy="390525"/>
                    </a:xfrm>
                    <a:prstGeom prst="rect">
                      <a:avLst/>
                    </a:prstGeom>
                    <a:noFill/>
                    <a:ln w="9525">
                      <a:noFill/>
                    </a:ln>
                  </pic:spPr>
                </pic:pic>
              </a:graphicData>
            </a:graphic>
          </wp:inline>
        </w:drawing>
      </w:r>
    </w:p>
    <w:p w14:paraId="425B8E7B">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7643A058">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（三）特定产品的关键组件、关键工序符合相关要求</w:t>
      </w:r>
    </w:p>
    <w:p w14:paraId="443DAD74">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对特定产品，在符合本通知第一条第（一）项和第（二）项条件的基础上，应当符合财政部会同有关行业主管部门确定的其关键组件、关键工序在中国境内生产、完成等要求。</w:t>
      </w:r>
    </w:p>
    <w:p w14:paraId="05FD860C">
      <w:pPr>
        <w:pStyle w:val="8"/>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二、本国产品标准的适用范围</w:t>
      </w:r>
    </w:p>
    <w:p w14:paraId="769678ED">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FFC4D12">
      <w:pPr>
        <w:pStyle w:val="8"/>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三、对本国产品的支持政策</w:t>
      </w:r>
    </w:p>
    <w:p w14:paraId="414E9720">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政府采购活动中既有本国产品又有非本国产品参与竞争的，依法对本国产品给予价格评审优惠，对本国产品的报价给予20%的价格扣除，用扣除后的价格参与评审。</w:t>
      </w:r>
    </w:p>
    <w:p w14:paraId="743AEC36">
      <w:pPr>
        <w:pStyle w:val="8"/>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1B8B44C5">
      <w:pPr>
        <w:pStyle w:val="8"/>
        <w:spacing w:line="360" w:lineRule="auto"/>
        <w:rPr>
          <w:rFonts w:hint="eastAsia" w:ascii="仿宋" w:hAnsi="仿宋" w:eastAsia="仿宋" w:cs="仿宋"/>
          <w:color w:val="auto"/>
          <w:sz w:val="24"/>
          <w:szCs w:val="24"/>
          <w:highlight w:val="none"/>
          <w:lang w:eastAsia="zh-CN"/>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p>
    <w:bookmarkEnd w:id="1515"/>
    <w:bookmarkEnd w:id="1516"/>
    <w:bookmarkEnd w:id="1517"/>
    <w:p w14:paraId="1C09B614">
      <w:pPr>
        <w:pStyle w:val="3"/>
        <w:bidi w:val="0"/>
        <w:rPr>
          <w:rFonts w:hint="eastAsia" w:ascii="仿宋" w:hAnsi="仿宋" w:eastAsia="仿宋" w:cs="仿宋"/>
          <w:b/>
          <w:bCs/>
          <w:color w:val="auto"/>
          <w:szCs w:val="32"/>
          <w:highlight w:val="none"/>
          <w:lang w:eastAsia="zh-CN"/>
        </w:rPr>
      </w:pPr>
      <w:r>
        <w:rPr>
          <w:rFonts w:hint="eastAsia" w:ascii="仿宋" w:hAnsi="仿宋" w:eastAsia="仿宋" w:cs="仿宋"/>
          <w:color w:val="auto"/>
          <w:highlight w:val="none"/>
          <w:lang w:eastAsia="zh-CN"/>
        </w:rPr>
        <w:t>技术、</w:t>
      </w:r>
      <w:r>
        <w:rPr>
          <w:rFonts w:hint="eastAsia" w:ascii="仿宋" w:hAnsi="仿宋" w:eastAsia="仿宋" w:cs="仿宋"/>
          <w:color w:val="auto"/>
          <w:highlight w:val="none"/>
          <w:lang w:val="en-US" w:eastAsia="zh-CN"/>
        </w:rPr>
        <w:t>商务</w:t>
      </w:r>
      <w:r>
        <w:rPr>
          <w:rFonts w:hint="eastAsia" w:ascii="仿宋" w:hAnsi="仿宋" w:eastAsia="仿宋" w:cs="仿宋"/>
          <w:color w:val="auto"/>
          <w:highlight w:val="none"/>
          <w:lang w:eastAsia="zh-CN"/>
        </w:rPr>
        <w:t>部分</w:t>
      </w:r>
    </w:p>
    <w:p w14:paraId="3C2AC30A">
      <w:pPr>
        <w:pStyle w:val="4"/>
        <w:jc w:val="center"/>
        <w:outlineLvl w:val="1"/>
        <w:rPr>
          <w:rFonts w:hint="eastAsia" w:ascii="仿宋" w:hAnsi="仿宋" w:eastAsia="仿宋" w:cs="仿宋"/>
          <w:color w:val="auto"/>
          <w:highlight w:val="none"/>
          <w:lang w:eastAsia="zh-CN"/>
        </w:rPr>
      </w:pPr>
      <w:bookmarkStart w:id="1518" w:name="_Toc15881"/>
      <w:bookmarkStart w:id="1519" w:name="_Toc19434"/>
      <w:bookmarkStart w:id="1520" w:name="_Toc29019"/>
      <w:bookmarkStart w:id="1521" w:name="_Toc4598"/>
      <w:bookmarkStart w:id="1522" w:name="_Toc6349"/>
      <w:bookmarkStart w:id="1523" w:name="_Toc20676"/>
      <w:bookmarkStart w:id="1524" w:name="_Toc26438"/>
      <w:bookmarkStart w:id="1525" w:name="_Toc19094"/>
      <w:bookmarkStart w:id="1526" w:name="_Toc7094"/>
      <w:bookmarkStart w:id="1527" w:name="_Toc12558"/>
      <w:bookmarkStart w:id="1528" w:name="_Toc14416"/>
      <w:bookmarkStart w:id="1529" w:name="_Toc27401"/>
      <w:bookmarkStart w:id="1530" w:name="_Toc6739"/>
      <w:bookmarkStart w:id="1531" w:name="_Toc11704"/>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技术需求响应/偏离表</w:t>
      </w:r>
      <w:r>
        <w:rPr>
          <w:rFonts w:hint="eastAsia" w:ascii="仿宋" w:hAnsi="仿宋" w:eastAsia="仿宋" w:cs="仿宋"/>
          <w:color w:val="auto"/>
          <w:highlight w:val="none"/>
          <w:lang w:val="en-US" w:eastAsia="zh-CN"/>
        </w:rPr>
        <w:t>（实质性格式）</w:t>
      </w:r>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p>
    <w:tbl>
      <w:tblPr>
        <w:tblStyle w:val="20"/>
        <w:tblW w:w="97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91"/>
        <w:gridCol w:w="1028"/>
        <w:gridCol w:w="2314"/>
        <w:gridCol w:w="2774"/>
        <w:gridCol w:w="708"/>
        <w:gridCol w:w="632"/>
        <w:gridCol w:w="1577"/>
      </w:tblGrid>
      <w:tr w14:paraId="3B015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9" w:hRule="atLeast"/>
          <w:jc w:val="center"/>
        </w:trPr>
        <w:tc>
          <w:tcPr>
            <w:tcW w:w="691" w:type="dxa"/>
            <w:noWrap w:val="0"/>
            <w:vAlign w:val="center"/>
          </w:tcPr>
          <w:p w14:paraId="415C5B18">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1028" w:type="dxa"/>
            <w:noWrap w:val="0"/>
            <w:vAlign w:val="center"/>
          </w:tcPr>
          <w:p w14:paraId="7597ABC0">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技术要求项条款号</w:t>
            </w:r>
          </w:p>
        </w:tc>
        <w:tc>
          <w:tcPr>
            <w:tcW w:w="2314" w:type="dxa"/>
            <w:noWrap w:val="0"/>
            <w:vAlign w:val="center"/>
          </w:tcPr>
          <w:p w14:paraId="6620CB6D">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招标文件中的技术需</w:t>
            </w:r>
            <w:r>
              <w:rPr>
                <w:rFonts w:hint="eastAsia" w:ascii="仿宋" w:hAnsi="仿宋" w:eastAsia="仿宋" w:cs="仿宋"/>
                <w:color w:val="auto"/>
                <w:szCs w:val="21"/>
                <w:highlight w:val="none"/>
              </w:rPr>
              <w:t>求</w:t>
            </w:r>
          </w:p>
        </w:tc>
        <w:tc>
          <w:tcPr>
            <w:tcW w:w="2774" w:type="dxa"/>
            <w:noWrap w:val="0"/>
            <w:vAlign w:val="center"/>
          </w:tcPr>
          <w:p w14:paraId="0207C1A1">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投标</w:t>
            </w:r>
            <w:r>
              <w:rPr>
                <w:rFonts w:hint="eastAsia" w:ascii="仿宋" w:hAnsi="仿宋" w:eastAsia="仿宋" w:cs="仿宋"/>
                <w:color w:val="auto"/>
                <w:szCs w:val="21"/>
                <w:highlight w:val="none"/>
              </w:rPr>
              <w:t>文件</w:t>
            </w:r>
            <w:r>
              <w:rPr>
                <w:rFonts w:hint="eastAsia" w:ascii="仿宋" w:hAnsi="仿宋" w:eastAsia="仿宋" w:cs="仿宋"/>
                <w:color w:val="auto"/>
                <w:szCs w:val="21"/>
                <w:highlight w:val="none"/>
                <w:lang w:val="en-US" w:eastAsia="zh-CN"/>
              </w:rPr>
              <w:t>中</w:t>
            </w:r>
            <w:r>
              <w:rPr>
                <w:rFonts w:hint="eastAsia" w:ascii="仿宋" w:hAnsi="仿宋" w:eastAsia="仿宋" w:cs="仿宋"/>
                <w:color w:val="auto"/>
                <w:szCs w:val="21"/>
                <w:highlight w:val="none"/>
              </w:rPr>
              <w:t>响应的具体内容</w:t>
            </w:r>
          </w:p>
        </w:tc>
        <w:tc>
          <w:tcPr>
            <w:tcW w:w="708" w:type="dxa"/>
            <w:noWrap w:val="0"/>
            <w:vAlign w:val="center"/>
          </w:tcPr>
          <w:p w14:paraId="35991F07">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响应/</w:t>
            </w:r>
            <w:r>
              <w:rPr>
                <w:rFonts w:hint="eastAsia" w:ascii="仿宋" w:hAnsi="仿宋" w:eastAsia="仿宋" w:cs="仿宋"/>
                <w:color w:val="auto"/>
                <w:szCs w:val="21"/>
                <w:highlight w:val="none"/>
              </w:rPr>
              <w:t>偏离</w:t>
            </w:r>
          </w:p>
        </w:tc>
        <w:tc>
          <w:tcPr>
            <w:tcW w:w="632" w:type="dxa"/>
            <w:noWrap w:val="0"/>
            <w:vAlign w:val="center"/>
          </w:tcPr>
          <w:p w14:paraId="09BB6F9D">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说明</w:t>
            </w:r>
          </w:p>
        </w:tc>
        <w:tc>
          <w:tcPr>
            <w:tcW w:w="1577" w:type="dxa"/>
            <w:noWrap w:val="0"/>
            <w:vAlign w:val="center"/>
          </w:tcPr>
          <w:p w14:paraId="2AEB6A2D">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证明材料投标文件所在位置</w:t>
            </w:r>
          </w:p>
        </w:tc>
      </w:tr>
      <w:tr w14:paraId="6E4A8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00D287F3">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1028" w:type="dxa"/>
            <w:noWrap w:val="0"/>
            <w:vAlign w:val="center"/>
          </w:tcPr>
          <w:p w14:paraId="18102CA8">
            <w:pPr>
              <w:jc w:val="center"/>
              <w:rPr>
                <w:rFonts w:hint="eastAsia" w:ascii="仿宋" w:hAnsi="仿宋" w:eastAsia="仿宋" w:cs="仿宋"/>
                <w:color w:val="auto"/>
                <w:szCs w:val="21"/>
                <w:highlight w:val="none"/>
                <w:lang w:eastAsia="zh-CN"/>
              </w:rPr>
            </w:pPr>
          </w:p>
        </w:tc>
        <w:tc>
          <w:tcPr>
            <w:tcW w:w="2314" w:type="dxa"/>
            <w:noWrap w:val="0"/>
            <w:vAlign w:val="center"/>
          </w:tcPr>
          <w:p w14:paraId="4AC1877D">
            <w:pPr>
              <w:jc w:val="center"/>
              <w:rPr>
                <w:rFonts w:hint="eastAsia" w:ascii="仿宋" w:hAnsi="仿宋" w:eastAsia="仿宋" w:cs="仿宋"/>
                <w:color w:val="auto"/>
                <w:szCs w:val="21"/>
                <w:highlight w:val="none"/>
                <w:lang w:eastAsia="zh-CN"/>
              </w:rPr>
            </w:pPr>
          </w:p>
        </w:tc>
        <w:tc>
          <w:tcPr>
            <w:tcW w:w="2774" w:type="dxa"/>
            <w:noWrap w:val="0"/>
            <w:vAlign w:val="center"/>
          </w:tcPr>
          <w:p w14:paraId="150852EF">
            <w:pPr>
              <w:jc w:val="center"/>
              <w:rPr>
                <w:rFonts w:hint="eastAsia" w:ascii="仿宋" w:hAnsi="仿宋" w:eastAsia="仿宋" w:cs="仿宋"/>
                <w:color w:val="auto"/>
                <w:szCs w:val="21"/>
                <w:highlight w:val="none"/>
                <w:lang w:eastAsia="zh-CN"/>
              </w:rPr>
            </w:pPr>
          </w:p>
        </w:tc>
        <w:tc>
          <w:tcPr>
            <w:tcW w:w="708" w:type="dxa"/>
            <w:noWrap w:val="0"/>
            <w:vAlign w:val="center"/>
          </w:tcPr>
          <w:p w14:paraId="10406A6A">
            <w:pPr>
              <w:jc w:val="center"/>
              <w:rPr>
                <w:rFonts w:hint="eastAsia" w:ascii="仿宋" w:hAnsi="仿宋" w:eastAsia="仿宋" w:cs="仿宋"/>
                <w:color w:val="auto"/>
                <w:szCs w:val="21"/>
                <w:highlight w:val="none"/>
                <w:lang w:eastAsia="zh-CN"/>
              </w:rPr>
            </w:pPr>
          </w:p>
        </w:tc>
        <w:tc>
          <w:tcPr>
            <w:tcW w:w="632" w:type="dxa"/>
            <w:noWrap w:val="0"/>
            <w:vAlign w:val="center"/>
          </w:tcPr>
          <w:p w14:paraId="5A7032F1">
            <w:pPr>
              <w:jc w:val="center"/>
              <w:rPr>
                <w:rFonts w:hint="eastAsia" w:ascii="仿宋" w:hAnsi="仿宋" w:eastAsia="仿宋" w:cs="仿宋"/>
                <w:color w:val="auto"/>
                <w:szCs w:val="21"/>
                <w:highlight w:val="none"/>
                <w:lang w:eastAsia="zh-CN"/>
              </w:rPr>
            </w:pPr>
          </w:p>
        </w:tc>
        <w:tc>
          <w:tcPr>
            <w:tcW w:w="1577" w:type="dxa"/>
            <w:noWrap w:val="0"/>
            <w:vAlign w:val="center"/>
          </w:tcPr>
          <w:p w14:paraId="0F3FC50A">
            <w:pPr>
              <w:jc w:val="center"/>
              <w:rPr>
                <w:rFonts w:hint="eastAsia" w:ascii="仿宋" w:hAnsi="仿宋" w:eastAsia="仿宋" w:cs="仿宋"/>
                <w:color w:val="auto"/>
                <w:szCs w:val="21"/>
                <w:highlight w:val="none"/>
                <w:lang w:eastAsia="zh-CN"/>
              </w:rPr>
            </w:pPr>
          </w:p>
        </w:tc>
      </w:tr>
      <w:tr w14:paraId="2B5AB0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631D6E76">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1028" w:type="dxa"/>
            <w:noWrap w:val="0"/>
            <w:vAlign w:val="center"/>
          </w:tcPr>
          <w:p w14:paraId="3542AC2F">
            <w:pPr>
              <w:jc w:val="center"/>
              <w:rPr>
                <w:rFonts w:hint="eastAsia" w:ascii="仿宋" w:hAnsi="仿宋" w:eastAsia="仿宋" w:cs="仿宋"/>
                <w:color w:val="auto"/>
                <w:szCs w:val="21"/>
                <w:highlight w:val="none"/>
                <w:lang w:eastAsia="zh-CN"/>
              </w:rPr>
            </w:pPr>
          </w:p>
        </w:tc>
        <w:tc>
          <w:tcPr>
            <w:tcW w:w="2314" w:type="dxa"/>
            <w:noWrap w:val="0"/>
            <w:vAlign w:val="center"/>
          </w:tcPr>
          <w:p w14:paraId="2E19B2CB">
            <w:pPr>
              <w:jc w:val="center"/>
              <w:rPr>
                <w:rFonts w:hint="eastAsia" w:ascii="仿宋" w:hAnsi="仿宋" w:eastAsia="仿宋" w:cs="仿宋"/>
                <w:color w:val="auto"/>
                <w:szCs w:val="21"/>
                <w:highlight w:val="none"/>
                <w:lang w:eastAsia="zh-CN"/>
              </w:rPr>
            </w:pPr>
          </w:p>
        </w:tc>
        <w:tc>
          <w:tcPr>
            <w:tcW w:w="2774" w:type="dxa"/>
            <w:noWrap w:val="0"/>
            <w:vAlign w:val="center"/>
          </w:tcPr>
          <w:p w14:paraId="1A78BDA4">
            <w:pPr>
              <w:jc w:val="center"/>
              <w:rPr>
                <w:rFonts w:hint="eastAsia" w:ascii="仿宋" w:hAnsi="仿宋" w:eastAsia="仿宋" w:cs="仿宋"/>
                <w:color w:val="auto"/>
                <w:szCs w:val="21"/>
                <w:highlight w:val="none"/>
                <w:lang w:eastAsia="zh-CN"/>
              </w:rPr>
            </w:pPr>
          </w:p>
        </w:tc>
        <w:tc>
          <w:tcPr>
            <w:tcW w:w="708" w:type="dxa"/>
            <w:noWrap w:val="0"/>
            <w:vAlign w:val="center"/>
          </w:tcPr>
          <w:p w14:paraId="23870474">
            <w:pPr>
              <w:jc w:val="center"/>
              <w:rPr>
                <w:rFonts w:hint="eastAsia" w:ascii="仿宋" w:hAnsi="仿宋" w:eastAsia="仿宋" w:cs="仿宋"/>
                <w:color w:val="auto"/>
                <w:szCs w:val="21"/>
                <w:highlight w:val="none"/>
                <w:lang w:eastAsia="zh-CN"/>
              </w:rPr>
            </w:pPr>
          </w:p>
        </w:tc>
        <w:tc>
          <w:tcPr>
            <w:tcW w:w="632" w:type="dxa"/>
            <w:noWrap w:val="0"/>
            <w:vAlign w:val="center"/>
          </w:tcPr>
          <w:p w14:paraId="2ED15D1F">
            <w:pPr>
              <w:jc w:val="center"/>
              <w:rPr>
                <w:rFonts w:hint="eastAsia" w:ascii="仿宋" w:hAnsi="仿宋" w:eastAsia="仿宋" w:cs="仿宋"/>
                <w:color w:val="auto"/>
                <w:szCs w:val="21"/>
                <w:highlight w:val="none"/>
                <w:lang w:eastAsia="zh-CN"/>
              </w:rPr>
            </w:pPr>
          </w:p>
        </w:tc>
        <w:tc>
          <w:tcPr>
            <w:tcW w:w="1577" w:type="dxa"/>
            <w:noWrap w:val="0"/>
            <w:vAlign w:val="center"/>
          </w:tcPr>
          <w:p w14:paraId="19A70454">
            <w:pPr>
              <w:jc w:val="center"/>
              <w:rPr>
                <w:rFonts w:hint="eastAsia" w:ascii="仿宋" w:hAnsi="仿宋" w:eastAsia="仿宋" w:cs="仿宋"/>
                <w:color w:val="auto"/>
                <w:szCs w:val="21"/>
                <w:highlight w:val="none"/>
                <w:lang w:eastAsia="zh-CN"/>
              </w:rPr>
            </w:pPr>
          </w:p>
        </w:tc>
      </w:tr>
      <w:tr w14:paraId="635B8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68CB70EC">
            <w:pPr>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028" w:type="dxa"/>
            <w:noWrap w:val="0"/>
            <w:vAlign w:val="center"/>
          </w:tcPr>
          <w:p w14:paraId="0F9CBF0C">
            <w:pPr>
              <w:jc w:val="center"/>
              <w:rPr>
                <w:rFonts w:hint="eastAsia" w:ascii="仿宋" w:hAnsi="仿宋" w:eastAsia="仿宋" w:cs="仿宋"/>
                <w:color w:val="auto"/>
                <w:szCs w:val="21"/>
                <w:highlight w:val="none"/>
                <w:lang w:eastAsia="zh-CN"/>
              </w:rPr>
            </w:pPr>
          </w:p>
        </w:tc>
        <w:tc>
          <w:tcPr>
            <w:tcW w:w="2314" w:type="dxa"/>
            <w:noWrap w:val="0"/>
            <w:vAlign w:val="center"/>
          </w:tcPr>
          <w:p w14:paraId="191C683E">
            <w:pPr>
              <w:jc w:val="center"/>
              <w:rPr>
                <w:rFonts w:hint="eastAsia" w:ascii="仿宋" w:hAnsi="仿宋" w:eastAsia="仿宋" w:cs="仿宋"/>
                <w:color w:val="auto"/>
                <w:szCs w:val="21"/>
                <w:highlight w:val="none"/>
                <w:lang w:eastAsia="zh-CN"/>
              </w:rPr>
            </w:pPr>
          </w:p>
        </w:tc>
        <w:tc>
          <w:tcPr>
            <w:tcW w:w="2774" w:type="dxa"/>
            <w:noWrap w:val="0"/>
            <w:vAlign w:val="center"/>
          </w:tcPr>
          <w:p w14:paraId="7AA4EFFD">
            <w:pPr>
              <w:jc w:val="center"/>
              <w:rPr>
                <w:rFonts w:hint="eastAsia" w:ascii="仿宋" w:hAnsi="仿宋" w:eastAsia="仿宋" w:cs="仿宋"/>
                <w:color w:val="auto"/>
                <w:szCs w:val="21"/>
                <w:highlight w:val="none"/>
                <w:lang w:eastAsia="zh-CN"/>
              </w:rPr>
            </w:pPr>
          </w:p>
        </w:tc>
        <w:tc>
          <w:tcPr>
            <w:tcW w:w="708" w:type="dxa"/>
            <w:noWrap w:val="0"/>
            <w:vAlign w:val="center"/>
          </w:tcPr>
          <w:p w14:paraId="6FC55991">
            <w:pPr>
              <w:jc w:val="center"/>
              <w:rPr>
                <w:rFonts w:hint="eastAsia" w:ascii="仿宋" w:hAnsi="仿宋" w:eastAsia="仿宋" w:cs="仿宋"/>
                <w:color w:val="auto"/>
                <w:szCs w:val="21"/>
                <w:highlight w:val="none"/>
                <w:lang w:eastAsia="zh-CN"/>
              </w:rPr>
            </w:pPr>
          </w:p>
        </w:tc>
        <w:tc>
          <w:tcPr>
            <w:tcW w:w="632" w:type="dxa"/>
            <w:noWrap w:val="0"/>
            <w:vAlign w:val="center"/>
          </w:tcPr>
          <w:p w14:paraId="06BDC85D">
            <w:pPr>
              <w:jc w:val="center"/>
              <w:rPr>
                <w:rFonts w:hint="eastAsia" w:ascii="仿宋" w:hAnsi="仿宋" w:eastAsia="仿宋" w:cs="仿宋"/>
                <w:color w:val="auto"/>
                <w:szCs w:val="21"/>
                <w:highlight w:val="none"/>
                <w:lang w:eastAsia="zh-CN"/>
              </w:rPr>
            </w:pPr>
          </w:p>
        </w:tc>
        <w:tc>
          <w:tcPr>
            <w:tcW w:w="1577" w:type="dxa"/>
            <w:noWrap w:val="0"/>
            <w:vAlign w:val="center"/>
          </w:tcPr>
          <w:p w14:paraId="32CB1D96">
            <w:pPr>
              <w:jc w:val="center"/>
              <w:rPr>
                <w:rFonts w:hint="eastAsia" w:ascii="仿宋" w:hAnsi="仿宋" w:eastAsia="仿宋" w:cs="仿宋"/>
                <w:color w:val="auto"/>
                <w:szCs w:val="21"/>
                <w:highlight w:val="none"/>
                <w:lang w:eastAsia="zh-CN"/>
              </w:rPr>
            </w:pPr>
          </w:p>
        </w:tc>
      </w:tr>
      <w:tr w14:paraId="2022D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691" w:type="dxa"/>
            <w:noWrap w:val="0"/>
            <w:vAlign w:val="center"/>
          </w:tcPr>
          <w:p w14:paraId="3ACC6E57">
            <w:pPr>
              <w:jc w:val="cente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val="en-US" w:eastAsia="zh-CN"/>
              </w:rPr>
              <w:t>……</w:t>
            </w:r>
          </w:p>
        </w:tc>
        <w:tc>
          <w:tcPr>
            <w:tcW w:w="1028" w:type="dxa"/>
            <w:noWrap w:val="0"/>
            <w:vAlign w:val="center"/>
          </w:tcPr>
          <w:p w14:paraId="3EEF5BFF">
            <w:pPr>
              <w:jc w:val="center"/>
              <w:rPr>
                <w:rFonts w:hint="eastAsia" w:ascii="仿宋" w:hAnsi="仿宋" w:eastAsia="仿宋" w:cs="仿宋"/>
                <w:color w:val="auto"/>
                <w:szCs w:val="21"/>
                <w:highlight w:val="none"/>
                <w:lang w:eastAsia="zh-CN"/>
              </w:rPr>
            </w:pPr>
          </w:p>
        </w:tc>
        <w:tc>
          <w:tcPr>
            <w:tcW w:w="2314" w:type="dxa"/>
            <w:noWrap w:val="0"/>
            <w:vAlign w:val="center"/>
          </w:tcPr>
          <w:p w14:paraId="6D7AB817">
            <w:pPr>
              <w:jc w:val="center"/>
              <w:rPr>
                <w:rFonts w:hint="eastAsia" w:ascii="仿宋" w:hAnsi="仿宋" w:eastAsia="仿宋" w:cs="仿宋"/>
                <w:color w:val="auto"/>
                <w:szCs w:val="21"/>
                <w:highlight w:val="none"/>
                <w:lang w:eastAsia="zh-CN"/>
              </w:rPr>
            </w:pPr>
          </w:p>
        </w:tc>
        <w:tc>
          <w:tcPr>
            <w:tcW w:w="2774" w:type="dxa"/>
            <w:noWrap w:val="0"/>
            <w:vAlign w:val="center"/>
          </w:tcPr>
          <w:p w14:paraId="7D2E02D6">
            <w:pPr>
              <w:jc w:val="center"/>
              <w:rPr>
                <w:rFonts w:hint="eastAsia" w:ascii="仿宋" w:hAnsi="仿宋" w:eastAsia="仿宋" w:cs="仿宋"/>
                <w:color w:val="auto"/>
                <w:szCs w:val="21"/>
                <w:highlight w:val="none"/>
                <w:lang w:eastAsia="zh-CN"/>
              </w:rPr>
            </w:pPr>
          </w:p>
        </w:tc>
        <w:tc>
          <w:tcPr>
            <w:tcW w:w="708" w:type="dxa"/>
            <w:noWrap w:val="0"/>
            <w:vAlign w:val="center"/>
          </w:tcPr>
          <w:p w14:paraId="2ECCF3A6">
            <w:pPr>
              <w:jc w:val="center"/>
              <w:rPr>
                <w:rFonts w:hint="eastAsia" w:ascii="仿宋" w:hAnsi="仿宋" w:eastAsia="仿宋" w:cs="仿宋"/>
                <w:color w:val="auto"/>
                <w:szCs w:val="21"/>
                <w:highlight w:val="none"/>
                <w:lang w:eastAsia="zh-CN"/>
              </w:rPr>
            </w:pPr>
          </w:p>
        </w:tc>
        <w:tc>
          <w:tcPr>
            <w:tcW w:w="632" w:type="dxa"/>
            <w:noWrap w:val="0"/>
            <w:vAlign w:val="center"/>
          </w:tcPr>
          <w:p w14:paraId="55A01FAE">
            <w:pPr>
              <w:jc w:val="center"/>
              <w:rPr>
                <w:rFonts w:hint="eastAsia" w:ascii="仿宋" w:hAnsi="仿宋" w:eastAsia="仿宋" w:cs="仿宋"/>
                <w:color w:val="auto"/>
                <w:szCs w:val="21"/>
                <w:highlight w:val="none"/>
                <w:lang w:eastAsia="zh-CN"/>
              </w:rPr>
            </w:pPr>
          </w:p>
        </w:tc>
        <w:tc>
          <w:tcPr>
            <w:tcW w:w="1577" w:type="dxa"/>
            <w:noWrap w:val="0"/>
            <w:vAlign w:val="center"/>
          </w:tcPr>
          <w:p w14:paraId="14314CB2">
            <w:pPr>
              <w:jc w:val="center"/>
              <w:rPr>
                <w:rFonts w:hint="eastAsia" w:ascii="仿宋" w:hAnsi="仿宋" w:eastAsia="仿宋" w:cs="仿宋"/>
                <w:color w:val="auto"/>
                <w:szCs w:val="21"/>
                <w:highlight w:val="none"/>
                <w:lang w:eastAsia="zh-CN"/>
              </w:rPr>
            </w:pPr>
          </w:p>
        </w:tc>
      </w:tr>
    </w:tbl>
    <w:p w14:paraId="4CD5241F">
      <w:pPr>
        <w:keepNext w:val="0"/>
        <w:keepLines w:val="0"/>
        <w:pageBreakBefore w:val="0"/>
        <w:widowControl w:val="0"/>
        <w:kinsoku/>
        <w:wordWrap/>
        <w:overflowPunct/>
        <w:topLinePunct w:val="0"/>
        <w:autoSpaceDE/>
        <w:autoSpaceDN/>
        <w:bidi w:val="0"/>
        <w:adjustRightInd/>
        <w:snapToGrid/>
        <w:spacing w:line="0" w:lineRule="atLeast"/>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注：1、投标人应当如实填写上表“投标文件中响应的具体内容”处内容，对招标文件提出的要求和条件作出明确响应，并列明具体响应数值或内容，只注明符合、满足等无具体内容表述的，所产生的一切后果由投标人承担。投标人需要说明的内容若需特殊表达，应先在本表中进行相应说明，再另页应答。</w:t>
      </w:r>
    </w:p>
    <w:p w14:paraId="294F31F0">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2.响应/偏离内容项下应按下列规定填写：优于的，填写“正偏离”；符合的，填写“无偏离”；低于（不满足要求）的，填写“负偏离”；</w:t>
      </w:r>
    </w:p>
    <w:p w14:paraId="0EBA60A0">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3.投标人不按上述表格填写，所产生的一切后果由投标人承担。 </w:t>
      </w:r>
    </w:p>
    <w:p w14:paraId="283ECB9D">
      <w:pPr>
        <w:keepNext w:val="0"/>
        <w:keepLines w:val="0"/>
        <w:pageBreakBefore w:val="0"/>
        <w:widowControl w:val="0"/>
        <w:kinsoku/>
        <w:wordWrap/>
        <w:overflowPunct/>
        <w:topLinePunct w:val="0"/>
        <w:autoSpaceDE/>
        <w:autoSpaceDN/>
        <w:bidi w:val="0"/>
        <w:adjustRightInd/>
        <w:snapToGrid/>
        <w:spacing w:line="0" w:lineRule="atLeast"/>
        <w:ind w:firstLine="420" w:firstLineChars="200"/>
        <w:jc w:val="left"/>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4.</w:t>
      </w:r>
      <w:r>
        <w:rPr>
          <w:rFonts w:hint="eastAsia" w:ascii="仿宋" w:hAnsi="仿宋" w:eastAsia="仿宋" w:cs="仿宋"/>
          <w:color w:val="auto"/>
          <w:sz w:val="21"/>
          <w:szCs w:val="21"/>
          <w:highlight w:val="none"/>
          <w:lang w:val="en-US" w:eastAsia="zh-CN" w:bidi="ar-SA"/>
        </w:rPr>
        <w:t>投标人必须根据采购需求及要求中“技术要求”在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技术需求响应/偏离表</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val="en-US" w:eastAsia="zh-CN" w:bidi="ar-SA"/>
        </w:rPr>
        <w:t>中作出全面、真实地反映，</w:t>
      </w:r>
      <w:r>
        <w:rPr>
          <w:rFonts w:hint="eastAsia" w:ascii="仿宋" w:hAnsi="仿宋" w:eastAsia="仿宋" w:cs="仿宋"/>
          <w:color w:val="auto"/>
          <w:sz w:val="21"/>
          <w:szCs w:val="21"/>
          <w:highlight w:val="none"/>
          <w:lang w:val="en-US" w:eastAsia="zh-CN"/>
        </w:rPr>
        <w:t>“采购需求”中的重要技术指标（“▲”指标），除按要求填写技术规格偏离表外，还须提供证明材料，证明材料包括：招标文件技术指标内明确要求提供的证明材料，未明确的可提供所投产品主要技术指标、参数及性能的公开印刷的技术白皮书（非自行拟定）或制造商公开发布的印刷资料（彩页或产品宣传册）或检测（检验）报告或官方网站发布的技术资料截图或系统功能截图。不接受投标人自行临时编制、印刷、打印或者手写的技术支持资料，若投标文件中技术支持资料指标与技术规格偏离表应答不符或无上述技术支持资料，视为无证明材料。一般技术指标（未标注“▲”指标）若招标文件中明确要求提供证明材料的须按要求提供证明材料，未明确要求的须在技术规格偏离表上应答，偏离情况应如实填写“正偏离”或“负偏离”或“无偏离”</w:t>
      </w:r>
      <w:r>
        <w:rPr>
          <w:rFonts w:hint="eastAsia" w:ascii="仿宋" w:hAnsi="仿宋" w:eastAsia="仿宋" w:cs="仿宋"/>
          <w:color w:val="auto"/>
          <w:highlight w:val="none"/>
          <w:lang w:val="en-US" w:eastAsia="zh-CN"/>
        </w:rPr>
        <w:t>。若出现制造商公开发布的技术白皮书、检测报告、彩页资料等技术证明文件中，同一技术参数或指标互相矛盾，视为该项技术参数不响应招标文件要求。</w:t>
      </w:r>
    </w:p>
    <w:p w14:paraId="0BC14697">
      <w:pPr>
        <w:wordWrap w:val="0"/>
        <w:overflowPunct w:val="0"/>
        <w:topLinePunct/>
        <w:spacing w:line="360" w:lineRule="auto"/>
        <w:jc w:val="center"/>
        <w:rPr>
          <w:rFonts w:hint="eastAsia" w:ascii="仿宋" w:hAnsi="仿宋" w:eastAsia="仿宋" w:cs="仿宋"/>
          <w:b w:val="0"/>
          <w:bCs/>
          <w:color w:val="auto"/>
          <w:sz w:val="24"/>
          <w:highlight w:val="none"/>
          <w:lang w:eastAsia="zh-CN"/>
        </w:rPr>
      </w:pPr>
    </w:p>
    <w:p w14:paraId="0EE39BAF">
      <w:pPr>
        <w:wordWrap w:val="0"/>
        <w:overflowPunct w:val="0"/>
        <w:topLinePunct/>
        <w:spacing w:line="360" w:lineRule="auto"/>
        <w:jc w:val="center"/>
        <w:rPr>
          <w:rFonts w:hint="eastAsia" w:ascii="仿宋" w:hAnsi="仿宋" w:eastAsia="仿宋" w:cs="仿宋"/>
          <w:color w:val="auto"/>
          <w:sz w:val="24"/>
          <w:highlight w:val="none"/>
          <w:lang w:eastAsia="zh-CN"/>
        </w:rPr>
      </w:pPr>
    </w:p>
    <w:p w14:paraId="22DA46B1">
      <w:pPr>
        <w:wordWrap w:val="0"/>
        <w:overflowPunct w:val="0"/>
        <w:topLinePunct/>
        <w:spacing w:line="360" w:lineRule="auto"/>
        <w:jc w:val="center"/>
        <w:rPr>
          <w:rFonts w:hint="eastAsia" w:ascii="仿宋" w:hAnsi="仿宋" w:eastAsia="仿宋" w:cs="仿宋"/>
          <w:color w:val="auto"/>
          <w:sz w:val="24"/>
          <w:highlight w:val="none"/>
          <w:lang w:eastAsia="zh-CN"/>
        </w:rPr>
      </w:pPr>
    </w:p>
    <w:p w14:paraId="0D43F982">
      <w:pPr>
        <w:wordWrap w:val="0"/>
        <w:overflowPunct w:val="0"/>
        <w:topLinePunct/>
        <w:spacing w:line="360" w:lineRule="auto"/>
        <w:jc w:val="center"/>
        <w:rPr>
          <w:rFonts w:hint="eastAsia" w:ascii="仿宋" w:hAnsi="仿宋" w:eastAsia="仿宋" w:cs="仿宋"/>
          <w:color w:val="auto"/>
          <w:sz w:val="24"/>
          <w:highlight w:val="none"/>
          <w:lang w:eastAsia="zh-CN"/>
        </w:rPr>
      </w:pPr>
    </w:p>
    <w:p w14:paraId="6306C7D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21D9C96">
      <w:pPr>
        <w:wordWrap w:val="0"/>
        <w:overflowPunct w:val="0"/>
        <w:topLinePunct/>
        <w:spacing w:line="360" w:lineRule="auto"/>
        <w:jc w:val="center"/>
        <w:outlineLvl w:val="1"/>
        <w:rPr>
          <w:rFonts w:hint="eastAsia" w:ascii="仿宋" w:hAnsi="仿宋" w:eastAsia="仿宋" w:cs="仿宋"/>
          <w:b w:val="0"/>
          <w:bCs/>
          <w:color w:val="auto"/>
          <w:sz w:val="24"/>
          <w:highlight w:val="none"/>
          <w:u w:val="single"/>
        </w:rPr>
      </w:pPr>
      <w:bookmarkStart w:id="1532" w:name="_Toc32453"/>
      <w:bookmarkStart w:id="1533" w:name="_Toc19301"/>
      <w:bookmarkStart w:id="1534" w:name="_Toc28398"/>
      <w:bookmarkStart w:id="1535" w:name="_Toc15552"/>
      <w:bookmarkStart w:id="1536" w:name="_Toc30824"/>
      <w:bookmarkStart w:id="1537" w:name="_Toc18545"/>
      <w:bookmarkStart w:id="1538" w:name="_Toc16049"/>
      <w:bookmarkStart w:id="1539" w:name="_Toc21677"/>
      <w:bookmarkStart w:id="1540" w:name="_Toc29110"/>
      <w:bookmarkStart w:id="1541" w:name="_Toc8272"/>
      <w:bookmarkStart w:id="1542" w:name="_Toc29709"/>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532"/>
      <w:bookmarkEnd w:id="1533"/>
      <w:bookmarkEnd w:id="1534"/>
      <w:bookmarkEnd w:id="1535"/>
      <w:bookmarkEnd w:id="1536"/>
      <w:bookmarkEnd w:id="1537"/>
      <w:bookmarkEnd w:id="1538"/>
      <w:bookmarkEnd w:id="1539"/>
      <w:bookmarkEnd w:id="1540"/>
      <w:bookmarkEnd w:id="1541"/>
      <w:bookmarkEnd w:id="1542"/>
    </w:p>
    <w:p w14:paraId="02E8D02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b w:val="0"/>
          <w:bCs/>
          <w:color w:val="auto"/>
          <w:sz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1CCF7D87">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5F5FB5BB">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1D1A7B79">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val="0"/>
          <w:bCs/>
          <w:color w:val="auto"/>
          <w:sz w:val="24"/>
          <w:highlight w:val="none"/>
        </w:rPr>
      </w:pPr>
    </w:p>
    <w:p w14:paraId="3A879381">
      <w:pPr>
        <w:keepNext w:val="0"/>
        <w:keepLines w:val="0"/>
        <w:pageBreakBefore w:val="0"/>
        <w:widowControl w:val="0"/>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附件（若有）：</w:t>
      </w:r>
    </w:p>
    <w:p w14:paraId="4BF2BD53">
      <w:pPr>
        <w:keepNext w:val="0"/>
        <w:keepLines w:val="0"/>
        <w:pageBreakBefore w:val="0"/>
        <w:widowControl w:val="0"/>
        <w:kinsoku/>
        <w:wordWrap w:val="0"/>
        <w:overflowPunct/>
        <w:topLinePunct/>
        <w:autoSpaceDE/>
        <w:autoSpaceDN/>
        <w:bidi w:val="0"/>
        <w:adjustRightInd/>
        <w:snapToGrid/>
        <w:spacing w:line="360" w:lineRule="auto"/>
        <w:ind w:left="0" w:firstLine="480" w:firstLineChars="200"/>
        <w:textAlignment w:val="auto"/>
        <w:rPr>
          <w:rFonts w:hint="eastAsia" w:ascii="仿宋" w:hAnsi="仿宋" w:eastAsia="仿宋" w:cs="仿宋"/>
          <w:b/>
          <w:bCs/>
          <w:color w:val="auto"/>
          <w:sz w:val="24"/>
          <w:szCs w:val="24"/>
          <w:highlight w:val="none"/>
          <w:lang w:val="en-US" w:eastAsia="zh-CN"/>
        </w:rPr>
        <w:sectPr>
          <w:footerReference r:id="rId17" w:type="first"/>
          <w:footerReference r:id="rId16"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r>
        <w:rPr>
          <w:rFonts w:hint="eastAsia" w:ascii="仿宋" w:hAnsi="仿宋" w:eastAsia="仿宋" w:cs="仿宋"/>
          <w:color w:val="auto"/>
          <w:sz w:val="24"/>
          <w:szCs w:val="24"/>
          <w:highlight w:val="none"/>
          <w:lang w:val="en-US" w:eastAsia="zh-CN"/>
        </w:rPr>
        <w:t>……</w:t>
      </w:r>
    </w:p>
    <w:p w14:paraId="52A3802E">
      <w:pPr>
        <w:pStyle w:val="4"/>
        <w:keepNext w:val="0"/>
        <w:keepLines w:val="0"/>
        <w:pageBreakBefore w:val="0"/>
        <w:widowControl w:val="0"/>
        <w:kinsoku/>
        <w:wordWrap w:val="0"/>
        <w:overflowPunct/>
        <w:topLinePunct/>
        <w:autoSpaceDE/>
        <w:autoSpaceDN/>
        <w:bidi w:val="0"/>
        <w:adjustRightInd/>
        <w:snapToGrid/>
        <w:ind w:left="0" w:leftChars="0" w:right="0"/>
        <w:jc w:val="center"/>
        <w:outlineLvl w:val="1"/>
        <w:rPr>
          <w:rFonts w:hint="eastAsia" w:ascii="仿宋" w:hAnsi="仿宋" w:eastAsia="仿宋" w:cs="仿宋"/>
          <w:b/>
          <w:bCs/>
          <w:color w:val="auto"/>
          <w:szCs w:val="30"/>
          <w:highlight w:val="none"/>
          <w:lang w:eastAsia="zh-CN"/>
        </w:rPr>
      </w:pPr>
      <w:bookmarkStart w:id="1543" w:name="_Toc12948"/>
      <w:bookmarkStart w:id="1544" w:name="_Toc11374"/>
      <w:bookmarkStart w:id="1545" w:name="_Toc12564"/>
      <w:bookmarkStart w:id="1546" w:name="_Toc17769"/>
      <w:bookmarkStart w:id="1547" w:name="_Toc20440"/>
      <w:bookmarkStart w:id="1548" w:name="_Toc21198"/>
      <w:bookmarkStart w:id="1549" w:name="_Toc27245"/>
      <w:bookmarkStart w:id="1550" w:name="_Toc22708"/>
      <w:bookmarkStart w:id="1551" w:name="_Toc5060"/>
      <w:bookmarkStart w:id="1552" w:name="_Toc13383"/>
      <w:bookmarkStart w:id="1553" w:name="_Toc21080"/>
      <w:bookmarkStart w:id="1554" w:name="_Toc8188"/>
      <w:bookmarkStart w:id="1555" w:name="_Toc22216"/>
      <w:bookmarkStart w:id="1556" w:name="_Toc30428"/>
      <w:bookmarkStart w:id="1557" w:name="_Toc14107"/>
      <w:bookmarkStart w:id="1558" w:name="_Toc4833"/>
      <w:bookmarkStart w:id="1559" w:name="_Toc15808"/>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廉洁承诺书</w:t>
      </w:r>
      <w:bookmarkEnd w:id="1543"/>
      <w:bookmarkEnd w:id="1544"/>
      <w:bookmarkEnd w:id="1545"/>
      <w:r>
        <w:rPr>
          <w:rFonts w:hint="eastAsia" w:ascii="仿宋" w:hAnsi="仿宋" w:eastAsia="仿宋" w:cs="仿宋"/>
          <w:color w:val="auto"/>
          <w:highlight w:val="none"/>
          <w:lang w:val="en-US" w:eastAsia="zh-CN"/>
        </w:rPr>
        <w:t>（实质性格式）</w:t>
      </w:r>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p>
    <w:p w14:paraId="3F515621">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color w:val="auto"/>
          <w:sz w:val="30"/>
          <w:szCs w:val="30"/>
          <w:highlight w:val="none"/>
          <w:lang w:eastAsia="zh-CN"/>
        </w:rPr>
      </w:pPr>
    </w:p>
    <w:p w14:paraId="5B2AEAB9">
      <w:pPr>
        <w:keepNext w:val="0"/>
        <w:keepLines w:val="0"/>
        <w:pageBreakBefore w:val="0"/>
        <w:widowControl w:val="0"/>
        <w:kinsoku/>
        <w:wordWrap w:val="0"/>
        <w:overflowPunct/>
        <w:topLinePunct/>
        <w:autoSpaceDE/>
        <w:autoSpaceDN/>
        <w:bidi w:val="0"/>
        <w:adjustRightInd/>
        <w:snapToGrid/>
        <w:ind w:left="0" w:leftChars="0" w:right="0"/>
        <w:jc w:val="center"/>
        <w:rPr>
          <w:rFonts w:hint="eastAsia" w:ascii="仿宋" w:hAnsi="仿宋" w:eastAsia="仿宋" w:cs="仿宋"/>
          <w:b/>
          <w:bCs/>
          <w:color w:val="auto"/>
          <w:spacing w:val="40"/>
          <w:sz w:val="32"/>
          <w:szCs w:val="28"/>
          <w:highlight w:val="none"/>
          <w:lang w:eastAsia="zh-CN"/>
        </w:rPr>
      </w:pPr>
    </w:p>
    <w:p w14:paraId="5FAD446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本企业参与</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的投标人，现做如下承诺：</w:t>
      </w:r>
    </w:p>
    <w:p w14:paraId="0895B283">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outlineLvl w:val="2"/>
        <w:rPr>
          <w:rFonts w:hint="eastAsia" w:ascii="仿宋" w:hAnsi="仿宋" w:eastAsia="仿宋" w:cs="仿宋"/>
          <w:color w:val="auto"/>
          <w:sz w:val="24"/>
          <w:szCs w:val="24"/>
          <w:highlight w:val="none"/>
          <w:lang w:eastAsia="zh-CN"/>
        </w:rPr>
      </w:pPr>
      <w:bookmarkStart w:id="1560" w:name="_Toc28321"/>
      <w:bookmarkStart w:id="1561" w:name="_Toc20454"/>
      <w:bookmarkStart w:id="1562" w:name="_Toc11960"/>
      <w:bookmarkStart w:id="1563" w:name="_Toc9955"/>
      <w:bookmarkStart w:id="1564" w:name="_Toc3046"/>
      <w:bookmarkStart w:id="1565" w:name="_Toc26533"/>
      <w:bookmarkStart w:id="1566" w:name="_Toc9501"/>
      <w:bookmarkStart w:id="1567" w:name="_Toc2236"/>
      <w:bookmarkStart w:id="1568" w:name="_Toc224"/>
      <w:bookmarkStart w:id="1569" w:name="_Toc21674"/>
      <w:r>
        <w:rPr>
          <w:rFonts w:hint="eastAsia" w:ascii="仿宋" w:hAnsi="仿宋" w:eastAsia="仿宋" w:cs="仿宋"/>
          <w:color w:val="auto"/>
          <w:sz w:val="24"/>
          <w:szCs w:val="24"/>
          <w:highlight w:val="none"/>
          <w:lang w:eastAsia="zh-CN"/>
        </w:rPr>
        <w:t>1.所提供的一切材料都是真实、有效、合法的。</w:t>
      </w:r>
      <w:bookmarkEnd w:id="1560"/>
      <w:bookmarkEnd w:id="1561"/>
      <w:bookmarkEnd w:id="1562"/>
      <w:bookmarkEnd w:id="1563"/>
      <w:bookmarkEnd w:id="1564"/>
      <w:bookmarkEnd w:id="1565"/>
      <w:bookmarkEnd w:id="1566"/>
      <w:bookmarkEnd w:id="1567"/>
      <w:bookmarkEnd w:id="1568"/>
      <w:bookmarkEnd w:id="1569"/>
    </w:p>
    <w:p w14:paraId="3BBA4B3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2.不与其他投标人串通投标，不损害采购人或其他投标人的合法权益。</w:t>
      </w:r>
    </w:p>
    <w:p w14:paraId="4DE12DA1">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3.不转让、出租、出借资质证书、人员岗位证书或以其他方式允许他人以本企业名义投标。</w:t>
      </w:r>
    </w:p>
    <w:p w14:paraId="54F6D7E2">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4.不与采购人或采购代理机构串通投标，损害国家利益、社会公共利益或者他人的合法权益。</w:t>
      </w:r>
    </w:p>
    <w:p w14:paraId="0A28EE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5.不向采购人、评审委员会成员、监督人员行贿。</w:t>
      </w:r>
    </w:p>
    <w:p w14:paraId="4CC2BCA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6.不扰乱招标投标活动正常秩序。</w:t>
      </w:r>
    </w:p>
    <w:p w14:paraId="782562E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7.不进行虚假恶意投诉。</w:t>
      </w:r>
    </w:p>
    <w:p w14:paraId="6440714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8.因违反法律法规、规章被查处的，不干预案件查处。</w:t>
      </w:r>
    </w:p>
    <w:p w14:paraId="4E7F5738">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如出现上述行为，本投标人自愿承担相关责任，接受招标投标监督管理部门、纪检监察部门或司法机关调查处理。给采购人造成损失的，依法承担赔偿责任。</w:t>
      </w:r>
    </w:p>
    <w:p w14:paraId="0199CC9A">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2811A80">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F0FD0DA">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1D0EE1E">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441AB70">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6477BA02">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3C32271A">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5F55288A">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2653C0FD">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12522511">
      <w:pPr>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sz w:val="24"/>
          <w:szCs w:val="24"/>
          <w:highlight w:val="none"/>
          <w:lang w:eastAsia="zh-CN"/>
        </w:rPr>
      </w:pPr>
    </w:p>
    <w:p w14:paraId="4359CC98">
      <w:pPr>
        <w:pStyle w:val="10"/>
        <w:keepNext w:val="0"/>
        <w:keepLines w:val="0"/>
        <w:pageBreakBefore w:val="0"/>
        <w:widowControl w:val="0"/>
        <w:kinsoku/>
        <w:wordWrap w:val="0"/>
        <w:overflowPunct/>
        <w:topLinePunct/>
        <w:autoSpaceDE/>
        <w:autoSpaceDN/>
        <w:bidi w:val="0"/>
        <w:adjustRightInd/>
        <w:snapToGrid/>
        <w:ind w:left="0" w:leftChars="0" w:right="0"/>
        <w:rPr>
          <w:rFonts w:hint="eastAsia" w:ascii="仿宋" w:hAnsi="仿宋" w:eastAsia="仿宋" w:cs="仿宋"/>
          <w:color w:val="auto"/>
          <w:highlight w:val="none"/>
          <w:lang w:eastAsia="zh-CN"/>
        </w:rPr>
      </w:pPr>
    </w:p>
    <w:p w14:paraId="28CF30B7">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rPr>
          <w:rFonts w:hint="eastAsia" w:ascii="仿宋" w:hAnsi="仿宋" w:eastAsia="仿宋" w:cs="仿宋"/>
          <w:color w:val="auto"/>
          <w:sz w:val="24"/>
          <w:szCs w:val="24"/>
          <w:highlight w:val="none"/>
          <w:lang w:eastAsia="zh-CN"/>
        </w:rPr>
      </w:pPr>
    </w:p>
    <w:p w14:paraId="47E59F87">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u w:val="none"/>
          <w:lang w:eastAsia="zh-CN"/>
        </w:rPr>
        <w:t>（电子公章）</w:t>
      </w:r>
    </w:p>
    <w:p w14:paraId="41525085">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1"/>
        <w:rPr>
          <w:rFonts w:hint="eastAsia" w:ascii="仿宋" w:hAnsi="仿宋" w:eastAsia="仿宋" w:cs="仿宋"/>
          <w:b w:val="0"/>
          <w:bCs w:val="0"/>
          <w:color w:val="auto"/>
          <w:sz w:val="32"/>
          <w:szCs w:val="32"/>
          <w:highlight w:val="none"/>
          <w:lang w:val="en-US" w:eastAsia="zh-CN"/>
        </w:rPr>
      </w:pPr>
      <w:bookmarkStart w:id="1570" w:name="_Toc18826"/>
      <w:bookmarkStart w:id="1571" w:name="_Toc10738"/>
      <w:bookmarkStart w:id="1572" w:name="_Toc25401"/>
      <w:bookmarkStart w:id="1573" w:name="_Toc1662"/>
      <w:bookmarkStart w:id="1574" w:name="_Toc1542"/>
      <w:bookmarkStart w:id="1575" w:name="_Toc4007"/>
      <w:bookmarkStart w:id="1576" w:name="_Toc2371"/>
      <w:bookmarkStart w:id="1577" w:name="_Toc9351"/>
      <w:bookmarkStart w:id="1578" w:name="_Toc5951"/>
      <w:bookmarkStart w:id="1579" w:name="_Toc13992"/>
      <w:bookmarkStart w:id="1580" w:name="_Toc15271"/>
      <w:bookmarkStart w:id="1581" w:name="_Toc3948"/>
      <w:bookmarkStart w:id="1582" w:name="_Toc18748"/>
      <w:bookmarkStart w:id="1583" w:name="_Toc16209"/>
      <w:r>
        <w:rPr>
          <w:rFonts w:hint="eastAsia" w:ascii="仿宋" w:hAnsi="仿宋" w:eastAsia="仿宋" w:cs="仿宋"/>
          <w:b w:val="0"/>
          <w:bCs w:val="0"/>
          <w:color w:val="auto"/>
          <w:sz w:val="24"/>
          <w:szCs w:val="24"/>
          <w:highlight w:val="none"/>
          <w:lang w:eastAsia="zh-CN"/>
        </w:rPr>
        <w:t>日期：</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年</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月</w:t>
      </w:r>
      <w:r>
        <w:rPr>
          <w:rFonts w:hint="eastAsia" w:ascii="仿宋" w:hAnsi="仿宋" w:eastAsia="仿宋" w:cs="仿宋"/>
          <w:b w:val="0"/>
          <w:bCs w:val="0"/>
          <w:color w:val="auto"/>
          <w:sz w:val="24"/>
          <w:szCs w:val="24"/>
          <w:highlight w:val="none"/>
          <w:u w:val="single"/>
          <w:lang w:eastAsia="zh-CN"/>
        </w:rPr>
        <w:t xml:space="preserve">     </w:t>
      </w:r>
      <w:r>
        <w:rPr>
          <w:rFonts w:hint="eastAsia" w:ascii="仿宋" w:hAnsi="仿宋" w:eastAsia="仿宋" w:cs="仿宋"/>
          <w:b w:val="0"/>
          <w:bCs w:val="0"/>
          <w:color w:val="auto"/>
          <w:sz w:val="24"/>
          <w:szCs w:val="24"/>
          <w:highlight w:val="none"/>
          <w:lang w:eastAsia="zh-CN"/>
        </w:rPr>
        <w:t>日</w:t>
      </w:r>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p>
    <w:p w14:paraId="3E1A7C40">
      <w:pPr>
        <w:pStyle w:val="4"/>
        <w:keepNext w:val="0"/>
        <w:keepLines w:val="0"/>
        <w:pageBreakBefore w:val="0"/>
        <w:widowControl w:val="0"/>
        <w:kinsoku/>
        <w:wordWrap w:val="0"/>
        <w:overflowPunct w:val="0"/>
        <w:topLinePunct/>
        <w:autoSpaceDE/>
        <w:autoSpaceDN/>
        <w:bidi w:val="0"/>
        <w:adjustRightInd/>
        <w:snapToGrid/>
        <w:spacing w:line="360" w:lineRule="auto"/>
        <w:jc w:val="center"/>
        <w:outlineLvl w:val="9"/>
        <w:rPr>
          <w:rFonts w:hint="eastAsia" w:ascii="仿宋" w:hAnsi="仿宋" w:eastAsia="仿宋" w:cs="仿宋"/>
          <w:color w:val="auto"/>
          <w:sz w:val="32"/>
          <w:szCs w:val="32"/>
          <w:highlight w:val="none"/>
          <w:lang w:val="en-US" w:eastAsia="zh-CN"/>
        </w:rPr>
        <w:sectPr>
          <w:footerReference r:id="rId19" w:type="first"/>
          <w:footerReference r:id="rId18"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p>
    <w:p w14:paraId="4EF38B4E">
      <w:pPr>
        <w:spacing w:line="360" w:lineRule="auto"/>
        <w:jc w:val="center"/>
        <w:rPr>
          <w:rFonts w:hint="eastAsia" w:ascii="仿宋" w:hAnsi="仿宋" w:eastAsia="仿宋" w:cs="仿宋"/>
          <w:b/>
          <w:bCs/>
          <w:color w:val="auto"/>
          <w:sz w:val="30"/>
          <w:szCs w:val="30"/>
          <w:highlight w:val="none"/>
          <w:lang w:eastAsia="zh-CN"/>
        </w:rPr>
      </w:pPr>
      <w:bookmarkStart w:id="1584" w:name="_Toc1676"/>
      <w:bookmarkStart w:id="1585" w:name="_Toc7274"/>
      <w:bookmarkStart w:id="1586" w:name="_Toc10483"/>
      <w:bookmarkStart w:id="1587" w:name="_Toc22861"/>
      <w:bookmarkStart w:id="1588" w:name="_Toc15589"/>
      <w:bookmarkStart w:id="1589" w:name="_Toc15617"/>
      <w:bookmarkStart w:id="1590" w:name="_Toc24547"/>
      <w:bookmarkStart w:id="1591" w:name="_Toc22538"/>
      <w:bookmarkStart w:id="1592" w:name="_Toc22885"/>
      <w:bookmarkStart w:id="1593" w:name="_Toc27051"/>
      <w:bookmarkStart w:id="1594" w:name="_Toc5303"/>
      <w:bookmarkStart w:id="1595" w:name="_Toc7375"/>
      <w:bookmarkStart w:id="1596" w:name="_Toc17100"/>
      <w:bookmarkStart w:id="1597" w:name="_Toc17828"/>
      <w:r>
        <w:rPr>
          <w:rFonts w:hint="eastAsia" w:ascii="仿宋" w:hAnsi="仿宋" w:eastAsia="仿宋" w:cs="仿宋"/>
          <w:color w:val="auto"/>
          <w:sz w:val="32"/>
          <w:szCs w:val="32"/>
          <w:highlight w:val="none"/>
          <w:lang w:val="en-US" w:eastAsia="zh-CN"/>
        </w:rPr>
        <w:t>三、</w:t>
      </w:r>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r>
        <w:rPr>
          <w:rFonts w:hint="eastAsia" w:ascii="仿宋" w:hAnsi="仿宋" w:eastAsia="仿宋" w:cs="仿宋"/>
          <w:b/>
          <w:bCs/>
          <w:color w:val="auto"/>
          <w:sz w:val="30"/>
          <w:szCs w:val="30"/>
          <w:highlight w:val="none"/>
          <w:lang w:val="en-US" w:eastAsia="zh-CN"/>
        </w:rPr>
        <w:t>诚信履约承诺函（实质性格式）</w:t>
      </w:r>
    </w:p>
    <w:p w14:paraId="4482244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牟定县水务局</w:t>
      </w:r>
    </w:p>
    <w:p w14:paraId="367DF4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如我单位被确定为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的</w:t>
      </w:r>
      <w:r>
        <w:rPr>
          <w:rFonts w:hint="eastAsia" w:ascii="仿宋" w:hAnsi="仿宋" w:eastAsia="仿宋" w:cs="仿宋"/>
          <w:color w:val="auto"/>
          <w:sz w:val="24"/>
          <w:szCs w:val="24"/>
          <w:highlight w:val="none"/>
          <w:lang w:val="en-US" w:eastAsia="zh-CN"/>
        </w:rPr>
        <w:t xml:space="preserve">中标人，我单位承诺在合同签订及履约过程中将严格执行《中华人民共和国政府采购法》《中华人民共和国政府采购法实施条例》及本项目招标文件中关于合同签订及履约的相关规定，不出现以下情形： </w:t>
      </w:r>
    </w:p>
    <w:p w14:paraId="527593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（1）中标或者成交后无正当理由拒不与采购人签订政府采购合同； </w:t>
      </w:r>
    </w:p>
    <w:p w14:paraId="7F40A6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（2）未按照招标文件确定的事项签订政府采购合同； </w:t>
      </w:r>
    </w:p>
    <w:p w14:paraId="02DBCF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（3）将政府采购合同转包； </w:t>
      </w:r>
    </w:p>
    <w:p w14:paraId="146D15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（4）提供假冒伪劣产品； </w:t>
      </w:r>
    </w:p>
    <w:p w14:paraId="42AB90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（5）擅自变更、中止或者终止政府采购合同。 </w:t>
      </w:r>
    </w:p>
    <w:p w14:paraId="18F255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color w:val="auto"/>
          <w:sz w:val="24"/>
          <w:szCs w:val="24"/>
          <w:highlight w:val="none"/>
          <w:lang w:eastAsia="zh-CN"/>
        </w:rPr>
        <w:t>。</w:t>
      </w:r>
    </w:p>
    <w:p w14:paraId="7F555273">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4A78D45E">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5BD80DB8">
      <w:pPr>
        <w:keepNext w:val="0"/>
        <w:keepLines w:val="0"/>
        <w:pageBreakBefore w:val="0"/>
        <w:widowControl w:val="0"/>
        <w:kinsoku/>
        <w:wordWrap/>
        <w:overflowPunct/>
        <w:topLinePunct w:val="0"/>
        <w:autoSpaceDE/>
        <w:autoSpaceDN/>
        <w:bidi w:val="0"/>
        <w:adjustRightInd/>
        <w:snapToGrid/>
        <w:spacing w:line="360" w:lineRule="auto"/>
        <w:ind w:firstLine="510"/>
        <w:textAlignment w:val="auto"/>
        <w:rPr>
          <w:rFonts w:hint="eastAsia" w:ascii="仿宋" w:hAnsi="仿宋" w:eastAsia="仿宋" w:cs="仿宋"/>
          <w:color w:val="auto"/>
          <w:sz w:val="24"/>
          <w:szCs w:val="24"/>
          <w:highlight w:val="none"/>
          <w:lang w:eastAsia="zh-CN"/>
        </w:rPr>
      </w:pPr>
    </w:p>
    <w:p w14:paraId="60464B6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6AE0D90C">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AD5EAC1">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AC6709D">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4A712933">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7D605171">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76857B60">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D475D39">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sectPr>
          <w:footerReference r:id="rId21" w:type="first"/>
          <w:footerReference r:id="rId20"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docGrid w:linePitch="299" w:charSpace="0"/>
        </w:sect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796F7B2D">
      <w:pPr>
        <w:tabs>
          <w:tab w:val="left" w:pos="2775"/>
          <w:tab w:val="center" w:pos="4153"/>
        </w:tabs>
        <w:autoSpaceDE w:val="0"/>
        <w:autoSpaceDN w:val="0"/>
        <w:adjustRightInd w:val="0"/>
        <w:spacing w:line="360" w:lineRule="auto"/>
        <w:jc w:val="center"/>
        <w:rPr>
          <w:rFonts w:hint="eastAsia" w:ascii="仿宋" w:hAnsi="仿宋" w:eastAsia="仿宋" w:cs="仿宋"/>
          <w:b/>
          <w:color w:val="auto"/>
          <w:sz w:val="36"/>
          <w:szCs w:val="36"/>
          <w:highlight w:val="none"/>
        </w:rPr>
      </w:pPr>
      <w:bookmarkStart w:id="1598" w:name="_Toc356"/>
      <w:bookmarkStart w:id="1599" w:name="_Toc19973"/>
      <w:bookmarkStart w:id="1600" w:name="_Toc21973"/>
      <w:bookmarkStart w:id="1601" w:name="_Toc5654"/>
      <w:bookmarkStart w:id="1602" w:name="_Toc25551"/>
      <w:bookmarkStart w:id="1603" w:name="_Toc13442"/>
      <w:bookmarkStart w:id="1604" w:name="_Toc25003"/>
      <w:bookmarkStart w:id="1605" w:name="_Toc7000"/>
      <w:bookmarkStart w:id="1606" w:name="_Toc28635"/>
      <w:bookmarkStart w:id="1607" w:name="_Toc20352"/>
      <w:bookmarkStart w:id="1608" w:name="_Toc27204"/>
      <w:bookmarkStart w:id="1609" w:name="_Toc20511"/>
      <w:bookmarkStart w:id="1610" w:name="_Toc29728"/>
      <w:bookmarkStart w:id="1611" w:name="_Toc23076"/>
      <w:r>
        <w:rPr>
          <w:rStyle w:val="30"/>
          <w:rFonts w:hint="eastAsia" w:ascii="仿宋" w:hAnsi="仿宋" w:eastAsia="仿宋" w:cs="仿宋"/>
          <w:color w:val="auto"/>
          <w:sz w:val="32"/>
          <w:szCs w:val="32"/>
          <w:highlight w:val="none"/>
          <w:lang w:val="en-US" w:eastAsia="zh-CN"/>
        </w:rPr>
        <w:t>四</w:t>
      </w:r>
      <w:r>
        <w:rPr>
          <w:rStyle w:val="30"/>
          <w:rFonts w:hint="eastAsia" w:ascii="仿宋" w:hAnsi="仿宋" w:eastAsia="仿宋" w:cs="仿宋"/>
          <w:color w:val="auto"/>
          <w:sz w:val="32"/>
          <w:szCs w:val="32"/>
          <w:highlight w:val="none"/>
          <w:lang w:val="en-US"/>
        </w:rPr>
        <w:t>、</w:t>
      </w:r>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r>
        <w:rPr>
          <w:rFonts w:hint="eastAsia" w:ascii="仿宋" w:hAnsi="仿宋" w:eastAsia="仿宋" w:cs="仿宋"/>
          <w:b/>
          <w:color w:val="auto"/>
          <w:sz w:val="36"/>
          <w:szCs w:val="36"/>
          <w:highlight w:val="none"/>
        </w:rPr>
        <w:t>合同条款偏离表</w:t>
      </w:r>
    </w:p>
    <w:p w14:paraId="02D33E0E">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auto"/>
          <w:kern w:val="0"/>
          <w:sz w:val="24"/>
          <w:szCs w:val="24"/>
          <w:highlight w:val="none"/>
          <w:u w:val="single"/>
          <w:lang w:val="en-US"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p>
    <w:p w14:paraId="4C3D0C3B">
      <w:pPr>
        <w:keepNext w:val="0"/>
        <w:keepLines w:val="0"/>
        <w:pageBreakBefore w:val="0"/>
        <w:widowControl w:val="0"/>
        <w:kinsoku/>
        <w:wordWrap w:val="0"/>
        <w:overflowPunct/>
        <w:topLinePunct/>
        <w:autoSpaceDE/>
        <w:autoSpaceDN/>
        <w:bidi w:val="0"/>
        <w:adjustRightInd/>
        <w:snapToGrid/>
        <w:spacing w:after="0" w:line="360" w:lineRule="auto"/>
        <w:ind w:left="0" w:leftChars="0"/>
        <w:jc w:val="left"/>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lang w:val="en-US" w:eastAsia="zh-CN"/>
        </w:rPr>
        <w:t xml:space="preserve">                             </w:t>
      </w:r>
    </w:p>
    <w:tbl>
      <w:tblPr>
        <w:tblStyle w:val="20"/>
        <w:tblW w:w="100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1810"/>
        <w:gridCol w:w="2135"/>
        <w:gridCol w:w="1975"/>
        <w:gridCol w:w="2463"/>
        <w:gridCol w:w="768"/>
      </w:tblGrid>
      <w:tr w14:paraId="59E2F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jc w:val="center"/>
        </w:trPr>
        <w:tc>
          <w:tcPr>
            <w:tcW w:w="892" w:type="dxa"/>
            <w:noWrap w:val="0"/>
            <w:vAlign w:val="center"/>
          </w:tcPr>
          <w:p w14:paraId="3650F9C5">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810" w:type="dxa"/>
            <w:noWrap w:val="0"/>
            <w:vAlign w:val="center"/>
          </w:tcPr>
          <w:p w14:paraId="3111008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招标文件条目号（页码）</w:t>
            </w:r>
          </w:p>
        </w:tc>
        <w:tc>
          <w:tcPr>
            <w:tcW w:w="2135" w:type="dxa"/>
            <w:noWrap w:val="0"/>
            <w:vAlign w:val="center"/>
          </w:tcPr>
          <w:p w14:paraId="3382431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招标文件要求</w:t>
            </w:r>
          </w:p>
        </w:tc>
        <w:tc>
          <w:tcPr>
            <w:tcW w:w="1975" w:type="dxa"/>
            <w:noWrap w:val="0"/>
            <w:vAlign w:val="center"/>
          </w:tcPr>
          <w:p w14:paraId="51DE60C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投标文件内容</w:t>
            </w:r>
          </w:p>
        </w:tc>
        <w:tc>
          <w:tcPr>
            <w:tcW w:w="2463" w:type="dxa"/>
            <w:noWrap w:val="0"/>
            <w:vAlign w:val="center"/>
          </w:tcPr>
          <w:p w14:paraId="15C35093">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偏离情况</w:t>
            </w:r>
          </w:p>
        </w:tc>
        <w:tc>
          <w:tcPr>
            <w:tcW w:w="768" w:type="dxa"/>
            <w:noWrap w:val="0"/>
            <w:vAlign w:val="center"/>
          </w:tcPr>
          <w:p w14:paraId="4DFFA9D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说明</w:t>
            </w:r>
          </w:p>
        </w:tc>
      </w:tr>
      <w:tr w14:paraId="68BC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1" w:hRule="atLeast"/>
          <w:jc w:val="center"/>
        </w:trPr>
        <w:tc>
          <w:tcPr>
            <w:tcW w:w="10043" w:type="dxa"/>
            <w:gridSpan w:val="6"/>
            <w:noWrap w:val="0"/>
            <w:vAlign w:val="center"/>
          </w:tcPr>
          <w:p w14:paraId="0F64B8D3">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kern w:val="0"/>
                <w:sz w:val="21"/>
                <w:szCs w:val="21"/>
                <w:highlight w:val="none"/>
                <w:lang w:val="en-US" w:eastAsia="zh-CN" w:bidi="ar"/>
              </w:rPr>
              <w:t>对本项目合同条款的偏离情况</w:t>
            </w:r>
            <w:r>
              <w:rPr>
                <w:rFonts w:hint="eastAsia" w:ascii="仿宋" w:hAnsi="仿宋" w:eastAsia="仿宋" w:cs="仿宋"/>
                <w:color w:val="auto"/>
                <w:kern w:val="0"/>
                <w:sz w:val="21"/>
                <w:szCs w:val="21"/>
                <w:highlight w:val="none"/>
                <w:lang w:val="en-US" w:eastAsia="zh-CN" w:bidi="ar"/>
              </w:rPr>
              <w:t>（应进行选择，未选择</w:t>
            </w:r>
            <w:r>
              <w:rPr>
                <w:rFonts w:hint="eastAsia" w:ascii="仿宋" w:hAnsi="仿宋" w:eastAsia="仿宋" w:cs="仿宋"/>
                <w:b/>
                <w:bCs/>
                <w:color w:val="auto"/>
                <w:kern w:val="0"/>
                <w:sz w:val="21"/>
                <w:szCs w:val="21"/>
                <w:highlight w:val="none"/>
                <w:lang w:val="en-US" w:eastAsia="zh-CN" w:bidi="ar"/>
              </w:rPr>
              <w:t>投标无效</w:t>
            </w:r>
            <w:r>
              <w:rPr>
                <w:rFonts w:hint="eastAsia" w:ascii="仿宋" w:hAnsi="仿宋" w:eastAsia="仿宋" w:cs="仿宋"/>
                <w:color w:val="auto"/>
                <w:kern w:val="0"/>
                <w:sz w:val="21"/>
                <w:szCs w:val="21"/>
                <w:highlight w:val="none"/>
                <w:lang w:val="en-US" w:eastAsia="zh-CN" w:bidi="ar"/>
              </w:rPr>
              <w:t>）：</w:t>
            </w:r>
          </w:p>
          <w:p w14:paraId="0EA24821">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eastAsia="zh-CN"/>
              </w:rPr>
              <w:t>□</w:t>
            </w:r>
            <w:r>
              <w:rPr>
                <w:rFonts w:hint="eastAsia" w:ascii="仿宋" w:hAnsi="仿宋" w:eastAsia="仿宋" w:cs="仿宋"/>
                <w:b/>
                <w:bCs/>
                <w:color w:val="auto"/>
                <w:kern w:val="0"/>
                <w:sz w:val="21"/>
                <w:szCs w:val="21"/>
                <w:highlight w:val="none"/>
                <w:lang w:val="en-US" w:eastAsia="zh-CN" w:bidi="ar"/>
              </w:rPr>
              <w:t>无偏离</w:t>
            </w:r>
            <w:r>
              <w:rPr>
                <w:rFonts w:hint="eastAsia" w:ascii="仿宋" w:hAnsi="仿宋" w:eastAsia="仿宋" w:cs="仿宋"/>
                <w:color w:val="auto"/>
                <w:kern w:val="0"/>
                <w:sz w:val="21"/>
                <w:szCs w:val="21"/>
                <w:highlight w:val="none"/>
                <w:lang w:val="en-US" w:eastAsia="zh-CN" w:bidi="ar"/>
              </w:rPr>
              <w:t>（如无偏离，仅选择无偏离即可；无偏离即为对合同条款中的所有要求，均视作供应商已对之理解和响应。）</w:t>
            </w:r>
          </w:p>
          <w:p w14:paraId="05BADBBA">
            <w:pPr>
              <w:keepNext w:val="0"/>
              <w:keepLines w:val="0"/>
              <w:pageBreakBefore w:val="0"/>
              <w:widowControl w:val="0"/>
              <w:suppressLineNumbers w:val="0"/>
              <w:kinsoku/>
              <w:wordWrap w:val="0"/>
              <w:overflowPunct/>
              <w:topLinePunct/>
              <w:autoSpaceDE/>
              <w:autoSpaceDN/>
              <w:bidi w:val="0"/>
              <w:adjustRightInd/>
              <w:snapToGrid/>
              <w:spacing w:after="0" w:line="360" w:lineRule="auto"/>
              <w:jc w:val="left"/>
              <w:textAlignment w:val="auto"/>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eastAsia="zh-CN"/>
              </w:rPr>
              <w:t>□</w:t>
            </w:r>
            <w:r>
              <w:rPr>
                <w:rFonts w:hint="eastAsia" w:ascii="仿宋" w:hAnsi="仿宋" w:eastAsia="仿宋" w:cs="仿宋"/>
                <w:b/>
                <w:bCs/>
                <w:color w:val="auto"/>
                <w:kern w:val="0"/>
                <w:sz w:val="21"/>
                <w:szCs w:val="21"/>
                <w:highlight w:val="none"/>
                <w:lang w:val="en-US" w:eastAsia="zh-CN" w:bidi="ar"/>
              </w:rPr>
              <w:t>有偏离</w:t>
            </w:r>
            <w:r>
              <w:rPr>
                <w:rFonts w:hint="eastAsia" w:ascii="仿宋" w:hAnsi="仿宋" w:eastAsia="仿宋" w:cs="仿宋"/>
                <w:color w:val="auto"/>
                <w:kern w:val="0"/>
                <w:sz w:val="21"/>
                <w:szCs w:val="21"/>
                <w:highlight w:val="none"/>
                <w:lang w:val="en-US" w:eastAsia="zh-CN" w:bidi="ar"/>
              </w:rPr>
              <w:t>（如有偏离，则应在本表中对偏离项逐一列明，否则</w:t>
            </w:r>
            <w:r>
              <w:rPr>
                <w:rFonts w:hint="eastAsia" w:ascii="仿宋" w:hAnsi="仿宋" w:eastAsia="仿宋" w:cs="仿宋"/>
                <w:b/>
                <w:bCs/>
                <w:color w:val="auto"/>
                <w:kern w:val="0"/>
                <w:sz w:val="21"/>
                <w:szCs w:val="21"/>
                <w:highlight w:val="none"/>
                <w:lang w:val="en-US" w:eastAsia="zh-CN" w:bidi="ar"/>
              </w:rPr>
              <w:t>投标无效</w:t>
            </w:r>
            <w:r>
              <w:rPr>
                <w:rFonts w:hint="eastAsia" w:ascii="仿宋" w:hAnsi="仿宋" w:eastAsia="仿宋" w:cs="仿宋"/>
                <w:color w:val="auto"/>
                <w:kern w:val="0"/>
                <w:sz w:val="21"/>
                <w:szCs w:val="21"/>
                <w:highlight w:val="none"/>
                <w:lang w:val="en-US" w:eastAsia="zh-CN" w:bidi="ar"/>
              </w:rPr>
              <w:t>；对合同条款中的所有要求，除本表列明的偏离外，均视作供应商已对之理解和响应。）</w:t>
            </w:r>
          </w:p>
        </w:tc>
      </w:tr>
      <w:tr w14:paraId="73C95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0C5FD1A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258AB6D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1809320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13E9CE6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11E1277B">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598FFB9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6C1EB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7C04210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2A70B98D">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104D7F60">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01595A5A">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52FF5942">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7E339EE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450DE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892" w:type="dxa"/>
            <w:noWrap w:val="0"/>
            <w:vAlign w:val="center"/>
          </w:tcPr>
          <w:p w14:paraId="3A280DC6">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05E6DACC">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50EE8CBD">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564B4FB2">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61F9B5B1">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554CDD77">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r w14:paraId="2CDE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892" w:type="dxa"/>
            <w:noWrap w:val="0"/>
            <w:vAlign w:val="center"/>
          </w:tcPr>
          <w:p w14:paraId="6B73B338">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810" w:type="dxa"/>
            <w:noWrap w:val="0"/>
            <w:vAlign w:val="center"/>
          </w:tcPr>
          <w:p w14:paraId="0F6D04DE">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135" w:type="dxa"/>
            <w:noWrap w:val="0"/>
            <w:vAlign w:val="center"/>
          </w:tcPr>
          <w:p w14:paraId="39F725C4">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1975" w:type="dxa"/>
            <w:noWrap w:val="0"/>
            <w:vAlign w:val="center"/>
          </w:tcPr>
          <w:p w14:paraId="649DC36F">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2463" w:type="dxa"/>
            <w:noWrap w:val="0"/>
            <w:vAlign w:val="center"/>
          </w:tcPr>
          <w:p w14:paraId="43FE396E">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c>
          <w:tcPr>
            <w:tcW w:w="768" w:type="dxa"/>
            <w:noWrap w:val="0"/>
            <w:vAlign w:val="center"/>
          </w:tcPr>
          <w:p w14:paraId="146C017C">
            <w:pPr>
              <w:keepNext w:val="0"/>
              <w:keepLines w:val="0"/>
              <w:pageBreakBefore w:val="0"/>
              <w:widowControl w:val="0"/>
              <w:kinsoku/>
              <w:wordWrap w:val="0"/>
              <w:overflowPunct/>
              <w:topLinePunct/>
              <w:autoSpaceDE/>
              <w:autoSpaceDN/>
              <w:bidi w:val="0"/>
              <w:adjustRightInd/>
              <w:snapToGrid/>
              <w:spacing w:after="0" w:line="360" w:lineRule="auto"/>
              <w:jc w:val="center"/>
              <w:textAlignment w:val="auto"/>
              <w:rPr>
                <w:rFonts w:hint="eastAsia" w:ascii="仿宋" w:hAnsi="仿宋" w:eastAsia="仿宋" w:cs="仿宋"/>
                <w:color w:val="auto"/>
                <w:sz w:val="21"/>
                <w:szCs w:val="21"/>
                <w:highlight w:val="none"/>
              </w:rPr>
            </w:pPr>
          </w:p>
        </w:tc>
      </w:tr>
    </w:tbl>
    <w:p w14:paraId="6E7696C3">
      <w:pPr>
        <w:wordWrap w:val="0"/>
        <w:overflowPunct w:val="0"/>
        <w:topLinePunct/>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注：“偏离情况”列应据实填写“正偏离”或“负偏离”。</w:t>
      </w:r>
    </w:p>
    <w:p w14:paraId="0450145E">
      <w:pPr>
        <w:wordWrap w:val="0"/>
        <w:overflowPunct w:val="0"/>
        <w:topLinePunct/>
        <w:spacing w:line="360" w:lineRule="auto"/>
        <w:jc w:val="both"/>
        <w:rPr>
          <w:rFonts w:hint="eastAsia" w:ascii="仿宋" w:hAnsi="仿宋" w:eastAsia="仿宋" w:cs="仿宋"/>
          <w:color w:val="auto"/>
          <w:sz w:val="21"/>
          <w:szCs w:val="21"/>
          <w:highlight w:val="none"/>
        </w:rPr>
      </w:pPr>
    </w:p>
    <w:p w14:paraId="0960EFB8">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bookmarkStart w:id="1612" w:name="_Toc10417"/>
      <w:bookmarkStart w:id="1613" w:name="_Toc26106"/>
      <w:bookmarkStart w:id="1614" w:name="_Toc10678"/>
      <w:bookmarkStart w:id="1615" w:name="_Toc3917"/>
      <w:bookmarkStart w:id="1616" w:name="_Toc5420"/>
      <w:bookmarkStart w:id="1617" w:name="_Toc27546"/>
      <w:bookmarkStart w:id="1618" w:name="_Toc32745"/>
      <w:bookmarkStart w:id="1619" w:name="_Toc474"/>
      <w:bookmarkStart w:id="1620" w:name="_Toc4082"/>
      <w:bookmarkStart w:id="1621" w:name="_Toc24686"/>
    </w:p>
    <w:p w14:paraId="5D27EC3E">
      <w:pPr>
        <w:wordWrap w:val="0"/>
        <w:overflowPunct w:val="0"/>
        <w:topLinePunct/>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612"/>
      <w:bookmarkEnd w:id="1613"/>
      <w:bookmarkEnd w:id="1614"/>
      <w:bookmarkEnd w:id="1615"/>
      <w:bookmarkEnd w:id="1616"/>
      <w:bookmarkEnd w:id="1617"/>
      <w:bookmarkEnd w:id="1618"/>
      <w:bookmarkEnd w:id="1619"/>
      <w:bookmarkEnd w:id="1620"/>
      <w:bookmarkEnd w:id="1621"/>
      <w:bookmarkStart w:id="1622" w:name="_Toc7555"/>
      <w:bookmarkStart w:id="1623" w:name="_Toc4226"/>
      <w:bookmarkStart w:id="1624" w:name="_Toc23134"/>
      <w:bookmarkStart w:id="1625" w:name="_Toc3791"/>
      <w:bookmarkStart w:id="1626" w:name="_Toc13595"/>
      <w:bookmarkStart w:id="1627" w:name="_Toc32622"/>
      <w:bookmarkStart w:id="1628" w:name="_Toc14211"/>
      <w:bookmarkStart w:id="1629" w:name="_Toc18398"/>
      <w:bookmarkStart w:id="1630" w:name="_Toc10510"/>
      <w:bookmarkStart w:id="1631" w:name="_Toc10681"/>
      <w:bookmarkStart w:id="1632" w:name="_Toc20287"/>
      <w:bookmarkStart w:id="1633" w:name="_Toc26607"/>
      <w:bookmarkStart w:id="1634" w:name="_Toc561"/>
      <w:bookmarkStart w:id="1635" w:name="_Toc30190"/>
      <w:bookmarkStart w:id="1636" w:name="_Toc23759"/>
      <w:bookmarkStart w:id="1637" w:name="_Toc7784"/>
    </w:p>
    <w:p w14:paraId="443E0605">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2"/>
        <w:rPr>
          <w:rFonts w:hint="eastAsia" w:ascii="仿宋" w:hAnsi="仿宋" w:eastAsia="仿宋" w:cs="仿宋"/>
          <w:color w:val="auto"/>
          <w:sz w:val="21"/>
          <w:szCs w:val="21"/>
          <w:highlight w:val="none"/>
        </w:rPr>
        <w:sectPr>
          <w:pgSz w:w="12240" w:h="15840"/>
          <w:pgMar w:top="1134" w:right="1134" w:bottom="1134" w:left="1134" w:header="720" w:footer="720" w:gutter="0"/>
          <w:pgNumType w:fmt="decimal"/>
          <w:cols w:space="720" w:num="1"/>
          <w:docGrid w:linePitch="360" w:charSpace="0"/>
        </w:sect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p>
    <w:p w14:paraId="6E8346CD">
      <w:pPr>
        <w:keepNext w:val="0"/>
        <w:keepLines w:val="0"/>
        <w:pageBreakBefore w:val="0"/>
        <w:widowControl/>
        <w:kinsoku/>
        <w:wordWrap/>
        <w:overflowPunct/>
        <w:topLinePunct w:val="0"/>
        <w:autoSpaceDE/>
        <w:autoSpaceDN/>
        <w:bidi w:val="0"/>
        <w:adjustRightInd/>
        <w:snapToGrid/>
        <w:spacing w:after="0" w:line="360" w:lineRule="auto"/>
        <w:jc w:val="center"/>
        <w:textAlignment w:val="auto"/>
        <w:rPr>
          <w:rFonts w:hint="eastAsia" w:ascii="仿宋" w:hAnsi="仿宋" w:eastAsia="仿宋" w:cs="仿宋"/>
          <w:color w:val="auto"/>
          <w:highlight w:val="none"/>
        </w:rPr>
      </w:pPr>
      <w:r>
        <w:rPr>
          <w:rFonts w:hint="eastAsia" w:ascii="仿宋" w:hAnsi="仿宋" w:eastAsia="仿宋" w:cs="仿宋"/>
          <w:b/>
          <w:color w:val="auto"/>
          <w:sz w:val="36"/>
          <w:szCs w:val="36"/>
          <w:highlight w:val="none"/>
          <w:lang w:val="en-US" w:eastAsia="zh-CN"/>
        </w:rPr>
        <w:t>五、商务要求响应</w:t>
      </w:r>
      <w:r>
        <w:rPr>
          <w:rFonts w:hint="eastAsia" w:ascii="仿宋" w:hAnsi="仿宋" w:eastAsia="仿宋" w:cs="仿宋"/>
          <w:b/>
          <w:color w:val="auto"/>
          <w:sz w:val="36"/>
          <w:szCs w:val="36"/>
          <w:highlight w:val="none"/>
        </w:rPr>
        <w:t>承诺书</w:t>
      </w:r>
    </w:p>
    <w:p w14:paraId="5FB92A2B">
      <w:pPr>
        <w:keepNext w:val="0"/>
        <w:keepLines w:val="0"/>
        <w:pageBreakBefore w:val="0"/>
        <w:widowControl w:val="0"/>
        <w:kinsoku/>
        <w:wordWrap w:val="0"/>
        <w:overflowPunct/>
        <w:topLinePunct/>
        <w:autoSpaceDE/>
        <w:autoSpaceDN/>
        <w:bidi w:val="0"/>
        <w:adjustRightInd/>
        <w:snapToGrid/>
        <w:spacing w:after="0"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招标人名称</w:t>
      </w:r>
    </w:p>
    <w:p w14:paraId="56C4EE3A">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招标文件中“★商务要求”作</w:t>
      </w:r>
      <w:r>
        <w:rPr>
          <w:rFonts w:hint="eastAsia" w:ascii="仿宋" w:hAnsi="仿宋" w:eastAsia="仿宋" w:cs="仿宋"/>
          <w:color w:val="auto"/>
          <w:sz w:val="24"/>
          <w:szCs w:val="24"/>
          <w:highlight w:val="none"/>
          <w:lang w:eastAsia="zh-CN"/>
        </w:rPr>
        <w:t>为</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lang w:eastAsia="zh-CN"/>
        </w:rPr>
        <w:t>对</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提出的最低要求，</w:t>
      </w:r>
      <w:r>
        <w:rPr>
          <w:rFonts w:hint="eastAsia" w:ascii="仿宋" w:hAnsi="仿宋" w:eastAsia="仿宋" w:cs="仿宋"/>
          <w:color w:val="auto"/>
          <w:sz w:val="24"/>
          <w:szCs w:val="24"/>
          <w:highlight w:val="none"/>
          <w:lang w:val="en-US" w:eastAsia="zh-CN"/>
        </w:rPr>
        <w:t>并</w:t>
      </w:r>
      <w:r>
        <w:rPr>
          <w:rFonts w:hint="eastAsia" w:ascii="仿宋" w:hAnsi="仿宋" w:eastAsia="仿宋" w:cs="仿宋"/>
          <w:color w:val="auto"/>
          <w:sz w:val="24"/>
          <w:szCs w:val="24"/>
          <w:highlight w:val="none"/>
          <w:lang w:eastAsia="zh-CN"/>
        </w:rPr>
        <w:t>将作为采购人与</w:t>
      </w:r>
      <w:r>
        <w:rPr>
          <w:rFonts w:hint="eastAsia" w:ascii="仿宋" w:hAnsi="仿宋" w:eastAsia="仿宋" w:cs="仿宋"/>
          <w:color w:val="auto"/>
          <w:sz w:val="24"/>
          <w:szCs w:val="24"/>
          <w:highlight w:val="none"/>
          <w:lang w:val="en-US" w:eastAsia="zh-CN"/>
        </w:rPr>
        <w:t>中标人</w:t>
      </w:r>
      <w:r>
        <w:rPr>
          <w:rFonts w:hint="eastAsia" w:ascii="仿宋" w:hAnsi="仿宋" w:eastAsia="仿宋" w:cs="仿宋"/>
          <w:color w:val="auto"/>
          <w:sz w:val="24"/>
          <w:szCs w:val="24"/>
          <w:highlight w:val="none"/>
          <w:lang w:eastAsia="zh-CN"/>
        </w:rPr>
        <w:t>签定合同的实质性要求</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我单位</w:t>
      </w:r>
      <w:r>
        <w:rPr>
          <w:rFonts w:hint="eastAsia" w:ascii="仿宋" w:hAnsi="仿宋" w:eastAsia="仿宋" w:cs="仿宋"/>
          <w:color w:val="auto"/>
          <w:sz w:val="24"/>
          <w:szCs w:val="24"/>
          <w:highlight w:val="none"/>
        </w:rPr>
        <w:t>确认已详细阅读并理解招标文件中的所有商务条款</w:t>
      </w:r>
      <w:r>
        <w:rPr>
          <w:rFonts w:hint="eastAsia" w:ascii="仿宋" w:hAnsi="仿宋" w:eastAsia="仿宋" w:cs="仿宋"/>
          <w:color w:val="auto"/>
          <w:sz w:val="24"/>
          <w:szCs w:val="24"/>
          <w:highlight w:val="none"/>
          <w:lang w:eastAsia="zh-CN"/>
        </w:rPr>
        <w:t>，我</w:t>
      </w:r>
      <w:r>
        <w:rPr>
          <w:rFonts w:hint="eastAsia" w:ascii="仿宋" w:hAnsi="仿宋" w:eastAsia="仿宋" w:cs="仿宋"/>
          <w:color w:val="auto"/>
          <w:sz w:val="24"/>
          <w:szCs w:val="24"/>
          <w:highlight w:val="none"/>
          <w:lang w:val="en-US" w:eastAsia="zh-CN"/>
        </w:rPr>
        <w:t>单位理解并完全响应本项目中的商务要求。</w:t>
      </w:r>
    </w:p>
    <w:p w14:paraId="0E388C2A">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中标</w:t>
      </w:r>
      <w:r>
        <w:rPr>
          <w:rFonts w:hint="eastAsia" w:ascii="仿宋" w:hAnsi="仿宋" w:eastAsia="仿宋" w:cs="仿宋"/>
          <w:color w:val="auto"/>
          <w:sz w:val="24"/>
          <w:szCs w:val="24"/>
          <w:highlight w:val="none"/>
        </w:rPr>
        <w:t>后我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将严格遵照执行</w:t>
      </w:r>
      <w:r>
        <w:rPr>
          <w:rFonts w:hint="eastAsia" w:ascii="仿宋" w:hAnsi="仿宋" w:eastAsia="仿宋" w:cs="仿宋"/>
          <w:color w:val="auto"/>
          <w:sz w:val="24"/>
          <w:szCs w:val="24"/>
          <w:highlight w:val="none"/>
          <w:lang w:val="en-US" w:eastAsia="zh-CN"/>
        </w:rPr>
        <w:t>商务要求约定的各项义务，确保合同的顺利履行。</w:t>
      </w:r>
    </w:p>
    <w:p w14:paraId="62431287">
      <w:pPr>
        <w:keepNext w:val="0"/>
        <w:keepLines w:val="0"/>
        <w:pageBreakBefore w:val="0"/>
        <w:widowControl w:val="0"/>
        <w:kinsoku/>
        <w:wordWrap w:val="0"/>
        <w:overflowPunct/>
        <w:topLinePunct/>
        <w:autoSpaceDE/>
        <w:autoSpaceDN/>
        <w:bidi w:val="0"/>
        <w:adjustRightInd/>
        <w:snapToGrid/>
        <w:spacing w:after="0" w:line="360" w:lineRule="auto"/>
        <w:ind w:firstLine="425"/>
        <w:textAlignment w:val="auto"/>
        <w:rPr>
          <w:rFonts w:hint="eastAsia" w:ascii="仿宋" w:hAnsi="仿宋" w:eastAsia="仿宋" w:cs="仿宋"/>
          <w:color w:val="auto"/>
          <w:highlight w:val="none"/>
        </w:rPr>
      </w:pPr>
    </w:p>
    <w:p w14:paraId="33C68423">
      <w:pPr>
        <w:wordWrap w:val="0"/>
        <w:overflowPunct w:val="0"/>
        <w:topLinePunct/>
        <w:spacing w:line="360" w:lineRule="auto"/>
        <w:jc w:val="both"/>
        <w:rPr>
          <w:rFonts w:hint="eastAsia" w:ascii="仿宋" w:hAnsi="仿宋" w:eastAsia="仿宋" w:cs="仿宋"/>
          <w:color w:val="auto"/>
          <w:sz w:val="24"/>
          <w:highlight w:val="none"/>
          <w:lang w:eastAsia="zh-CN"/>
        </w:rPr>
      </w:pPr>
    </w:p>
    <w:p w14:paraId="218E4422">
      <w:pPr>
        <w:wordWrap w:val="0"/>
        <w:overflowPunct w:val="0"/>
        <w:topLinePunct/>
        <w:spacing w:line="360" w:lineRule="auto"/>
        <w:jc w:val="both"/>
        <w:rPr>
          <w:rFonts w:hint="eastAsia" w:ascii="仿宋" w:hAnsi="仿宋" w:eastAsia="仿宋" w:cs="仿宋"/>
          <w:color w:val="auto"/>
          <w:sz w:val="24"/>
          <w:highlight w:val="none"/>
          <w:lang w:eastAsia="zh-CN"/>
        </w:rPr>
      </w:pPr>
    </w:p>
    <w:p w14:paraId="7672D926">
      <w:pPr>
        <w:wordWrap w:val="0"/>
        <w:overflowPunct w:val="0"/>
        <w:topLinePunct/>
        <w:spacing w:line="360" w:lineRule="auto"/>
        <w:jc w:val="center"/>
        <w:rPr>
          <w:rFonts w:hint="eastAsia" w:ascii="仿宋" w:hAnsi="仿宋" w:eastAsia="仿宋" w:cs="仿宋"/>
          <w:color w:val="auto"/>
          <w:sz w:val="24"/>
          <w:highlight w:val="none"/>
          <w:u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446C3E4B">
      <w:pPr>
        <w:keepNext w:val="0"/>
        <w:keepLines w:val="0"/>
        <w:pageBreakBefore w:val="0"/>
        <w:widowControl w:val="0"/>
        <w:numPr>
          <w:ilvl w:val="0"/>
          <w:numId w:val="0"/>
        </w:numPr>
        <w:kinsoku/>
        <w:wordWrap w:val="0"/>
        <w:overflowPunct w:val="0"/>
        <w:topLinePunct/>
        <w:autoSpaceDE/>
        <w:autoSpaceDN/>
        <w:bidi w:val="0"/>
        <w:adjustRightInd/>
        <w:snapToGrid/>
        <w:ind w:right="0" w:rightChars="0"/>
        <w:jc w:val="center"/>
        <w:outlineLvl w:val="1"/>
        <w:rPr>
          <w:rFonts w:hint="eastAsia" w:ascii="仿宋" w:hAnsi="仿宋" w:eastAsia="仿宋" w:cs="仿宋"/>
          <w:b/>
          <w:bCs/>
          <w:color w:val="auto"/>
          <w:sz w:val="32"/>
          <w:szCs w:val="32"/>
          <w:highlight w:val="none"/>
          <w:lang w:val="en-US" w:eastAsia="zh-CN"/>
        </w:rPr>
        <w:sectPr>
          <w:footerReference r:id="rId22" w:type="default"/>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39D6635E">
      <w:pPr>
        <w:keepNext w:val="0"/>
        <w:keepLines w:val="0"/>
        <w:pageBreakBefore w:val="0"/>
        <w:widowControl w:val="0"/>
        <w:kinsoku/>
        <w:wordWrap/>
        <w:overflowPunct/>
        <w:topLinePunct/>
        <w:autoSpaceDE w:val="0"/>
        <w:autoSpaceDN/>
        <w:bidi w:val="0"/>
        <w:adjustRightInd/>
        <w:snapToGrid/>
        <w:spacing w:line="360" w:lineRule="auto"/>
        <w:jc w:val="center"/>
        <w:textAlignment w:val="baseline"/>
        <w:outlineLvl w:val="1"/>
        <w:rPr>
          <w:rFonts w:hint="eastAsia" w:ascii="仿宋" w:hAnsi="仿宋" w:eastAsia="仿宋" w:cs="仿宋"/>
          <w:color w:val="auto"/>
          <w:sz w:val="24"/>
          <w:szCs w:val="24"/>
          <w:highlight w:val="none"/>
          <w:lang w:eastAsia="zh-CN"/>
        </w:rPr>
      </w:pPr>
      <w:bookmarkStart w:id="1638" w:name="_Toc17418"/>
      <w:bookmarkStart w:id="1639" w:name="_Toc20056"/>
      <w:bookmarkStart w:id="1640" w:name="_Toc13211"/>
      <w:bookmarkStart w:id="1641" w:name="_Toc12296"/>
      <w:bookmarkStart w:id="1642" w:name="_Toc17455"/>
      <w:bookmarkStart w:id="1643" w:name="_Toc11157"/>
      <w:bookmarkStart w:id="1644" w:name="_Toc5103"/>
      <w:bookmarkStart w:id="1645" w:name="_Toc12254"/>
      <w:bookmarkStart w:id="1646" w:name="_Toc5941"/>
      <w:bookmarkStart w:id="1647" w:name="_Toc813"/>
      <w:bookmarkStart w:id="1648" w:name="_Toc23768"/>
      <w:bookmarkStart w:id="1649" w:name="_Toc1382"/>
      <w:bookmarkStart w:id="1650" w:name="_Toc15363"/>
      <w:bookmarkStart w:id="1651" w:name="_Toc22576"/>
      <w:r>
        <w:rPr>
          <w:rFonts w:hint="eastAsia" w:ascii="仿宋" w:hAnsi="仿宋" w:eastAsia="仿宋" w:cs="仿宋"/>
          <w:b/>
          <w:bCs/>
          <w:color w:val="auto"/>
          <w:sz w:val="32"/>
          <w:szCs w:val="32"/>
          <w:highlight w:val="none"/>
          <w:lang w:val="en-US" w:eastAsia="zh-CN"/>
        </w:rPr>
        <w:t>六</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2"/>
          <w:szCs w:val="32"/>
          <w:highlight w:val="none"/>
        </w:rPr>
        <w:t>供货渠道与合作机构情况</w:t>
      </w:r>
      <w:r>
        <w:rPr>
          <w:rFonts w:hint="eastAsia" w:ascii="仿宋" w:hAnsi="仿宋" w:eastAsia="仿宋" w:cs="仿宋"/>
          <w:b/>
          <w:bCs/>
          <w:color w:val="auto"/>
          <w:sz w:val="32"/>
          <w:szCs w:val="32"/>
          <w:highlight w:val="none"/>
          <w:lang w:eastAsia="zh-CN"/>
        </w:rPr>
        <w:t>（</w:t>
      </w:r>
      <w:r>
        <w:rPr>
          <w:rFonts w:hint="eastAsia" w:ascii="仿宋" w:hAnsi="仿宋" w:eastAsia="仿宋" w:cs="仿宋"/>
          <w:b/>
          <w:bCs/>
          <w:color w:val="auto"/>
          <w:sz w:val="30"/>
          <w:szCs w:val="30"/>
          <w:highlight w:val="none"/>
          <w:lang w:val="en-US" w:eastAsia="zh-CN"/>
        </w:rPr>
        <w:t>若有</w:t>
      </w:r>
      <w:r>
        <w:rPr>
          <w:rFonts w:hint="eastAsia" w:ascii="仿宋" w:hAnsi="仿宋" w:eastAsia="仿宋" w:cs="仿宋"/>
          <w:b/>
          <w:bCs/>
          <w:color w:val="auto"/>
          <w:sz w:val="32"/>
          <w:szCs w:val="32"/>
          <w:highlight w:val="none"/>
          <w:lang w:eastAsia="zh-CN"/>
        </w:rPr>
        <w:t>）</w:t>
      </w:r>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p>
    <w:tbl>
      <w:tblPr>
        <w:tblStyle w:val="37"/>
        <w:tblW w:w="94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30"/>
        <w:gridCol w:w="5646"/>
        <w:gridCol w:w="2495"/>
      </w:tblGrid>
      <w:tr w14:paraId="372BD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78"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44AF387">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分项</w:t>
            </w:r>
          </w:p>
        </w:tc>
        <w:tc>
          <w:tcPr>
            <w:tcW w:w="5646" w:type="dxa"/>
            <w:tcBorders>
              <w:left w:val="single" w:color="auto" w:sz="4" w:space="0"/>
            </w:tcBorders>
            <w:noWrap w:val="0"/>
            <w:vAlign w:val="center"/>
          </w:tcPr>
          <w:p w14:paraId="37F15EDC">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基 本 情 况</w:t>
            </w:r>
          </w:p>
        </w:tc>
        <w:tc>
          <w:tcPr>
            <w:tcW w:w="2495" w:type="dxa"/>
            <w:noWrap w:val="0"/>
            <w:vAlign w:val="center"/>
          </w:tcPr>
          <w:p w14:paraId="0F65DAA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联系人/联系电话/传真</w:t>
            </w:r>
          </w:p>
        </w:tc>
      </w:tr>
      <w:tr w14:paraId="703CC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77E4A216">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生产厂家</w:t>
            </w:r>
          </w:p>
        </w:tc>
        <w:tc>
          <w:tcPr>
            <w:tcW w:w="5646" w:type="dxa"/>
            <w:tcBorders>
              <w:left w:val="single" w:color="auto" w:sz="4" w:space="0"/>
            </w:tcBorders>
            <w:noWrap w:val="0"/>
            <w:vAlign w:val="center"/>
          </w:tcPr>
          <w:p w14:paraId="67FFDE99">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单位名称：</w:t>
            </w:r>
            <w:r>
              <w:rPr>
                <w:rFonts w:hint="eastAsia" w:ascii="仿宋" w:hAnsi="仿宋" w:eastAsia="仿宋" w:cs="仿宋"/>
                <w:color w:val="auto"/>
                <w:sz w:val="24"/>
                <w:szCs w:val="24"/>
                <w:highlight w:val="none"/>
                <w:u w:val="single"/>
                <w:lang w:val="en-US" w:eastAsia="zh-CN"/>
              </w:rPr>
              <w:t xml:space="preserve">                     </w:t>
            </w:r>
          </w:p>
          <w:p w14:paraId="1F0A690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lang w:val="en-US" w:eastAsia="zh-CN"/>
              </w:rPr>
              <w:t xml:space="preserve">                     </w:t>
            </w:r>
          </w:p>
          <w:p w14:paraId="7F766A1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销售负责人：</w:t>
            </w:r>
            <w:r>
              <w:rPr>
                <w:rFonts w:hint="eastAsia" w:ascii="仿宋" w:hAnsi="仿宋" w:eastAsia="仿宋" w:cs="仿宋"/>
                <w:color w:val="auto"/>
                <w:sz w:val="24"/>
                <w:szCs w:val="24"/>
                <w:highlight w:val="none"/>
                <w:u w:val="single"/>
                <w:lang w:val="en-US" w:eastAsia="zh-CN"/>
              </w:rPr>
              <w:t xml:space="preserve">                   </w:t>
            </w:r>
          </w:p>
        </w:tc>
        <w:tc>
          <w:tcPr>
            <w:tcW w:w="2495" w:type="dxa"/>
            <w:tcBorders>
              <w:bottom w:val="single" w:color="auto" w:sz="4" w:space="0"/>
            </w:tcBorders>
            <w:noWrap w:val="0"/>
            <w:vAlign w:val="center"/>
          </w:tcPr>
          <w:p w14:paraId="67E87A3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394CBAFE">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47C2523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r w14:paraId="3E9E3F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55" w:hRule="atLeast"/>
          <w:jc w:val="center"/>
        </w:trPr>
        <w:tc>
          <w:tcPr>
            <w:tcW w:w="1330" w:type="dxa"/>
            <w:tcBorders>
              <w:top w:val="single" w:color="auto" w:sz="4" w:space="0"/>
              <w:left w:val="single" w:color="auto" w:sz="4" w:space="0"/>
              <w:bottom w:val="single" w:color="auto" w:sz="4" w:space="0"/>
              <w:right w:val="single" w:color="auto" w:sz="4" w:space="0"/>
            </w:tcBorders>
            <w:noWrap w:val="0"/>
            <w:vAlign w:val="center"/>
          </w:tcPr>
          <w:p w14:paraId="5101D02E">
            <w:pPr>
              <w:keepNext w:val="0"/>
              <w:keepLines w:val="0"/>
              <w:pageBreakBefore w:val="0"/>
              <w:widowControl w:val="0"/>
              <w:kinsoku/>
              <w:wordWrap/>
              <w:overflowPunct/>
              <w:topLinePunct/>
              <w:autoSpaceDE w:val="0"/>
              <w:autoSpaceDN/>
              <w:bidi w:val="0"/>
              <w:adjustRightInd/>
              <w:snapToGrid/>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关键设备合法来源渠道</w:t>
            </w:r>
          </w:p>
        </w:tc>
        <w:tc>
          <w:tcPr>
            <w:tcW w:w="5646" w:type="dxa"/>
            <w:tcBorders>
              <w:left w:val="single" w:color="auto" w:sz="4" w:space="0"/>
              <w:right w:val="single" w:color="auto" w:sz="4" w:space="0"/>
            </w:tcBorders>
            <w:noWrap w:val="0"/>
            <w:vAlign w:val="center"/>
          </w:tcPr>
          <w:p w14:paraId="721997C6">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产品名称：</w:t>
            </w:r>
            <w:r>
              <w:rPr>
                <w:rFonts w:hint="eastAsia" w:ascii="仿宋" w:hAnsi="仿宋" w:eastAsia="仿宋" w:cs="仿宋"/>
                <w:color w:val="auto"/>
                <w:sz w:val="24"/>
                <w:szCs w:val="24"/>
                <w:highlight w:val="none"/>
                <w:u w:val="single"/>
                <w:lang w:val="en-US" w:eastAsia="zh-CN"/>
              </w:rPr>
              <w:t xml:space="preserve">                     </w:t>
            </w:r>
          </w:p>
          <w:p w14:paraId="0A861563">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制造/</w:t>
            </w:r>
            <w:r>
              <w:rPr>
                <w:rFonts w:hint="eastAsia" w:ascii="仿宋" w:hAnsi="仿宋" w:eastAsia="仿宋" w:cs="仿宋"/>
                <w:color w:val="auto"/>
                <w:sz w:val="24"/>
                <w:szCs w:val="24"/>
                <w:highlight w:val="none"/>
                <w:lang w:eastAsia="zh-CN"/>
              </w:rPr>
              <w:t>投标人</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生产地：</w:t>
            </w:r>
            <w:r>
              <w:rPr>
                <w:rFonts w:hint="eastAsia" w:ascii="仿宋" w:hAnsi="仿宋" w:eastAsia="仿宋" w:cs="仿宋"/>
                <w:color w:val="auto"/>
                <w:sz w:val="24"/>
                <w:szCs w:val="24"/>
                <w:highlight w:val="none"/>
                <w:u w:val="single"/>
                <w:lang w:val="en-US" w:eastAsia="zh-CN"/>
              </w:rPr>
              <w:t xml:space="preserve">            </w:t>
            </w:r>
          </w:p>
          <w:p w14:paraId="66A0D8A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经销总代理：</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  销售负责人：</w:t>
            </w:r>
            <w:r>
              <w:rPr>
                <w:rFonts w:hint="eastAsia" w:ascii="仿宋" w:hAnsi="仿宋" w:eastAsia="仿宋" w:cs="仿宋"/>
                <w:color w:val="auto"/>
                <w:sz w:val="24"/>
                <w:szCs w:val="24"/>
                <w:highlight w:val="none"/>
                <w:u w:val="single"/>
                <w:lang w:val="en-US" w:eastAsia="zh-CN"/>
              </w:rPr>
              <w:t xml:space="preserve">      </w:t>
            </w:r>
          </w:p>
          <w:p w14:paraId="7AA8454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产品介绍和报价的权威网站：</w:t>
            </w:r>
            <w:r>
              <w:rPr>
                <w:rFonts w:hint="eastAsia" w:ascii="仿宋" w:hAnsi="仿宋" w:eastAsia="仿宋" w:cs="仿宋"/>
                <w:color w:val="auto"/>
                <w:sz w:val="24"/>
                <w:szCs w:val="24"/>
                <w:highlight w:val="none"/>
                <w:u w:val="single"/>
                <w:lang w:val="en-US" w:eastAsia="zh-CN"/>
              </w:rPr>
              <w:t xml:space="preserve">                    </w:t>
            </w:r>
          </w:p>
          <w:p w14:paraId="78862068">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产品合法来源验证查询专线：</w:t>
            </w:r>
            <w:r>
              <w:rPr>
                <w:rFonts w:hint="eastAsia" w:ascii="仿宋" w:hAnsi="仿宋" w:eastAsia="仿宋" w:cs="仿宋"/>
                <w:color w:val="auto"/>
                <w:sz w:val="24"/>
                <w:szCs w:val="24"/>
                <w:highlight w:val="none"/>
                <w:u w:val="single"/>
                <w:lang w:val="en-US" w:eastAsia="zh-CN"/>
              </w:rPr>
              <w:t xml:space="preserve">                    </w:t>
            </w:r>
          </w:p>
          <w:p w14:paraId="5924752A">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售后服务管理验证查询专线：</w:t>
            </w:r>
            <w:r>
              <w:rPr>
                <w:rFonts w:hint="eastAsia" w:ascii="仿宋" w:hAnsi="仿宋" w:eastAsia="仿宋" w:cs="仿宋"/>
                <w:color w:val="auto"/>
                <w:sz w:val="24"/>
                <w:szCs w:val="24"/>
                <w:highlight w:val="none"/>
                <w:u w:val="single"/>
                <w:lang w:val="en-US" w:eastAsia="zh-CN"/>
              </w:rPr>
              <w:t xml:space="preserve">                    </w:t>
            </w:r>
          </w:p>
        </w:tc>
        <w:tc>
          <w:tcPr>
            <w:tcW w:w="2495" w:type="dxa"/>
            <w:tcBorders>
              <w:top w:val="single" w:color="auto" w:sz="4" w:space="0"/>
              <w:left w:val="single" w:color="auto" w:sz="4" w:space="0"/>
              <w:bottom w:val="single" w:color="auto" w:sz="4" w:space="0"/>
              <w:right w:val="single" w:color="auto" w:sz="4" w:space="0"/>
            </w:tcBorders>
            <w:noWrap w:val="0"/>
            <w:vAlign w:val="center"/>
          </w:tcPr>
          <w:p w14:paraId="6D5FB86F">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p w14:paraId="09977371">
            <w:pPr>
              <w:keepNext w:val="0"/>
              <w:keepLines w:val="0"/>
              <w:pageBreakBefore w:val="0"/>
              <w:widowControl w:val="0"/>
              <w:kinsoku/>
              <w:wordWrap/>
              <w:overflowPunct/>
              <w:topLinePunct/>
              <w:autoSpaceDE w:val="0"/>
              <w:autoSpaceDN/>
              <w:bidi w:val="0"/>
              <w:adjustRightInd/>
              <w:snapToGrid/>
              <w:spacing w:line="36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传真</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u w:val="single"/>
                <w:lang w:val="en-US" w:eastAsia="zh-CN"/>
              </w:rPr>
              <w:t xml:space="preserve">            </w:t>
            </w:r>
          </w:p>
        </w:tc>
      </w:tr>
    </w:tbl>
    <w:p w14:paraId="78EBB5F8">
      <w:pPr>
        <w:pStyle w:val="10"/>
        <w:rPr>
          <w:rFonts w:hint="eastAsia" w:ascii="仿宋" w:hAnsi="仿宋" w:eastAsia="仿宋" w:cs="仿宋"/>
          <w:color w:val="auto"/>
          <w:sz w:val="24"/>
          <w:szCs w:val="24"/>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lang w:eastAsia="zh-CN"/>
        </w:rPr>
        <w:t>注：须提供相关证明材料</w:t>
      </w:r>
    </w:p>
    <w:p w14:paraId="0FD6D4DC">
      <w:pPr>
        <w:pStyle w:val="4"/>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outlineLvl w:val="1"/>
        <w:rPr>
          <w:rFonts w:hint="eastAsia" w:ascii="仿宋" w:hAnsi="仿宋" w:eastAsia="仿宋" w:cs="仿宋"/>
          <w:color w:val="auto"/>
          <w:sz w:val="22"/>
          <w:szCs w:val="22"/>
          <w:highlight w:val="none"/>
          <w:u w:val="none"/>
          <w:lang w:eastAsia="zh-CN"/>
        </w:rPr>
      </w:pPr>
      <w:bookmarkStart w:id="1652" w:name="_Toc10223"/>
      <w:bookmarkStart w:id="1653" w:name="_Toc6718"/>
      <w:bookmarkStart w:id="1654" w:name="_Toc17595"/>
      <w:bookmarkStart w:id="1655" w:name="_Toc1575"/>
      <w:bookmarkStart w:id="1656" w:name="_Toc10237"/>
      <w:bookmarkStart w:id="1657" w:name="_Toc15717"/>
      <w:bookmarkStart w:id="1658" w:name="_Toc7696"/>
      <w:bookmarkStart w:id="1659" w:name="_Toc31177"/>
      <w:bookmarkStart w:id="1660" w:name="_Toc24414"/>
      <w:bookmarkStart w:id="1661" w:name="_Toc9021"/>
      <w:bookmarkStart w:id="1662" w:name="_Toc30085"/>
      <w:bookmarkStart w:id="1663" w:name="_Toc30310"/>
      <w:bookmarkStart w:id="1664" w:name="_Toc21967"/>
      <w:bookmarkStart w:id="1665" w:name="_Toc16821"/>
      <w:bookmarkStart w:id="1666" w:name="_Toc24060"/>
      <w:bookmarkStart w:id="1667" w:name="_Toc23457"/>
      <w:bookmarkStart w:id="1668" w:name="_Toc10910"/>
      <w:bookmarkStart w:id="1669" w:name="_Toc27012"/>
      <w:bookmarkStart w:id="1670" w:name="_Toc20393"/>
      <w:bookmarkStart w:id="1671" w:name="_Toc2855"/>
      <w:bookmarkStart w:id="1672" w:name="_Toc2865"/>
      <w:bookmarkStart w:id="1673" w:name="_Toc1878"/>
      <w:bookmarkStart w:id="1674" w:name="_Toc14131"/>
      <w:bookmarkStart w:id="1675" w:name="_Toc23615"/>
      <w:bookmarkStart w:id="1676" w:name="_Toc28887"/>
      <w:bookmarkStart w:id="1677" w:name="_Toc27228"/>
      <w:bookmarkStart w:id="1678" w:name="_Toc9097"/>
      <w:bookmarkStart w:id="1679" w:name="_Toc12306"/>
      <w:bookmarkStart w:id="1680" w:name="_Toc5531"/>
      <w:bookmarkStart w:id="1681" w:name="_Toc8198"/>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lang w:eastAsia="zh-CN"/>
        </w:rPr>
        <w:t>、投标保证金</w:t>
      </w:r>
      <w:r>
        <w:rPr>
          <w:rFonts w:hint="eastAsia" w:ascii="仿宋" w:hAnsi="仿宋" w:eastAsia="仿宋" w:cs="仿宋"/>
          <w:b/>
          <w:bCs/>
          <w:color w:val="auto"/>
          <w:spacing w:val="-1"/>
          <w:sz w:val="28"/>
          <w:szCs w:val="28"/>
          <w:highlight w:val="none"/>
        </w:rPr>
        <w:t>缴</w:t>
      </w:r>
      <w:r>
        <w:rPr>
          <w:rFonts w:hint="eastAsia" w:ascii="仿宋" w:hAnsi="仿宋" w:eastAsia="仿宋" w:cs="仿宋"/>
          <w:b/>
          <w:bCs/>
          <w:color w:val="auto"/>
          <w:sz w:val="28"/>
          <w:szCs w:val="28"/>
          <w:highlight w:val="none"/>
        </w:rPr>
        <w:t>纳证明</w:t>
      </w:r>
      <w:r>
        <w:rPr>
          <w:rFonts w:hint="eastAsia" w:ascii="仿宋" w:hAnsi="仿宋" w:eastAsia="仿宋" w:cs="仿宋"/>
          <w:b/>
          <w:bCs/>
          <w:color w:val="auto"/>
          <w:sz w:val="28"/>
          <w:szCs w:val="28"/>
          <w:highlight w:val="none"/>
          <w:lang w:val="en-US" w:eastAsia="zh-CN"/>
        </w:rPr>
        <w:t>（实质性格式）</w:t>
      </w:r>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p>
    <w:p w14:paraId="339468CF">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lang w:val="en-US" w:eastAsia="zh-CN"/>
        </w:rPr>
        <w:t>云南陈源项目管理有限公司</w:t>
      </w:r>
      <w:r>
        <w:rPr>
          <w:rFonts w:hint="eastAsia" w:ascii="仿宋" w:hAnsi="仿宋" w:eastAsia="仿宋" w:cs="仿宋"/>
          <w:color w:val="auto"/>
          <w:sz w:val="24"/>
          <w:szCs w:val="24"/>
          <w:highlight w:val="none"/>
          <w:u w:val="none"/>
        </w:rPr>
        <w:t>：</w:t>
      </w:r>
    </w:p>
    <w:p w14:paraId="7CF8EEC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eastAsia="zh-CN"/>
        </w:rPr>
        <w:t>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参加贵单位组织的（</w:t>
      </w:r>
      <w:r>
        <w:rPr>
          <w:rFonts w:hint="eastAsia" w:ascii="仿宋" w:hAnsi="仿宋" w:eastAsia="仿宋" w:cs="仿宋"/>
          <w:color w:val="auto"/>
          <w:sz w:val="24"/>
          <w:szCs w:val="24"/>
          <w:highlight w:val="none"/>
          <w:lang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u w:val="single"/>
          <w:lang w:val="en-US" w:eastAsia="zh-CN"/>
        </w:rPr>
        <w:t>公开招标</w:t>
      </w:r>
      <w:r>
        <w:rPr>
          <w:rFonts w:hint="eastAsia" w:ascii="仿宋" w:hAnsi="仿宋" w:eastAsia="仿宋" w:cs="仿宋"/>
          <w:color w:val="auto"/>
          <w:sz w:val="24"/>
          <w:highlight w:val="none"/>
          <w:lang w:val="en-US" w:eastAsia="zh-CN"/>
        </w:rPr>
        <w:t>采购活动</w:t>
      </w:r>
      <w:r>
        <w:rPr>
          <w:rFonts w:hint="eastAsia" w:ascii="仿宋" w:hAnsi="仿宋" w:eastAsia="仿宋" w:cs="仿宋"/>
          <w:color w:val="auto"/>
          <w:sz w:val="24"/>
          <w:szCs w:val="24"/>
          <w:highlight w:val="none"/>
        </w:rPr>
        <w:t>。按</w:t>
      </w:r>
      <w:r>
        <w:rPr>
          <w:rFonts w:hint="eastAsia" w:ascii="仿宋" w:hAnsi="仿宋" w:eastAsia="仿宋" w:cs="仿宋"/>
          <w:color w:val="auto"/>
          <w:sz w:val="24"/>
          <w:szCs w:val="24"/>
          <w:highlight w:val="none"/>
          <w:lang w:eastAsia="zh-CN"/>
        </w:rPr>
        <w:t>招标文件</w:t>
      </w:r>
      <w:r>
        <w:rPr>
          <w:rFonts w:hint="eastAsia" w:ascii="仿宋" w:hAnsi="仿宋" w:eastAsia="仿宋" w:cs="仿宋"/>
          <w:color w:val="auto"/>
          <w:sz w:val="24"/>
          <w:szCs w:val="24"/>
          <w:highlight w:val="none"/>
        </w:rPr>
        <w:t>的规定，已通过转</w:t>
      </w:r>
      <w:r>
        <w:rPr>
          <w:rFonts w:hint="eastAsia" w:ascii="仿宋" w:hAnsi="仿宋" w:eastAsia="仿宋" w:cs="仿宋"/>
          <w:color w:val="auto"/>
          <w:sz w:val="24"/>
          <w:szCs w:val="24"/>
          <w:highlight w:val="none"/>
          <w:lang w:eastAsia="zh-CN"/>
        </w:rPr>
        <w:t>账</w:t>
      </w:r>
      <w:r>
        <w:rPr>
          <w:rFonts w:hint="eastAsia" w:ascii="仿宋" w:hAnsi="仿宋" w:eastAsia="仿宋" w:cs="仿宋"/>
          <w:color w:val="auto"/>
          <w:sz w:val="24"/>
          <w:szCs w:val="24"/>
          <w:highlight w:val="none"/>
        </w:rPr>
        <w:t>、银行汇款、支票、银行汇票等</w:t>
      </w:r>
      <w:r>
        <w:rPr>
          <w:rFonts w:hint="eastAsia" w:ascii="仿宋" w:hAnsi="仿宋" w:eastAsia="仿宋" w:cs="仿宋"/>
          <w:color w:val="auto"/>
          <w:sz w:val="24"/>
          <w:szCs w:val="24"/>
          <w:highlight w:val="none"/>
          <w:lang w:eastAsia="zh-CN"/>
        </w:rPr>
        <w:t>非现金</w:t>
      </w:r>
      <w:r>
        <w:rPr>
          <w:rFonts w:hint="eastAsia" w:ascii="仿宋" w:hAnsi="仿宋" w:eastAsia="仿宋" w:cs="仿宋"/>
          <w:color w:val="auto"/>
          <w:sz w:val="24"/>
          <w:szCs w:val="24"/>
          <w:highlight w:val="none"/>
        </w:rPr>
        <w:t>形式</w:t>
      </w:r>
      <w:r>
        <w:rPr>
          <w:rFonts w:hint="eastAsia" w:ascii="仿宋" w:hAnsi="仿宋" w:eastAsia="仿宋" w:cs="仿宋"/>
          <w:color w:val="auto"/>
          <w:sz w:val="24"/>
          <w:szCs w:val="24"/>
          <w:highlight w:val="none"/>
          <w:lang w:eastAsia="zh-CN"/>
        </w:rPr>
        <w:t>缴纳</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（大写）  　　  </w:t>
      </w:r>
      <w:r>
        <w:rPr>
          <w:rFonts w:hint="eastAsia" w:ascii="仿宋" w:hAnsi="仿宋" w:eastAsia="仿宋" w:cs="仿宋"/>
          <w:color w:val="auto"/>
          <w:sz w:val="24"/>
          <w:szCs w:val="24"/>
          <w:highlight w:val="none"/>
        </w:rPr>
        <w:t>元的投标保证金。</w:t>
      </w:r>
    </w:p>
    <w:p w14:paraId="5A67841E">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开票信息：</w:t>
      </w:r>
    </w:p>
    <w:p w14:paraId="57C50E8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w:t>
      </w:r>
      <w:r>
        <w:rPr>
          <w:rFonts w:hint="eastAsia" w:ascii="仿宋" w:hAnsi="仿宋" w:eastAsia="仿宋" w:cs="仿宋"/>
          <w:color w:val="auto"/>
          <w:sz w:val="24"/>
          <w:szCs w:val="24"/>
          <w:highlight w:val="none"/>
          <w:u w:val="single"/>
        </w:rPr>
        <w:t xml:space="preserve">                     </w:t>
      </w:r>
    </w:p>
    <w:p w14:paraId="3483B33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纳税人识别号：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4CBCB4CD">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址、电 话：</w:t>
      </w:r>
      <w:r>
        <w:rPr>
          <w:rFonts w:hint="eastAsia" w:ascii="仿宋" w:hAnsi="仿宋" w:eastAsia="仿宋" w:cs="仿宋"/>
          <w:color w:val="auto"/>
          <w:sz w:val="24"/>
          <w:szCs w:val="24"/>
          <w:highlight w:val="none"/>
          <w:u w:val="single"/>
        </w:rPr>
        <w:t xml:space="preserve">                     </w:t>
      </w:r>
    </w:p>
    <w:p w14:paraId="5382051C">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 户 银 行 ：</w:t>
      </w:r>
      <w:r>
        <w:rPr>
          <w:rFonts w:hint="eastAsia" w:ascii="仿宋" w:hAnsi="仿宋" w:eastAsia="仿宋" w:cs="仿宋"/>
          <w:color w:val="auto"/>
          <w:sz w:val="24"/>
          <w:szCs w:val="24"/>
          <w:highlight w:val="none"/>
          <w:u w:val="single"/>
        </w:rPr>
        <w:t xml:space="preserve">                     </w:t>
      </w:r>
    </w:p>
    <w:p w14:paraId="004D50FA">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账        号：</w:t>
      </w:r>
      <w:r>
        <w:rPr>
          <w:rFonts w:hint="eastAsia" w:ascii="仿宋" w:hAnsi="仿宋" w:eastAsia="仿宋" w:cs="仿宋"/>
          <w:color w:val="auto"/>
          <w:sz w:val="24"/>
          <w:szCs w:val="24"/>
          <w:highlight w:val="none"/>
          <w:u w:val="single"/>
        </w:rPr>
        <w:t xml:space="preserve">                     </w:t>
      </w:r>
    </w:p>
    <w:p w14:paraId="66444CB0">
      <w:pPr>
        <w:keepNext w:val="0"/>
        <w:keepLines w:val="0"/>
        <w:pageBreakBefore w:val="0"/>
        <w:widowControl w:val="0"/>
        <w:kinsoku/>
        <w:wordWrap w:val="0"/>
        <w:overflowPunct/>
        <w:topLinePunct/>
        <w:autoSpaceDE/>
        <w:autoSpaceDN/>
        <w:bidi w:val="0"/>
        <w:adjustRightInd/>
        <w:snapToGrid/>
        <w:spacing w:line="360" w:lineRule="auto"/>
        <w:ind w:left="0" w:leftChars="0" w:right="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说明：上述要素的填写必须与银行转账或银行汇款凭证的要素一致，</w:t>
      </w:r>
      <w:r>
        <w:rPr>
          <w:rFonts w:hint="eastAsia" w:ascii="仿宋" w:hAnsi="仿宋" w:eastAsia="仿宋" w:cs="仿宋"/>
          <w:color w:val="auto"/>
          <w:sz w:val="24"/>
          <w:szCs w:val="24"/>
          <w:highlight w:val="none"/>
          <w:u w:val="none"/>
          <w:lang w:val="en-US" w:eastAsia="zh-CN"/>
        </w:rPr>
        <w:t>采购</w:t>
      </w:r>
      <w:r>
        <w:rPr>
          <w:rFonts w:hint="eastAsia" w:ascii="仿宋" w:hAnsi="仿宋" w:eastAsia="仿宋" w:cs="仿宋"/>
          <w:color w:val="auto"/>
          <w:sz w:val="24"/>
          <w:szCs w:val="24"/>
          <w:highlight w:val="none"/>
          <w:u w:val="none"/>
          <w:lang w:eastAsia="zh-CN"/>
        </w:rPr>
        <w:t>代理机构</w:t>
      </w:r>
      <w:r>
        <w:rPr>
          <w:rFonts w:hint="eastAsia" w:ascii="仿宋" w:hAnsi="仿宋" w:eastAsia="仿宋" w:cs="仿宋"/>
          <w:color w:val="auto"/>
          <w:sz w:val="24"/>
          <w:szCs w:val="24"/>
          <w:highlight w:val="none"/>
          <w:u w:val="none"/>
        </w:rPr>
        <w:t>依据</w:t>
      </w:r>
      <w:r>
        <w:rPr>
          <w:rFonts w:hint="eastAsia" w:ascii="仿宋" w:hAnsi="仿宋" w:eastAsia="仿宋" w:cs="仿宋"/>
          <w:color w:val="auto"/>
          <w:sz w:val="24"/>
          <w:szCs w:val="24"/>
          <w:highlight w:val="none"/>
        </w:rPr>
        <w:t>此凭证信息退还</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保证金。</w:t>
      </w:r>
    </w:p>
    <w:p w14:paraId="327B2C83">
      <w:pPr>
        <w:keepNext w:val="0"/>
        <w:keepLines w:val="0"/>
        <w:pageBreakBefore w:val="0"/>
        <w:widowControl w:val="0"/>
        <w:kinsoku/>
        <w:wordWrap w:val="0"/>
        <w:overflowPunct/>
        <w:topLinePunct/>
        <w:autoSpaceDE/>
        <w:autoSpaceDN/>
        <w:bidi w:val="0"/>
        <w:adjustRightInd/>
        <w:snapToGrid/>
        <w:spacing w:line="360" w:lineRule="auto"/>
        <w:ind w:left="0" w:leftChars="0" w:right="0"/>
        <w:jc w:val="left"/>
        <w:textAlignment w:val="auto"/>
        <w:outlineLvl w:val="2"/>
        <w:rPr>
          <w:rFonts w:hint="eastAsia" w:ascii="仿宋" w:hAnsi="仿宋" w:eastAsia="仿宋" w:cs="仿宋"/>
          <w:b/>
          <w:bCs/>
          <w:color w:val="auto"/>
          <w:sz w:val="24"/>
          <w:szCs w:val="24"/>
          <w:highlight w:val="none"/>
        </w:rPr>
      </w:pPr>
      <w:bookmarkStart w:id="1682" w:name="_Toc4111"/>
      <w:bookmarkStart w:id="1683" w:name="_Toc7519"/>
      <w:bookmarkStart w:id="1684" w:name="_Toc29103"/>
      <w:bookmarkStart w:id="1685" w:name="_Toc5844"/>
      <w:bookmarkStart w:id="1686" w:name="_Toc11719"/>
      <w:bookmarkStart w:id="1687" w:name="_Toc5076"/>
      <w:bookmarkStart w:id="1688" w:name="_Toc265"/>
      <w:bookmarkStart w:id="1689" w:name="_Toc32764"/>
      <w:bookmarkStart w:id="1690" w:name="_Toc26406"/>
      <w:bookmarkStart w:id="1691" w:name="_Toc10789"/>
      <w:bookmarkStart w:id="1692" w:name="_Toc25495"/>
      <w:bookmarkStart w:id="1693" w:name="_Toc8799"/>
      <w:bookmarkStart w:id="1694" w:name="_Toc20192"/>
      <w:bookmarkStart w:id="1695" w:name="_Toc23728"/>
      <w:bookmarkStart w:id="1696" w:name="_Toc24540"/>
      <w:bookmarkStart w:id="1697" w:name="_Toc24446"/>
      <w:bookmarkStart w:id="1698" w:name="_Toc23440"/>
      <w:bookmarkStart w:id="1699" w:name="_Toc5356"/>
      <w:bookmarkStart w:id="1700" w:name="_Toc7794"/>
      <w:bookmarkStart w:id="1701" w:name="_Toc29555"/>
      <w:bookmarkStart w:id="1702" w:name="_Toc27200"/>
      <w:bookmarkStart w:id="1703" w:name="_Toc8676"/>
      <w:bookmarkStart w:id="1704" w:name="_Toc4462"/>
      <w:bookmarkStart w:id="1705" w:name="_Toc12219"/>
      <w:bookmarkStart w:id="1706" w:name="_Toc9888"/>
      <w:bookmarkStart w:id="1707" w:name="_Toc14051"/>
      <w:bookmarkStart w:id="1708" w:name="_Toc4664"/>
      <w:bookmarkStart w:id="1709" w:name="_Toc1753"/>
      <w:bookmarkStart w:id="1710" w:name="_Toc31207"/>
      <w:bookmarkStart w:id="1711" w:name="_Toc26681"/>
      <w:bookmarkStart w:id="1712" w:name="_Toc19467"/>
      <w:bookmarkStart w:id="1713" w:name="_Toc18949"/>
      <w:bookmarkStart w:id="1714" w:name="_Toc31994"/>
      <w:bookmarkStart w:id="1715" w:name="_Toc25243"/>
      <w:bookmarkStart w:id="1716" w:name="_Toc27976"/>
      <w:bookmarkStart w:id="1717" w:name="_Toc2179"/>
      <w:bookmarkStart w:id="1718" w:name="_Toc8068"/>
      <w:bookmarkStart w:id="1719" w:name="_Toc21748"/>
      <w:bookmarkStart w:id="1720" w:name="_Toc26762"/>
      <w:bookmarkStart w:id="1721" w:name="_Toc30390"/>
      <w:r>
        <w:rPr>
          <w:rFonts w:hint="eastAsia" w:ascii="仿宋" w:hAnsi="仿宋" w:eastAsia="仿宋" w:cs="仿宋"/>
          <w:b/>
          <w:bCs/>
          <w:color w:val="auto"/>
          <w:sz w:val="24"/>
          <w:szCs w:val="24"/>
          <w:highlight w:val="none"/>
        </w:rPr>
        <w:t>附：</w:t>
      </w: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保证金</w:t>
      </w:r>
      <w:r>
        <w:rPr>
          <w:rFonts w:hint="eastAsia" w:ascii="仿宋" w:hAnsi="仿宋" w:eastAsia="仿宋" w:cs="仿宋"/>
          <w:b/>
          <w:bCs/>
          <w:color w:val="auto"/>
          <w:sz w:val="24"/>
          <w:szCs w:val="24"/>
          <w:highlight w:val="none"/>
          <w:lang w:val="en-US" w:eastAsia="zh-CN"/>
        </w:rPr>
        <w:t>/保函、保险等</w:t>
      </w:r>
      <w:r>
        <w:rPr>
          <w:rFonts w:hint="eastAsia" w:ascii="仿宋" w:hAnsi="仿宋" w:eastAsia="仿宋" w:cs="仿宋"/>
          <w:b/>
          <w:bCs/>
          <w:color w:val="auto"/>
          <w:sz w:val="24"/>
          <w:szCs w:val="24"/>
          <w:highlight w:val="none"/>
        </w:rPr>
        <w:t>缴纳凭证</w:t>
      </w:r>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r>
        <w:rPr>
          <w:rFonts w:hint="eastAsia" w:ascii="仿宋" w:hAnsi="仿宋" w:eastAsia="仿宋" w:cs="仿宋"/>
          <w:b/>
          <w:bCs/>
          <w:color w:val="auto"/>
          <w:sz w:val="24"/>
          <w:szCs w:val="24"/>
          <w:highlight w:val="none"/>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0"/>
      </w:tblGrid>
      <w:tr w14:paraId="167E7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8" w:hRule="atLeast"/>
          <w:jc w:val="center"/>
        </w:trPr>
        <w:tc>
          <w:tcPr>
            <w:tcW w:w="9300" w:type="dxa"/>
            <w:noWrap w:val="0"/>
            <w:vAlign w:val="top"/>
          </w:tcPr>
          <w:p w14:paraId="440D62B6">
            <w:pPr>
              <w:keepNext w:val="0"/>
              <w:keepLines w:val="0"/>
              <w:pageBreakBefore w:val="0"/>
              <w:widowControl w:val="0"/>
              <w:kinsoku/>
              <w:wordWrap w:val="0"/>
              <w:overflowPunct/>
              <w:topLinePunct/>
              <w:autoSpaceDE/>
              <w:autoSpaceDN/>
              <w:bidi w:val="0"/>
              <w:adjustRightInd/>
              <w:snapToGrid/>
              <w:spacing w:line="300" w:lineRule="auto"/>
              <w:ind w:left="0" w:leftChars="0" w:right="0"/>
              <w:jc w:val="center"/>
              <w:rPr>
                <w:rFonts w:hint="eastAsia" w:ascii="仿宋" w:hAnsi="仿宋" w:eastAsia="仿宋" w:cs="仿宋"/>
                <w:color w:val="auto"/>
                <w:szCs w:val="21"/>
                <w:highlight w:val="none"/>
              </w:rPr>
            </w:pPr>
          </w:p>
        </w:tc>
      </w:tr>
    </w:tbl>
    <w:p w14:paraId="081A7BEF">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4B1B6C1">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1A85EAE8">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3C63FC7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lang w:eastAsia="zh-CN"/>
        </w:rPr>
      </w:pPr>
    </w:p>
    <w:p w14:paraId="456D1D28">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4371FBE">
      <w:pPr>
        <w:keepNext w:val="0"/>
        <w:keepLines w:val="0"/>
        <w:pageBreakBefore w:val="0"/>
        <w:widowControl w:val="0"/>
        <w:kinsoku/>
        <w:wordWrap w:val="0"/>
        <w:overflowPunct/>
        <w:topLinePunct/>
        <w:autoSpaceDE/>
        <w:autoSpaceDN/>
        <w:bidi w:val="0"/>
        <w:adjustRightInd/>
        <w:snapToGrid/>
        <w:spacing w:line="360" w:lineRule="auto"/>
        <w:ind w:left="0" w:leftChars="0" w:right="0"/>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D261BB3">
      <w:pPr>
        <w:pStyle w:val="19"/>
        <w:keepNext w:val="0"/>
        <w:keepLines w:val="0"/>
        <w:pageBreakBefore w:val="0"/>
        <w:widowControl w:val="0"/>
        <w:kinsoku/>
        <w:wordWrap w:val="0"/>
        <w:overflowPunct/>
        <w:topLinePunct/>
        <w:autoSpaceDE/>
        <w:autoSpaceDN/>
        <w:bidi w:val="0"/>
        <w:adjustRightInd/>
        <w:snapToGrid/>
        <w:spacing w:after="0"/>
        <w:ind w:left="0" w:leftChars="0" w:right="0" w:firstLine="0" w:firstLineChars="0"/>
        <w:jc w:val="center"/>
        <w:rPr>
          <w:rFonts w:hint="eastAsia" w:ascii="仿宋" w:hAnsi="仿宋" w:eastAsia="仿宋" w:cs="仿宋"/>
          <w:b/>
          <w:bCs/>
          <w:color w:val="auto"/>
          <w:sz w:val="44"/>
          <w:szCs w:val="44"/>
          <w:highlight w:val="none"/>
          <w:lang w:val="en-US"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03D70A3A">
      <w:pPr>
        <w:keepNext w:val="0"/>
        <w:keepLines w:val="0"/>
        <w:pageBreakBefore w:val="0"/>
        <w:widowControl w:val="0"/>
        <w:kinsoku/>
        <w:wordWrap w:val="0"/>
        <w:overflowPunct w:val="0"/>
        <w:topLinePunct/>
        <w:autoSpaceDE/>
        <w:autoSpaceDN/>
        <w:bidi w:val="0"/>
        <w:adjustRightInd/>
        <w:snapToGrid/>
        <w:jc w:val="center"/>
        <w:outlineLvl w:val="1"/>
        <w:rPr>
          <w:rFonts w:hint="eastAsia" w:ascii="仿宋" w:hAnsi="仿宋" w:eastAsia="仿宋" w:cs="仿宋"/>
          <w:color w:val="auto"/>
          <w:highlight w:val="none"/>
          <w:lang w:val="zh-CN" w:eastAsia="zh-CN"/>
        </w:rPr>
      </w:pPr>
      <w:r>
        <w:rPr>
          <w:rFonts w:hint="eastAsia" w:ascii="仿宋" w:hAnsi="仿宋" w:eastAsia="仿宋" w:cs="仿宋"/>
          <w:color w:val="auto"/>
          <w:sz w:val="24"/>
          <w:szCs w:val="24"/>
          <w:highlight w:val="none"/>
          <w:lang w:eastAsia="zh-CN"/>
        </w:rPr>
        <w:br w:type="page"/>
      </w:r>
      <w:r>
        <w:rPr>
          <w:rFonts w:hint="eastAsia" w:ascii="仿宋" w:hAnsi="仿宋" w:eastAsia="仿宋" w:cs="仿宋"/>
          <w:b/>
          <w:bCs/>
          <w:color w:val="auto"/>
          <w:sz w:val="32"/>
          <w:szCs w:val="32"/>
          <w:highlight w:val="none"/>
          <w:lang w:val="en-US" w:eastAsia="zh-CN"/>
        </w:rPr>
        <w:t>八、项目</w:t>
      </w:r>
      <w:r>
        <w:rPr>
          <w:rFonts w:hint="eastAsia" w:ascii="仿宋" w:hAnsi="仿宋" w:eastAsia="仿宋" w:cs="仿宋"/>
          <w:b/>
          <w:bCs/>
          <w:color w:val="auto"/>
          <w:sz w:val="32"/>
          <w:szCs w:val="32"/>
          <w:highlight w:val="none"/>
          <w:lang w:val="zh-CN" w:eastAsia="zh-CN"/>
        </w:rPr>
        <w:t>实施方案</w:t>
      </w:r>
      <w:bookmarkEnd w:id="1666"/>
      <w:bookmarkEnd w:id="1667"/>
      <w:bookmarkEnd w:id="1668"/>
      <w:bookmarkEnd w:id="1669"/>
      <w:bookmarkEnd w:id="1670"/>
      <w:bookmarkEnd w:id="1671"/>
      <w:bookmarkEnd w:id="1672"/>
    </w:p>
    <w:p w14:paraId="3282FDCC">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36685F5A">
      <w:pPr>
        <w:wordWrap w:val="0"/>
        <w:overflowPunct w:val="0"/>
        <w:topLinePunct/>
        <w:spacing w:line="360" w:lineRule="auto"/>
        <w:ind w:firstLine="480" w:firstLineChars="200"/>
        <w:jc w:val="both"/>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p w14:paraId="52CCFFE6">
      <w:pPr>
        <w:wordWrap w:val="0"/>
        <w:overflowPunct w:val="0"/>
        <w:topLinePunct/>
        <w:spacing w:line="360" w:lineRule="auto"/>
        <w:jc w:val="center"/>
        <w:rPr>
          <w:rFonts w:hint="eastAsia" w:ascii="仿宋" w:hAnsi="仿宋" w:eastAsia="仿宋" w:cs="仿宋"/>
          <w:color w:val="auto"/>
          <w:sz w:val="24"/>
          <w:highlight w:val="none"/>
          <w:lang w:eastAsia="zh-CN"/>
        </w:rPr>
      </w:pPr>
    </w:p>
    <w:p w14:paraId="44940C6F">
      <w:pPr>
        <w:wordWrap w:val="0"/>
        <w:overflowPunct w:val="0"/>
        <w:topLinePunct/>
        <w:spacing w:line="360" w:lineRule="auto"/>
        <w:jc w:val="center"/>
        <w:rPr>
          <w:rFonts w:hint="eastAsia" w:ascii="仿宋" w:hAnsi="仿宋" w:eastAsia="仿宋" w:cs="仿宋"/>
          <w:color w:val="auto"/>
          <w:sz w:val="24"/>
          <w:highlight w:val="none"/>
          <w:lang w:eastAsia="zh-CN"/>
        </w:rPr>
      </w:pPr>
    </w:p>
    <w:p w14:paraId="3424BA38">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288E0A7C">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71609D8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5F9FC5A0">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722" w:name="_Toc18105"/>
      <w:bookmarkStart w:id="1723" w:name="_Toc13111"/>
      <w:bookmarkStart w:id="1724" w:name="_Toc7667"/>
      <w:bookmarkStart w:id="1725" w:name="_Toc20853"/>
      <w:bookmarkStart w:id="1726" w:name="_Toc18403"/>
      <w:bookmarkStart w:id="1727" w:name="_Toc28659"/>
    </w:p>
    <w:p w14:paraId="0E360DC7">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728" w:name="_Toc3397"/>
      <w:r>
        <w:rPr>
          <w:rFonts w:hint="eastAsia" w:ascii="仿宋" w:hAnsi="仿宋" w:eastAsia="仿宋" w:cs="仿宋"/>
          <w:color w:val="auto"/>
          <w:sz w:val="32"/>
          <w:szCs w:val="32"/>
          <w:highlight w:val="none"/>
          <w:lang w:val="en-US" w:eastAsia="zh-CN"/>
        </w:rPr>
        <w:t>九、</w:t>
      </w:r>
      <w:r>
        <w:rPr>
          <w:rFonts w:hint="eastAsia" w:ascii="仿宋" w:hAnsi="仿宋" w:eastAsia="仿宋" w:cs="仿宋"/>
          <w:color w:val="auto"/>
          <w:sz w:val="32"/>
          <w:szCs w:val="32"/>
          <w:highlight w:val="none"/>
          <w:lang w:eastAsia="zh-CN"/>
        </w:rPr>
        <w:t>培训方案</w:t>
      </w:r>
      <w:bookmarkEnd w:id="1722"/>
      <w:bookmarkEnd w:id="1723"/>
      <w:bookmarkEnd w:id="1724"/>
      <w:bookmarkEnd w:id="1725"/>
      <w:bookmarkEnd w:id="1726"/>
      <w:bookmarkEnd w:id="1727"/>
      <w:bookmarkEnd w:id="1728"/>
    </w:p>
    <w:p w14:paraId="6969BA26">
      <w:pPr>
        <w:spacing w:line="360" w:lineRule="auto"/>
        <w:jc w:val="center"/>
        <w:rPr>
          <w:rFonts w:hint="eastAsia" w:ascii="仿宋" w:hAnsi="仿宋" w:eastAsia="仿宋" w:cs="仿宋"/>
          <w:snapToGrid w:val="0"/>
          <w:color w:val="auto"/>
          <w:kern w:val="0"/>
          <w:szCs w:val="20"/>
          <w:highlight w:val="none"/>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002C76E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7E32B8EC">
      <w:pPr>
        <w:wordWrap w:val="0"/>
        <w:overflowPunct w:val="0"/>
        <w:topLinePunct/>
        <w:spacing w:line="360" w:lineRule="auto"/>
        <w:jc w:val="both"/>
        <w:rPr>
          <w:rFonts w:hint="eastAsia" w:ascii="仿宋" w:hAnsi="仿宋" w:eastAsia="仿宋" w:cs="仿宋"/>
          <w:b w:val="0"/>
          <w:bCs/>
          <w:color w:val="auto"/>
          <w:sz w:val="24"/>
          <w:highlight w:val="none"/>
        </w:rPr>
      </w:pPr>
    </w:p>
    <w:p w14:paraId="5D71CF44">
      <w:pPr>
        <w:wordWrap w:val="0"/>
        <w:overflowPunct w:val="0"/>
        <w:topLinePunct/>
        <w:spacing w:line="360" w:lineRule="auto"/>
        <w:jc w:val="both"/>
        <w:rPr>
          <w:rFonts w:hint="eastAsia" w:ascii="仿宋" w:hAnsi="仿宋" w:eastAsia="仿宋" w:cs="仿宋"/>
          <w:b w:val="0"/>
          <w:bCs/>
          <w:color w:val="auto"/>
          <w:sz w:val="24"/>
          <w:highlight w:val="none"/>
        </w:rPr>
      </w:pPr>
    </w:p>
    <w:p w14:paraId="5CFBB194">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E6B7BA3">
      <w:pPr>
        <w:wordWrap w:val="0"/>
        <w:overflowPunct w:val="0"/>
        <w:topLinePunct/>
        <w:spacing w:line="360" w:lineRule="auto"/>
        <w:jc w:val="center"/>
        <w:rPr>
          <w:rFonts w:hint="eastAsia" w:ascii="仿宋" w:hAnsi="仿宋" w:eastAsia="仿宋" w:cs="仿宋"/>
          <w:b w:val="0"/>
          <w:bCs/>
          <w:color w:val="auto"/>
          <w:sz w:val="24"/>
          <w:highlight w:val="none"/>
          <w:u w:val="single"/>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4D3CEDD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highlight w:val="none"/>
        </w:rPr>
        <w:t>日期：</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年</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月</w:t>
      </w:r>
      <w:r>
        <w:rPr>
          <w:rFonts w:hint="eastAsia" w:ascii="仿宋" w:hAnsi="仿宋" w:eastAsia="仿宋" w:cs="仿宋"/>
          <w:b w:val="0"/>
          <w:bCs/>
          <w:color w:val="auto"/>
          <w:sz w:val="24"/>
          <w:highlight w:val="none"/>
          <w:u w:val="single"/>
        </w:rPr>
        <w:t xml:space="preserve">     </w:t>
      </w:r>
      <w:r>
        <w:rPr>
          <w:rFonts w:hint="eastAsia" w:ascii="仿宋" w:hAnsi="仿宋" w:eastAsia="仿宋" w:cs="仿宋"/>
          <w:b w:val="0"/>
          <w:bCs/>
          <w:color w:val="auto"/>
          <w:sz w:val="24"/>
          <w:highlight w:val="none"/>
        </w:rPr>
        <w:t>日</w:t>
      </w:r>
    </w:p>
    <w:p w14:paraId="411797BD">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32"/>
          <w:szCs w:val="32"/>
          <w:highlight w:val="none"/>
          <w:lang w:val="en-US" w:eastAsia="zh-CN"/>
        </w:rPr>
      </w:pPr>
      <w:bookmarkStart w:id="1729" w:name="_Toc21199"/>
      <w:bookmarkStart w:id="1730" w:name="_Toc10002"/>
      <w:bookmarkStart w:id="1731" w:name="_Toc13656"/>
      <w:bookmarkStart w:id="1732" w:name="_Toc516"/>
      <w:bookmarkStart w:id="1733" w:name="_Toc2731"/>
      <w:bookmarkStart w:id="1734" w:name="_Toc3028"/>
    </w:p>
    <w:p w14:paraId="0FDF481B">
      <w:pPr>
        <w:pStyle w:val="4"/>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sz w:val="28"/>
          <w:szCs w:val="28"/>
          <w:highlight w:val="none"/>
          <w:lang w:eastAsia="zh-CN"/>
        </w:rPr>
      </w:pPr>
      <w:bookmarkStart w:id="1735" w:name="_Toc16889"/>
      <w:r>
        <w:rPr>
          <w:rFonts w:hint="eastAsia" w:ascii="仿宋" w:hAnsi="仿宋" w:eastAsia="仿宋" w:cs="仿宋"/>
          <w:color w:val="auto"/>
          <w:sz w:val="32"/>
          <w:szCs w:val="32"/>
          <w:highlight w:val="none"/>
          <w:lang w:val="en-US" w:eastAsia="zh-CN"/>
        </w:rPr>
        <w:t>十、售后服务方案</w:t>
      </w:r>
      <w:bookmarkEnd w:id="1729"/>
      <w:bookmarkEnd w:id="1730"/>
      <w:bookmarkEnd w:id="1731"/>
      <w:bookmarkEnd w:id="1732"/>
      <w:bookmarkEnd w:id="1733"/>
      <w:bookmarkEnd w:id="1734"/>
      <w:bookmarkEnd w:id="1735"/>
    </w:p>
    <w:p w14:paraId="21CAA2A1">
      <w:pPr>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snapToGrid w:val="0"/>
          <w:color w:val="auto"/>
          <w:kern w:val="0"/>
          <w:szCs w:val="20"/>
          <w:highlight w:val="none"/>
        </w:rPr>
        <w:t>（格式自拟，内容由</w:t>
      </w:r>
      <w:r>
        <w:rPr>
          <w:rFonts w:hint="eastAsia" w:ascii="仿宋" w:hAnsi="仿宋" w:eastAsia="仿宋" w:cs="仿宋"/>
          <w:snapToGrid w:val="0"/>
          <w:color w:val="auto"/>
          <w:kern w:val="0"/>
          <w:szCs w:val="20"/>
          <w:highlight w:val="none"/>
          <w:lang w:eastAsia="zh-CN"/>
        </w:rPr>
        <w:t>投标人</w:t>
      </w:r>
      <w:r>
        <w:rPr>
          <w:rFonts w:hint="eastAsia" w:ascii="仿宋" w:hAnsi="仿宋" w:eastAsia="仿宋" w:cs="仿宋"/>
          <w:snapToGrid w:val="0"/>
          <w:color w:val="auto"/>
          <w:kern w:val="0"/>
          <w:szCs w:val="20"/>
          <w:highlight w:val="none"/>
        </w:rPr>
        <w:t>根据</w:t>
      </w:r>
      <w:r>
        <w:rPr>
          <w:rFonts w:hint="eastAsia" w:ascii="仿宋" w:hAnsi="仿宋" w:eastAsia="仿宋" w:cs="仿宋"/>
          <w:snapToGrid w:val="0"/>
          <w:color w:val="auto"/>
          <w:kern w:val="0"/>
          <w:szCs w:val="20"/>
          <w:highlight w:val="none"/>
          <w:lang w:eastAsia="zh-CN"/>
        </w:rPr>
        <w:t>评审</w:t>
      </w:r>
      <w:r>
        <w:rPr>
          <w:rFonts w:hint="eastAsia" w:ascii="仿宋" w:hAnsi="仿宋" w:eastAsia="仿宋" w:cs="仿宋"/>
          <w:snapToGrid w:val="0"/>
          <w:color w:val="auto"/>
          <w:kern w:val="0"/>
          <w:szCs w:val="20"/>
          <w:highlight w:val="none"/>
        </w:rPr>
        <w:t>办法并结合自身实际情况自行编写）</w:t>
      </w:r>
    </w:p>
    <w:p w14:paraId="1723872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highlight w:val="none"/>
          <w:lang w:val="en-US" w:eastAsia="zh-CN"/>
        </w:rPr>
        <w:t>……</w:t>
      </w:r>
    </w:p>
    <w:p w14:paraId="3F9CCE2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552DA8BE">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0003DEF4">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p>
    <w:p w14:paraId="32F7B7A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62E1D7A7">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63EC5221">
      <w:pPr>
        <w:wordWrap w:val="0"/>
        <w:overflowPunct w:val="0"/>
        <w:topLinePunct/>
        <w:spacing w:line="360" w:lineRule="auto"/>
        <w:jc w:val="center"/>
        <w:rPr>
          <w:rFonts w:hint="eastAsia" w:ascii="仿宋" w:hAnsi="仿宋" w:eastAsia="仿宋" w:cs="仿宋"/>
          <w:b w:val="0"/>
          <w:bCs/>
          <w:color w:val="auto"/>
          <w:sz w:val="24"/>
          <w:highlight w:val="none"/>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p>
    <w:p w14:paraId="3BFA5CF1">
      <w:pPr>
        <w:jc w:val="both"/>
        <w:rPr>
          <w:rFonts w:hint="eastAsia" w:ascii="仿宋" w:hAnsi="仿宋" w:eastAsia="仿宋" w:cs="仿宋"/>
          <w:b/>
          <w:color w:val="auto"/>
          <w:sz w:val="28"/>
          <w:szCs w:val="28"/>
          <w:highlight w:val="none"/>
          <w:lang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06FA79C1">
      <w:pPr>
        <w:jc w:val="lef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附件1</w:t>
      </w:r>
    </w:p>
    <w:p w14:paraId="43766A2A">
      <w:pPr>
        <w:jc w:val="center"/>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项目</w:t>
      </w:r>
      <w:r>
        <w:rPr>
          <w:rFonts w:hint="eastAsia" w:ascii="仿宋" w:hAnsi="仿宋" w:eastAsia="仿宋" w:cs="仿宋"/>
          <w:b/>
          <w:color w:val="auto"/>
          <w:sz w:val="28"/>
          <w:szCs w:val="28"/>
          <w:highlight w:val="none"/>
          <w:lang w:val="en-US" w:eastAsia="zh-CN"/>
        </w:rPr>
        <w:t>技术服务</w:t>
      </w:r>
      <w:r>
        <w:rPr>
          <w:rFonts w:hint="eastAsia" w:ascii="仿宋" w:hAnsi="仿宋" w:eastAsia="仿宋" w:cs="仿宋"/>
          <w:b/>
          <w:color w:val="auto"/>
          <w:sz w:val="28"/>
          <w:szCs w:val="28"/>
          <w:highlight w:val="none"/>
          <w:lang w:eastAsia="zh-CN"/>
        </w:rPr>
        <w:t>人员情况表</w:t>
      </w:r>
    </w:p>
    <w:tbl>
      <w:tblPr>
        <w:tblStyle w:val="20"/>
        <w:tblpPr w:leftFromText="180" w:rightFromText="180" w:vertAnchor="text" w:horzAnchor="page" w:tblpX="708" w:tblpY="365"/>
        <w:tblOverlap w:val="never"/>
        <w:tblW w:w="106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083"/>
        <w:gridCol w:w="993"/>
        <w:gridCol w:w="850"/>
        <w:gridCol w:w="992"/>
        <w:gridCol w:w="1134"/>
        <w:gridCol w:w="1449"/>
        <w:gridCol w:w="1449"/>
        <w:gridCol w:w="1955"/>
      </w:tblGrid>
      <w:tr w14:paraId="5EC14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623EA424">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083" w:type="dxa"/>
            <w:noWrap w:val="0"/>
            <w:vAlign w:val="center"/>
          </w:tcPr>
          <w:p w14:paraId="579EB31B">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职务</w:t>
            </w:r>
          </w:p>
        </w:tc>
        <w:tc>
          <w:tcPr>
            <w:tcW w:w="993" w:type="dxa"/>
            <w:noWrap w:val="0"/>
            <w:vAlign w:val="center"/>
          </w:tcPr>
          <w:p w14:paraId="19FCD44A">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p>
        </w:tc>
        <w:tc>
          <w:tcPr>
            <w:tcW w:w="850" w:type="dxa"/>
            <w:noWrap w:val="0"/>
            <w:vAlign w:val="center"/>
          </w:tcPr>
          <w:p w14:paraId="64C9D63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年龄</w:t>
            </w:r>
          </w:p>
        </w:tc>
        <w:tc>
          <w:tcPr>
            <w:tcW w:w="992" w:type="dxa"/>
            <w:noWrap w:val="0"/>
            <w:vAlign w:val="center"/>
          </w:tcPr>
          <w:p w14:paraId="4D749816">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职称</w:t>
            </w:r>
          </w:p>
        </w:tc>
        <w:tc>
          <w:tcPr>
            <w:tcW w:w="1134" w:type="dxa"/>
            <w:noWrap w:val="0"/>
            <w:vAlign w:val="center"/>
          </w:tcPr>
          <w:p w14:paraId="17D3275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专业</w:t>
            </w:r>
          </w:p>
        </w:tc>
        <w:tc>
          <w:tcPr>
            <w:tcW w:w="1449" w:type="dxa"/>
            <w:noWrap w:val="0"/>
            <w:vAlign w:val="center"/>
          </w:tcPr>
          <w:p w14:paraId="2CBBADEB">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业绩</w:t>
            </w:r>
          </w:p>
        </w:tc>
        <w:tc>
          <w:tcPr>
            <w:tcW w:w="1449" w:type="dxa"/>
            <w:noWrap w:val="0"/>
            <w:vAlign w:val="center"/>
          </w:tcPr>
          <w:p w14:paraId="54AEA26E">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拟担任职务</w:t>
            </w:r>
          </w:p>
        </w:tc>
        <w:tc>
          <w:tcPr>
            <w:tcW w:w="1955" w:type="dxa"/>
            <w:noWrap w:val="0"/>
            <w:vAlign w:val="center"/>
          </w:tcPr>
          <w:p w14:paraId="30169962">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从专业工作时间</w:t>
            </w:r>
          </w:p>
        </w:tc>
      </w:tr>
      <w:tr w14:paraId="6C0B1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D89BE01">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w:t>
            </w:r>
          </w:p>
        </w:tc>
        <w:tc>
          <w:tcPr>
            <w:tcW w:w="1083" w:type="dxa"/>
            <w:noWrap w:val="0"/>
            <w:vAlign w:val="center"/>
          </w:tcPr>
          <w:p w14:paraId="18070E06">
            <w:pPr>
              <w:spacing w:line="360" w:lineRule="auto"/>
              <w:jc w:val="center"/>
              <w:rPr>
                <w:rFonts w:hint="eastAsia" w:ascii="仿宋" w:hAnsi="仿宋" w:eastAsia="仿宋" w:cs="仿宋"/>
                <w:color w:val="auto"/>
                <w:sz w:val="24"/>
                <w:highlight w:val="none"/>
              </w:rPr>
            </w:pPr>
          </w:p>
        </w:tc>
        <w:tc>
          <w:tcPr>
            <w:tcW w:w="993" w:type="dxa"/>
            <w:noWrap w:val="0"/>
            <w:vAlign w:val="center"/>
          </w:tcPr>
          <w:p w14:paraId="06EDC6FD">
            <w:pPr>
              <w:spacing w:line="360" w:lineRule="auto"/>
              <w:jc w:val="center"/>
              <w:rPr>
                <w:rFonts w:hint="eastAsia" w:ascii="仿宋" w:hAnsi="仿宋" w:eastAsia="仿宋" w:cs="仿宋"/>
                <w:color w:val="auto"/>
                <w:sz w:val="24"/>
                <w:highlight w:val="none"/>
              </w:rPr>
            </w:pPr>
          </w:p>
        </w:tc>
        <w:tc>
          <w:tcPr>
            <w:tcW w:w="850" w:type="dxa"/>
            <w:noWrap w:val="0"/>
            <w:vAlign w:val="center"/>
          </w:tcPr>
          <w:p w14:paraId="14265864">
            <w:pPr>
              <w:spacing w:line="360" w:lineRule="auto"/>
              <w:jc w:val="center"/>
              <w:rPr>
                <w:rFonts w:hint="eastAsia" w:ascii="仿宋" w:hAnsi="仿宋" w:eastAsia="仿宋" w:cs="仿宋"/>
                <w:color w:val="auto"/>
                <w:sz w:val="24"/>
                <w:highlight w:val="none"/>
              </w:rPr>
            </w:pPr>
          </w:p>
        </w:tc>
        <w:tc>
          <w:tcPr>
            <w:tcW w:w="992" w:type="dxa"/>
            <w:noWrap w:val="0"/>
            <w:vAlign w:val="center"/>
          </w:tcPr>
          <w:p w14:paraId="343851A3">
            <w:pPr>
              <w:spacing w:line="360" w:lineRule="auto"/>
              <w:jc w:val="center"/>
              <w:rPr>
                <w:rFonts w:hint="eastAsia" w:ascii="仿宋" w:hAnsi="仿宋" w:eastAsia="仿宋" w:cs="仿宋"/>
                <w:color w:val="auto"/>
                <w:sz w:val="24"/>
                <w:highlight w:val="none"/>
              </w:rPr>
            </w:pPr>
          </w:p>
        </w:tc>
        <w:tc>
          <w:tcPr>
            <w:tcW w:w="1134" w:type="dxa"/>
            <w:noWrap w:val="0"/>
            <w:vAlign w:val="center"/>
          </w:tcPr>
          <w:p w14:paraId="4F5BE1A1">
            <w:pPr>
              <w:spacing w:line="360" w:lineRule="auto"/>
              <w:jc w:val="center"/>
              <w:rPr>
                <w:rFonts w:hint="eastAsia" w:ascii="仿宋" w:hAnsi="仿宋" w:eastAsia="仿宋" w:cs="仿宋"/>
                <w:color w:val="auto"/>
                <w:sz w:val="24"/>
                <w:highlight w:val="none"/>
              </w:rPr>
            </w:pPr>
          </w:p>
        </w:tc>
        <w:tc>
          <w:tcPr>
            <w:tcW w:w="1449" w:type="dxa"/>
            <w:noWrap w:val="0"/>
            <w:vAlign w:val="center"/>
          </w:tcPr>
          <w:p w14:paraId="7B104AB0">
            <w:pPr>
              <w:spacing w:line="360" w:lineRule="auto"/>
              <w:jc w:val="center"/>
              <w:rPr>
                <w:rFonts w:hint="eastAsia" w:ascii="仿宋" w:hAnsi="仿宋" w:eastAsia="仿宋" w:cs="仿宋"/>
                <w:color w:val="auto"/>
                <w:sz w:val="24"/>
                <w:highlight w:val="none"/>
              </w:rPr>
            </w:pPr>
          </w:p>
        </w:tc>
        <w:tc>
          <w:tcPr>
            <w:tcW w:w="1449" w:type="dxa"/>
            <w:noWrap w:val="0"/>
            <w:vAlign w:val="center"/>
          </w:tcPr>
          <w:p w14:paraId="19B6175F">
            <w:pPr>
              <w:spacing w:line="360" w:lineRule="auto"/>
              <w:jc w:val="center"/>
              <w:rPr>
                <w:rFonts w:hint="eastAsia" w:ascii="仿宋" w:hAnsi="仿宋" w:eastAsia="仿宋" w:cs="仿宋"/>
                <w:color w:val="auto"/>
                <w:sz w:val="24"/>
                <w:highlight w:val="none"/>
              </w:rPr>
            </w:pPr>
          </w:p>
        </w:tc>
        <w:tc>
          <w:tcPr>
            <w:tcW w:w="1955" w:type="dxa"/>
            <w:noWrap w:val="0"/>
            <w:vAlign w:val="center"/>
          </w:tcPr>
          <w:p w14:paraId="3EE1EA48">
            <w:pPr>
              <w:spacing w:line="360" w:lineRule="auto"/>
              <w:jc w:val="center"/>
              <w:rPr>
                <w:rFonts w:hint="eastAsia" w:ascii="仿宋" w:hAnsi="仿宋" w:eastAsia="仿宋" w:cs="仿宋"/>
                <w:color w:val="auto"/>
                <w:sz w:val="24"/>
                <w:highlight w:val="none"/>
              </w:rPr>
            </w:pPr>
          </w:p>
        </w:tc>
      </w:tr>
      <w:tr w14:paraId="1D6A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EDD3430">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w:t>
            </w:r>
          </w:p>
        </w:tc>
        <w:tc>
          <w:tcPr>
            <w:tcW w:w="1083" w:type="dxa"/>
            <w:noWrap w:val="0"/>
            <w:vAlign w:val="center"/>
          </w:tcPr>
          <w:p w14:paraId="6027FF96">
            <w:pPr>
              <w:spacing w:line="360" w:lineRule="auto"/>
              <w:jc w:val="center"/>
              <w:rPr>
                <w:rFonts w:hint="eastAsia" w:ascii="仿宋" w:hAnsi="仿宋" w:eastAsia="仿宋" w:cs="仿宋"/>
                <w:color w:val="auto"/>
                <w:sz w:val="24"/>
                <w:highlight w:val="none"/>
              </w:rPr>
            </w:pPr>
          </w:p>
        </w:tc>
        <w:tc>
          <w:tcPr>
            <w:tcW w:w="993" w:type="dxa"/>
            <w:noWrap w:val="0"/>
            <w:vAlign w:val="center"/>
          </w:tcPr>
          <w:p w14:paraId="5E3D2EC4">
            <w:pPr>
              <w:spacing w:line="360" w:lineRule="auto"/>
              <w:jc w:val="center"/>
              <w:rPr>
                <w:rFonts w:hint="eastAsia" w:ascii="仿宋" w:hAnsi="仿宋" w:eastAsia="仿宋" w:cs="仿宋"/>
                <w:color w:val="auto"/>
                <w:sz w:val="24"/>
                <w:highlight w:val="none"/>
              </w:rPr>
            </w:pPr>
          </w:p>
        </w:tc>
        <w:tc>
          <w:tcPr>
            <w:tcW w:w="850" w:type="dxa"/>
            <w:noWrap w:val="0"/>
            <w:vAlign w:val="center"/>
          </w:tcPr>
          <w:p w14:paraId="5A0773B0">
            <w:pPr>
              <w:spacing w:line="360" w:lineRule="auto"/>
              <w:jc w:val="center"/>
              <w:rPr>
                <w:rFonts w:hint="eastAsia" w:ascii="仿宋" w:hAnsi="仿宋" w:eastAsia="仿宋" w:cs="仿宋"/>
                <w:color w:val="auto"/>
                <w:sz w:val="24"/>
                <w:highlight w:val="none"/>
              </w:rPr>
            </w:pPr>
          </w:p>
        </w:tc>
        <w:tc>
          <w:tcPr>
            <w:tcW w:w="992" w:type="dxa"/>
            <w:noWrap w:val="0"/>
            <w:vAlign w:val="center"/>
          </w:tcPr>
          <w:p w14:paraId="7245738F">
            <w:pPr>
              <w:spacing w:line="360" w:lineRule="auto"/>
              <w:jc w:val="center"/>
              <w:rPr>
                <w:rFonts w:hint="eastAsia" w:ascii="仿宋" w:hAnsi="仿宋" w:eastAsia="仿宋" w:cs="仿宋"/>
                <w:color w:val="auto"/>
                <w:sz w:val="24"/>
                <w:highlight w:val="none"/>
              </w:rPr>
            </w:pPr>
          </w:p>
        </w:tc>
        <w:tc>
          <w:tcPr>
            <w:tcW w:w="1134" w:type="dxa"/>
            <w:noWrap w:val="0"/>
            <w:vAlign w:val="center"/>
          </w:tcPr>
          <w:p w14:paraId="79CFCF98">
            <w:pPr>
              <w:spacing w:line="360" w:lineRule="auto"/>
              <w:jc w:val="center"/>
              <w:rPr>
                <w:rFonts w:hint="eastAsia" w:ascii="仿宋" w:hAnsi="仿宋" w:eastAsia="仿宋" w:cs="仿宋"/>
                <w:color w:val="auto"/>
                <w:sz w:val="24"/>
                <w:highlight w:val="none"/>
              </w:rPr>
            </w:pPr>
          </w:p>
        </w:tc>
        <w:tc>
          <w:tcPr>
            <w:tcW w:w="1449" w:type="dxa"/>
            <w:noWrap w:val="0"/>
            <w:vAlign w:val="center"/>
          </w:tcPr>
          <w:p w14:paraId="20F81EC2">
            <w:pPr>
              <w:spacing w:line="360" w:lineRule="auto"/>
              <w:jc w:val="center"/>
              <w:rPr>
                <w:rFonts w:hint="eastAsia" w:ascii="仿宋" w:hAnsi="仿宋" w:eastAsia="仿宋" w:cs="仿宋"/>
                <w:color w:val="auto"/>
                <w:sz w:val="24"/>
                <w:highlight w:val="none"/>
              </w:rPr>
            </w:pPr>
          </w:p>
        </w:tc>
        <w:tc>
          <w:tcPr>
            <w:tcW w:w="1449" w:type="dxa"/>
            <w:noWrap w:val="0"/>
            <w:vAlign w:val="center"/>
          </w:tcPr>
          <w:p w14:paraId="25292496">
            <w:pPr>
              <w:spacing w:line="360" w:lineRule="auto"/>
              <w:jc w:val="center"/>
              <w:rPr>
                <w:rFonts w:hint="eastAsia" w:ascii="仿宋" w:hAnsi="仿宋" w:eastAsia="仿宋" w:cs="仿宋"/>
                <w:color w:val="auto"/>
                <w:sz w:val="24"/>
                <w:highlight w:val="none"/>
              </w:rPr>
            </w:pPr>
          </w:p>
        </w:tc>
        <w:tc>
          <w:tcPr>
            <w:tcW w:w="1955" w:type="dxa"/>
            <w:noWrap w:val="0"/>
            <w:vAlign w:val="center"/>
          </w:tcPr>
          <w:p w14:paraId="07C75D14">
            <w:pPr>
              <w:spacing w:line="360" w:lineRule="auto"/>
              <w:jc w:val="center"/>
              <w:rPr>
                <w:rFonts w:hint="eastAsia" w:ascii="仿宋" w:hAnsi="仿宋" w:eastAsia="仿宋" w:cs="仿宋"/>
                <w:color w:val="auto"/>
                <w:sz w:val="24"/>
                <w:highlight w:val="none"/>
              </w:rPr>
            </w:pPr>
          </w:p>
        </w:tc>
      </w:tr>
      <w:tr w14:paraId="598F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37E49347">
            <w:pPr>
              <w:spacing w:line="360" w:lineRule="auto"/>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p>
        </w:tc>
        <w:tc>
          <w:tcPr>
            <w:tcW w:w="1083" w:type="dxa"/>
            <w:noWrap w:val="0"/>
            <w:vAlign w:val="center"/>
          </w:tcPr>
          <w:p w14:paraId="1FADC22F">
            <w:pPr>
              <w:spacing w:line="360" w:lineRule="auto"/>
              <w:jc w:val="center"/>
              <w:rPr>
                <w:rFonts w:hint="eastAsia" w:ascii="仿宋" w:hAnsi="仿宋" w:eastAsia="仿宋" w:cs="仿宋"/>
                <w:color w:val="auto"/>
                <w:sz w:val="24"/>
                <w:highlight w:val="none"/>
              </w:rPr>
            </w:pPr>
          </w:p>
        </w:tc>
        <w:tc>
          <w:tcPr>
            <w:tcW w:w="993" w:type="dxa"/>
            <w:noWrap w:val="0"/>
            <w:vAlign w:val="center"/>
          </w:tcPr>
          <w:p w14:paraId="016C30ED">
            <w:pPr>
              <w:spacing w:line="360" w:lineRule="auto"/>
              <w:jc w:val="center"/>
              <w:rPr>
                <w:rFonts w:hint="eastAsia" w:ascii="仿宋" w:hAnsi="仿宋" w:eastAsia="仿宋" w:cs="仿宋"/>
                <w:color w:val="auto"/>
                <w:sz w:val="24"/>
                <w:highlight w:val="none"/>
              </w:rPr>
            </w:pPr>
          </w:p>
        </w:tc>
        <w:tc>
          <w:tcPr>
            <w:tcW w:w="850" w:type="dxa"/>
            <w:noWrap w:val="0"/>
            <w:vAlign w:val="center"/>
          </w:tcPr>
          <w:p w14:paraId="6CCC2F6B">
            <w:pPr>
              <w:spacing w:line="360" w:lineRule="auto"/>
              <w:jc w:val="center"/>
              <w:rPr>
                <w:rFonts w:hint="eastAsia" w:ascii="仿宋" w:hAnsi="仿宋" w:eastAsia="仿宋" w:cs="仿宋"/>
                <w:color w:val="auto"/>
                <w:sz w:val="24"/>
                <w:highlight w:val="none"/>
              </w:rPr>
            </w:pPr>
          </w:p>
        </w:tc>
        <w:tc>
          <w:tcPr>
            <w:tcW w:w="992" w:type="dxa"/>
            <w:noWrap w:val="0"/>
            <w:vAlign w:val="center"/>
          </w:tcPr>
          <w:p w14:paraId="330A26A5">
            <w:pPr>
              <w:spacing w:line="360" w:lineRule="auto"/>
              <w:jc w:val="center"/>
              <w:rPr>
                <w:rFonts w:hint="eastAsia" w:ascii="仿宋" w:hAnsi="仿宋" w:eastAsia="仿宋" w:cs="仿宋"/>
                <w:color w:val="auto"/>
                <w:sz w:val="24"/>
                <w:highlight w:val="none"/>
              </w:rPr>
            </w:pPr>
          </w:p>
        </w:tc>
        <w:tc>
          <w:tcPr>
            <w:tcW w:w="1134" w:type="dxa"/>
            <w:noWrap w:val="0"/>
            <w:vAlign w:val="center"/>
          </w:tcPr>
          <w:p w14:paraId="567A225D">
            <w:pPr>
              <w:spacing w:line="360" w:lineRule="auto"/>
              <w:jc w:val="center"/>
              <w:rPr>
                <w:rFonts w:hint="eastAsia" w:ascii="仿宋" w:hAnsi="仿宋" w:eastAsia="仿宋" w:cs="仿宋"/>
                <w:color w:val="auto"/>
                <w:sz w:val="24"/>
                <w:highlight w:val="none"/>
              </w:rPr>
            </w:pPr>
          </w:p>
        </w:tc>
        <w:tc>
          <w:tcPr>
            <w:tcW w:w="1449" w:type="dxa"/>
            <w:noWrap w:val="0"/>
            <w:vAlign w:val="center"/>
          </w:tcPr>
          <w:p w14:paraId="1226D360">
            <w:pPr>
              <w:spacing w:line="360" w:lineRule="auto"/>
              <w:jc w:val="center"/>
              <w:rPr>
                <w:rFonts w:hint="eastAsia" w:ascii="仿宋" w:hAnsi="仿宋" w:eastAsia="仿宋" w:cs="仿宋"/>
                <w:color w:val="auto"/>
                <w:sz w:val="24"/>
                <w:highlight w:val="none"/>
              </w:rPr>
            </w:pPr>
          </w:p>
        </w:tc>
        <w:tc>
          <w:tcPr>
            <w:tcW w:w="1449" w:type="dxa"/>
            <w:noWrap w:val="0"/>
            <w:vAlign w:val="center"/>
          </w:tcPr>
          <w:p w14:paraId="2D4C95E2">
            <w:pPr>
              <w:spacing w:line="360" w:lineRule="auto"/>
              <w:jc w:val="center"/>
              <w:rPr>
                <w:rFonts w:hint="eastAsia" w:ascii="仿宋" w:hAnsi="仿宋" w:eastAsia="仿宋" w:cs="仿宋"/>
                <w:color w:val="auto"/>
                <w:sz w:val="24"/>
                <w:highlight w:val="none"/>
              </w:rPr>
            </w:pPr>
          </w:p>
        </w:tc>
        <w:tc>
          <w:tcPr>
            <w:tcW w:w="1955" w:type="dxa"/>
            <w:noWrap w:val="0"/>
            <w:vAlign w:val="center"/>
          </w:tcPr>
          <w:p w14:paraId="2B4F04E8">
            <w:pPr>
              <w:spacing w:line="360" w:lineRule="auto"/>
              <w:jc w:val="center"/>
              <w:rPr>
                <w:rFonts w:hint="eastAsia" w:ascii="仿宋" w:hAnsi="仿宋" w:eastAsia="仿宋" w:cs="仿宋"/>
                <w:color w:val="auto"/>
                <w:sz w:val="24"/>
                <w:highlight w:val="none"/>
              </w:rPr>
            </w:pPr>
          </w:p>
        </w:tc>
      </w:tr>
      <w:tr w14:paraId="5C53C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6" w:type="dxa"/>
            <w:noWrap w:val="0"/>
            <w:vAlign w:val="center"/>
          </w:tcPr>
          <w:p w14:paraId="7BBE366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w:t>
            </w:r>
          </w:p>
        </w:tc>
        <w:tc>
          <w:tcPr>
            <w:tcW w:w="1083" w:type="dxa"/>
            <w:noWrap w:val="0"/>
            <w:vAlign w:val="center"/>
          </w:tcPr>
          <w:p w14:paraId="462601A2">
            <w:pPr>
              <w:spacing w:line="360" w:lineRule="auto"/>
              <w:jc w:val="center"/>
              <w:rPr>
                <w:rFonts w:hint="eastAsia" w:ascii="仿宋" w:hAnsi="仿宋" w:eastAsia="仿宋" w:cs="仿宋"/>
                <w:color w:val="auto"/>
                <w:sz w:val="24"/>
                <w:highlight w:val="none"/>
              </w:rPr>
            </w:pPr>
          </w:p>
        </w:tc>
        <w:tc>
          <w:tcPr>
            <w:tcW w:w="993" w:type="dxa"/>
            <w:noWrap w:val="0"/>
            <w:vAlign w:val="center"/>
          </w:tcPr>
          <w:p w14:paraId="074B7E7B">
            <w:pPr>
              <w:spacing w:line="360" w:lineRule="auto"/>
              <w:jc w:val="center"/>
              <w:rPr>
                <w:rFonts w:hint="eastAsia" w:ascii="仿宋" w:hAnsi="仿宋" w:eastAsia="仿宋" w:cs="仿宋"/>
                <w:color w:val="auto"/>
                <w:sz w:val="24"/>
                <w:highlight w:val="none"/>
              </w:rPr>
            </w:pPr>
          </w:p>
        </w:tc>
        <w:tc>
          <w:tcPr>
            <w:tcW w:w="850" w:type="dxa"/>
            <w:noWrap w:val="0"/>
            <w:vAlign w:val="center"/>
          </w:tcPr>
          <w:p w14:paraId="0EC2C13A">
            <w:pPr>
              <w:spacing w:line="360" w:lineRule="auto"/>
              <w:jc w:val="center"/>
              <w:rPr>
                <w:rFonts w:hint="eastAsia" w:ascii="仿宋" w:hAnsi="仿宋" w:eastAsia="仿宋" w:cs="仿宋"/>
                <w:color w:val="auto"/>
                <w:sz w:val="24"/>
                <w:highlight w:val="none"/>
              </w:rPr>
            </w:pPr>
          </w:p>
        </w:tc>
        <w:tc>
          <w:tcPr>
            <w:tcW w:w="992" w:type="dxa"/>
            <w:noWrap w:val="0"/>
            <w:vAlign w:val="center"/>
          </w:tcPr>
          <w:p w14:paraId="5D56F0D6">
            <w:pPr>
              <w:spacing w:line="360" w:lineRule="auto"/>
              <w:jc w:val="center"/>
              <w:rPr>
                <w:rFonts w:hint="eastAsia" w:ascii="仿宋" w:hAnsi="仿宋" w:eastAsia="仿宋" w:cs="仿宋"/>
                <w:color w:val="auto"/>
                <w:sz w:val="24"/>
                <w:highlight w:val="none"/>
              </w:rPr>
            </w:pPr>
          </w:p>
        </w:tc>
        <w:tc>
          <w:tcPr>
            <w:tcW w:w="1134" w:type="dxa"/>
            <w:noWrap w:val="0"/>
            <w:vAlign w:val="center"/>
          </w:tcPr>
          <w:p w14:paraId="7A4AE957">
            <w:pPr>
              <w:spacing w:line="360" w:lineRule="auto"/>
              <w:jc w:val="center"/>
              <w:rPr>
                <w:rFonts w:hint="eastAsia" w:ascii="仿宋" w:hAnsi="仿宋" w:eastAsia="仿宋" w:cs="仿宋"/>
                <w:color w:val="auto"/>
                <w:sz w:val="24"/>
                <w:highlight w:val="none"/>
              </w:rPr>
            </w:pPr>
          </w:p>
        </w:tc>
        <w:tc>
          <w:tcPr>
            <w:tcW w:w="1449" w:type="dxa"/>
            <w:noWrap w:val="0"/>
            <w:vAlign w:val="center"/>
          </w:tcPr>
          <w:p w14:paraId="1BDD4081">
            <w:pPr>
              <w:spacing w:line="360" w:lineRule="auto"/>
              <w:jc w:val="center"/>
              <w:rPr>
                <w:rFonts w:hint="eastAsia" w:ascii="仿宋" w:hAnsi="仿宋" w:eastAsia="仿宋" w:cs="仿宋"/>
                <w:color w:val="auto"/>
                <w:sz w:val="24"/>
                <w:highlight w:val="none"/>
              </w:rPr>
            </w:pPr>
          </w:p>
        </w:tc>
        <w:tc>
          <w:tcPr>
            <w:tcW w:w="1449" w:type="dxa"/>
            <w:noWrap w:val="0"/>
            <w:vAlign w:val="center"/>
          </w:tcPr>
          <w:p w14:paraId="45A96C5D">
            <w:pPr>
              <w:spacing w:line="360" w:lineRule="auto"/>
              <w:jc w:val="center"/>
              <w:rPr>
                <w:rFonts w:hint="eastAsia" w:ascii="仿宋" w:hAnsi="仿宋" w:eastAsia="仿宋" w:cs="仿宋"/>
                <w:color w:val="auto"/>
                <w:sz w:val="24"/>
                <w:highlight w:val="none"/>
              </w:rPr>
            </w:pPr>
          </w:p>
        </w:tc>
        <w:tc>
          <w:tcPr>
            <w:tcW w:w="1955" w:type="dxa"/>
            <w:noWrap w:val="0"/>
            <w:vAlign w:val="center"/>
          </w:tcPr>
          <w:p w14:paraId="1043466C">
            <w:pPr>
              <w:spacing w:line="360" w:lineRule="auto"/>
              <w:jc w:val="center"/>
              <w:rPr>
                <w:rFonts w:hint="eastAsia" w:ascii="仿宋" w:hAnsi="仿宋" w:eastAsia="仿宋" w:cs="仿宋"/>
                <w:color w:val="auto"/>
                <w:sz w:val="24"/>
                <w:highlight w:val="none"/>
              </w:rPr>
            </w:pPr>
          </w:p>
        </w:tc>
      </w:tr>
    </w:tbl>
    <w:p w14:paraId="30CE49B2">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3409EBE9">
      <w:pPr>
        <w:pStyle w:val="10"/>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pPr>
    </w:p>
    <w:p w14:paraId="0ED3A24D">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A16D26A">
      <w:pPr>
        <w:keepNext w:val="0"/>
        <w:keepLines w:val="0"/>
        <w:pageBreakBefore w:val="0"/>
        <w:widowControl w:val="0"/>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161995F8">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日期：</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年</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u w:val="single"/>
          <w:lang w:eastAsia="zh-CN"/>
        </w:rPr>
        <w:t xml:space="preserve">     </w:t>
      </w:r>
      <w:r>
        <w:rPr>
          <w:rFonts w:hint="eastAsia" w:ascii="仿宋" w:hAnsi="仿宋" w:eastAsia="仿宋" w:cs="仿宋"/>
          <w:color w:val="auto"/>
          <w:sz w:val="24"/>
          <w:szCs w:val="24"/>
          <w:highlight w:val="none"/>
          <w:lang w:eastAsia="zh-CN"/>
        </w:rPr>
        <w:t>日</w:t>
      </w:r>
      <w:bookmarkStart w:id="1736" w:name="_Toc8869"/>
      <w:bookmarkStart w:id="1737" w:name="_Toc17925"/>
      <w:bookmarkStart w:id="1738" w:name="_Toc11972"/>
      <w:bookmarkStart w:id="1739" w:name="_Toc14130"/>
      <w:bookmarkStart w:id="1740" w:name="_Toc2686"/>
      <w:bookmarkStart w:id="1741" w:name="_Toc14847"/>
    </w:p>
    <w:p w14:paraId="6B88A891">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4F2570AD">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24"/>
          <w:szCs w:val="24"/>
          <w:highlight w:val="none"/>
          <w:lang w:val="en-US" w:eastAsia="zh-CN"/>
        </w:rPr>
      </w:pPr>
    </w:p>
    <w:p w14:paraId="0D98ACBE">
      <w:pPr>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both"/>
        <w:textAlignment w:val="auto"/>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24"/>
          <w:szCs w:val="24"/>
          <w:highlight w:val="none"/>
          <w:lang w:val="en-US" w:eastAsia="zh-CN"/>
        </w:rPr>
        <w:t>附件2</w:t>
      </w:r>
      <w:bookmarkEnd w:id="1736"/>
      <w:bookmarkEnd w:id="1737"/>
      <w:bookmarkEnd w:id="1738"/>
      <w:bookmarkEnd w:id="1739"/>
      <w:bookmarkEnd w:id="1740"/>
      <w:bookmarkEnd w:id="1741"/>
    </w:p>
    <w:p w14:paraId="5131D27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42" w:name="_Toc23513"/>
      <w:bookmarkStart w:id="1743" w:name="_Toc22776"/>
      <w:bookmarkStart w:id="1744" w:name="_Toc9275"/>
      <w:bookmarkStart w:id="1745" w:name="_Toc6394"/>
      <w:bookmarkStart w:id="1746" w:name="_Toc21815"/>
      <w:bookmarkStart w:id="1747" w:name="_Toc11782"/>
      <w:r>
        <w:rPr>
          <w:rFonts w:hint="eastAsia" w:ascii="仿宋" w:hAnsi="仿宋" w:eastAsia="仿宋" w:cs="仿宋"/>
          <w:b/>
          <w:bCs/>
          <w:color w:val="auto"/>
          <w:sz w:val="30"/>
          <w:szCs w:val="30"/>
          <w:highlight w:val="none"/>
          <w:lang w:val="en-US" w:eastAsia="zh-CN"/>
        </w:rPr>
        <w:t>售后服务网点（若有）</w:t>
      </w:r>
      <w:bookmarkEnd w:id="1742"/>
      <w:bookmarkEnd w:id="1743"/>
      <w:bookmarkEnd w:id="1744"/>
      <w:bookmarkEnd w:id="1745"/>
      <w:bookmarkEnd w:id="1746"/>
      <w:bookmarkEnd w:id="1747"/>
    </w:p>
    <w:tbl>
      <w:tblPr>
        <w:tblStyle w:val="21"/>
        <w:tblW w:w="10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361"/>
        <w:gridCol w:w="1376"/>
        <w:gridCol w:w="1251"/>
        <w:gridCol w:w="1251"/>
        <w:gridCol w:w="1224"/>
        <w:gridCol w:w="1669"/>
        <w:gridCol w:w="1669"/>
      </w:tblGrid>
      <w:tr w14:paraId="50872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464A4B1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48" w:name="_Toc2552"/>
            <w:bookmarkStart w:id="1749" w:name="_Toc11634"/>
            <w:bookmarkStart w:id="1750" w:name="_Toc2519"/>
            <w:bookmarkStart w:id="1751" w:name="_Toc15925"/>
            <w:bookmarkStart w:id="1752" w:name="_Toc27532"/>
            <w:bookmarkStart w:id="1753" w:name="_Toc15136"/>
            <w:r>
              <w:rPr>
                <w:rFonts w:hint="eastAsia" w:ascii="仿宋" w:hAnsi="仿宋" w:eastAsia="仿宋" w:cs="仿宋"/>
                <w:b w:val="0"/>
                <w:bCs w:val="0"/>
                <w:color w:val="auto"/>
                <w:sz w:val="24"/>
                <w:szCs w:val="24"/>
                <w:highlight w:val="none"/>
                <w:vertAlign w:val="baseline"/>
                <w:lang w:val="en-US" w:eastAsia="zh-CN"/>
              </w:rPr>
              <w:t>序号</w:t>
            </w:r>
            <w:bookmarkEnd w:id="1748"/>
            <w:bookmarkEnd w:id="1749"/>
            <w:bookmarkEnd w:id="1750"/>
            <w:bookmarkEnd w:id="1751"/>
            <w:bookmarkEnd w:id="1752"/>
            <w:bookmarkEnd w:id="1753"/>
          </w:p>
        </w:tc>
        <w:tc>
          <w:tcPr>
            <w:tcW w:w="1361" w:type="dxa"/>
            <w:noWrap w:val="0"/>
            <w:vAlign w:val="center"/>
          </w:tcPr>
          <w:p w14:paraId="7BF4D44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54" w:name="_Toc23477"/>
            <w:bookmarkStart w:id="1755" w:name="_Toc4424"/>
            <w:bookmarkStart w:id="1756" w:name="_Toc7583"/>
            <w:bookmarkStart w:id="1757" w:name="_Toc6741"/>
            <w:bookmarkStart w:id="1758" w:name="_Toc15198"/>
            <w:bookmarkStart w:id="1759" w:name="_Toc20258"/>
            <w:r>
              <w:rPr>
                <w:rFonts w:hint="eastAsia" w:ascii="仿宋" w:hAnsi="仿宋" w:eastAsia="仿宋" w:cs="仿宋"/>
                <w:b w:val="0"/>
                <w:bCs w:val="0"/>
                <w:color w:val="auto"/>
                <w:sz w:val="24"/>
                <w:szCs w:val="24"/>
                <w:highlight w:val="none"/>
                <w:vertAlign w:val="baseline"/>
                <w:lang w:val="en-US" w:eastAsia="zh-CN"/>
              </w:rPr>
              <w:t>机构名称</w:t>
            </w:r>
            <w:bookmarkEnd w:id="1754"/>
            <w:bookmarkEnd w:id="1755"/>
            <w:bookmarkEnd w:id="1756"/>
            <w:bookmarkEnd w:id="1757"/>
            <w:bookmarkEnd w:id="1758"/>
            <w:bookmarkEnd w:id="1759"/>
          </w:p>
        </w:tc>
        <w:tc>
          <w:tcPr>
            <w:tcW w:w="1376" w:type="dxa"/>
            <w:noWrap w:val="0"/>
            <w:vAlign w:val="center"/>
          </w:tcPr>
          <w:p w14:paraId="6BF928E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60" w:name="_Toc31804"/>
            <w:bookmarkStart w:id="1761" w:name="_Toc5744"/>
            <w:bookmarkStart w:id="1762" w:name="_Toc17243"/>
            <w:bookmarkStart w:id="1763" w:name="_Toc8313"/>
            <w:bookmarkStart w:id="1764" w:name="_Toc14381"/>
            <w:bookmarkStart w:id="1765" w:name="_Toc11988"/>
            <w:r>
              <w:rPr>
                <w:rFonts w:hint="eastAsia" w:ascii="仿宋" w:hAnsi="仿宋" w:eastAsia="仿宋" w:cs="仿宋"/>
                <w:b w:val="0"/>
                <w:bCs w:val="0"/>
                <w:color w:val="auto"/>
                <w:sz w:val="24"/>
                <w:szCs w:val="24"/>
                <w:highlight w:val="none"/>
                <w:vertAlign w:val="baseline"/>
                <w:lang w:val="en-US" w:eastAsia="zh-CN"/>
              </w:rPr>
              <w:t>机构地址</w:t>
            </w:r>
            <w:bookmarkEnd w:id="1760"/>
            <w:bookmarkEnd w:id="1761"/>
            <w:bookmarkEnd w:id="1762"/>
            <w:bookmarkEnd w:id="1763"/>
            <w:bookmarkEnd w:id="1764"/>
            <w:bookmarkEnd w:id="1765"/>
          </w:p>
        </w:tc>
        <w:tc>
          <w:tcPr>
            <w:tcW w:w="1251" w:type="dxa"/>
            <w:noWrap w:val="0"/>
            <w:vAlign w:val="center"/>
          </w:tcPr>
          <w:p w14:paraId="7958D4D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66" w:name="_Toc4019"/>
            <w:bookmarkStart w:id="1767" w:name="_Toc18007"/>
            <w:bookmarkStart w:id="1768" w:name="_Toc3582"/>
            <w:bookmarkStart w:id="1769" w:name="_Toc6940"/>
            <w:bookmarkStart w:id="1770" w:name="_Toc31052"/>
            <w:bookmarkStart w:id="1771" w:name="_Toc23886"/>
            <w:r>
              <w:rPr>
                <w:rFonts w:hint="eastAsia" w:ascii="仿宋" w:hAnsi="仿宋" w:eastAsia="仿宋" w:cs="仿宋"/>
                <w:b w:val="0"/>
                <w:bCs w:val="0"/>
                <w:color w:val="auto"/>
                <w:sz w:val="24"/>
                <w:szCs w:val="24"/>
                <w:highlight w:val="none"/>
                <w:vertAlign w:val="baseline"/>
                <w:lang w:val="en-US" w:eastAsia="zh-CN"/>
              </w:rPr>
              <w:t>固话号码</w:t>
            </w:r>
            <w:bookmarkEnd w:id="1766"/>
            <w:bookmarkEnd w:id="1767"/>
            <w:bookmarkEnd w:id="1768"/>
            <w:bookmarkEnd w:id="1769"/>
            <w:bookmarkEnd w:id="1770"/>
            <w:bookmarkEnd w:id="1771"/>
          </w:p>
        </w:tc>
        <w:tc>
          <w:tcPr>
            <w:tcW w:w="1251" w:type="dxa"/>
            <w:noWrap w:val="0"/>
            <w:vAlign w:val="center"/>
          </w:tcPr>
          <w:p w14:paraId="6264BF3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72" w:name="_Toc23822"/>
            <w:bookmarkStart w:id="1773" w:name="_Toc14383"/>
            <w:bookmarkStart w:id="1774" w:name="_Toc25645"/>
            <w:bookmarkStart w:id="1775" w:name="_Toc10593"/>
            <w:bookmarkStart w:id="1776" w:name="_Toc21615"/>
            <w:bookmarkStart w:id="1777" w:name="_Toc13490"/>
            <w:r>
              <w:rPr>
                <w:rFonts w:hint="eastAsia" w:ascii="仿宋" w:hAnsi="仿宋" w:eastAsia="仿宋" w:cs="仿宋"/>
                <w:b w:val="0"/>
                <w:bCs w:val="0"/>
                <w:color w:val="auto"/>
                <w:sz w:val="24"/>
                <w:szCs w:val="24"/>
                <w:highlight w:val="none"/>
                <w:vertAlign w:val="baseline"/>
                <w:lang w:val="en-US" w:eastAsia="zh-CN"/>
              </w:rPr>
              <w:t>联系人</w:t>
            </w:r>
            <w:bookmarkEnd w:id="1772"/>
            <w:bookmarkEnd w:id="1773"/>
            <w:bookmarkEnd w:id="1774"/>
            <w:bookmarkEnd w:id="1775"/>
            <w:bookmarkEnd w:id="1776"/>
            <w:bookmarkEnd w:id="1777"/>
          </w:p>
        </w:tc>
        <w:tc>
          <w:tcPr>
            <w:tcW w:w="1224" w:type="dxa"/>
            <w:noWrap w:val="0"/>
            <w:vAlign w:val="center"/>
          </w:tcPr>
          <w:p w14:paraId="3335C9F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78" w:name="_Toc11991"/>
            <w:bookmarkStart w:id="1779" w:name="_Toc9951"/>
            <w:bookmarkStart w:id="1780" w:name="_Toc10766"/>
            <w:bookmarkStart w:id="1781" w:name="_Toc22139"/>
            <w:bookmarkStart w:id="1782" w:name="_Toc26025"/>
            <w:bookmarkStart w:id="1783" w:name="_Toc25995"/>
            <w:r>
              <w:rPr>
                <w:rFonts w:hint="eastAsia" w:ascii="仿宋" w:hAnsi="仿宋" w:eastAsia="仿宋" w:cs="仿宋"/>
                <w:b w:val="0"/>
                <w:bCs w:val="0"/>
                <w:color w:val="auto"/>
                <w:sz w:val="24"/>
                <w:szCs w:val="24"/>
                <w:highlight w:val="none"/>
                <w:vertAlign w:val="baseline"/>
                <w:lang w:val="en-US" w:eastAsia="zh-CN"/>
              </w:rPr>
              <w:t>联系电话</w:t>
            </w:r>
            <w:bookmarkEnd w:id="1778"/>
            <w:bookmarkEnd w:id="1779"/>
            <w:bookmarkEnd w:id="1780"/>
            <w:bookmarkEnd w:id="1781"/>
            <w:bookmarkEnd w:id="1782"/>
            <w:bookmarkEnd w:id="1783"/>
          </w:p>
        </w:tc>
        <w:tc>
          <w:tcPr>
            <w:tcW w:w="1669" w:type="dxa"/>
            <w:noWrap w:val="0"/>
            <w:vAlign w:val="center"/>
          </w:tcPr>
          <w:p w14:paraId="79BD0B3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84" w:name="_Toc29592"/>
            <w:bookmarkStart w:id="1785" w:name="_Toc22712"/>
            <w:bookmarkStart w:id="1786" w:name="_Toc19407"/>
            <w:bookmarkStart w:id="1787" w:name="_Toc2315"/>
            <w:bookmarkStart w:id="1788" w:name="_Toc6712"/>
            <w:bookmarkStart w:id="1789" w:name="_Toc12202"/>
            <w:r>
              <w:rPr>
                <w:rFonts w:hint="eastAsia" w:ascii="仿宋" w:hAnsi="仿宋" w:eastAsia="仿宋" w:cs="仿宋"/>
                <w:b w:val="0"/>
                <w:bCs w:val="0"/>
                <w:color w:val="auto"/>
                <w:sz w:val="24"/>
                <w:szCs w:val="24"/>
                <w:highlight w:val="none"/>
                <w:vertAlign w:val="baseline"/>
                <w:lang w:val="en-US" w:eastAsia="zh-CN"/>
              </w:rPr>
              <w:t>E-mail/QQ</w:t>
            </w:r>
            <w:bookmarkEnd w:id="1784"/>
            <w:bookmarkEnd w:id="1785"/>
            <w:bookmarkEnd w:id="1786"/>
            <w:bookmarkEnd w:id="1787"/>
            <w:bookmarkEnd w:id="1788"/>
            <w:bookmarkEnd w:id="1789"/>
          </w:p>
        </w:tc>
        <w:tc>
          <w:tcPr>
            <w:tcW w:w="1669" w:type="dxa"/>
            <w:noWrap w:val="0"/>
            <w:vAlign w:val="center"/>
          </w:tcPr>
          <w:p w14:paraId="16E2518E">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90" w:name="_Toc14702"/>
            <w:bookmarkStart w:id="1791" w:name="_Toc20012"/>
            <w:bookmarkStart w:id="1792" w:name="_Toc14218"/>
            <w:bookmarkStart w:id="1793" w:name="_Toc1644"/>
            <w:bookmarkStart w:id="1794" w:name="_Toc3970"/>
            <w:bookmarkStart w:id="1795" w:name="_Toc9282"/>
            <w:r>
              <w:rPr>
                <w:rFonts w:hint="eastAsia" w:ascii="仿宋" w:hAnsi="仿宋" w:eastAsia="仿宋" w:cs="仿宋"/>
                <w:b w:val="0"/>
                <w:bCs w:val="0"/>
                <w:color w:val="auto"/>
                <w:sz w:val="24"/>
                <w:szCs w:val="24"/>
                <w:highlight w:val="none"/>
                <w:vertAlign w:val="baseline"/>
                <w:lang w:val="en-US" w:eastAsia="zh-CN"/>
              </w:rPr>
              <w:t>400/800全国免费电话</w:t>
            </w:r>
            <w:bookmarkEnd w:id="1790"/>
            <w:bookmarkEnd w:id="1791"/>
            <w:bookmarkEnd w:id="1792"/>
            <w:bookmarkEnd w:id="1793"/>
            <w:bookmarkEnd w:id="1794"/>
            <w:bookmarkEnd w:id="1795"/>
          </w:p>
        </w:tc>
      </w:tr>
      <w:tr w14:paraId="51F0D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2344622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1</w:t>
            </w:r>
          </w:p>
        </w:tc>
        <w:tc>
          <w:tcPr>
            <w:tcW w:w="1361" w:type="dxa"/>
            <w:noWrap w:val="0"/>
            <w:vAlign w:val="center"/>
          </w:tcPr>
          <w:p w14:paraId="5A5B0D8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2DB48794">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0C70DAC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2C7F094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21C5B2E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CE52B6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E32DB08">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29EB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768C12D2">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2</w:t>
            </w:r>
          </w:p>
        </w:tc>
        <w:tc>
          <w:tcPr>
            <w:tcW w:w="1361" w:type="dxa"/>
            <w:noWrap w:val="0"/>
            <w:vAlign w:val="center"/>
          </w:tcPr>
          <w:p w14:paraId="41EDBC3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26A7DEA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D7F351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425F31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500865E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77841A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E1C332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33333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 w:type="dxa"/>
            <w:noWrap w:val="0"/>
            <w:vAlign w:val="center"/>
          </w:tcPr>
          <w:p w14:paraId="7618B50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r>
              <w:rPr>
                <w:rFonts w:hint="eastAsia" w:ascii="仿宋" w:hAnsi="仿宋" w:eastAsia="仿宋" w:cs="仿宋"/>
                <w:b w:val="0"/>
                <w:bCs w:val="0"/>
                <w:color w:val="auto"/>
                <w:sz w:val="24"/>
                <w:szCs w:val="24"/>
                <w:highlight w:val="none"/>
                <w:vertAlign w:val="baseline"/>
                <w:lang w:val="en-US" w:eastAsia="zh-CN"/>
              </w:rPr>
              <w:t>3</w:t>
            </w:r>
          </w:p>
        </w:tc>
        <w:tc>
          <w:tcPr>
            <w:tcW w:w="1361" w:type="dxa"/>
            <w:noWrap w:val="0"/>
            <w:vAlign w:val="center"/>
          </w:tcPr>
          <w:p w14:paraId="3D5046F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7EDD04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AE3C100">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19D1E3B3">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77E6E88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3D1C6FB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730CA07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r w14:paraId="75A77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152D16C6">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bookmarkStart w:id="1796" w:name="_Toc4998"/>
            <w:bookmarkStart w:id="1797" w:name="_Toc4145"/>
            <w:bookmarkStart w:id="1798" w:name="_Toc27403"/>
            <w:bookmarkStart w:id="1799" w:name="_Toc9006"/>
            <w:bookmarkStart w:id="1800" w:name="_Toc24696"/>
            <w:bookmarkStart w:id="1801" w:name="_Toc15857"/>
            <w:r>
              <w:rPr>
                <w:rFonts w:hint="eastAsia" w:ascii="仿宋" w:hAnsi="仿宋" w:eastAsia="仿宋" w:cs="仿宋"/>
                <w:color w:val="auto"/>
                <w:sz w:val="24"/>
                <w:highlight w:val="none"/>
                <w:lang w:val="en-US" w:eastAsia="zh-CN"/>
              </w:rPr>
              <w:t>……</w:t>
            </w:r>
          </w:p>
        </w:tc>
        <w:tc>
          <w:tcPr>
            <w:tcW w:w="1361" w:type="dxa"/>
            <w:noWrap w:val="0"/>
            <w:vAlign w:val="center"/>
          </w:tcPr>
          <w:p w14:paraId="57B3CB77">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376" w:type="dxa"/>
            <w:noWrap w:val="0"/>
            <w:vAlign w:val="center"/>
          </w:tcPr>
          <w:p w14:paraId="79C0F7C9">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430FF545">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51" w:type="dxa"/>
            <w:noWrap w:val="0"/>
            <w:vAlign w:val="center"/>
          </w:tcPr>
          <w:p w14:paraId="5A538E4B">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224" w:type="dxa"/>
            <w:noWrap w:val="0"/>
            <w:vAlign w:val="center"/>
          </w:tcPr>
          <w:p w14:paraId="51AB4601">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21882E6A">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c>
          <w:tcPr>
            <w:tcW w:w="1669" w:type="dxa"/>
            <w:noWrap w:val="0"/>
            <w:vAlign w:val="center"/>
          </w:tcPr>
          <w:p w14:paraId="158B844D">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center"/>
              <w:textAlignment w:val="auto"/>
              <w:outlineLvl w:val="9"/>
              <w:rPr>
                <w:rFonts w:hint="eastAsia" w:ascii="仿宋" w:hAnsi="仿宋" w:eastAsia="仿宋" w:cs="仿宋"/>
                <w:b w:val="0"/>
                <w:bCs w:val="0"/>
                <w:color w:val="auto"/>
                <w:sz w:val="24"/>
                <w:szCs w:val="24"/>
                <w:highlight w:val="none"/>
                <w:vertAlign w:val="baseline"/>
                <w:lang w:val="en-US" w:eastAsia="zh-CN"/>
              </w:rPr>
            </w:pPr>
          </w:p>
        </w:tc>
      </w:tr>
    </w:tbl>
    <w:p w14:paraId="3DA657EF">
      <w:pPr>
        <w:pStyle w:val="4"/>
        <w:keepNext w:val="0"/>
        <w:keepLines w:val="0"/>
        <w:pageBreakBefore w:val="0"/>
        <w:widowControl w:val="0"/>
        <w:numPr>
          <w:ilvl w:val="0"/>
          <w:numId w:val="0"/>
        </w:numPr>
        <w:kinsoku/>
        <w:wordWrap w:val="0"/>
        <w:overflowPunct w:val="0"/>
        <w:topLinePunct/>
        <w:autoSpaceDE/>
        <w:autoSpaceDN/>
        <w:bidi w:val="0"/>
        <w:adjustRightInd/>
        <w:snapToGrid/>
        <w:spacing w:line="360" w:lineRule="auto"/>
        <w:jc w:val="left"/>
        <w:textAlignment w:val="auto"/>
        <w:outlineLvl w:val="9"/>
        <w:rPr>
          <w:rFonts w:hint="eastAsia" w:ascii="仿宋" w:hAnsi="仿宋" w:eastAsia="仿宋" w:cs="仿宋"/>
          <w:color w:val="auto"/>
          <w:spacing w:val="-1"/>
          <w:sz w:val="24"/>
          <w:szCs w:val="24"/>
          <w:highlight w:val="none"/>
        </w:rPr>
      </w:pPr>
      <w:r>
        <w:rPr>
          <w:rFonts w:hint="eastAsia" w:ascii="仿宋" w:hAnsi="仿宋" w:eastAsia="仿宋" w:cs="仿宋"/>
          <w:b w:val="0"/>
          <w:bCs w:val="0"/>
          <w:color w:val="auto"/>
          <w:sz w:val="24"/>
          <w:szCs w:val="24"/>
          <w:highlight w:val="none"/>
          <w:lang w:val="en-US" w:eastAsia="zh-CN"/>
        </w:rPr>
        <w:t>注：若服务机构为合作伙伴的需提供相关证明资料如机构营业执照等</w:t>
      </w:r>
      <w:r>
        <w:rPr>
          <w:rFonts w:hint="eastAsia" w:ascii="仿宋" w:hAnsi="仿宋" w:eastAsia="仿宋" w:cs="仿宋"/>
          <w:b w:val="0"/>
          <w:bCs w:val="0"/>
          <w:color w:val="auto"/>
          <w:sz w:val="24"/>
          <w:szCs w:val="24"/>
          <w:highlight w:val="none"/>
          <w:lang w:eastAsia="zh-CN"/>
        </w:rPr>
        <w:t>（扫描件加盖电子公章）</w:t>
      </w:r>
      <w:bookmarkEnd w:id="1796"/>
      <w:bookmarkEnd w:id="1797"/>
      <w:bookmarkEnd w:id="1798"/>
      <w:bookmarkEnd w:id="1799"/>
      <w:bookmarkEnd w:id="1800"/>
      <w:bookmarkEnd w:id="1801"/>
    </w:p>
    <w:p w14:paraId="3ABE8982">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155BB77A">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79D7DA48">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pacing w:val="-1"/>
          <w:sz w:val="24"/>
          <w:szCs w:val="24"/>
          <w:highlight w:val="none"/>
        </w:rPr>
      </w:pPr>
    </w:p>
    <w:p w14:paraId="65528DB0">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11B7B499">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rPr>
          <w:rFonts w:hint="eastAsia" w:ascii="仿宋" w:hAnsi="仿宋" w:eastAsia="仿宋" w:cs="仿宋"/>
          <w:color w:val="auto"/>
          <w:sz w:val="24"/>
          <w:szCs w:val="24"/>
          <w:highlight w:val="none"/>
          <w:u w:val="none"/>
          <w:lang w:val="en-US"/>
        </w:rPr>
      </w:pPr>
      <w:r>
        <w:rPr>
          <w:rFonts w:hint="eastAsia" w:ascii="仿宋" w:hAnsi="仿宋" w:eastAsia="仿宋" w:cs="仿宋"/>
          <w:color w:val="auto"/>
          <w:sz w:val="24"/>
          <w:highlight w:val="none"/>
        </w:rPr>
        <w:t>法定代表人（负责人）或授权委托人：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p>
    <w:p w14:paraId="04C94C66">
      <w:pPr>
        <w:jc w:val="center"/>
        <w:rPr>
          <w:rFonts w:hint="eastAsia" w:ascii="仿宋" w:hAnsi="仿宋" w:eastAsia="仿宋" w:cs="仿宋"/>
          <w:color w:val="auto"/>
          <w:sz w:val="24"/>
          <w:szCs w:val="24"/>
          <w:highlight w:val="none"/>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p>
    <w:p w14:paraId="53090403">
      <w:pPr>
        <w:pStyle w:val="10"/>
        <w:keepNext w:val="0"/>
        <w:keepLines w:val="0"/>
        <w:pageBreakBefore w:val="0"/>
        <w:widowControl w:val="0"/>
        <w:kinsoku/>
        <w:wordWrap w:val="0"/>
        <w:overflowPunct w:val="0"/>
        <w:topLinePunct/>
        <w:autoSpaceDE/>
        <w:autoSpaceDN/>
        <w:bidi w:val="0"/>
        <w:adjustRightInd/>
        <w:snapToGrid/>
        <w:spacing w:line="360" w:lineRule="auto"/>
        <w:ind w:firstLine="0" w:firstLineChars="0"/>
        <w:jc w:val="center"/>
        <w:textAlignment w:val="auto"/>
        <w:outlineLvl w:val="1"/>
        <w:rPr>
          <w:rFonts w:hint="eastAsia" w:ascii="仿宋" w:hAnsi="仿宋" w:eastAsia="仿宋" w:cs="仿宋"/>
          <w:b/>
          <w:color w:val="auto"/>
          <w:szCs w:val="21"/>
          <w:highlight w:val="none"/>
        </w:rPr>
      </w:pPr>
      <w:bookmarkStart w:id="1802" w:name="_Toc17330"/>
      <w:bookmarkStart w:id="1803" w:name="_Toc14665"/>
      <w:bookmarkStart w:id="1804" w:name="_Toc7777"/>
      <w:bookmarkStart w:id="1805" w:name="_Toc1184"/>
      <w:bookmarkStart w:id="1806" w:name="_Toc21181"/>
      <w:bookmarkStart w:id="1807" w:name="_Toc21716"/>
      <w:bookmarkStart w:id="1808" w:name="_Toc16593"/>
      <w:r>
        <w:rPr>
          <w:rFonts w:hint="eastAsia" w:ascii="仿宋" w:hAnsi="仿宋" w:eastAsia="仿宋" w:cs="仿宋"/>
          <w:b/>
          <w:bCs/>
          <w:color w:val="auto"/>
          <w:sz w:val="32"/>
          <w:szCs w:val="32"/>
          <w:highlight w:val="none"/>
          <w:lang w:val="en-US" w:eastAsia="zh-CN"/>
        </w:rPr>
        <w:t>十</w:t>
      </w:r>
      <w:r>
        <w:rPr>
          <w:rFonts w:hint="eastAsia" w:cs="仿宋"/>
          <w:b/>
          <w:bCs/>
          <w:color w:val="auto"/>
          <w:sz w:val="32"/>
          <w:szCs w:val="32"/>
          <w:highlight w:val="none"/>
          <w:lang w:val="en-US" w:eastAsia="zh-CN"/>
        </w:rPr>
        <w:t>一</w:t>
      </w:r>
      <w:r>
        <w:rPr>
          <w:rFonts w:hint="eastAsia" w:ascii="仿宋" w:hAnsi="仿宋" w:eastAsia="仿宋" w:cs="仿宋"/>
          <w:b/>
          <w:bCs/>
          <w:color w:val="auto"/>
          <w:sz w:val="32"/>
          <w:szCs w:val="32"/>
          <w:highlight w:val="none"/>
          <w:lang w:val="zh-CN" w:eastAsia="zh-CN"/>
        </w:rPr>
        <w:t>、</w:t>
      </w:r>
      <w:r>
        <w:rPr>
          <w:rFonts w:hint="eastAsia" w:ascii="仿宋" w:hAnsi="仿宋" w:eastAsia="仿宋" w:cs="仿宋"/>
          <w:b/>
          <w:bCs/>
          <w:color w:val="auto"/>
          <w:sz w:val="32"/>
          <w:szCs w:val="32"/>
          <w:highlight w:val="none"/>
          <w:lang w:eastAsia="zh-CN"/>
        </w:rPr>
        <w:t>投标人</w:t>
      </w:r>
      <w:r>
        <w:rPr>
          <w:rFonts w:hint="eastAsia" w:ascii="仿宋" w:hAnsi="仿宋" w:eastAsia="仿宋" w:cs="仿宋"/>
          <w:b/>
          <w:bCs/>
          <w:color w:val="auto"/>
          <w:sz w:val="32"/>
          <w:szCs w:val="32"/>
          <w:highlight w:val="none"/>
        </w:rPr>
        <w:t>主要业绩</w:t>
      </w:r>
      <w:r>
        <w:rPr>
          <w:rFonts w:hint="eastAsia" w:ascii="仿宋" w:hAnsi="仿宋" w:eastAsia="仿宋" w:cs="仿宋"/>
          <w:b/>
          <w:bCs/>
          <w:color w:val="auto"/>
          <w:sz w:val="32"/>
          <w:szCs w:val="32"/>
          <w:highlight w:val="none"/>
          <w:lang w:eastAsia="zh-CN"/>
        </w:rPr>
        <w:t>（若有）</w:t>
      </w:r>
      <w:bookmarkEnd w:id="1802"/>
      <w:bookmarkEnd w:id="1803"/>
      <w:bookmarkEnd w:id="1804"/>
      <w:bookmarkEnd w:id="1805"/>
      <w:bookmarkEnd w:id="1806"/>
      <w:bookmarkEnd w:id="1807"/>
      <w:bookmarkEnd w:id="1808"/>
    </w:p>
    <w:tbl>
      <w:tblPr>
        <w:tblStyle w:val="20"/>
        <w:tblW w:w="102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7"/>
        <w:gridCol w:w="1105"/>
        <w:gridCol w:w="1840"/>
        <w:gridCol w:w="1366"/>
        <w:gridCol w:w="1294"/>
        <w:gridCol w:w="1255"/>
        <w:gridCol w:w="1036"/>
        <w:gridCol w:w="1104"/>
      </w:tblGrid>
      <w:tr w14:paraId="7FB91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A4FEF2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105" w:type="dxa"/>
            <w:noWrap w:val="0"/>
            <w:vAlign w:val="center"/>
          </w:tcPr>
          <w:p w14:paraId="3288055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采购人</w:t>
            </w:r>
          </w:p>
        </w:tc>
        <w:tc>
          <w:tcPr>
            <w:tcW w:w="1840" w:type="dxa"/>
            <w:noWrap w:val="0"/>
            <w:vAlign w:val="center"/>
          </w:tcPr>
          <w:p w14:paraId="148A4F6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联系人及联系电话</w:t>
            </w:r>
          </w:p>
        </w:tc>
        <w:tc>
          <w:tcPr>
            <w:tcW w:w="1366" w:type="dxa"/>
            <w:noWrap w:val="0"/>
            <w:vAlign w:val="center"/>
          </w:tcPr>
          <w:p w14:paraId="348D6DD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供货安装期限</w:t>
            </w:r>
          </w:p>
        </w:tc>
        <w:tc>
          <w:tcPr>
            <w:tcW w:w="1294" w:type="dxa"/>
            <w:noWrap w:val="0"/>
            <w:vAlign w:val="center"/>
          </w:tcPr>
          <w:p w14:paraId="02CF112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项目地点</w:t>
            </w:r>
          </w:p>
        </w:tc>
        <w:tc>
          <w:tcPr>
            <w:tcW w:w="1255" w:type="dxa"/>
            <w:noWrap w:val="0"/>
            <w:vAlign w:val="center"/>
          </w:tcPr>
          <w:p w14:paraId="7EA0DDA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项目规模</w:t>
            </w:r>
          </w:p>
        </w:tc>
        <w:tc>
          <w:tcPr>
            <w:tcW w:w="1036" w:type="dxa"/>
            <w:noWrap w:val="0"/>
            <w:vAlign w:val="center"/>
          </w:tcPr>
          <w:p w14:paraId="214319D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签约合同金额</w:t>
            </w:r>
          </w:p>
        </w:tc>
        <w:tc>
          <w:tcPr>
            <w:tcW w:w="1104" w:type="dxa"/>
            <w:noWrap w:val="0"/>
            <w:vAlign w:val="center"/>
          </w:tcPr>
          <w:p w14:paraId="3AE8A08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pacing w:val="-16"/>
                <w:sz w:val="24"/>
                <w:szCs w:val="24"/>
                <w:highlight w:val="none"/>
              </w:rPr>
            </w:pPr>
            <w:r>
              <w:rPr>
                <w:rFonts w:hint="eastAsia" w:ascii="仿宋" w:hAnsi="仿宋" w:eastAsia="仿宋" w:cs="仿宋"/>
                <w:color w:val="auto"/>
                <w:spacing w:val="-16"/>
                <w:sz w:val="24"/>
                <w:szCs w:val="24"/>
                <w:highlight w:val="none"/>
              </w:rPr>
              <w:t>合同内容</w:t>
            </w:r>
          </w:p>
        </w:tc>
      </w:tr>
      <w:tr w14:paraId="4CF0E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63239E6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28BFFE1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2C7279E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74D7DA2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24FF407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2D661C3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0CF2DC2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1E8BA03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4643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4311C0B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06C9789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4F6FAED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6E49264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741BD13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4895C09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623734B">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37EC06C">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33BF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0687479F">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67D3B00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751BA47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235858F1">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616579D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799E9B3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72E2037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464174B4">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6D3D4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7" w:type="dxa"/>
            <w:noWrap w:val="0"/>
            <w:vAlign w:val="center"/>
          </w:tcPr>
          <w:p w14:paraId="49EF5E8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630BE42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34FA0BD6">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3AABF14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001C9D87">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57F6AA3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0215E03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0F68F61A">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5434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227" w:type="dxa"/>
            <w:noWrap w:val="0"/>
            <w:vAlign w:val="center"/>
          </w:tcPr>
          <w:p w14:paraId="16A8F188">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5" w:type="dxa"/>
            <w:noWrap w:val="0"/>
            <w:vAlign w:val="center"/>
          </w:tcPr>
          <w:p w14:paraId="0301DA33">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840" w:type="dxa"/>
            <w:noWrap w:val="0"/>
            <w:vAlign w:val="center"/>
          </w:tcPr>
          <w:p w14:paraId="33498CB5">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366" w:type="dxa"/>
            <w:noWrap w:val="0"/>
            <w:vAlign w:val="center"/>
          </w:tcPr>
          <w:p w14:paraId="5334A7FE">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94" w:type="dxa"/>
            <w:noWrap w:val="0"/>
            <w:vAlign w:val="center"/>
          </w:tcPr>
          <w:p w14:paraId="0B1AC50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255" w:type="dxa"/>
            <w:noWrap w:val="0"/>
            <w:vAlign w:val="center"/>
          </w:tcPr>
          <w:p w14:paraId="771B5D72">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036" w:type="dxa"/>
            <w:noWrap w:val="0"/>
            <w:vAlign w:val="center"/>
          </w:tcPr>
          <w:p w14:paraId="67C8CF10">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c>
          <w:tcPr>
            <w:tcW w:w="1104" w:type="dxa"/>
            <w:noWrap w:val="0"/>
            <w:vAlign w:val="center"/>
          </w:tcPr>
          <w:p w14:paraId="74D4A03D">
            <w:pPr>
              <w:keepNext w:val="0"/>
              <w:keepLines w:val="0"/>
              <w:pageBreakBefore w:val="0"/>
              <w:widowControl w:val="0"/>
              <w:kinsoku/>
              <w:wordWrap w:val="0"/>
              <w:overflowPunct w:val="0"/>
              <w:topLinePunct/>
              <w:autoSpaceDE/>
              <w:autoSpaceDN/>
              <w:bidi w:val="0"/>
              <w:adjustRightInd/>
              <w:snapToGrid/>
              <w:spacing w:line="360" w:lineRule="auto"/>
              <w:ind w:left="0"/>
              <w:jc w:val="center"/>
              <w:textAlignment w:val="auto"/>
              <w:rPr>
                <w:rFonts w:hint="eastAsia" w:ascii="仿宋" w:hAnsi="仿宋" w:eastAsia="仿宋" w:cs="仿宋"/>
                <w:color w:val="auto"/>
                <w:sz w:val="24"/>
                <w:szCs w:val="24"/>
                <w:highlight w:val="none"/>
              </w:rPr>
            </w:pPr>
          </w:p>
        </w:tc>
      </w:tr>
      <w:tr w14:paraId="2F2A2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jc w:val="center"/>
        </w:trPr>
        <w:tc>
          <w:tcPr>
            <w:tcW w:w="10227" w:type="dxa"/>
            <w:gridSpan w:val="8"/>
            <w:noWrap w:val="0"/>
            <w:vAlign w:val="center"/>
          </w:tcPr>
          <w:p w14:paraId="15301013">
            <w:pPr>
              <w:keepNext w:val="0"/>
              <w:keepLines w:val="0"/>
              <w:pageBreakBefore w:val="0"/>
              <w:widowControl w:val="0"/>
              <w:kinsoku/>
              <w:wordWrap w:val="0"/>
              <w:overflowPunct w:val="0"/>
              <w:topLinePunct/>
              <w:autoSpaceDE/>
              <w:autoSpaceDN/>
              <w:bidi w:val="0"/>
              <w:adjustRightInd/>
              <w:snapToGrid/>
              <w:spacing w:line="360" w:lineRule="auto"/>
              <w:ind w:left="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说明：附（</w:t>
            </w:r>
            <w:r>
              <w:rPr>
                <w:rFonts w:hint="eastAsia" w:ascii="仿宋" w:hAnsi="仿宋" w:eastAsia="仿宋" w:cs="仿宋"/>
                <w:color w:val="auto"/>
                <w:sz w:val="24"/>
                <w:szCs w:val="24"/>
                <w:highlight w:val="none"/>
                <w:lang w:eastAsia="zh-CN"/>
              </w:rPr>
              <w:t>评审</w:t>
            </w:r>
            <w:r>
              <w:rPr>
                <w:rFonts w:hint="eastAsia" w:ascii="仿宋" w:hAnsi="仿宋" w:eastAsia="仿宋" w:cs="仿宋"/>
                <w:color w:val="auto"/>
                <w:sz w:val="24"/>
                <w:szCs w:val="24"/>
                <w:highlight w:val="none"/>
              </w:rPr>
              <w:t>办法要求提供的）证明材料。</w:t>
            </w:r>
          </w:p>
        </w:tc>
      </w:tr>
    </w:tbl>
    <w:p w14:paraId="636C4999">
      <w:pPr>
        <w:keepNext w:val="0"/>
        <w:keepLines w:val="0"/>
        <w:pageBreakBefore w:val="0"/>
        <w:widowControl w:val="0"/>
        <w:kinsoku/>
        <w:wordWrap w:val="0"/>
        <w:overflowPunct w:val="0"/>
        <w:topLinePunct/>
        <w:autoSpaceDE/>
        <w:autoSpaceDN/>
        <w:bidi w:val="0"/>
        <w:adjustRightInd/>
        <w:snapToGrid/>
        <w:rPr>
          <w:rFonts w:hint="eastAsia" w:ascii="仿宋" w:hAnsi="仿宋" w:eastAsia="仿宋" w:cs="仿宋"/>
          <w:color w:val="auto"/>
          <w:highlight w:val="none"/>
          <w:lang w:val="zh-CN" w:eastAsia="zh-CN"/>
        </w:rPr>
        <w:sectPr>
          <w:pgSz w:w="11906" w:h="16838"/>
          <w:pgMar w:top="1134" w:right="1134" w:bottom="1134" w:left="1134" w:header="851" w:footer="907" w:gutter="0"/>
          <w:pgBorders>
            <w:top w:val="none" w:sz="0" w:space="0"/>
            <w:left w:val="none" w:sz="0" w:space="0"/>
            <w:bottom w:val="none" w:sz="0" w:space="0"/>
            <w:right w:val="none" w:sz="0" w:space="0"/>
          </w:pgBorders>
          <w:pgNumType w:fmt="decimal"/>
          <w:cols w:space="720" w:num="1"/>
          <w:docGrid w:type="lines" w:linePitch="312" w:charSpace="0"/>
        </w:sectPr>
      </w:pPr>
    </w:p>
    <w:p w14:paraId="53D4664F">
      <w:pPr>
        <w:pStyle w:val="19"/>
        <w:spacing w:line="360" w:lineRule="auto"/>
        <w:ind w:left="0" w:leftChars="0" w:firstLine="0" w:firstLineChars="0"/>
        <w:jc w:val="center"/>
        <w:outlineLvl w:val="1"/>
        <w:rPr>
          <w:rFonts w:hint="eastAsia" w:ascii="仿宋" w:hAnsi="仿宋" w:eastAsia="仿宋" w:cs="仿宋"/>
          <w:b/>
          <w:bCs/>
          <w:color w:val="auto"/>
          <w:sz w:val="32"/>
          <w:szCs w:val="32"/>
          <w:highlight w:val="none"/>
        </w:rPr>
      </w:pPr>
      <w:bookmarkStart w:id="1809" w:name="_Toc29900"/>
      <w:bookmarkStart w:id="1810" w:name="_Toc13932"/>
      <w:r>
        <w:rPr>
          <w:rFonts w:hint="eastAsia" w:ascii="仿宋" w:hAnsi="仿宋" w:eastAsia="仿宋" w:cs="仿宋"/>
          <w:b/>
          <w:bCs/>
          <w:color w:val="auto"/>
          <w:sz w:val="30"/>
          <w:szCs w:val="30"/>
          <w:highlight w:val="none"/>
          <w:lang w:val="en-US" w:eastAsia="zh-CN"/>
        </w:rPr>
        <w:t>十二、</w:t>
      </w:r>
      <w:bookmarkEnd w:id="1673"/>
      <w:bookmarkEnd w:id="1674"/>
      <w:bookmarkEnd w:id="1675"/>
      <w:bookmarkEnd w:id="1676"/>
      <w:bookmarkStart w:id="1811" w:name="_Toc6985"/>
      <w:bookmarkStart w:id="1812" w:name="_Toc19049"/>
      <w:bookmarkStart w:id="1813" w:name="_Toc18646"/>
      <w:r>
        <w:rPr>
          <w:rFonts w:hint="eastAsia" w:ascii="仿宋" w:hAnsi="仿宋" w:eastAsia="仿宋" w:cs="仿宋"/>
          <w:b/>
          <w:bCs/>
          <w:color w:val="auto"/>
          <w:sz w:val="30"/>
          <w:szCs w:val="30"/>
          <w:highlight w:val="none"/>
          <w:lang w:val="en-US" w:eastAsia="zh-CN"/>
        </w:rPr>
        <w:t>远程参与开标会议诚信承诺书</w:t>
      </w:r>
      <w:bookmarkEnd w:id="1677"/>
      <w:bookmarkEnd w:id="1678"/>
      <w:bookmarkEnd w:id="1679"/>
      <w:bookmarkEnd w:id="1680"/>
      <w:bookmarkEnd w:id="1681"/>
      <w:bookmarkEnd w:id="1809"/>
      <w:bookmarkEnd w:id="1810"/>
      <w:bookmarkEnd w:id="1811"/>
      <w:bookmarkEnd w:id="1812"/>
      <w:bookmarkEnd w:id="1813"/>
    </w:p>
    <w:p w14:paraId="62D77CB9">
      <w:pPr>
        <w:keepNext w:val="0"/>
        <w:keepLines w:val="0"/>
        <w:pageBreakBefore w:val="0"/>
        <w:widowControl w:val="0"/>
        <w:suppressLineNumbers w:val="0"/>
        <w:kinsoku/>
        <w:wordWrap w:val="0"/>
        <w:overflowPunct/>
        <w:topLinePunct/>
        <w:autoSpaceDE/>
        <w:autoSpaceDN/>
        <w:bidi w:val="0"/>
        <w:adjustRightInd/>
        <w:snapToGrid/>
        <w:spacing w:line="360" w:lineRule="auto"/>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致：</w:t>
      </w:r>
      <w:r>
        <w:rPr>
          <w:rFonts w:hint="eastAsia" w:ascii="仿宋" w:hAnsi="仿宋" w:eastAsia="仿宋" w:cs="仿宋"/>
          <w:b w:val="0"/>
          <w:bCs w:val="0"/>
          <w:color w:val="auto"/>
          <w:kern w:val="0"/>
          <w:sz w:val="24"/>
          <w:szCs w:val="24"/>
          <w:highlight w:val="none"/>
          <w:u w:val="single"/>
          <w:lang w:val="en-US" w:eastAsia="zh-CN" w:bidi="ar"/>
        </w:rPr>
        <w:t>牟定县水务局</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1620B4A4">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我方郑重承诺：遵循公开、公平、公正和诚实守信的原则，参加本次远程开标会议，是我方真实意思的表达。</w:t>
      </w:r>
    </w:p>
    <w:p w14:paraId="2E61496F">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一、不出借、买卖、伪造、涂改企业和从业人员的资质证书、营业执照、资格业绩、印章以及其他相关资信证明文件，严禁其他企业或个人以我公司的名义投标。</w:t>
      </w:r>
    </w:p>
    <w:p w14:paraId="00909C76">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二、严格遵守法律法规和招标文件规定的投标程序。不隐瞒真实情况，不弄虚作假，不骗取投标和中标资格。</w:t>
      </w:r>
    </w:p>
    <w:p w14:paraId="44F53A08">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三、坚决抵制和杜绝串标、围标、哄抬报价、贿赂、回扣等违法投标和不正当竞争行为。</w:t>
      </w:r>
    </w:p>
    <w:p w14:paraId="51B41135">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四、依法经营，公平竞争，不采取违法、违规或不正当手段损害、侵犯同行企业的正当权益。</w:t>
      </w:r>
    </w:p>
    <w:p w14:paraId="0C1FBCC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五、遵守指令、不擅离职守。开标评标过程中，我方将坚持全程参加开评标会议，积极响应采购人的指令和操作要求，不擅离职守，始终保持通讯顺畅，因我方原因在规定时间内无法与管理端建立起联系的，即视为放弃交互的权利，我方认可采购人任意处置决定，接受包括终止投标资格在内的任何处理结果。</w:t>
      </w:r>
    </w:p>
    <w:p w14:paraId="7A0790F3">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六、确保设施、设备工况良好。我方将负责提前检查电力供应、网络环境和远程开标会议有关设施、设备的稳定性和安全性，因我方原因导致无法完成投标或者不能进行现场实时交互的，均由我方自行承担一切后果。</w:t>
      </w:r>
    </w:p>
    <w:p w14:paraId="6AB5ACCC">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outlineLvl w:val="1"/>
        <w:rPr>
          <w:rFonts w:hint="eastAsia" w:ascii="仿宋" w:hAnsi="仿宋" w:eastAsia="仿宋" w:cs="仿宋"/>
          <w:color w:val="auto"/>
          <w:sz w:val="24"/>
          <w:szCs w:val="24"/>
          <w:highlight w:val="none"/>
        </w:rPr>
      </w:pPr>
      <w:bookmarkStart w:id="1814" w:name="_Toc28686"/>
      <w:bookmarkStart w:id="1815" w:name="_Toc5974"/>
      <w:bookmarkStart w:id="1816" w:name="_Toc19265"/>
      <w:bookmarkStart w:id="1817" w:name="_Toc7006"/>
      <w:bookmarkStart w:id="1818" w:name="_Toc1786"/>
      <w:bookmarkStart w:id="1819" w:name="_Toc30562"/>
      <w:bookmarkStart w:id="1820" w:name="_Toc12859"/>
      <w:bookmarkStart w:id="1821" w:name="_Toc28503"/>
      <w:bookmarkStart w:id="1822" w:name="_Toc3721"/>
      <w:bookmarkStart w:id="1823" w:name="_Toc24543"/>
      <w:bookmarkStart w:id="1824" w:name="_Toc7005"/>
      <w:r>
        <w:rPr>
          <w:rFonts w:hint="eastAsia" w:ascii="仿宋" w:hAnsi="仿宋" w:eastAsia="仿宋" w:cs="仿宋"/>
          <w:color w:val="auto"/>
          <w:kern w:val="0"/>
          <w:sz w:val="24"/>
          <w:szCs w:val="24"/>
          <w:highlight w:val="none"/>
          <w:lang w:val="en-US" w:eastAsia="zh-CN" w:bidi="ar"/>
        </w:rPr>
        <w:t>七、不向采购人或评标委员会成员或相关人员行贿，以牟取中标。</w:t>
      </w:r>
      <w:bookmarkEnd w:id="1814"/>
      <w:bookmarkEnd w:id="1815"/>
      <w:bookmarkEnd w:id="1816"/>
      <w:bookmarkEnd w:id="1817"/>
      <w:bookmarkEnd w:id="1818"/>
      <w:bookmarkEnd w:id="1819"/>
      <w:bookmarkEnd w:id="1820"/>
      <w:bookmarkEnd w:id="1821"/>
      <w:bookmarkEnd w:id="1822"/>
      <w:bookmarkEnd w:id="1823"/>
      <w:bookmarkEnd w:id="1824"/>
    </w:p>
    <w:p w14:paraId="56DFD49F">
      <w:pPr>
        <w:keepNext w:val="0"/>
        <w:keepLines w:val="0"/>
        <w:pageBreakBefore w:val="0"/>
        <w:widowControl w:val="0"/>
        <w:suppressLineNumbers w:val="0"/>
        <w:kinsoku/>
        <w:wordWrap w:val="0"/>
        <w:overflowPunct/>
        <w:topLinePunct/>
        <w:autoSpaceDE/>
        <w:autoSpaceDN/>
        <w:bidi w:val="0"/>
        <w:adjustRightInd/>
        <w:snapToGrid/>
        <w:spacing w:line="36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我方若有违反承诺内容的行为，自愿接受取消招投标资格、将不良行为记录记入档案、没收投标保证金等有关处理，并承担相应的法律责任。给采购人造成损失的，依法承担赔偿责任。</w:t>
      </w:r>
    </w:p>
    <w:p w14:paraId="41B5EF09">
      <w:pPr>
        <w:pStyle w:val="19"/>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3F8DE6EA">
      <w:pPr>
        <w:pStyle w:val="19"/>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505FF4E8">
      <w:pPr>
        <w:pStyle w:val="19"/>
        <w:spacing w:line="360" w:lineRule="auto"/>
        <w:ind w:left="0" w:leftChars="0" w:firstLine="0" w:firstLineChars="0"/>
        <w:jc w:val="center"/>
        <w:outlineLvl w:val="9"/>
        <w:rPr>
          <w:rFonts w:hint="eastAsia" w:ascii="仿宋" w:hAnsi="仿宋" w:eastAsia="仿宋" w:cs="仿宋"/>
          <w:color w:val="auto"/>
          <w:sz w:val="24"/>
          <w:szCs w:val="24"/>
          <w:highlight w:val="none"/>
          <w:lang w:eastAsia="zh-CN"/>
        </w:rPr>
      </w:pPr>
    </w:p>
    <w:p w14:paraId="0BE213BE">
      <w:pPr>
        <w:wordWrap w:val="0"/>
        <w:overflowPunct w:val="0"/>
        <w:topLinePunct/>
        <w:spacing w:line="360" w:lineRule="auto"/>
        <w:jc w:val="center"/>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投标人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none"/>
          <w:lang w:eastAsia="zh-CN"/>
        </w:rPr>
        <w:t>（电子公章）</w:t>
      </w:r>
    </w:p>
    <w:p w14:paraId="35854579">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360" w:lineRule="auto"/>
        <w:ind w:right="0"/>
        <w:jc w:val="center"/>
        <w:textAlignment w:val="auto"/>
        <w:outlineLvl w:val="0"/>
        <w:rPr>
          <w:rFonts w:hint="eastAsia" w:ascii="仿宋" w:hAnsi="仿宋" w:eastAsia="仿宋" w:cs="仿宋"/>
          <w:color w:val="auto"/>
          <w:sz w:val="24"/>
          <w:szCs w:val="24"/>
          <w:highlight w:val="none"/>
          <w:u w:val="none"/>
          <w:lang w:val="en-US"/>
        </w:rPr>
      </w:pPr>
      <w:bookmarkStart w:id="1825" w:name="_Toc30962"/>
      <w:bookmarkStart w:id="1826" w:name="_Toc28319"/>
      <w:bookmarkStart w:id="1827" w:name="_Toc21134"/>
      <w:bookmarkStart w:id="1828" w:name="_Toc24769"/>
      <w:bookmarkStart w:id="1829" w:name="_Toc12654"/>
      <w:bookmarkStart w:id="1830" w:name="_Toc3921"/>
      <w:bookmarkStart w:id="1831" w:name="_Toc6085"/>
      <w:bookmarkStart w:id="1832" w:name="_Toc9390"/>
      <w:bookmarkStart w:id="1833" w:name="_Toc31868"/>
      <w:bookmarkStart w:id="1834" w:name="_Toc25756"/>
      <w:bookmarkStart w:id="1835" w:name="_Toc3394"/>
      <w:r>
        <w:rPr>
          <w:rFonts w:hint="eastAsia" w:ascii="仿宋" w:hAnsi="仿宋" w:eastAsia="仿宋" w:cs="仿宋"/>
          <w:color w:val="auto"/>
          <w:sz w:val="24"/>
          <w:highlight w:val="none"/>
        </w:rPr>
        <w:t>法定代表人（负责人）：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签字或电子签章</w:t>
      </w:r>
      <w:r>
        <w:rPr>
          <w:rFonts w:hint="eastAsia" w:ascii="仿宋" w:hAnsi="仿宋" w:eastAsia="仿宋" w:cs="仿宋"/>
          <w:color w:val="auto"/>
          <w:sz w:val="24"/>
          <w:highlight w:val="none"/>
        </w:rPr>
        <w:t>）</w:t>
      </w:r>
      <w:bookmarkEnd w:id="1825"/>
      <w:bookmarkEnd w:id="1826"/>
      <w:bookmarkEnd w:id="1827"/>
      <w:bookmarkEnd w:id="1828"/>
      <w:bookmarkEnd w:id="1829"/>
      <w:bookmarkEnd w:id="1830"/>
      <w:bookmarkEnd w:id="1831"/>
      <w:bookmarkEnd w:id="1832"/>
      <w:bookmarkEnd w:id="1833"/>
      <w:bookmarkEnd w:id="1834"/>
      <w:bookmarkEnd w:id="1835"/>
    </w:p>
    <w:p w14:paraId="1D5AD07B">
      <w:pPr>
        <w:pStyle w:val="19"/>
        <w:spacing w:line="360" w:lineRule="auto"/>
        <w:ind w:left="0" w:leftChars="0" w:firstLine="0" w:firstLineChars="0"/>
        <w:jc w:val="center"/>
        <w:outlineLvl w:val="0"/>
        <w:rPr>
          <w:rFonts w:hint="eastAsia" w:ascii="仿宋" w:hAnsi="仿宋" w:eastAsia="仿宋" w:cs="仿宋"/>
          <w:color w:val="auto"/>
          <w:sz w:val="24"/>
          <w:szCs w:val="24"/>
          <w:highlight w:val="none"/>
        </w:rPr>
        <w:sectPr>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pPr>
      <w:bookmarkStart w:id="1836" w:name="_Toc15052"/>
      <w:bookmarkStart w:id="1837" w:name="_Toc17789"/>
      <w:bookmarkStart w:id="1838" w:name="_Toc27155"/>
      <w:bookmarkStart w:id="1839" w:name="_Toc16056"/>
      <w:bookmarkStart w:id="1840" w:name="_Toc26447"/>
      <w:bookmarkStart w:id="1841" w:name="_Toc27625"/>
      <w:bookmarkStart w:id="1842" w:name="_Toc27399"/>
      <w:bookmarkStart w:id="1843" w:name="_Toc30995"/>
      <w:bookmarkStart w:id="1844" w:name="_Toc13958"/>
      <w:bookmarkStart w:id="1845" w:name="_Toc28684"/>
      <w:bookmarkStart w:id="1846" w:name="_Toc29569"/>
      <w:bookmarkStart w:id="1847" w:name="_Toc27089"/>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日</w:t>
      </w:r>
      <w:bookmarkEnd w:id="1836"/>
      <w:bookmarkEnd w:id="1837"/>
      <w:bookmarkEnd w:id="1838"/>
      <w:bookmarkEnd w:id="1839"/>
      <w:bookmarkEnd w:id="1840"/>
      <w:bookmarkEnd w:id="1841"/>
      <w:bookmarkEnd w:id="1842"/>
      <w:bookmarkEnd w:id="1843"/>
      <w:bookmarkEnd w:id="1844"/>
      <w:bookmarkEnd w:id="1845"/>
      <w:bookmarkEnd w:id="1846"/>
      <w:bookmarkEnd w:id="1847"/>
    </w:p>
    <w:p w14:paraId="4EBAB0A3">
      <w:pPr>
        <w:pStyle w:val="19"/>
        <w:spacing w:line="360" w:lineRule="auto"/>
        <w:ind w:left="0" w:leftChars="0" w:firstLine="0" w:firstLineChars="0"/>
        <w:jc w:val="center"/>
        <w:outlineLvl w:val="1"/>
        <w:rPr>
          <w:rFonts w:hint="eastAsia" w:ascii="仿宋" w:hAnsi="仿宋" w:eastAsia="仿宋" w:cs="仿宋"/>
          <w:b/>
          <w:bCs/>
          <w:color w:val="auto"/>
          <w:sz w:val="30"/>
          <w:szCs w:val="30"/>
          <w:highlight w:val="none"/>
          <w:lang w:val="en-US" w:eastAsia="zh-CN"/>
        </w:rPr>
      </w:pPr>
      <w:bookmarkStart w:id="1848" w:name="_Toc7514"/>
      <w:bookmarkStart w:id="1849" w:name="_Toc4210"/>
      <w:bookmarkStart w:id="1850" w:name="_Toc30116"/>
      <w:bookmarkStart w:id="1851" w:name="_Toc5447"/>
      <w:bookmarkStart w:id="1852" w:name="_Toc29699"/>
      <w:bookmarkStart w:id="1853" w:name="_Toc3105"/>
      <w:bookmarkStart w:id="1854" w:name="_Toc20372"/>
      <w:bookmarkStart w:id="1855" w:name="_Toc24721"/>
      <w:bookmarkStart w:id="1856" w:name="_Toc30111"/>
      <w:bookmarkStart w:id="1857" w:name="_Toc24704"/>
      <w:r>
        <w:rPr>
          <w:rFonts w:hint="eastAsia" w:ascii="仿宋" w:hAnsi="仿宋" w:eastAsia="仿宋" w:cs="仿宋"/>
          <w:b/>
          <w:bCs/>
          <w:color w:val="auto"/>
          <w:sz w:val="30"/>
          <w:szCs w:val="30"/>
          <w:highlight w:val="none"/>
          <w:lang w:val="en-US" w:eastAsia="zh-CN"/>
        </w:rPr>
        <w:t>十三、投标质量保证书</w:t>
      </w:r>
    </w:p>
    <w:p w14:paraId="181AD5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color w:val="auto"/>
          <w:sz w:val="24"/>
          <w:szCs w:val="24"/>
          <w:highlight w:val="none"/>
          <w:lang w:eastAsia="zh-CN"/>
        </w:rPr>
      </w:pPr>
      <w:r>
        <w:rPr>
          <w:rFonts w:hint="eastAsia" w:ascii="仿宋" w:hAnsi="仿宋" w:eastAsia="仿宋" w:cs="仿宋"/>
          <w:b w:val="0"/>
          <w:bCs/>
          <w:color w:val="auto"/>
          <w:sz w:val="24"/>
          <w:szCs w:val="24"/>
          <w:highlight w:val="none"/>
          <w:u w:val="none"/>
          <w:lang w:eastAsia="zh-CN"/>
        </w:rPr>
        <w:t>致：</w:t>
      </w:r>
      <w:r>
        <w:rPr>
          <w:rFonts w:hint="eastAsia" w:ascii="仿宋" w:hAnsi="仿宋" w:eastAsia="仿宋" w:cs="仿宋"/>
          <w:b w:val="0"/>
          <w:bCs/>
          <w:color w:val="auto"/>
          <w:sz w:val="24"/>
          <w:szCs w:val="24"/>
          <w:highlight w:val="none"/>
          <w:u w:val="single"/>
          <w:lang w:eastAsia="zh-CN"/>
        </w:rPr>
        <w:t>牟定县水务局</w:t>
      </w:r>
      <w:r>
        <w:rPr>
          <w:rFonts w:hint="eastAsia" w:ascii="仿宋" w:hAnsi="仿宋" w:eastAsia="仿宋" w:cs="仿宋"/>
          <w:b w:val="0"/>
          <w:bCs w:val="0"/>
          <w:color w:val="auto"/>
          <w:kern w:val="0"/>
          <w:sz w:val="24"/>
          <w:szCs w:val="24"/>
          <w:highlight w:val="none"/>
          <w:u w:val="none"/>
          <w:lang w:val="en-US" w:eastAsia="zh-CN" w:bidi="ar"/>
        </w:rPr>
        <w:t>（</w:t>
      </w:r>
      <w:r>
        <w:rPr>
          <w:rFonts w:hint="eastAsia" w:ascii="仿宋" w:hAnsi="仿宋" w:eastAsia="仿宋" w:cs="仿宋"/>
          <w:color w:val="auto"/>
          <w:kern w:val="0"/>
          <w:sz w:val="24"/>
          <w:szCs w:val="24"/>
          <w:highlight w:val="none"/>
          <w:lang w:val="en-US" w:eastAsia="zh-CN" w:bidi="ar"/>
        </w:rPr>
        <w:t>采购人）</w:t>
      </w:r>
    </w:p>
    <w:p w14:paraId="28912524">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本投标书作为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rPr>
        <w:t>）对（项目名称：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lang w:val="en-US" w:eastAsia="zh-CN"/>
        </w:rPr>
        <w:t>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公开招标</w:t>
      </w:r>
      <w:r>
        <w:rPr>
          <w:rFonts w:hint="eastAsia" w:ascii="仿宋" w:hAnsi="仿宋" w:eastAsia="仿宋" w:cs="仿宋"/>
          <w:color w:val="auto"/>
          <w:sz w:val="24"/>
          <w:szCs w:val="24"/>
          <w:highlight w:val="none"/>
        </w:rPr>
        <w:t>采购活动提供质量保证的证明。</w:t>
      </w:r>
    </w:p>
    <w:p w14:paraId="3C51097B">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我方承诺提供以下质量保证并承担相应的法律责任：</w:t>
      </w:r>
    </w:p>
    <w:p w14:paraId="0476D1F8">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提供的货物是全新的、符合国家质量标准、中国有关部门手续完备、具有生产企业质量保证书（或合格证明）的货物；</w:t>
      </w:r>
      <w:r>
        <w:rPr>
          <w:rFonts w:hint="eastAsia" w:ascii="仿宋" w:hAnsi="仿宋" w:eastAsia="仿宋" w:cs="仿宋"/>
          <w:b/>
          <w:bCs/>
          <w:color w:val="auto"/>
          <w:sz w:val="24"/>
          <w:szCs w:val="24"/>
          <w:highlight w:val="none"/>
        </w:rPr>
        <w:t>保证产品为注效期内的合格产品。</w:t>
      </w:r>
    </w:p>
    <w:p w14:paraId="53203B7E">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保证甲方在合同产品使用期间不受第三方提出侵犯其专利权、商标，提供的货物符合投标文件承诺和所签合同规定的技术要求；</w:t>
      </w:r>
    </w:p>
    <w:p w14:paraId="534D6EB5">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3.</w:t>
      </w:r>
      <w:r>
        <w:rPr>
          <w:rFonts w:hint="eastAsia" w:ascii="仿宋" w:hAnsi="仿宋" w:eastAsia="仿宋" w:cs="仿宋"/>
          <w:color w:val="auto"/>
          <w:sz w:val="24"/>
          <w:szCs w:val="24"/>
          <w:highlight w:val="none"/>
        </w:rPr>
        <w:t>保证“投标文件售后服务承诺”全部内容的满足。</w:t>
      </w:r>
    </w:p>
    <w:p w14:paraId="34D6F7DB">
      <w:pPr>
        <w:keepNext w:val="0"/>
        <w:keepLines w:val="0"/>
        <w:pageBreakBefore w:val="0"/>
        <w:widowControl w:val="0"/>
        <w:suppressLineNumbers w:val="0"/>
        <w:kinsoku/>
        <w:wordWrap w:val="0"/>
        <w:overflowPunct/>
        <w:topLinePunct/>
        <w:autoSpaceDE/>
        <w:autoSpaceDN/>
        <w:bidi w:val="0"/>
        <w:adjustRightInd/>
        <w:snapToGrid/>
        <w:spacing w:line="480" w:lineRule="auto"/>
        <w:ind w:firstLine="480" w:firstLineChars="200"/>
        <w:jc w:val="left"/>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本保证书自开标日起90日内有效，如我方最终成交则至货物保质期满为止有效。</w:t>
      </w:r>
    </w:p>
    <w:p w14:paraId="6187FEB4">
      <w:pPr>
        <w:pStyle w:val="10"/>
        <w:tabs>
          <w:tab w:val="left" w:pos="567"/>
        </w:tabs>
        <w:rPr>
          <w:rFonts w:hint="eastAsia" w:ascii="仿宋" w:hAnsi="仿宋" w:eastAsia="仿宋" w:cs="仿宋"/>
          <w:color w:val="auto"/>
          <w:highlight w:val="none"/>
        </w:rPr>
      </w:pPr>
    </w:p>
    <w:p w14:paraId="11439698">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3FECC76C">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58AEC54D">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46836E62">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7A289B2A">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p>
    <w:p w14:paraId="27451BDF">
      <w:pPr>
        <w:wordWrap w:val="0"/>
        <w:overflowPunct w:val="0"/>
        <w:topLinePunct/>
        <w:spacing w:line="480" w:lineRule="auto"/>
        <w:jc w:val="center"/>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eastAsia="zh-CN"/>
        </w:rPr>
        <w:t>投标人</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none"/>
          <w:lang w:eastAsia="zh-CN"/>
        </w:rPr>
        <w:t>（电子公章）</w:t>
      </w:r>
    </w:p>
    <w:p w14:paraId="22C1E74E">
      <w:pPr>
        <w:pStyle w:val="10"/>
        <w:keepNext w:val="0"/>
        <w:keepLines w:val="0"/>
        <w:pageBreakBefore w:val="0"/>
        <w:widowControl w:val="0"/>
        <w:tabs>
          <w:tab w:val="left" w:pos="2937"/>
        </w:tabs>
        <w:kinsoku/>
        <w:wordWrap w:val="0"/>
        <w:overflowPunct w:val="0"/>
        <w:topLinePunct/>
        <w:autoSpaceDE/>
        <w:autoSpaceDN/>
        <w:bidi w:val="0"/>
        <w:adjustRightInd/>
        <w:snapToGrid/>
        <w:spacing w:after="0" w:line="480" w:lineRule="auto"/>
        <w:ind w:right="0"/>
        <w:jc w:val="center"/>
        <w:textAlignment w:val="auto"/>
        <w:outlineLvl w:val="0"/>
        <w:rPr>
          <w:rFonts w:hint="eastAsia" w:ascii="仿宋" w:hAnsi="仿宋" w:eastAsia="仿宋" w:cs="仿宋"/>
          <w:b w:val="0"/>
          <w:bCs w:val="0"/>
          <w:color w:val="auto"/>
          <w:sz w:val="24"/>
          <w:szCs w:val="24"/>
          <w:highlight w:val="none"/>
          <w:u w:val="none"/>
          <w:lang w:val="en-US"/>
        </w:rPr>
      </w:pPr>
      <w:r>
        <w:rPr>
          <w:rFonts w:hint="eastAsia" w:ascii="仿宋" w:hAnsi="仿宋" w:eastAsia="仿宋" w:cs="仿宋"/>
          <w:b w:val="0"/>
          <w:bCs w:val="0"/>
          <w:color w:val="auto"/>
          <w:sz w:val="24"/>
          <w:highlight w:val="none"/>
        </w:rPr>
        <w:t>法定代表人（负责人）：</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w:t>
      </w:r>
      <w:r>
        <w:rPr>
          <w:rFonts w:hint="eastAsia" w:ascii="仿宋" w:hAnsi="仿宋" w:eastAsia="仿宋" w:cs="仿宋"/>
          <w:b w:val="0"/>
          <w:bCs w:val="0"/>
          <w:color w:val="auto"/>
          <w:sz w:val="24"/>
          <w:highlight w:val="none"/>
          <w:lang w:eastAsia="zh-CN"/>
        </w:rPr>
        <w:t>签字或电子签章</w:t>
      </w:r>
      <w:r>
        <w:rPr>
          <w:rFonts w:hint="eastAsia" w:ascii="仿宋" w:hAnsi="仿宋" w:eastAsia="仿宋" w:cs="仿宋"/>
          <w:b w:val="0"/>
          <w:bCs w:val="0"/>
          <w:color w:val="auto"/>
          <w:sz w:val="24"/>
          <w:highlight w:val="none"/>
        </w:rPr>
        <w:t>）</w:t>
      </w:r>
    </w:p>
    <w:p w14:paraId="656247F6">
      <w:pPr>
        <w:pStyle w:val="4"/>
        <w:bidi w:val="0"/>
        <w:spacing w:line="480" w:lineRule="auto"/>
        <w:jc w:val="center"/>
        <w:outlineLvl w:val="1"/>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24"/>
          <w:szCs w:val="24"/>
          <w:highlight w:val="none"/>
        </w:rPr>
        <w:t>日</w:t>
      </w:r>
      <w:r>
        <w:rPr>
          <w:rFonts w:hint="eastAsia" w:ascii="仿宋" w:hAnsi="仿宋" w:eastAsia="仿宋" w:cs="仿宋"/>
          <w:b w:val="0"/>
          <w:bCs w:val="0"/>
          <w:color w:val="auto"/>
          <w:sz w:val="24"/>
          <w:szCs w:val="24"/>
          <w:highlight w:val="none"/>
        </w:rPr>
        <w:tab/>
      </w:r>
      <w:r>
        <w:rPr>
          <w:rFonts w:hint="eastAsia" w:ascii="仿宋" w:hAnsi="仿宋" w:eastAsia="仿宋" w:cs="仿宋"/>
          <w:b w:val="0"/>
          <w:bCs w:val="0"/>
          <w:color w:val="auto"/>
          <w:sz w:val="24"/>
          <w:szCs w:val="24"/>
          <w:highlight w:val="none"/>
        </w:rPr>
        <w:t>期：</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年</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月</w:t>
      </w:r>
      <w:r>
        <w:rPr>
          <w:rFonts w:hint="eastAsia" w:ascii="仿宋" w:hAnsi="仿宋" w:eastAsia="仿宋" w:cs="仿宋"/>
          <w:b w:val="0"/>
          <w:bCs w:val="0"/>
          <w:color w:val="auto"/>
          <w:sz w:val="24"/>
          <w:szCs w:val="24"/>
          <w:highlight w:val="none"/>
          <w:u w:val="single"/>
          <w:lang w:val="en-US" w:eastAsia="zh-CN"/>
        </w:rPr>
        <w:t xml:space="preserve">   </w:t>
      </w:r>
      <w:r>
        <w:rPr>
          <w:rFonts w:hint="eastAsia" w:ascii="仿宋" w:hAnsi="仿宋" w:eastAsia="仿宋" w:cs="仿宋"/>
          <w:b w:val="0"/>
          <w:bCs w:val="0"/>
          <w:color w:val="auto"/>
          <w:sz w:val="24"/>
          <w:szCs w:val="24"/>
          <w:highlight w:val="none"/>
        </w:rPr>
        <w:t>日</w:t>
      </w:r>
    </w:p>
    <w:p w14:paraId="6093B154">
      <w:pPr>
        <w:pStyle w:val="4"/>
        <w:bidi w:val="0"/>
        <w:jc w:val="center"/>
        <w:outlineLvl w:val="1"/>
        <w:rPr>
          <w:rFonts w:hint="eastAsia" w:ascii="仿宋" w:hAnsi="仿宋" w:eastAsia="仿宋" w:cs="仿宋"/>
          <w:color w:val="auto"/>
          <w:highlight w:val="none"/>
          <w:lang w:val="en-US" w:eastAsia="zh-CN"/>
        </w:rPr>
      </w:pPr>
    </w:p>
    <w:p w14:paraId="423CC17C">
      <w:pPr>
        <w:pStyle w:val="4"/>
        <w:bidi w:val="0"/>
        <w:jc w:val="center"/>
        <w:outlineLvl w:val="1"/>
        <w:rPr>
          <w:rFonts w:hint="eastAsia" w:ascii="仿宋" w:hAnsi="仿宋" w:eastAsia="仿宋" w:cs="仿宋"/>
          <w:color w:val="auto"/>
          <w:highlight w:val="none"/>
          <w:lang w:val="en-US" w:eastAsia="zh-CN"/>
        </w:rPr>
      </w:pPr>
    </w:p>
    <w:p w14:paraId="14F76D70">
      <w:pPr>
        <w:pStyle w:val="4"/>
        <w:bidi w:val="0"/>
        <w:jc w:val="center"/>
        <w:outlineLvl w:val="1"/>
        <w:rPr>
          <w:rFonts w:hint="eastAsia" w:ascii="仿宋" w:hAnsi="仿宋" w:eastAsia="仿宋" w:cs="仿宋"/>
          <w:color w:val="auto"/>
          <w:highlight w:val="none"/>
          <w:lang w:val="en-US" w:eastAsia="zh-CN"/>
        </w:rPr>
      </w:pPr>
    </w:p>
    <w:p w14:paraId="7C87FC18">
      <w:pPr>
        <w:rPr>
          <w:rFonts w:hint="eastAsia" w:ascii="仿宋" w:hAnsi="仿宋" w:eastAsia="仿宋" w:cs="仿宋"/>
          <w:color w:val="auto"/>
          <w:highlight w:val="none"/>
          <w:lang w:val="en-US" w:eastAsia="zh-CN"/>
        </w:rPr>
      </w:pPr>
    </w:p>
    <w:p w14:paraId="594C4252">
      <w:pPr>
        <w:rPr>
          <w:rFonts w:hint="eastAsia" w:ascii="仿宋" w:hAnsi="仿宋" w:eastAsia="仿宋" w:cs="仿宋"/>
          <w:color w:val="auto"/>
          <w:highlight w:val="none"/>
          <w:lang w:val="en-US" w:eastAsia="zh-CN"/>
        </w:rPr>
      </w:pPr>
    </w:p>
    <w:p w14:paraId="54019926">
      <w:pPr>
        <w:rPr>
          <w:rFonts w:hint="eastAsia" w:ascii="仿宋" w:hAnsi="仿宋" w:eastAsia="仿宋" w:cs="仿宋"/>
          <w:color w:val="auto"/>
          <w:highlight w:val="none"/>
          <w:lang w:val="en-US" w:eastAsia="zh-CN"/>
        </w:rPr>
      </w:pPr>
    </w:p>
    <w:p w14:paraId="60CB6010">
      <w:pPr>
        <w:rPr>
          <w:rFonts w:hint="eastAsia" w:ascii="仿宋" w:hAnsi="仿宋" w:eastAsia="仿宋" w:cs="仿宋"/>
          <w:color w:val="auto"/>
          <w:highlight w:val="none"/>
          <w:lang w:val="en-US" w:eastAsia="zh-CN"/>
        </w:rPr>
      </w:pPr>
    </w:p>
    <w:p w14:paraId="26AD500F">
      <w:pPr>
        <w:pStyle w:val="4"/>
        <w:bidi w:val="0"/>
        <w:jc w:val="center"/>
        <w:outlineLvl w:val="1"/>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十四、</w:t>
      </w:r>
      <w:r>
        <w:rPr>
          <w:rFonts w:hint="eastAsia" w:ascii="仿宋" w:hAnsi="仿宋" w:eastAsia="仿宋" w:cs="仿宋"/>
          <w:color w:val="auto"/>
          <w:highlight w:val="none"/>
          <w:lang w:eastAsia="zh-CN"/>
        </w:rPr>
        <w:t>投标人认为有必要提供的其他资料</w:t>
      </w:r>
      <w:r>
        <w:rPr>
          <w:rFonts w:hint="eastAsia" w:ascii="仿宋" w:hAnsi="仿宋" w:eastAsia="仿宋" w:cs="仿宋"/>
          <w:color w:val="auto"/>
          <w:highlight w:val="none"/>
          <w:lang w:val="en-US" w:eastAsia="zh-CN"/>
        </w:rPr>
        <w:t>（若有）</w:t>
      </w:r>
      <w:bookmarkEnd w:id="1848"/>
      <w:bookmarkEnd w:id="1849"/>
      <w:bookmarkEnd w:id="1850"/>
      <w:bookmarkEnd w:id="1851"/>
      <w:bookmarkEnd w:id="1852"/>
      <w:bookmarkEnd w:id="1853"/>
      <w:bookmarkEnd w:id="1854"/>
      <w:bookmarkEnd w:id="1855"/>
      <w:bookmarkEnd w:id="1856"/>
      <w:bookmarkEnd w:id="1857"/>
    </w:p>
    <w:p w14:paraId="1367AD43">
      <w:pPr>
        <w:pStyle w:val="10"/>
        <w:keepNext w:val="0"/>
        <w:keepLines w:val="0"/>
        <w:pageBreakBefore w:val="0"/>
        <w:widowControl w:val="0"/>
        <w:kinsoku/>
        <w:wordWrap w:val="0"/>
        <w:overflowPunct w:val="0"/>
        <w:topLinePunct/>
        <w:autoSpaceDE/>
        <w:autoSpaceDN/>
        <w:bidi w:val="0"/>
        <w:adjustRightInd/>
        <w:snapToGrid/>
        <w:spacing w:before="159" w:line="360" w:lineRule="auto"/>
        <w:jc w:val="center"/>
        <w:outlineLvl w:val="0"/>
        <w:rPr>
          <w:rFonts w:hint="eastAsia" w:ascii="仿宋" w:hAnsi="仿宋" w:eastAsia="仿宋" w:cs="仿宋"/>
          <w:color w:val="auto"/>
          <w:sz w:val="24"/>
          <w:szCs w:val="24"/>
          <w:highlight w:val="none"/>
        </w:rPr>
      </w:pPr>
      <w:bookmarkStart w:id="1858" w:name="_Toc14472"/>
      <w:bookmarkStart w:id="1859" w:name="_Toc28935"/>
      <w:bookmarkStart w:id="1860" w:name="_Toc6646"/>
      <w:bookmarkStart w:id="1861" w:name="_Toc30463"/>
      <w:bookmarkStart w:id="1862" w:name="_Toc5885"/>
      <w:bookmarkStart w:id="1863" w:name="_Toc6558"/>
      <w:bookmarkStart w:id="1864" w:name="_Toc29207"/>
      <w:bookmarkStart w:id="1865" w:name="_Toc27901"/>
      <w:bookmarkStart w:id="1866" w:name="_Toc20310"/>
      <w:bookmarkStart w:id="1867" w:name="_Toc24880"/>
      <w:bookmarkStart w:id="1868" w:name="_Toc22433"/>
      <w:bookmarkStart w:id="1869" w:name="_Toc16272"/>
      <w:bookmarkStart w:id="1870" w:name="_Toc7240"/>
      <w:bookmarkStart w:id="1871" w:name="_Toc659"/>
      <w:bookmarkStart w:id="1872" w:name="_Toc23419"/>
      <w:r>
        <w:rPr>
          <w:rFonts w:hint="eastAsia" w:ascii="仿宋" w:hAnsi="仿宋" w:eastAsia="仿宋" w:cs="仿宋"/>
          <w:color w:val="auto"/>
          <w:sz w:val="24"/>
          <w:szCs w:val="24"/>
          <w:highlight w:val="none"/>
          <w:lang w:eastAsia="zh-CN"/>
        </w:rPr>
        <w:t>招标文件要求投标人提交的其他资料或投标人认为应提交的其他资料</w:t>
      </w:r>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p>
    <w:p w14:paraId="53DB39CE">
      <w:pPr>
        <w:pStyle w:val="19"/>
        <w:spacing w:line="360" w:lineRule="auto"/>
        <w:ind w:left="0" w:leftChars="0" w:firstLine="0" w:firstLineChars="0"/>
        <w:jc w:val="center"/>
        <w:outlineLvl w:val="0"/>
        <w:rPr>
          <w:rFonts w:hint="eastAsia" w:ascii="仿宋" w:hAnsi="仿宋" w:eastAsia="仿宋" w:cs="仿宋"/>
          <w:color w:val="auto"/>
          <w:highlight w:val="none"/>
          <w:lang w:val="en-US" w:eastAsia="zh-CN"/>
        </w:rPr>
      </w:pPr>
      <w:bookmarkStart w:id="1873" w:name="_Toc7374"/>
      <w:bookmarkStart w:id="1874" w:name="_Toc20273"/>
      <w:bookmarkStart w:id="1875" w:name="_Toc23205"/>
      <w:bookmarkStart w:id="1876" w:name="_Toc14857"/>
      <w:bookmarkStart w:id="1877" w:name="_Toc22774"/>
      <w:bookmarkStart w:id="1878" w:name="_Toc3793"/>
      <w:bookmarkStart w:id="1879" w:name="_Toc18589"/>
      <w:bookmarkStart w:id="1880" w:name="_Toc878"/>
      <w:bookmarkStart w:id="1881" w:name="_Toc20080"/>
      <w:bookmarkStart w:id="1882" w:name="_Toc3156"/>
      <w:bookmarkStart w:id="1883" w:name="_Toc23386"/>
      <w:bookmarkStart w:id="1884" w:name="_Toc18310"/>
      <w:bookmarkStart w:id="1885" w:name="_Toc28702"/>
      <w:bookmarkStart w:id="1886" w:name="_Toc7745"/>
      <w:bookmarkStart w:id="1887" w:name="_Toc9910"/>
      <w:r>
        <w:rPr>
          <w:rFonts w:hint="eastAsia" w:ascii="仿宋" w:hAnsi="仿宋" w:eastAsia="仿宋" w:cs="仿宋"/>
          <w:color w:val="auto"/>
          <w:sz w:val="24"/>
          <w:szCs w:val="24"/>
          <w:highlight w:val="none"/>
          <w:lang w:eastAsia="zh-CN"/>
        </w:rPr>
        <w:t>（格式自拟）</w:t>
      </w:r>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p>
    <w:p w14:paraId="7F8227FD">
      <w:pPr>
        <w:keepNext w:val="0"/>
        <w:keepLines w:val="0"/>
        <w:pageBreakBefore w:val="0"/>
        <w:widowControl w:val="0"/>
        <w:suppressLineNumbers w:val="0"/>
        <w:kinsoku/>
        <w:wordWrap w:val="0"/>
        <w:overflowPunct/>
        <w:topLinePunct/>
        <w:autoSpaceDE/>
        <w:autoSpaceDN/>
        <w:bidi w:val="0"/>
        <w:adjustRightInd/>
        <w:snapToGrid/>
        <w:spacing w:beforeAutospacing="0" w:afterAutospacing="0" w:line="240" w:lineRule="auto"/>
        <w:ind w:left="0" w:leftChars="0" w:right="0" w:firstLine="420" w:firstLineChars="200"/>
        <w:jc w:val="left"/>
        <w:textAlignment w:val="auto"/>
        <w:rPr>
          <w:rFonts w:hint="eastAsia" w:ascii="仿宋" w:hAnsi="仿宋" w:eastAsia="仿宋" w:cs="仿宋"/>
          <w:color w:val="auto"/>
          <w:kern w:val="0"/>
          <w:sz w:val="21"/>
          <w:szCs w:val="21"/>
          <w:highlight w:val="none"/>
          <w:lang w:val="en-US" w:eastAsia="zh-CN" w:bidi="ar"/>
        </w:rPr>
      </w:pPr>
    </w:p>
    <w:sectPr>
      <w:footerReference r:id="rId24" w:type="first"/>
      <w:footerReference r:id="rId23" w:type="default"/>
      <w:pgSz w:w="11906" w:h="16838"/>
      <w:pgMar w:top="1134" w:right="1134" w:bottom="1134" w:left="1134" w:header="709" w:footer="907" w:gutter="0"/>
      <w:pgBorders>
        <w:top w:val="none" w:sz="0" w:space="0"/>
        <w:left w:val="none" w:sz="0" w:space="0"/>
        <w:bottom w:val="none" w:sz="0" w:space="0"/>
        <w:right w:val="none" w:sz="0" w:space="0"/>
      </w:pgBorders>
      <w:pgNumType w:fmt="decimal"/>
      <w:cols w:space="720" w:num="1"/>
      <w:titlePg/>
      <w:rtlGutter w:val="0"/>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Yu Mincho Light">
    <w:altName w:val="Yu Gothic"/>
    <w:panose1 w:val="00000000000000000000"/>
    <w:charset w:val="80"/>
    <w:family w:val="roman"/>
    <w:pitch w:val="default"/>
    <w:sig w:usb0="00000000" w:usb1="00000000" w:usb2="00000012" w:usb3="00000000" w:csb0="0002009F" w:csb1="00000000"/>
  </w:font>
  <w:font w:name="Yu Gothic">
    <w:panose1 w:val="020B0400000000000000"/>
    <w:charset w:val="80"/>
    <w:family w:val="auto"/>
    <w:pitch w:val="default"/>
    <w:sig w:usb0="E00002FF" w:usb1="2AC7FDFF" w:usb2="00000016" w:usb3="00000000" w:csb0="2002009F" w:csb1="00000000"/>
  </w:font>
  <w:font w:name="@MS PMincho">
    <w:altName w:val="Yu Gothic UI"/>
    <w:panose1 w:val="02020600040205080304"/>
    <w:charset w:val="80"/>
    <w:family w:val="roma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 w:name="华文楷体">
    <w:panose1 w:val="02010600040101010101"/>
    <w:charset w:val="86"/>
    <w:family w:val="auto"/>
    <w:pitch w:val="default"/>
    <w:sig w:usb0="00000287" w:usb1="080F0000" w:usb2="00000000" w:usb3="00000000" w:csb0="0004009F" w:csb1="DFD7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EFA27">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215ADB">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45215ADB">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70754">
    <w:pPr>
      <w:pStyle w:val="1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6335E1">
                          <w:pPr>
                            <w:pStyle w:val="1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56335E1">
                    <w:pPr>
                      <w:pStyle w:val="14"/>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82D5A">
    <w:pPr>
      <w:pStyle w:val="14"/>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98010C">
                          <w:pPr>
                            <w:pStyle w:val="14"/>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6A98010C">
                    <w:pPr>
                      <w:pStyle w:val="14"/>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CEC57">
    <w:pPr>
      <w:pStyle w:val="1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33416">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37133416">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DCBBC">
    <w:pPr>
      <w:pStyle w:val="1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6436B0">
                          <w:pPr>
                            <w:pStyle w:val="14"/>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2F6436B0">
                    <w:pPr>
                      <w:pStyle w:val="14"/>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25A5D">
    <w:pPr>
      <w:pStyle w:val="1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6CBDF">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68B6CBDF">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428E7">
    <w:pPr>
      <w:pStyle w:val="1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1D14CC9">
                          <w:pPr>
                            <w:pStyle w:val="14"/>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51D14CC9">
                    <w:pPr>
                      <w:pStyle w:val="14"/>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38EE2">
    <w:pPr>
      <w:pStyle w:val="14"/>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80FF34">
                          <w:pPr>
                            <w:pStyle w:val="14"/>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1780FF34">
                    <w:pPr>
                      <w:pStyle w:val="14"/>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733219">
    <w:pPr>
      <w:pStyle w:val="1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CBE4E">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14:paraId="4ACCBE4E">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5C139">
    <w:pPr>
      <w:pStyle w:val="14"/>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51AD3B">
                          <w:pPr>
                            <w:pStyle w:val="14"/>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1B51AD3B">
                    <w:pPr>
                      <w:pStyle w:val="14"/>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C4A73">
    <w:pPr>
      <w:pStyle w:val="14"/>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C98666">
                          <w:pPr>
                            <w:pStyle w:val="14"/>
                          </w:pPr>
                          <w:r>
                            <w:fldChar w:fldCharType="begin"/>
                          </w:r>
                          <w:r>
                            <w:instrText xml:space="preserve"> PAGE  \* MERGEFORMAT </w:instrText>
                          </w:r>
                          <w:r>
                            <w:fldChar w:fldCharType="separate"/>
                          </w:r>
                          <w:r>
                            <w:t>79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5BC98666">
                    <w:pPr>
                      <w:pStyle w:val="14"/>
                    </w:pPr>
                    <w:r>
                      <w:fldChar w:fldCharType="begin"/>
                    </w:r>
                    <w:r>
                      <w:instrText xml:space="preserve"> PAGE  \* MERGEFORMAT </w:instrText>
                    </w:r>
                    <w:r>
                      <w:fldChar w:fldCharType="separate"/>
                    </w:r>
                    <w:r>
                      <w:t>79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B568E">
    <w:pPr>
      <w:pStyle w:val="14"/>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736593">
                          <w:pPr>
                            <w:pStyle w:val="14"/>
                          </w:pPr>
                          <w:r>
                            <w:fldChar w:fldCharType="begin"/>
                          </w:r>
                          <w:r>
                            <w:instrText xml:space="preserve"> PAGE  \* MERGEFORMAT </w:instrText>
                          </w:r>
                          <w:r>
                            <w:fldChar w:fldCharType="separate"/>
                          </w:r>
                          <w:r>
                            <w:t>88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66736593">
                    <w:pPr>
                      <w:pStyle w:val="14"/>
                    </w:pPr>
                    <w:r>
                      <w:fldChar w:fldCharType="begin"/>
                    </w:r>
                    <w:r>
                      <w:instrText xml:space="preserve"> PAGE  \* MERGEFORMAT </w:instrText>
                    </w:r>
                    <w:r>
                      <w:fldChar w:fldCharType="separate"/>
                    </w:r>
                    <w:r>
                      <w:t>88</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0C00B0">
    <w:pPr>
      <w:pStyle w:val="14"/>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49792">
                          <w:pPr>
                            <w:pStyle w:val="14"/>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54249792">
                    <w:pPr>
                      <w:pStyle w:val="14"/>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38BCFF">
    <w:pPr>
      <w:pStyle w:val="14"/>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95F213">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5495F213">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4A5C3">
    <w:pPr>
      <w:pStyle w:val="14"/>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E55216">
                          <w:pPr>
                            <w:pStyle w:val="14"/>
                          </w:pPr>
                          <w:r>
                            <w:fldChar w:fldCharType="begin"/>
                          </w:r>
                          <w:r>
                            <w:instrText xml:space="preserve"> PAGE  \* MERGEFORMAT </w:instrText>
                          </w:r>
                          <w:r>
                            <w:fldChar w:fldCharType="separate"/>
                          </w:r>
                          <w:r>
                            <w:t>89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EyFQwzAgAAYwQAAA4AAAAAAAAAAQAgAAAAHwEAAGRycy9lMm9Eb2MueG1sUEsF&#10;BgAAAAAGAAYAWQEAAMQFAAAAAA==&#10;">
              <v:fill on="f" focussize="0,0"/>
              <v:stroke on="f" weight="0.5pt"/>
              <v:imagedata o:title=""/>
              <o:lock v:ext="edit" aspectratio="f"/>
              <v:textbox inset="0mm,0mm,0mm,0mm" style="mso-fit-shape-to-text:t;">
                <w:txbxContent>
                  <w:p w14:paraId="32E55216">
                    <w:pPr>
                      <w:pStyle w:val="14"/>
                    </w:pPr>
                    <w:r>
                      <w:fldChar w:fldCharType="begin"/>
                    </w:r>
                    <w:r>
                      <w:instrText xml:space="preserve"> PAGE  \* MERGEFORMAT </w:instrText>
                    </w:r>
                    <w:r>
                      <w:fldChar w:fldCharType="separate"/>
                    </w:r>
                    <w:r>
                      <w:t>89</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2C3D11">
    <w:pPr>
      <w:pStyle w:val="14"/>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9A03A3">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6E9A03A3">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2A11A">
    <w:pPr>
      <w:pStyle w:val="14"/>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F06914">
                          <w:pPr>
                            <w:pStyle w:val="14"/>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5FF06914">
                    <w:pPr>
                      <w:pStyle w:val="14"/>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95C0A">
    <w:pPr>
      <w:pStyle w:val="14"/>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AF9F46">
                          <w:pPr>
                            <w:pStyle w:val="14"/>
                          </w:pPr>
                          <w:r>
                            <w:fldChar w:fldCharType="begin"/>
                          </w:r>
                          <w:r>
                            <w:instrText xml:space="preserve"> PAGE  \* MERGEFORMAT </w:instrText>
                          </w:r>
                          <w:r>
                            <w:fldChar w:fldCharType="separate"/>
                          </w:r>
                          <w:r>
                            <w:t>92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6AAF9F46">
                    <w:pPr>
                      <w:pStyle w:val="14"/>
                    </w:pPr>
                    <w:r>
                      <w:fldChar w:fldCharType="begin"/>
                    </w:r>
                    <w:r>
                      <w:instrText xml:space="preserve"> PAGE  \* MERGEFORMAT </w:instrText>
                    </w:r>
                    <w:r>
                      <w:fldChar w:fldCharType="separate"/>
                    </w:r>
                    <w:r>
                      <w:t>92</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9DFB7A">
    <w:pPr>
      <w:pStyle w:val="14"/>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B12BF">
                          <w:pPr>
                            <w:pStyle w:val="14"/>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0D8B12BF">
                    <w:pPr>
                      <w:pStyle w:val="14"/>
                    </w:pPr>
                    <w:r>
                      <w:fldChar w:fldCharType="begin"/>
                    </w:r>
                    <w:r>
                      <w:instrText xml:space="preserve"> PAGE  \* MERGEFORMAT </w:instrText>
                    </w:r>
                    <w:r>
                      <w:fldChar w:fldCharType="separate"/>
                    </w:r>
                    <w:r>
                      <w:t>91</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4425D">
    <w:pPr>
      <w:pStyle w:val="14"/>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C9DE59">
                          <w:pPr>
                            <w:pStyle w:val="14"/>
                          </w:pPr>
                          <w:r>
                            <w:fldChar w:fldCharType="begin"/>
                          </w:r>
                          <w:r>
                            <w:instrText xml:space="preserve"> PAGE  \* MERGEFORMAT </w:instrText>
                          </w:r>
                          <w:r>
                            <w:fldChar w:fldCharType="separate"/>
                          </w:r>
                          <w:r>
                            <w:t>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0FC9DE59">
                    <w:pPr>
                      <w:pStyle w:val="14"/>
                    </w:pPr>
                    <w:r>
                      <w:fldChar w:fldCharType="begin"/>
                    </w:r>
                    <w:r>
                      <w:instrText xml:space="preserve"> PAGE  \* MERGEFORMAT </w:instrText>
                    </w:r>
                    <w:r>
                      <w:fldChar w:fldCharType="separate"/>
                    </w:r>
                    <w:r>
                      <w:t>93</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B2C852">
    <w:pPr>
      <w:pStyle w:val="14"/>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E77B19">
                          <w:pPr>
                            <w:pStyle w:val="14"/>
                          </w:pPr>
                          <w:r>
                            <w:fldChar w:fldCharType="begin"/>
                          </w:r>
                          <w:r>
                            <w:instrText xml:space="preserve"> PAGE  \* MERGEFORMAT </w:instrText>
                          </w:r>
                          <w:r>
                            <w:fldChar w:fldCharType="separate"/>
                          </w:r>
                          <w:r>
                            <w:t>101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08E77B19">
                    <w:pPr>
                      <w:pStyle w:val="14"/>
                    </w:pPr>
                    <w:r>
                      <w:fldChar w:fldCharType="begin"/>
                    </w:r>
                    <w:r>
                      <w:instrText xml:space="preserve"> PAGE  \* MERGEFORMAT </w:instrText>
                    </w:r>
                    <w:r>
                      <w:fldChar w:fldCharType="separate"/>
                    </w:r>
                    <w:r>
                      <w:t>101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177E6">
    <w:pPr>
      <w:pStyle w:val="14"/>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33433D">
                          <w:pPr>
                            <w:pStyle w:val="14"/>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6133433D">
                    <w:pPr>
                      <w:pStyle w:val="14"/>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435039"/>
    <w:multiLevelType w:val="singleLevel"/>
    <w:tmpl w:val="8C435039"/>
    <w:lvl w:ilvl="0" w:tentative="0">
      <w:start w:val="2"/>
      <w:numFmt w:val="decimal"/>
      <w:suff w:val="nothing"/>
      <w:lvlText w:val="（%1）"/>
      <w:lvlJc w:val="left"/>
    </w:lvl>
  </w:abstractNum>
  <w:abstractNum w:abstractNumId="1">
    <w:nsid w:val="D7386BCD"/>
    <w:multiLevelType w:val="singleLevel"/>
    <w:tmpl w:val="D7386BCD"/>
    <w:lvl w:ilvl="0" w:tentative="0">
      <w:start w:val="1"/>
      <w:numFmt w:val="decimal"/>
      <w:pStyle w:val="7"/>
      <w:lvlText w:val="%1."/>
      <w:lvlJc w:val="left"/>
      <w:pPr>
        <w:tabs>
          <w:tab w:val="left" w:pos="360"/>
        </w:tabs>
        <w:ind w:left="360" w:hanging="360"/>
      </w:pPr>
    </w:lvl>
  </w:abstractNum>
  <w:abstractNum w:abstractNumId="2">
    <w:nsid w:val="FAE6C619"/>
    <w:multiLevelType w:val="singleLevel"/>
    <w:tmpl w:val="FAE6C619"/>
    <w:lvl w:ilvl="0" w:tentative="0">
      <w:start w:val="2"/>
      <w:numFmt w:val="chineseCounting"/>
      <w:suff w:val="nothing"/>
      <w:lvlText w:val="%1、"/>
      <w:lvlJc w:val="left"/>
      <w:rPr>
        <w:rFonts w:hint="eastAsia"/>
      </w:rPr>
    </w:lvl>
  </w:abstractNum>
  <w:abstractNum w:abstractNumId="3">
    <w:nsid w:val="4A9EB725"/>
    <w:multiLevelType w:val="singleLevel"/>
    <w:tmpl w:val="4A9EB725"/>
    <w:lvl w:ilvl="0" w:tentative="0">
      <w:start w:val="1"/>
      <w:numFmt w:val="chineseCounting"/>
      <w:suff w:val="space"/>
      <w:lvlText w:val="第%1章"/>
      <w:lvlJc w:val="left"/>
      <w:rPr>
        <w:rFonts w:hint="eastAsia"/>
      </w:rPr>
    </w:lvl>
  </w:abstractNum>
  <w:abstractNum w:abstractNumId="4">
    <w:nsid w:val="608BC416"/>
    <w:multiLevelType w:val="singleLevel"/>
    <w:tmpl w:val="608BC416"/>
    <w:lvl w:ilvl="0" w:tentative="0">
      <w:start w:val="5"/>
      <w:numFmt w:val="chineseCounting"/>
      <w:suff w:val="nothing"/>
      <w:lvlText w:val="%1、"/>
      <w:lvlJc w:val="left"/>
      <w:rPr>
        <w:rFonts w:hint="eastAsia"/>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Q1YmZlZWYzNDE5ODljN2YzMDRkZWFlM2U0ODIxZmYifQ=="/>
  </w:docVars>
  <w:rsids>
    <w:rsidRoot w:val="130510DE"/>
    <w:rsid w:val="00376475"/>
    <w:rsid w:val="003D0404"/>
    <w:rsid w:val="004B5929"/>
    <w:rsid w:val="014E3892"/>
    <w:rsid w:val="015754F6"/>
    <w:rsid w:val="01A52705"/>
    <w:rsid w:val="01C901A1"/>
    <w:rsid w:val="0228537C"/>
    <w:rsid w:val="02457A63"/>
    <w:rsid w:val="024C2B81"/>
    <w:rsid w:val="028B36A9"/>
    <w:rsid w:val="029562D6"/>
    <w:rsid w:val="02A14EBF"/>
    <w:rsid w:val="02FC0103"/>
    <w:rsid w:val="03766107"/>
    <w:rsid w:val="03C5064A"/>
    <w:rsid w:val="040E6CE1"/>
    <w:rsid w:val="05777BCD"/>
    <w:rsid w:val="06EE4206"/>
    <w:rsid w:val="087B4463"/>
    <w:rsid w:val="08B1198F"/>
    <w:rsid w:val="08CF3D25"/>
    <w:rsid w:val="0935265B"/>
    <w:rsid w:val="09A43FCA"/>
    <w:rsid w:val="0AC30636"/>
    <w:rsid w:val="0B6C7DF0"/>
    <w:rsid w:val="0DF5231E"/>
    <w:rsid w:val="0E2500A0"/>
    <w:rsid w:val="0E6F0323"/>
    <w:rsid w:val="0EF32D02"/>
    <w:rsid w:val="0F6E2388"/>
    <w:rsid w:val="1008009D"/>
    <w:rsid w:val="10EC12F8"/>
    <w:rsid w:val="11522B55"/>
    <w:rsid w:val="11987B90"/>
    <w:rsid w:val="1228554A"/>
    <w:rsid w:val="130510DE"/>
    <w:rsid w:val="13767A5D"/>
    <w:rsid w:val="13F85C09"/>
    <w:rsid w:val="14640E79"/>
    <w:rsid w:val="14DD09B3"/>
    <w:rsid w:val="15CF16A7"/>
    <w:rsid w:val="162C0142"/>
    <w:rsid w:val="16403307"/>
    <w:rsid w:val="18FA5613"/>
    <w:rsid w:val="19D00543"/>
    <w:rsid w:val="1AA94615"/>
    <w:rsid w:val="1AB377E9"/>
    <w:rsid w:val="1BD047A3"/>
    <w:rsid w:val="1BF87BB9"/>
    <w:rsid w:val="1C1F23DE"/>
    <w:rsid w:val="1C817AE6"/>
    <w:rsid w:val="1D4406D2"/>
    <w:rsid w:val="1DDA6E3B"/>
    <w:rsid w:val="1E2702D2"/>
    <w:rsid w:val="1EF34658"/>
    <w:rsid w:val="1FCD6C57"/>
    <w:rsid w:val="1FE917A6"/>
    <w:rsid w:val="1FFB7C68"/>
    <w:rsid w:val="203942EC"/>
    <w:rsid w:val="20D970F2"/>
    <w:rsid w:val="20DF4E94"/>
    <w:rsid w:val="21464F13"/>
    <w:rsid w:val="21C36564"/>
    <w:rsid w:val="22C97BAA"/>
    <w:rsid w:val="230022FA"/>
    <w:rsid w:val="230B7694"/>
    <w:rsid w:val="2392443F"/>
    <w:rsid w:val="24003A9F"/>
    <w:rsid w:val="24132A85"/>
    <w:rsid w:val="24596D0B"/>
    <w:rsid w:val="247E5C56"/>
    <w:rsid w:val="24D42836"/>
    <w:rsid w:val="250D560D"/>
    <w:rsid w:val="25145328"/>
    <w:rsid w:val="253B0CA7"/>
    <w:rsid w:val="254F667D"/>
    <w:rsid w:val="268B33C8"/>
    <w:rsid w:val="26941322"/>
    <w:rsid w:val="26F161BF"/>
    <w:rsid w:val="277976C4"/>
    <w:rsid w:val="27FE0B67"/>
    <w:rsid w:val="28C3509B"/>
    <w:rsid w:val="29916F47"/>
    <w:rsid w:val="2A2226ED"/>
    <w:rsid w:val="2C363DD6"/>
    <w:rsid w:val="2C471B3F"/>
    <w:rsid w:val="2CE35D0C"/>
    <w:rsid w:val="2D9922ED"/>
    <w:rsid w:val="2DC04884"/>
    <w:rsid w:val="2E68188E"/>
    <w:rsid w:val="3011750F"/>
    <w:rsid w:val="30D342DA"/>
    <w:rsid w:val="315B5ECA"/>
    <w:rsid w:val="31723B02"/>
    <w:rsid w:val="319F2252"/>
    <w:rsid w:val="32CB188C"/>
    <w:rsid w:val="33370B5F"/>
    <w:rsid w:val="34406AB9"/>
    <w:rsid w:val="34AE342D"/>
    <w:rsid w:val="34D332FE"/>
    <w:rsid w:val="372F7055"/>
    <w:rsid w:val="382676CE"/>
    <w:rsid w:val="38F46702"/>
    <w:rsid w:val="39677CC5"/>
    <w:rsid w:val="3B2C2F74"/>
    <w:rsid w:val="3C6504EB"/>
    <w:rsid w:val="3C797AF3"/>
    <w:rsid w:val="3CF962AB"/>
    <w:rsid w:val="3CFA5A1F"/>
    <w:rsid w:val="3D7E738B"/>
    <w:rsid w:val="3E02437C"/>
    <w:rsid w:val="3E6E2FE8"/>
    <w:rsid w:val="3ECB0DB6"/>
    <w:rsid w:val="3F6532BD"/>
    <w:rsid w:val="3F8769CB"/>
    <w:rsid w:val="401D732F"/>
    <w:rsid w:val="403C692C"/>
    <w:rsid w:val="40C83FC4"/>
    <w:rsid w:val="410C362B"/>
    <w:rsid w:val="41221436"/>
    <w:rsid w:val="41930E66"/>
    <w:rsid w:val="419929E5"/>
    <w:rsid w:val="430640AA"/>
    <w:rsid w:val="436357B5"/>
    <w:rsid w:val="43D146B8"/>
    <w:rsid w:val="44933678"/>
    <w:rsid w:val="45101CA8"/>
    <w:rsid w:val="45F26682"/>
    <w:rsid w:val="465F4D81"/>
    <w:rsid w:val="46CC6F7B"/>
    <w:rsid w:val="47BD7F5D"/>
    <w:rsid w:val="47D209FF"/>
    <w:rsid w:val="484E277B"/>
    <w:rsid w:val="48AD2F65"/>
    <w:rsid w:val="48F21359"/>
    <w:rsid w:val="49440B63"/>
    <w:rsid w:val="49883A6B"/>
    <w:rsid w:val="49E22A33"/>
    <w:rsid w:val="4A421E6C"/>
    <w:rsid w:val="4A993A56"/>
    <w:rsid w:val="4AAC152E"/>
    <w:rsid w:val="4B2217C7"/>
    <w:rsid w:val="4B600FBA"/>
    <w:rsid w:val="4B7477FD"/>
    <w:rsid w:val="4B9911B1"/>
    <w:rsid w:val="4C365A00"/>
    <w:rsid w:val="4C6926DE"/>
    <w:rsid w:val="4CEF5ABB"/>
    <w:rsid w:val="4D695962"/>
    <w:rsid w:val="4E191136"/>
    <w:rsid w:val="4EFF7563"/>
    <w:rsid w:val="50516A66"/>
    <w:rsid w:val="50E772C9"/>
    <w:rsid w:val="511856D5"/>
    <w:rsid w:val="51BC7894"/>
    <w:rsid w:val="51CC382A"/>
    <w:rsid w:val="53057EDB"/>
    <w:rsid w:val="531E0F9C"/>
    <w:rsid w:val="54FC7620"/>
    <w:rsid w:val="55410DBD"/>
    <w:rsid w:val="55946966"/>
    <w:rsid w:val="55B54B3C"/>
    <w:rsid w:val="56105639"/>
    <w:rsid w:val="567B5594"/>
    <w:rsid w:val="567E247E"/>
    <w:rsid w:val="571406EC"/>
    <w:rsid w:val="59675D87"/>
    <w:rsid w:val="59E545C2"/>
    <w:rsid w:val="5A8A0EFC"/>
    <w:rsid w:val="5AA45F3A"/>
    <w:rsid w:val="5B1E7D8B"/>
    <w:rsid w:val="5B2E0043"/>
    <w:rsid w:val="5B325591"/>
    <w:rsid w:val="5B7C6E62"/>
    <w:rsid w:val="5B8C4BF2"/>
    <w:rsid w:val="5BDA6D47"/>
    <w:rsid w:val="5BEA1937"/>
    <w:rsid w:val="5D054271"/>
    <w:rsid w:val="5DC15346"/>
    <w:rsid w:val="5DCE7045"/>
    <w:rsid w:val="5DF179D9"/>
    <w:rsid w:val="5E473A9D"/>
    <w:rsid w:val="5E4F722E"/>
    <w:rsid w:val="5F381638"/>
    <w:rsid w:val="5FAE5D89"/>
    <w:rsid w:val="5FF7504F"/>
    <w:rsid w:val="600F4147"/>
    <w:rsid w:val="6153166A"/>
    <w:rsid w:val="61B62F10"/>
    <w:rsid w:val="62194B7D"/>
    <w:rsid w:val="62854B94"/>
    <w:rsid w:val="62935F75"/>
    <w:rsid w:val="6299419B"/>
    <w:rsid w:val="62DA0CAF"/>
    <w:rsid w:val="63E53F33"/>
    <w:rsid w:val="64BF72F8"/>
    <w:rsid w:val="65722D9A"/>
    <w:rsid w:val="66A35F7B"/>
    <w:rsid w:val="67915D89"/>
    <w:rsid w:val="67B120E5"/>
    <w:rsid w:val="694D6DE1"/>
    <w:rsid w:val="6AF405C0"/>
    <w:rsid w:val="6B5B2936"/>
    <w:rsid w:val="6C027255"/>
    <w:rsid w:val="6C682892"/>
    <w:rsid w:val="6CAA52D6"/>
    <w:rsid w:val="6E2039C3"/>
    <w:rsid w:val="70584443"/>
    <w:rsid w:val="714E0847"/>
    <w:rsid w:val="715247BD"/>
    <w:rsid w:val="71886828"/>
    <w:rsid w:val="71B30E9D"/>
    <w:rsid w:val="726F7916"/>
    <w:rsid w:val="72812E9C"/>
    <w:rsid w:val="731955B0"/>
    <w:rsid w:val="73351CBE"/>
    <w:rsid w:val="738C1558"/>
    <w:rsid w:val="73A34990"/>
    <w:rsid w:val="73EF4804"/>
    <w:rsid w:val="74704798"/>
    <w:rsid w:val="74BC6ED8"/>
    <w:rsid w:val="75C5249C"/>
    <w:rsid w:val="76D077F7"/>
    <w:rsid w:val="76F56585"/>
    <w:rsid w:val="77C47AB5"/>
    <w:rsid w:val="77CE4490"/>
    <w:rsid w:val="787E5EB6"/>
    <w:rsid w:val="78E13352"/>
    <w:rsid w:val="79E47AFF"/>
    <w:rsid w:val="7A94145D"/>
    <w:rsid w:val="7AC202DC"/>
    <w:rsid w:val="7ACB351E"/>
    <w:rsid w:val="7BE71557"/>
    <w:rsid w:val="7BFF730D"/>
    <w:rsid w:val="7CAA7279"/>
    <w:rsid w:val="7D4122C0"/>
    <w:rsid w:val="7DBB7264"/>
    <w:rsid w:val="7E0806FB"/>
    <w:rsid w:val="7E8A5B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1"/>
    <w:basedOn w:val="1"/>
    <w:next w:val="1"/>
    <w:link w:val="25"/>
    <w:autoRedefine/>
    <w:qFormat/>
    <w:uiPriority w:val="0"/>
    <w:pPr>
      <w:ind w:left="3"/>
      <w:outlineLvl w:val="0"/>
    </w:pPr>
    <w:rPr>
      <w:rFonts w:ascii="Microsoft JhengHei" w:hAnsi="Microsoft JhengHei" w:eastAsia="Microsoft JhengHei"/>
      <w:b/>
      <w:bCs/>
      <w:sz w:val="44"/>
      <w:szCs w:val="44"/>
    </w:rPr>
  </w:style>
  <w:style w:type="paragraph" w:styleId="3">
    <w:name w:val="heading 2"/>
    <w:basedOn w:val="1"/>
    <w:next w:val="1"/>
    <w:link w:val="31"/>
    <w:autoRedefine/>
    <w:qFormat/>
    <w:uiPriority w:val="0"/>
    <w:pPr>
      <w:spacing w:before="120" w:after="120"/>
      <w:ind w:left="3"/>
      <w:jc w:val="center"/>
      <w:outlineLvl w:val="1"/>
    </w:pPr>
    <w:rPr>
      <w:rFonts w:ascii="宋体" w:hAnsi="宋体"/>
      <w:b/>
      <w:sz w:val="44"/>
      <w:szCs w:val="44"/>
    </w:rPr>
  </w:style>
  <w:style w:type="paragraph" w:styleId="4">
    <w:name w:val="heading 3"/>
    <w:basedOn w:val="1"/>
    <w:next w:val="1"/>
    <w:link w:val="35"/>
    <w:autoRedefine/>
    <w:qFormat/>
    <w:uiPriority w:val="9"/>
    <w:pPr>
      <w:ind w:left="100"/>
      <w:outlineLvl w:val="2"/>
    </w:pPr>
    <w:rPr>
      <w:rFonts w:ascii="Microsoft JhengHei" w:hAnsi="Microsoft JhengHei"/>
      <w:b/>
      <w:bCs/>
      <w:sz w:val="30"/>
      <w:szCs w:val="32"/>
    </w:rPr>
  </w:style>
  <w:style w:type="paragraph" w:styleId="5">
    <w:name w:val="heading 4"/>
    <w:basedOn w:val="1"/>
    <w:next w:val="1"/>
    <w:qFormat/>
    <w:uiPriority w:val="0"/>
    <w:pPr>
      <w:ind w:left="237"/>
      <w:outlineLvl w:val="3"/>
    </w:pPr>
    <w:rPr>
      <w:rFonts w:ascii="宋体" w:hAnsi="宋体"/>
      <w:sz w:val="28"/>
      <w:szCs w:val="28"/>
    </w:rPr>
  </w:style>
  <w:style w:type="paragraph" w:styleId="6">
    <w:name w:val="heading 5"/>
    <w:basedOn w:val="1"/>
    <w:next w:val="1"/>
    <w:qFormat/>
    <w:uiPriority w:val="0"/>
    <w:pPr>
      <w:ind w:left="522"/>
      <w:outlineLvl w:val="4"/>
    </w:pPr>
    <w:rPr>
      <w:rFonts w:ascii="Times New Roman" w:hAnsi="Times New Roman" w:eastAsia="Times New Roman"/>
      <w:b/>
      <w:bCs/>
      <w:sz w:val="21"/>
      <w:szCs w:val="21"/>
    </w:rPr>
  </w:style>
  <w:style w:type="character" w:default="1" w:styleId="22">
    <w:name w:val="Default Paragraph Font"/>
    <w:autoRedefine/>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7">
    <w:name w:val="List Number"/>
    <w:basedOn w:val="1"/>
    <w:qFormat/>
    <w:uiPriority w:val="0"/>
    <w:pPr>
      <w:numPr>
        <w:ilvl w:val="0"/>
        <w:numId w:val="1"/>
      </w:numPr>
    </w:pPr>
  </w:style>
  <w:style w:type="paragraph" w:styleId="8">
    <w:name w:val="Normal Indent"/>
    <w:basedOn w:val="1"/>
    <w:next w:val="1"/>
    <w:autoRedefine/>
    <w:qFormat/>
    <w:uiPriority w:val="0"/>
    <w:pPr>
      <w:ind w:firstLine="420" w:firstLineChars="200"/>
      <w:jc w:val="both"/>
    </w:pPr>
    <w:rPr>
      <w:kern w:val="2"/>
      <w:sz w:val="21"/>
      <w:szCs w:val="24"/>
    </w:rPr>
  </w:style>
  <w:style w:type="paragraph" w:styleId="9">
    <w:name w:val="annotation text"/>
    <w:basedOn w:val="1"/>
    <w:autoRedefine/>
    <w:qFormat/>
    <w:uiPriority w:val="0"/>
    <w:pPr>
      <w:jc w:val="left"/>
    </w:pPr>
  </w:style>
  <w:style w:type="paragraph" w:styleId="10">
    <w:name w:val="Body Text"/>
    <w:basedOn w:val="1"/>
    <w:autoRedefine/>
    <w:qFormat/>
    <w:uiPriority w:val="0"/>
    <w:rPr>
      <w:rFonts w:ascii="仿宋" w:hAnsi="仿宋" w:eastAsia="仿宋" w:cs="仿宋"/>
      <w:sz w:val="30"/>
      <w:szCs w:val="30"/>
    </w:rPr>
  </w:style>
  <w:style w:type="paragraph" w:styleId="11">
    <w:name w:val="Body Text Indent"/>
    <w:basedOn w:val="1"/>
    <w:autoRedefine/>
    <w:unhideWhenUsed/>
    <w:qFormat/>
    <w:uiPriority w:val="99"/>
    <w:pPr>
      <w:spacing w:after="120"/>
      <w:ind w:left="420" w:leftChars="200"/>
    </w:pPr>
    <w:rPr>
      <w:rFonts w:eastAsia="微软雅黑"/>
      <w:kern w:val="0"/>
      <w:sz w:val="24"/>
      <w:szCs w:val="20"/>
    </w:rPr>
  </w:style>
  <w:style w:type="paragraph" w:styleId="12">
    <w:name w:val="toc 5"/>
    <w:basedOn w:val="1"/>
    <w:next w:val="1"/>
    <w:qFormat/>
    <w:uiPriority w:val="39"/>
    <w:pPr>
      <w:ind w:left="1680" w:leftChars="800"/>
    </w:pPr>
    <w:rPr>
      <w:rFonts w:ascii="黑体" w:hAnsi="黑体" w:eastAsia="@Yu Mincho Light" w:cs="@MS PMincho"/>
      <w:szCs w:val="22"/>
    </w:rPr>
  </w:style>
  <w:style w:type="paragraph" w:styleId="13">
    <w:name w:val="Plain Text"/>
    <w:basedOn w:val="1"/>
    <w:next w:val="1"/>
    <w:autoRedefine/>
    <w:qFormat/>
    <w:uiPriority w:val="0"/>
    <w:rPr>
      <w:rFonts w:ascii="宋体" w:hAnsi="Courier New"/>
      <w:kern w:val="0"/>
      <w:sz w:val="20"/>
      <w:szCs w:val="21"/>
    </w:rPr>
  </w:style>
  <w:style w:type="paragraph" w:styleId="14">
    <w:name w:val="footer"/>
    <w:basedOn w:val="1"/>
    <w:autoRedefine/>
    <w:qFormat/>
    <w:uiPriority w:val="0"/>
    <w:pPr>
      <w:tabs>
        <w:tab w:val="center" w:pos="4153"/>
        <w:tab w:val="right" w:pos="8306"/>
      </w:tabs>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Normal (Web)"/>
    <w:basedOn w:val="1"/>
    <w:autoRedefine/>
    <w:qFormat/>
    <w:uiPriority w:val="0"/>
    <w:pPr>
      <w:widowControl/>
      <w:spacing w:before="100" w:beforeAutospacing="1" w:after="100" w:afterAutospacing="1"/>
    </w:pPr>
    <w:rPr>
      <w:rFonts w:ascii="宋体" w:hAnsi="宋体" w:cs="宋体"/>
      <w:sz w:val="24"/>
      <w:szCs w:val="24"/>
      <w:lang w:eastAsia="zh-CN"/>
    </w:rPr>
  </w:style>
  <w:style w:type="paragraph" w:styleId="17">
    <w:name w:val="Title"/>
    <w:basedOn w:val="1"/>
    <w:next w:val="1"/>
    <w:autoRedefine/>
    <w:qFormat/>
    <w:uiPriority w:val="0"/>
    <w:pPr>
      <w:autoSpaceDE w:val="0"/>
      <w:autoSpaceDN w:val="0"/>
      <w:adjustRightInd w:val="0"/>
      <w:spacing w:beforeLines="50" w:after="60" w:line="360" w:lineRule="auto"/>
      <w:jc w:val="center"/>
      <w:textAlignment w:val="baseline"/>
      <w:outlineLvl w:val="0"/>
    </w:pPr>
    <w:rPr>
      <w:rFonts w:ascii="Arial" w:hAnsi="Arial" w:cs="Arial"/>
      <w:b/>
      <w:bCs/>
      <w:sz w:val="32"/>
      <w:szCs w:val="32"/>
      <w:lang w:eastAsia="zh-CN"/>
    </w:rPr>
  </w:style>
  <w:style w:type="paragraph" w:styleId="18">
    <w:name w:val="Body Text First Indent"/>
    <w:basedOn w:val="10"/>
    <w:autoRedefine/>
    <w:qFormat/>
    <w:uiPriority w:val="0"/>
    <w:pPr>
      <w:ind w:firstLine="420" w:firstLineChars="100"/>
    </w:pPr>
  </w:style>
  <w:style w:type="paragraph" w:styleId="19">
    <w:name w:val="Body Text First Indent 2"/>
    <w:basedOn w:val="11"/>
    <w:autoRedefine/>
    <w:qFormat/>
    <w:uiPriority w:val="0"/>
    <w:pPr>
      <w:widowControl w:val="0"/>
      <w:tabs>
        <w:tab w:val="left" w:pos="993"/>
      </w:tabs>
      <w:spacing w:after="120" w:line="240" w:lineRule="auto"/>
      <w:ind w:left="420" w:leftChars="200" w:firstLine="420" w:firstLineChars="200"/>
    </w:pPr>
    <w:rPr>
      <w:rFonts w:ascii="Times New Roman" w:hAnsi="Times New Roman" w:eastAsia="宋体"/>
      <w:kern w:val="2"/>
      <w:sz w:val="21"/>
      <w:szCs w:val="24"/>
    </w:rPr>
  </w:style>
  <w:style w:type="table" w:styleId="21">
    <w:name w:val="Table Grid"/>
    <w:basedOn w:val="20"/>
    <w:autoRedefine/>
    <w:qFormat/>
    <w:uiPriority w:val="0"/>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rPr>
      <w:rFonts w:ascii="Calibri" w:hAnsi="Calibri" w:eastAsia="宋体" w:cs="Times New Roman"/>
      <w:b/>
      <w:bCs/>
    </w:rPr>
  </w:style>
  <w:style w:type="character" w:styleId="24">
    <w:name w:val="Emphasis"/>
    <w:basedOn w:val="22"/>
    <w:autoRedefine/>
    <w:qFormat/>
    <w:uiPriority w:val="0"/>
    <w:rPr>
      <w:i/>
    </w:rPr>
  </w:style>
  <w:style w:type="character" w:customStyle="1" w:styleId="25">
    <w:name w:val="标题 1 字符"/>
    <w:link w:val="2"/>
    <w:autoRedefine/>
    <w:qFormat/>
    <w:uiPriority w:val="0"/>
    <w:rPr>
      <w:rFonts w:ascii="Microsoft JhengHei" w:hAnsi="Microsoft JhengHei" w:eastAsia="Microsoft JhengHei"/>
      <w:b/>
      <w:bCs/>
      <w:sz w:val="44"/>
      <w:szCs w:val="44"/>
    </w:rPr>
  </w:style>
  <w:style w:type="paragraph" w:customStyle="1" w:styleId="26">
    <w:name w:val="p0"/>
    <w:basedOn w:val="1"/>
    <w:autoRedefine/>
    <w:qFormat/>
    <w:uiPriority w:val="0"/>
    <w:pPr>
      <w:widowControl/>
      <w:jc w:val="both"/>
    </w:pPr>
    <w:rPr>
      <w:rFonts w:ascii="Times New Roman" w:hAnsi="Times New Roman"/>
      <w:sz w:val="21"/>
      <w:szCs w:val="21"/>
      <w:lang w:eastAsia="zh-CN"/>
    </w:rPr>
  </w:style>
  <w:style w:type="paragraph" w:customStyle="1" w:styleId="27">
    <w:name w:val="Normal_1"/>
    <w:autoRedefine/>
    <w:qFormat/>
    <w:uiPriority w:val="0"/>
    <w:pPr>
      <w:widowControl w:val="0"/>
      <w:spacing w:after="200" w:line="276" w:lineRule="auto"/>
      <w:jc w:val="both"/>
    </w:pPr>
    <w:rPr>
      <w:rFonts w:ascii="Calibri" w:hAnsi="Calibri" w:eastAsia="Calibri" w:cs="Times New Roman"/>
      <w:kern w:val="2"/>
      <w:sz w:val="21"/>
      <w:lang w:val="en-US" w:eastAsia="zh-CN" w:bidi="ar-SA"/>
    </w:rPr>
  </w:style>
  <w:style w:type="paragraph" w:customStyle="1" w:styleId="28">
    <w:name w:val="Table Paragraph"/>
    <w:basedOn w:val="1"/>
    <w:autoRedefine/>
    <w:qFormat/>
    <w:uiPriority w:val="0"/>
  </w:style>
  <w:style w:type="table" w:customStyle="1" w:styleId="29">
    <w:name w:val="Table Normal"/>
    <w:autoRedefine/>
    <w:semiHidden/>
    <w:unhideWhenUsed/>
    <w:qFormat/>
    <w:uiPriority w:val="0"/>
    <w:tblPr>
      <w:tblCellMar>
        <w:top w:w="0" w:type="dxa"/>
        <w:left w:w="0" w:type="dxa"/>
        <w:bottom w:w="0" w:type="dxa"/>
        <w:right w:w="0" w:type="dxa"/>
      </w:tblCellMar>
    </w:tblPr>
  </w:style>
  <w:style w:type="character" w:customStyle="1" w:styleId="30">
    <w:name w:val="标题 2 Char1"/>
    <w:link w:val="3"/>
    <w:autoRedefine/>
    <w:qFormat/>
    <w:uiPriority w:val="0"/>
    <w:rPr>
      <w:rFonts w:ascii="宋体" w:hAnsi="宋体"/>
      <w:b/>
      <w:sz w:val="44"/>
      <w:szCs w:val="44"/>
    </w:rPr>
  </w:style>
  <w:style w:type="character" w:customStyle="1" w:styleId="31">
    <w:name w:val="标题 2 Char"/>
    <w:link w:val="3"/>
    <w:autoRedefine/>
    <w:qFormat/>
    <w:uiPriority w:val="0"/>
    <w:rPr>
      <w:rFonts w:ascii="Arial" w:hAnsi="Arial" w:eastAsia="黑体" w:cs="Times New Roman"/>
      <w:b/>
      <w:bCs/>
      <w:kern w:val="2"/>
      <w:sz w:val="32"/>
      <w:szCs w:val="32"/>
    </w:rPr>
  </w:style>
  <w:style w:type="paragraph" w:customStyle="1" w:styleId="3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3">
    <w:name w:val="标准中文版式_正文"/>
    <w:basedOn w:val="1"/>
    <w:autoRedefine/>
    <w:qFormat/>
    <w:uiPriority w:val="0"/>
    <w:pPr>
      <w:spacing w:before="30" w:beforeLines="0" w:line="360" w:lineRule="auto"/>
      <w:ind w:firstLineChars="200"/>
    </w:pPr>
    <w:rPr>
      <w:rFonts w:ascii="Arial" w:hAnsi="Arial"/>
      <w:sz w:val="24"/>
    </w:rPr>
  </w:style>
  <w:style w:type="paragraph" w:customStyle="1" w:styleId="34">
    <w:name w:val="列出段落1"/>
    <w:basedOn w:val="1"/>
    <w:autoRedefine/>
    <w:qFormat/>
    <w:uiPriority w:val="34"/>
    <w:pPr>
      <w:ind w:firstLine="420" w:firstLineChars="200"/>
      <w:jc w:val="both"/>
    </w:pPr>
    <w:rPr>
      <w:kern w:val="2"/>
      <w:sz w:val="21"/>
      <w:szCs w:val="24"/>
      <w:lang w:eastAsia="zh-CN"/>
    </w:rPr>
  </w:style>
  <w:style w:type="character" w:customStyle="1" w:styleId="35">
    <w:name w:val="标题 3 字符"/>
    <w:link w:val="4"/>
    <w:autoRedefine/>
    <w:qFormat/>
    <w:uiPriority w:val="9"/>
    <w:rPr>
      <w:rFonts w:ascii="Microsoft JhengHei" w:hAnsi="Microsoft JhengHei"/>
      <w:b/>
      <w:bCs/>
      <w:sz w:val="30"/>
      <w:szCs w:val="32"/>
    </w:rPr>
  </w:style>
  <w:style w:type="paragraph" w:customStyle="1" w:styleId="36">
    <w:name w:val="正文_12"/>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37">
    <w:name w:val="Table Normal_1"/>
    <w:autoRedefine/>
    <w:unhideWhenUsed/>
    <w:qFormat/>
    <w:uiPriority w:val="0"/>
    <w:tblPr>
      <w:tblCellMar>
        <w:top w:w="0" w:type="dxa"/>
        <w:left w:w="0" w:type="dxa"/>
        <w:bottom w:w="0" w:type="dxa"/>
        <w:right w:w="0" w:type="dxa"/>
      </w:tblCellMar>
    </w:tblPr>
  </w:style>
  <w:style w:type="paragraph" w:customStyle="1" w:styleId="38">
    <w:name w:val="WPSOffice手动目录 1"/>
    <w:autoRedefine/>
    <w:qFormat/>
    <w:uiPriority w:val="0"/>
    <w:pPr>
      <w:ind w:leftChars="0"/>
    </w:pPr>
    <w:rPr>
      <w:rFonts w:asciiTheme="minorHAnsi" w:hAnsiTheme="minorHAnsi" w:eastAsiaTheme="minorEastAsia" w:cstheme="minorBidi"/>
      <w:sz w:val="20"/>
      <w:szCs w:val="20"/>
    </w:rPr>
  </w:style>
  <w:style w:type="paragraph" w:customStyle="1" w:styleId="39">
    <w:name w:val="WPSOffice手动目录 2"/>
    <w:autoRedefine/>
    <w:qFormat/>
    <w:uiPriority w:val="0"/>
    <w:pPr>
      <w:ind w:leftChars="200"/>
    </w:pPr>
    <w:rPr>
      <w:rFonts w:asciiTheme="minorHAnsi" w:hAnsiTheme="minorHAnsi" w:eastAsiaTheme="minorEastAsia" w:cstheme="minorBidi"/>
      <w:sz w:val="20"/>
      <w:szCs w:val="20"/>
    </w:rPr>
  </w:style>
  <w:style w:type="character" w:customStyle="1" w:styleId="40">
    <w:name w:val="grame"/>
    <w:basedOn w:val="22"/>
    <w:qFormat/>
    <w:uiPriority w:val="6"/>
  </w:style>
  <w:style w:type="paragraph" w:customStyle="1" w:styleId="41">
    <w:name w:val="Table Text"/>
    <w:basedOn w:val="1"/>
    <w:semiHidden/>
    <w:qFormat/>
    <w:uiPriority w:val="0"/>
    <w:rPr>
      <w:rFonts w:eastAsia="Arial"/>
    </w:rPr>
  </w:style>
  <w:style w:type="paragraph" w:customStyle="1" w:styleId="42">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image" Target="media/image3.png"/><Relationship Id="rId28" Type="http://schemas.openxmlformats.org/officeDocument/2006/relationships/image" Target="media/image2.wmf"/><Relationship Id="rId27" Type="http://schemas.openxmlformats.org/officeDocument/2006/relationships/oleObject" Target="embeddings/oleObject1.bin"/><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8e114771-b74b-440a-a909-764ca87704b8</errorID>
      <errorWord>冠脉</errorWord>
      <group>L1_AI</group>
      <groupName>深度校对</groupName>
      <ability>L2_AI_Punc</ability>
      <abilityName>标点纠错</abilityName>
      <candidateList>
        <item>：冠脉</item>
      </candidateList>
      <explain/>
      <paraID>5CBD911C</paraID>
      <start>3</start>
      <end>5</end>
      <status>ignored</status>
      <modifiedWord/>
      <trackRevisions>false</trackRevisions>
    </reviewItem>
    <reviewItem>
      <errorID>6eaa1125-c00f-4d10-83f5-85a1f5d1d32b</errorID>
      <errorWord>动脉</errorWord>
      <group>L1_AI</group>
      <groupName>深度校对</groupName>
      <ability>L2_AI_Punc</ability>
      <abilityName>标点纠错</abilityName>
      <candidateList>
        <item>：动脉</item>
      </candidateList>
      <explain/>
      <paraID>7899CD99</paraID>
      <start>3</start>
      <end>5</end>
      <status>ignored</status>
      <modifiedWord/>
      <trackRevisions>false</trackRevisions>
    </reviewItem>
    <reviewItem>
      <errorID>c11458d3-5a3e-4e42-930b-8dd4ce50960e</errorID>
      <errorWord>血流</errorWord>
      <group>L1_AI</group>
      <groupName>深度校对</groupName>
      <ability>L2_AI_Punc</ability>
      <abilityName>标点纠错</abilityName>
      <candidateList>
        <item>：血流</item>
      </candidateList>
      <explain/>
      <paraID>5891B8F1</paraID>
      <start>3</start>
      <end>5</end>
      <status>ignored</status>
      <modifiedWord/>
      <trackRevisions>false</trackRevisions>
    </reviewItem>
    <reviewItem>
      <errorID>0de16b47-8fb7-4664-8b1d-4766c502481b</errorID>
      <errorWord>监测仪</errorWord>
      <group>L1_Word</group>
      <groupName>字词问题</groupName>
      <ability>L2_Typo</ability>
      <abilityName>字词错误</abilityName>
      <candidateList>
        <item>检测仪</item>
      </candidateList>
      <explain/>
      <paraID>5891B8F1</paraID>
      <start>8</start>
      <end>11</end>
      <status>ignored</status>
      <modifiedWord/>
      <trackRevisions>false</trackRevisions>
    </reviewItem>
    <reviewItem>
      <errorID>12ebcc24-d0b9-4a29-93bc-0e4f2d0fcac7</errorID>
      <errorWord>理</errorWord>
      <group>L1_Word</group>
      <groupName>字词问题</groupName>
      <ability>L2_Typo</ability>
      <abilityName>字词错误</abilityName>
      <candidateList>
        <item>理总</item>
      </candidateList>
      <explain/>
      <paraID>13382E45</paraID>
      <start>404</start>
      <end>405</end>
      <status>ignored</status>
      <modifiedWord/>
      <trackRevisions>false</trackRevisions>
    </reviewItem>
    <reviewItem>
      <errorID>09726865-8fc9-475e-943a-2c6c0ed32b0d</errorID>
      <errorWord>它</errorWord>
      <group>L1_AI</group>
      <groupName>深度校对</groupName>
      <ability>L2_AI_Word</ability>
      <abilityName>字词纠错</abilityName>
      <candidateList>
        <item>他</item>
      </candidateList>
      <explain/>
      <paraID>12C1D3F0</paraID>
      <start>89</start>
      <end>90</end>
      <status>modified</status>
      <modifiedWord>他</modifiedWord>
      <trackRevisions>false</trackRevisions>
    </reviewItem>
    <reviewItem>
      <errorID>04e73426-b4cc-4d3a-b041-a675c3911ed1</errorID>
      <errorWord>，</errorWord>
      <group>L1_AI</group>
      <groupName>深度校对</groupName>
      <ability>L2_AI_Punc</ability>
      <abilityName>标点纠错</abilityName>
      <candidateList>
        <item>。</item>
      </candidateList>
      <explain/>
      <paraID>12C1D3F0</paraID>
      <start>198</start>
      <end>199</end>
      <status>modified</status>
      <modifiedWord>。</modifiedWord>
      <trackRevisions>false</trackRevisions>
    </reviewItem>
    <reviewItem>
      <errorID>75192f74-a83f-443f-a631-ffb2ea976e25</errorID>
      <errorWord>监测仪</errorWord>
      <group>L1_Word</group>
      <groupName>字词问题</groupName>
      <ability>L2_Typo</ability>
      <abilityName>字词错误</abilityName>
      <candidateList>
        <item>检测仪</item>
      </candidateList>
      <explain/>
      <paraID>51D91547</paraID>
      <start>8</start>
      <end>11</end>
      <status>ignored</status>
      <modifiedWord/>
      <trackRevisions>false</trackRevisions>
    </reviewItem>
    <reviewItem>
      <errorID>50d4a747-c805-4bb6-8e85-11cfe7949c38</errorID>
      <errorWord>:</errorWord>
      <group>L1_Format</group>
      <groupName>格式问题</groupName>
      <ability>L2_HalfPunc</ability>
      <abilityName>全半角检查</abilityName>
      <candidateList>
        <item>：</item>
      </candidateList>
      <explain>文本全半角错误。</explain>
      <paraID>4E6589EC</paraID>
      <start>9</start>
      <end>10</end>
      <status>modified</status>
      <modifiedWord>：</modifiedWord>
      <trackRevisions>false</trackRevisions>
    </reviewItem>
    <reviewItem>
      <errorID>5aacd2d3-fac0-4bfa-aeef-4d0aed91408c</errorID>
      <errorWord>《</errorWord>
      <group>L1_AI</group>
      <groupName>深度校对</groupName>
      <ability>L2_AI_Punc</ability>
      <abilityName>标点纠错</abilityName>
      <candidateList>
        <item/>
      </candidateList>
      <explain/>
      <paraID>4E6589EC</paraID>
      <start>17</start>
      <end>18</end>
      <status>ignored</status>
      <modifiedWord/>
      <trackRevisions>false</trackRevisions>
    </reviewItem>
    <reviewItem>
      <errorID>138f9668-75dd-4d7d-b93f-51a335676362</errorID>
      <errorWord>》</errorWord>
      <group>L1_AI</group>
      <groupName>深度校对</groupName>
      <ability>L2_AI_Punc</ability>
      <abilityName>标点纠错</abilityName>
      <candidateList>
        <item/>
      </candidateList>
      <explain/>
      <paraID>4E6589EC</paraID>
      <start>35</start>
      <end>36</end>
      <status>ignored</status>
      <modifiedWord/>
      <trackRevisions>false</trackRevisions>
    </reviewItem>
    <reviewItem>
      <errorID>c3f7ac64-56e2-4a83-bf50-df2aacf2adb7</errorID>
      <errorWord>；</errorWord>
      <group>L1_AI</group>
      <groupName>深度校对</groupName>
      <ability>L2_AI_Punc</ability>
      <abilityName>标点纠错</abilityName>
      <candidateList>
        <item>。</item>
      </candidateList>
      <explain/>
      <paraID>4E6589EC</paraID>
      <start>72</start>
      <end>73</end>
      <status>modified</status>
      <modifiedWord>。</modifiedWord>
      <trackRevisions>false</trackRevisions>
    </reviewItem>
    <reviewItem>
      <errorID>1722bd09-941a-4832-87f7-4df7d63cffd6</errorID>
      <errorWord>前应</errorWord>
      <group>L1_AI</group>
      <groupName>深度校对</groupName>
      <ability>L2_AI_Word</ability>
      <abilityName>字词纠错</abilityName>
      <candidateList>
        <item>前</item>
      </candidateList>
      <explain/>
      <paraID>44799AEA</paraID>
      <start>10</start>
      <end>11</end>
      <status>modified</status>
      <modifiedWord>前</modifiedWord>
      <trackRevisions>false</trackRevisions>
    </reviewItem>
    <reviewItem>
      <errorID>6b208ae0-8782-4435-94bb-1166f1b2985e</errorID>
      <errorWord>(CA)</errorWord>
      <group>L1_AI</group>
      <groupName>深度校对</groupName>
      <ability>L2_AI_Punc</ability>
      <abilityName>标点纠错</abilityName>
      <candidateList>
        <item>（CA），</item>
      </candidateList>
      <explain/>
      <paraID>44799AEA</paraID>
      <start>103</start>
      <end>108</end>
      <status>modified</status>
      <modifiedWord>（CA），</modifiedWord>
      <trackRevisions>false</trackRevisions>
    </reviewItem>
    <reviewItem>
      <errorID>9ca5f6cd-2666-4309-91ba-874df9505504</errorID>
      <errorWord>:</errorWord>
      <group>L1_AI</group>
      <groupName>深度校对</groupName>
      <ability>L2_AI_Punc</ability>
      <abilityName>标点纠错</abilityName>
      <candidateList>
        <item>：</item>
      </candidateList>
      <explain/>
      <paraID>44799AEA</paraID>
      <start>114</start>
      <end>115</end>
      <status>modified</status>
      <modifiedWord>：</modifiedWord>
      <trackRevisions>false</trackRevisions>
    </reviewItem>
    <reviewItem>
      <errorID>e5d2defe-23f2-4205-a2f3-5715287a195b</errorID>
      <errorWord>(CA)</errorWord>
      <group>L1_AI</group>
      <groupName>深度校对</groupName>
      <ability>L2_AI_Punc</ability>
      <abilityName>标点纠错</abilityName>
      <candidateList>
        <item>（CA）</item>
      </candidateList>
      <explain/>
      <paraID>44799AEA</paraID>
      <start>180</start>
      <end>184</end>
      <status>modified</status>
      <modifiedWord>（CA）</modifiedWord>
      <trackRevisions>false</trackRevisions>
    </reviewItem>
    <reviewItem>
      <errorID>dc3c892d-29c9-4812-b53c-81a3662ea086</errorID>
      <errorWord>它</errorWord>
      <group>L1_AI</group>
      <groupName>深度校对</groupName>
      <ability>L2_AI_Word</ability>
      <abilityName>字词纠错</abilityName>
      <candidateList>
        <item>他</item>
      </candidateList>
      <explain/>
      <paraID>44799AEA</paraID>
      <start>196</start>
      <end>197</end>
      <status>modified</status>
      <modifiedWord>他</modifiedWord>
      <trackRevisions>false</trackRevisions>
    </reviewItem>
    <reviewItem>
      <errorID>19798f49-359d-4509-a51f-2d61c68500ee</errorID>
      <errorWord>(CA)</errorWord>
      <group>L1_AI</group>
      <groupName>深度校对</groupName>
      <ability>L2_AI_Punc</ability>
      <abilityName>标点纠错</abilityName>
      <candidateList>
        <item>（CA）</item>
      </candidateList>
      <explain/>
      <paraID>44799AEA</paraID>
      <start>206</start>
      <end>210</end>
      <status>modified</status>
      <modifiedWord>（CA）</modifiedWord>
      <trackRevisions>false</trackRevisions>
    </reviewItem>
    <reviewItem>
      <errorID>63ae5683-93f4-4d07-b0e4-38e0504065b6</errorID>
      <errorWord>;</errorWord>
      <group>L1_AI</group>
      <groupName>深度校对</groupName>
      <ability>L2_AI_Punc</ability>
      <abilityName>标点纠错</abilityName>
      <candidateList>
        <item>。</item>
      </candidateList>
      <explain/>
      <paraID>44799AEA</paraID>
      <start>217</start>
      <end>218</end>
      <status>modified</status>
      <modifiedWord>。</modifiedWord>
      <trackRevisions>false</trackRevisions>
    </reviewItem>
    <reviewItem>
      <errorID>f2b531e0-4f63-40d2-8fda-ea0ec8420a18</errorID>
      <errorWord>将</errorWord>
      <group>L1_AI</group>
      <groupName>深度校对</groupName>
      <ability>L2_AI_Grammar</ability>
      <abilityName>语法纠错</abilityName>
      <candidateList>
        <item>下载、安装完</item>
      </candidateList>
      <explain/>
      <paraID>22D92F6C</paraID>
      <start>5</start>
      <end>11</end>
      <status>modified</status>
      <modifiedWord>下载、安装完</modifiedWord>
      <trackRevisions>false</trackRevisions>
    </reviewItem>
    <reviewItem>
      <errorID>e60af7ca-6cb5-49e1-8b17-05c3213587c8</errorID>
      <errorWord>客户端下载、安装完成</errorWord>
      <group>L1_AI</group>
      <groupName>深度校对</groupName>
      <ability>L2_AI_Grammar</ability>
      <abilityName>语法纠错</abilityName>
      <candidateList>
        <item>客户端</item>
      </candidateList>
      <explain/>
      <paraID>22D92F6C</paraID>
      <start>18</start>
      <end>21</end>
      <status>modified</status>
      <modifiedWord>客户端</modifiedWord>
      <trackRevisions>false</trackRevisions>
    </reviewItem>
    <reviewItem>
      <errorID>c5f31123-30fb-410b-a60b-e2c8884685f9</errorID>
      <errorWord>)</errorWord>
      <group>L1_Format</group>
      <groupName>格式问题</groupName>
      <ability>L2_HalfPunc</ability>
      <abilityName>全半角检查</abilityName>
      <candidateList>
        <item>）</item>
      </candidateList>
      <explain>文本全半角错误。</explain>
      <paraID>22D92F6C</paraID>
      <start>73</start>
      <end>74</end>
      <status>modified</status>
      <modifiedWord>）</modifiedWord>
      <trackRevisions>false</trackRevisions>
    </reviewItem>
    <reviewItem>
      <errorID>18c75adb-2c9c-4815-aba0-bac4b2acc295</errorID>
      <errorWord>(</errorWord>
      <group>L1_Format</group>
      <groupName>格式问题</groupName>
      <ability>L2_HalfPunc</ability>
      <abilityName>全半角检查</abilityName>
      <candidateList>
        <item>（</item>
      </candidateList>
      <explain>文本全半角错误。</explain>
      <paraID>22D92F6C</paraID>
      <start>94</start>
      <end>95</end>
      <status>modified</status>
      <modifiedWord>（</modifiedWord>
      <trackRevisions>false</trackRevisions>
    </reviewItem>
    <reviewItem>
      <errorID>987aab55-7d84-4b2d-9f4c-98c002c74e24</errorID>
      <errorWord>)</errorWord>
      <group>L1_Format</group>
      <groupName>格式问题</groupName>
      <ability>L2_HalfPunc</ability>
      <abilityName>全半角检查</abilityName>
      <candidateList>
        <item>）</item>
      </candidateList>
      <explain>文本全半角错误。</explain>
      <paraID>22D92F6C</paraID>
      <start>138</start>
      <end>139</end>
      <status>modified</status>
      <modifiedWord>）</modifiedWord>
      <trackRevisions>false</trackRevisions>
    </reviewItem>
    <reviewItem>
      <errorID>bdaa8c1b-b210-45e8-becf-39d24079bdc3</errorID>
      <errorWord>以及</errorWord>
      <group>L1_AI</group>
      <groupName>深度校对</groupName>
      <ability>L2_AI_Word</ability>
      <abilityName>字词纠错</abilityName>
      <candidateList>
        <item>；</item>
      </candidateList>
      <explain/>
      <paraID>22D92F6C</paraID>
      <start>178</start>
      <end>179</end>
      <status>modified</status>
      <modifiedWord>；</modifiedWord>
      <trackRevisions>false</trackRevisions>
    </reviewItem>
    <reviewItem>
      <errorID>30afd83c-6a06-4e58-9368-51a35065e096</errorID>
      <errorWord>:</errorWord>
      <group>L1_Format</group>
      <groupName>格式问题</groupName>
      <ability>L2_HalfPunc</ability>
      <abilityName>全半角检查</abilityName>
      <candidateList>
        <item>：</item>
      </candidateList>
      <explain>文本全半角错误。</explain>
      <paraID>22D92F6C</paraID>
      <start>187</start>
      <end>188</end>
      <status>modified</status>
      <modifiedWord>：</modifiedWord>
      <trackRevisions>false</trackRevisions>
    </reviewItem>
    <reviewItem>
      <errorID>0cbbe9ed-7edc-4bd1-bd7c-f228710b3eee</errorID>
      <errorWord>;</errorWord>
      <group>L1_AI</group>
      <groupName>深度校对</groupName>
      <ability>L2_AI_Punc</ability>
      <abilityName>标点纠错</abilityName>
      <candidateList>
        <item>；</item>
      </candidateList>
      <explain/>
      <paraID>22D92F6C</paraID>
      <start>206</start>
      <end>207</end>
      <status>modified</status>
      <modifiedWord>；</modifiedWord>
      <trackRevisions>false</trackRevisions>
    </reviewItem>
    <reviewItem>
      <errorID>bc9e53db-4946-48e0-98f3-57d87b326432</errorID>
      <errorWord>:</errorWord>
      <group>L1_Format</group>
      <groupName>格式问题</groupName>
      <ability>L2_HalfPunc</ability>
      <abilityName>全半角检查</abilityName>
      <candidateList>
        <item>：</item>
      </candidateList>
      <explain>文本全半角错误。</explain>
      <paraID>22D92F6C</paraID>
      <start>217</start>
      <end>218</end>
      <status>modified</status>
      <modifiedWord>：</modifiedWord>
      <trackRevisions>false</trackRevisions>
    </reviewItem>
    <reviewItem>
      <errorID>9aca0797-3d86-4350-948f-4dfc19ba780b</errorID>
      <errorWord>:</errorWord>
      <group>L1_AI</group>
      <groupName>深度校对</groupName>
      <ability>L2_AI_Punc</ability>
      <abilityName>标点纠错</abilityName>
      <candidateList>
        <item>：</item>
      </candidateList>
      <explain/>
      <paraID>22D92F6C</paraID>
      <start>244</start>
      <end>245</end>
      <status>modified</status>
      <modifiedWord>：</modifiedWord>
      <trackRevisions>false</trackRevisions>
    </reviewItem>
    <reviewItem>
      <errorID>c332f5c5-5986-4e1d-a978-eab173ae2d94</errorID>
      <errorWord>;</errorWord>
      <group>L1_AI</group>
      <groupName>深度校对</groupName>
      <ability>L2_AI_Punc</ability>
      <abilityName>标点纠错</abilityName>
      <candidateList>
        <item>；</item>
      </candidateList>
      <explain/>
      <paraID>22D92F6C</paraID>
      <start>255</start>
      <end>256</end>
      <status>modified</status>
      <modifiedWord>；</modifiedWord>
      <trackRevisions>false</trackRevisions>
    </reviewItem>
    <reviewItem>
      <errorID>7d9bbacc-b06e-431a-b82d-f9554d719860</errorID>
      <errorWord>:</errorWord>
      <group>L1_Format</group>
      <groupName>格式问题</groupName>
      <ability>L2_HalfPunc</ability>
      <abilityName>全半角检查</abilityName>
      <candidateList>
        <item>：</item>
      </candidateList>
      <explain>文本全半角错误。</explain>
      <paraID>22D92F6C</paraID>
      <start>269</start>
      <end>270</end>
      <status>modified</status>
      <modifiedWord>：</modifiedWord>
      <trackRevisions>false</trackRevisions>
    </reviewItem>
    <reviewItem>
      <errorID>20ee2022-7662-4e21-973b-8c24800eb324</errorID>
      <errorWord>如</errorWord>
      <group>L1_AI</group>
      <groupName>深度校对</groupName>
      <ability>L2_AI_Punc</ability>
      <abilityName>标点纠错</abilityName>
      <candidateList>
        <item>。如</item>
      </candidateList>
      <explain/>
      <paraID>22D92F6C</paraID>
      <start>281</start>
      <end>283</end>
      <status>modified</status>
      <modifiedWord>。如</modifiedWord>
      <trackRevisions>false</trackRevisions>
    </reviewItem>
    <reviewItem>
      <errorID>14e47b4e-41ca-4a25-b649-bee8b3bff71b</errorID>
      <errorWord>(</errorWord>
      <group>L1_AI</group>
      <groupName>深度校对</groupName>
      <ability>L2_AI_Punc</ability>
      <abilityName>标点纠错</abilityName>
      <candidateList>
        <item>（</item>
      </candidateList>
      <explain/>
      <paraID>22D92F6C</paraID>
      <start>306</start>
      <end>307</end>
      <status>modified</status>
      <modifiedWord>（</modifiedWord>
      <trackRevisions>false</trackRevisions>
    </reviewItem>
    <reviewItem>
      <errorID>85e459bc-4d2d-49c5-987a-36e83d4570a7</errorID>
      <errorWord>:</errorWord>
      <group>L1_AI</group>
      <groupName>深度校对</groupName>
      <ability>L2_AI_Punc</ability>
      <abilityName>标点纠错</abilityName>
      <candidateList>
        <item>：</item>
      </candidateList>
      <explain/>
      <paraID>22D92F6C</paraID>
      <start>308</start>
      <end>309</end>
      <status>modified</status>
      <modifiedWord>：</modifiedWord>
      <trackRevisions>false</trackRevisions>
    </reviewItem>
    <reviewItem>
      <errorID>fb8b8b48-563e-4499-86c0-de401c432d0c</errorID>
      <errorWord>)</errorWord>
      <group>L1_Format</group>
      <groupName>格式问题</groupName>
      <ability>L2_HalfPunc</ability>
      <abilityName>全半角检查</abilityName>
      <candidateList>
        <item>）</item>
      </candidateList>
      <explain>文本全半角错误。</explain>
      <paraID>22D92F6C</paraID>
      <start>341</start>
      <end>342</end>
      <status>modified</status>
      <modifiedWord>）</modifiedWord>
      <trackRevisions>false</trackRevisions>
    </reviewItem>
    <reviewItem>
      <errorID>82bd8e4d-cc0f-433e-b651-c50ee8db5a0f</errorID>
      <errorWord>监测仪</errorWord>
      <group>L1_Word</group>
      <groupName>字词问题</groupName>
      <ability>L2_Typo</ability>
      <abilityName>字词错误</abilityName>
      <candidateList>
        <item>检测仪</item>
      </candidateList>
      <explain/>
      <paraID>39F8873E</paraID>
      <start>8</start>
      <end>11</end>
      <status>ignored</status>
      <modifiedWord/>
      <trackRevisions>false</trackRevisions>
    </reviewItem>
    <reviewItem>
      <errorID>a3c0e875-55e4-4e5b-a64d-8329ba01aea4</errorID>
      <errorWord>元</errorWord>
      <group>L1_AI</group>
      <groupName>深度校对</groupName>
      <ability>L2_AI_Word</ability>
      <abilityName>字词纠错</abilityName>
      <candidateList>
        <item>万元</item>
      </candidateList>
      <explain/>
      <paraID>39F8873E</paraID>
      <start>19</start>
      <end>21</end>
      <status>modified</status>
      <modifiedWord>万元</modifiedWord>
      <trackRevisions>false</trackRevisions>
    </reviewItem>
    <reviewItem>
      <errorID>b9f04921-8285-4fef-8578-cefbdf8e4f92</errorID>
      <errorWord>时间上</errorWord>
      <group>L1_AI</group>
      <groupName>深度校对</groupName>
      <ability>L2_AI_Word</ability>
      <abilityName>字词纠错</abilityName>
      <candidateList>
        <item>上午</item>
      </candidateList>
      <explain/>
      <paraID> AAF98CE</paraID>
      <start>18</start>
      <end>21</end>
      <status>ignored</status>
      <modifiedWord/>
      <trackRevisions>false</trackRevisions>
    </reviewItem>
    <reviewItem>
      <errorID>4874cad8-0e85-4759-89fa-01320dd29fce</errorID>
      <errorWord>做</errorWord>
      <group>L1_Word</group>
      <groupName>字词问题</groupName>
      <ability>L2_Typo</ability>
      <abilityName>字词错误</abilityName>
      <candidateList>
        <item>作</item>
      </candidateList>
      <explain>存在发音相同字词的误用。</explain>
      <paraID>34770F07</paraID>
      <start>66</start>
      <end>67</end>
      <status>modified</status>
      <modifiedWord>作</modifiedWord>
      <trackRevisions>false</trackRevisions>
    </reviewItem>
    <reviewItem>
      <errorID>4159957c-9a08-4e55-b394-4eb815928c6c</errorID>
      <errorWord>签证</errorWord>
      <group>L1_Word</group>
      <groupName>字词问题</groupName>
      <ability>L2_Typo</ability>
      <abilityName>字词错误</abilityName>
      <candidateList>
        <item>验证</item>
      </candidateList>
      <explain>存在字形相近字词的误用。</explain>
      <paraID>34770F07</paraID>
      <start>70</start>
      <end>72</end>
      <status>ignored</status>
      <modifiedWord/>
      <trackRevisions>false</trackRevisions>
    </reviewItem>
    <reviewItem>
      <errorID>06f8100d-dfe5-469c-8288-88a3fc1a0943</errorID>
      <errorWord>：/</errorWord>
      <group>L1_Punc</group>
      <groupName>标点问题</groupName>
      <ability>L2_Punc</ability>
      <abilityName>标点符号检查</abilityName>
      <candidateList>
        <item>：</item>
      </candidateList>
      <explain/>
      <paraID>555F567F</paraID>
      <start>10</start>
      <end>12</end>
      <status>ignored</status>
      <modifiedWord/>
      <trackRevisions>false</trackRevisions>
    </reviewItem>
    <reviewItem>
      <errorID>fabcfef0-4e51-461c-8d0a-8b28cedb6a2f</errorID>
      <errorWord>：/</errorWord>
      <group>L1_Punc</group>
      <groupName>标点问题</groupName>
      <ability>L2_Punc</ability>
      <abilityName>标点符号检查</abilityName>
      <candidateList>
        <item>：</item>
      </candidateList>
      <explain/>
      <paraID>202F8531</paraID>
      <start>6</start>
      <end>8</end>
      <status>ignored</status>
      <modifiedWord/>
      <trackRevisions>false</trackRevisions>
    </reviewItem>
    <reviewItem>
      <errorID>d665ffea-933b-4822-801a-8068e8fca00f</errorID>
      <errorWord>：/</errorWord>
      <group>L1_Punc</group>
      <groupName>标点问题</groupName>
      <ability>L2_Punc</ability>
      <abilityName>标点符号检查</abilityName>
      <candidateList>
        <item>：</item>
      </candidateList>
      <explain/>
      <paraID>34412B8B</paraID>
      <start>9</start>
      <end>11</end>
      <status>ignored</status>
      <modifiedWord/>
      <trackRevisions>false</trackRevisions>
    </reviewItem>
    <reviewItem>
      <errorID>8d9f1655-6596-4116-9759-f667816bc586</errorID>
      <errorWord>监测仪</errorWord>
      <group>L1_Word</group>
      <groupName>字词问题</groupName>
      <ability>L2_Typo</ability>
      <abilityName>字词错误</abilityName>
      <candidateList>
        <item>检测仪</item>
      </candidateList>
      <explain/>
      <paraID>56FAF3CE</paraID>
      <start>8</start>
      <end>11</end>
      <status>ignored</status>
      <modifiedWord/>
      <trackRevisions>false</trackRevisions>
    </reviewItem>
    <reviewItem>
      <errorID>6574afd5-af9b-4f13-b00c-21cbcad2e87c</errorID>
      <errorWord>数额</errorWord>
      <group>L1_Word</group>
      <groupName>字词问题</groupName>
      <ability>L2_Typo</ability>
      <abilityName>字词错误</abilityName>
      <candidateList>
        <item>金额</item>
      </candidateList>
      <explain/>
      <paraID>65C41A4F</paraID>
      <start>57</start>
      <end>59</end>
      <status>ignored</status>
      <modifiedWord/>
      <trackRevisions>false</trackRevisions>
    </reviewItem>
    <reviewItem>
      <errorID>dec9917f-3f4b-4f8e-807c-6cb79a9d5acd</errorID>
      <errorWord>(</errorWord>
      <group>L1_Format</group>
      <groupName>格式问题</groupName>
      <ability>L2_HalfPunc</ability>
      <abilityName>全半角检查</abilityName>
      <candidateList>
        <item>（</item>
      </candidateList>
      <explain>文本全半角错误。</explain>
      <paraID>4C24A715</paraID>
      <start>44</start>
      <end>45</end>
      <status>modified</status>
      <modifiedWord>（</modifiedWord>
      <trackRevisions>false</trackRevisions>
    </reviewItem>
    <reviewItem>
      <errorID>09b3c603-4b1d-44f1-9190-8c40bbccda78</errorID>
      <errorWord>)</errorWord>
      <group>L1_Format</group>
      <groupName>格式问题</groupName>
      <ability>L2_HalfPunc</ability>
      <abilityName>全半角检查</abilityName>
      <candidateList>
        <item>）</item>
      </candidateList>
      <explain>文本全半角错误。</explain>
      <paraID>4C24A715</paraID>
      <start>67</start>
      <end>68</end>
      <status>modified</status>
      <modifiedWord>）</modifiedWord>
      <trackRevisions>false</trackRevisions>
    </reviewItem>
    <reviewItem>
      <errorID>2e2d477e-2dbd-4507-909f-67f1215015ac</errorID>
      <errorWord>(</errorWord>
      <group>L1_Format</group>
      <groupName>格式问题</groupName>
      <ability>L2_HalfPunc</ability>
      <abilityName>全半角检查</abilityName>
      <candidateList>
        <item>（</item>
      </candidateList>
      <explain>文本全半角错误。</explain>
      <paraID>4C24A715</paraID>
      <start>76</start>
      <end>77</end>
      <status>modified</status>
      <modifiedWord>（</modifiedWord>
      <trackRevisions>false</trackRevisions>
    </reviewItem>
    <reviewItem>
      <errorID>ffea2642-f73b-42f2-8fa1-c6eb625c2cce</errorID>
      <errorWord>)</errorWord>
      <group>L1_Format</group>
      <groupName>格式问题</groupName>
      <ability>L2_HalfPunc</ability>
      <abilityName>全半角检查</abilityName>
      <candidateList>
        <item>）</item>
      </candidateList>
      <explain>文本全半角错误。</explain>
      <paraID>4C24A715</paraID>
      <start>92</start>
      <end>93</end>
      <status>modified</status>
      <modifiedWord>）</modifiedWord>
      <trackRevisions>false</trackRevisions>
    </reviewItem>
    <reviewItem>
      <errorID>38e737cf-781a-48a5-82e3-c3e8a7fbe72f</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20981035</paraID>
      <start>5</start>
      <end>7</end>
      <status>ignored</status>
      <modifiedWord/>
      <trackRevisions>false</trackRevisions>
    </reviewItem>
    <reviewItem>
      <errorID>f56ce710-b66a-4efc-876f-89c30042f628</errorID>
      <errorWord>,</errorWord>
      <group>L1_Format</group>
      <groupName>格式问题</groupName>
      <ability>L2_HalfPunc</ability>
      <abilityName>全半角检查</abilityName>
      <candidateList>
        <item>，</item>
      </candidateList>
      <explain>文本全半角错误。</explain>
      <paraID>7E8169D2</paraID>
      <start>21</start>
      <end>22</end>
      <status>modified</status>
      <modifiedWord>，</modifiedWord>
      <trackRevisions>false</trackRevisions>
    </reviewItem>
    <reviewItem>
      <errorID>b064c966-0025-4940-9b59-ba244a09a203</errorID>
      <errorWord>评审中</errorWord>
      <group>L1_Word</group>
      <groupName>字词问题</groupName>
      <ability>L2_Typo</ability>
      <abilityName>字词错误</abilityName>
      <candidateList>
        <item>评审</item>
      </candidateList>
      <explain/>
      <paraID>67712097</paraID>
      <start>70</start>
      <end>72</end>
      <status>modified</status>
      <modifiedWord>评审</modifiedWord>
      <trackRevisions>false</trackRevisions>
    </reviewItem>
    <reviewItem>
      <errorID>2cac3bef-087e-47ae-8601-b82d48b1f1b8</errorID>
      <errorWord>,</errorWord>
      <group>L1_Format</group>
      <groupName>格式问题</groupName>
      <ability>L2_HalfPunc</ability>
      <abilityName>全半角检查</abilityName>
      <candidateList>
        <item>，</item>
      </candidateList>
      <explain>文本全半角错误。</explain>
      <paraID> B0E54B2</paraID>
      <start>17</start>
      <end>18</end>
      <status>modified</status>
      <modifiedWord>，</modifiedWord>
      <trackRevisions>false</trackRevisions>
    </reviewItem>
    <reviewItem>
      <errorID>f3b5bae8-2d39-4d88-8100-47a06b0244b2</errorID>
      <errorWord>同</errorWord>
      <group>L1_Word</group>
      <groupName>字词问题</groupName>
      <ability>L2_Typo</ability>
      <abilityName>字词错误</abilityName>
      <candidateList>
        <item>同一</item>
      </candidateList>
      <explain/>
      <paraID>3A2F80D2</paraID>
      <start>73</start>
      <end>74</end>
      <status>ignored</status>
      <modifiedWord/>
      <trackRevisions>false</trackRevisions>
    </reviewItem>
    <reviewItem>
      <errorID>13cded4b-77f8-450f-a668-f3e0fee0227f</errorID>
      <errorWord>,</errorWord>
      <group>L1_Format</group>
      <groupName>格式问题</groupName>
      <ability>L2_HalfPunc</ability>
      <abilityName>全半角检查</abilityName>
      <candidateList>
        <item>，</item>
      </candidateList>
      <explain>文本全半角错误。</explain>
      <paraID>1BB0A875</paraID>
      <start>27</start>
      <end>28</end>
      <status>modified</status>
      <modifiedWord>，</modifiedWord>
      <trackRevisions>false</trackRevisions>
    </reviewItem>
    <reviewItem>
      <errorID>64109339-de8f-4e08-b941-1726b10a91b5</errorID>
      <errorWord>(</errorWord>
      <group>L1_Format</group>
      <groupName>格式问题</groupName>
      <ability>L2_HalfPunc</ability>
      <abilityName>全半角检查</abilityName>
      <candidateList>
        <item>（</item>
      </candidateList>
      <explain>文本全半角错误。</explain>
      <paraID>6112AC02</paraID>
      <start>25</start>
      <end>26</end>
      <status>modified</status>
      <modifiedWord>（</modifiedWord>
      <trackRevisions>false</trackRevisions>
    </reviewItem>
    <reviewItem>
      <errorID>ed3db41a-81fe-4551-bd3b-48df15ef92c6</errorID>
      <errorWord>。。</errorWord>
      <group>L1_Punc</group>
      <groupName>标点问题</groupName>
      <ability>L2_Punc</ability>
      <abilityName>标点符号检查</abilityName>
      <candidateList>
        <item>。</item>
      </candidateList>
      <explain/>
      <paraID>4AE78924</paraID>
      <start>167</start>
      <end>168</end>
      <status>modified</status>
      <modifiedWord>。</modifiedWord>
      <trackRevisions>false</trackRevisions>
    </reviewItem>
    <reviewItem>
      <errorID>595d40d2-9c30-4550-8086-9b02318c5ce5</errorID>
      <errorWord>做出</errorWord>
      <group>L1_Word</group>
      <groupName>字词问题</groupName>
      <ability>L2_Typo</ability>
      <abilityName>字词错误</abilityName>
      <candidateList>
        <item>作出</item>
      </candidateList>
      <explain/>
      <paraID>4BAD57EE</paraID>
      <start>58</start>
      <end>60</end>
      <status>modified</status>
      <modifiedWord>作出</modifiedWord>
      <trackRevisions>false</trackRevisions>
    </reviewItem>
    <reviewItem>
      <errorID>f7b7c28f-22be-406a-a658-5dd2dc32ad3e</errorID>
      <errorWord>适用于</errorWord>
      <group>L1_Word</group>
      <groupName>字词问题</groupName>
      <ability>L2_Typo</ability>
      <abilityName>字词错误</abilityName>
      <candidateList>
        <item>适用</item>
      </candidateList>
      <explain>〈形〉适合使用：这套耕作方法，在我们这个地区也完全～。</explain>
      <paraID> 742E041</paraID>
      <start>20</start>
      <end>23</end>
      <status>ignored</status>
      <modifiedWord/>
      <trackRevisions>false</trackRevisions>
    </reviewItem>
    <reviewItem>
      <errorID>1394f573-ba08-42bf-b513-b4e6622b4dcf</errorID>
      <errorWord>。｝</errorWord>
      <group>L1_Punc</group>
      <groupName>标点问题</groupName>
      <ability>L2_Punc</ability>
      <abilityName>标点符号检查</abilityName>
      <candidateList>
        <item>｝</item>
      </candidateList>
      <explain/>
      <paraID>17E6EEF0</paraID>
      <start>246</start>
      <end>247</end>
      <status>modified</status>
      <modifiedWord>｝</modifiedWord>
      <trackRevisions>false</trackRevisions>
    </reviewItem>
    <reviewItem>
      <errorID>abf1c764-bce2-40c8-95b6-812b5486f814</errorID>
      <errorWord>器</errorWord>
      <group>L1_Word</group>
      <groupName>字词问题</groupName>
      <ability>L2_Typo</ability>
      <abilityName>字词错误</abilityName>
      <candidateList>
        <item>器械</item>
      </candidateList>
      <explain/>
      <paraID>74B7FE1E</paraID>
      <start>26</start>
      <end>28</end>
      <status>modified</status>
      <modifiedWord>器械</modifiedWord>
      <trackRevisions>false</trackRevisions>
    </reviewItem>
    <reviewItem>
      <errorID>407f3523-2edb-4047-aff0-8a66b10198ce</errorID>
      <errorWord>:</errorWord>
      <group>L1_Format</group>
      <groupName>格式问题</groupName>
      <ability>L2_HalfPunc</ability>
      <abilityName>全半角检查</abilityName>
      <candidateList>
        <item>：</item>
      </candidateList>
      <explain>文本全半角错误。</explain>
      <paraID>74B7FE1E</paraID>
      <start>34</start>
      <end>35</end>
      <status>modified</status>
      <modifiedWord>：</modifiedWord>
      <trackRevisions>false</trackRevisions>
    </reviewItem>
    <reviewItem>
      <errorID>64aacab1-21ce-45c7-ab3b-dbeddfe7ca60</errorID>
      <errorWord>;</errorWord>
      <group>L1_Format</group>
      <groupName>格式问题</groupName>
      <ability>L2_HalfPunc</ability>
      <abilityName>全半角检查</abilityName>
      <candidateList>
        <item>；</item>
      </candidateList>
      <explain>文本全半角错误。</explain>
      <paraID>74B7FE1E</paraID>
      <start>108</start>
      <end>109</end>
      <status>modified</status>
      <modifiedWord>；</modifiedWord>
      <trackRevisions>false</trackRevisions>
    </reviewItem>
    <reviewItem>
      <errorID>506c1795-1584-49a9-a78f-c6b3ae62a755</errorID>
      <errorWord>(</errorWord>
      <group>L1_Format</group>
      <groupName>格式问题</groupName>
      <ability>L2_HalfPunc</ability>
      <abilityName>全半角检查</abilityName>
      <candidateList>
        <item>（</item>
      </candidateList>
      <explain>文本全半角错误。</explain>
      <paraID>4DDFC984</paraID>
      <start>10</start>
      <end>11</end>
      <status>modified</status>
      <modifiedWord>（</modifiedWord>
      <trackRevisions>false</trackRevisions>
    </reviewItem>
    <reviewItem>
      <errorID>60ea3ebf-0ddf-4c61-90e4-5ea812a49619</errorID>
      <errorWord>)</errorWord>
      <group>L1_Format</group>
      <groupName>格式问题</groupName>
      <ability>L2_HalfPunc</ability>
      <abilityName>全半角检查</abilityName>
      <candidateList>
        <item>）</item>
      </candidateList>
      <explain>文本全半角错误。</explain>
      <paraID>4DDFC984</paraID>
      <start>16</start>
      <end>17</end>
      <status>modified</status>
      <modifiedWord>）</modifiedWord>
      <trackRevisions>false</trackRevisions>
    </reviewItem>
    <reviewItem>
      <errorID>4d5ed031-4494-417c-8284-069617222e23</errorID>
      <errorWord>;</errorWord>
      <group>L1_Format</group>
      <groupName>格式问题</groupName>
      <ability>L2_HalfPunc</ability>
      <abilityName>全半角检查</abilityName>
      <candidateList>
        <item>；</item>
      </candidateList>
      <explain>文本全半角错误。</explain>
      <paraID>4DDFC984</paraID>
      <start>44</start>
      <end>45</end>
      <status>modified</status>
      <modifiedWord>；</modifiedWord>
      <trackRevisions>false</trackRevisions>
    </reviewItem>
    <reviewItem>
      <errorID>b836a2f2-d19b-41be-8a89-1dde111b8de9</errorID>
      <errorWord>;</errorWord>
      <group>L1_Format</group>
      <groupName>格式问题</groupName>
      <ability>L2_HalfPunc</ability>
      <abilityName>全半角检查</abilityName>
      <candidateList>
        <item>；</item>
      </candidateList>
      <explain>文本全半角错误。</explain>
      <paraID>27C6A837</paraID>
      <start>32</start>
      <end>33</end>
      <status>modified</status>
      <modifiedWord>；</modifiedWord>
      <trackRevisions>false</trackRevisions>
    </reviewItem>
    <reviewItem>
      <errorID>f69934b7-b927-4a00-9840-bde1df15d98e</errorID>
      <errorWord>;</errorWord>
      <group>L1_Format</group>
      <groupName>格式问题</groupName>
      <ability>L2_HalfPunc</ability>
      <abilityName>全半角检查</abilityName>
      <candidateList>
        <item>；</item>
      </candidateList>
      <explain>文本全半角错误。</explain>
      <paraID>123244CD</paraID>
      <start>60</start>
      <end>61</end>
      <status>modified</status>
      <modifiedWord>；</modifiedWord>
      <trackRevisions>false</trackRevisions>
    </reviewItem>
    <reviewItem>
      <errorID>b6325133-6ce2-4c0e-9641-df5cd4ef171a</errorID>
      <errorWord>(</errorWord>
      <group>L1_Format</group>
      <groupName>格式问题</groupName>
      <ability>L2_HalfPunc</ability>
      <abilityName>全半角检查</abilityName>
      <candidateList>
        <item>（</item>
      </candidateList>
      <explain>文本全半角错误。</explain>
      <paraID>123244CD</paraID>
      <start>70</start>
      <end>71</end>
      <status>modified</status>
      <modifiedWord>（</modifiedWord>
      <trackRevisions>false</trackRevisions>
    </reviewItem>
    <reviewItem>
      <errorID>8870dfb9-f8fe-4eab-b6e4-3584a1442122</errorID>
      <errorWord>)</errorWord>
      <group>L1_Format</group>
      <groupName>格式问题</groupName>
      <ability>L2_HalfPunc</ability>
      <abilityName>全半角检查</abilityName>
      <candidateList>
        <item>）</item>
      </candidateList>
      <explain>文本全半角错误。</explain>
      <paraID>123244CD</paraID>
      <start>101</start>
      <end>102</end>
      <status>modified</status>
      <modifiedWord>）</modifiedWord>
      <trackRevisions>false</trackRevisions>
    </reviewItem>
    <reviewItem>
      <errorID>ec9f1f98-e2c8-407a-9e0e-2579b767fca6</errorID>
      <errorWord>，…，</errorWord>
      <group>L1_Punc</group>
      <groupName>标点问题</groupName>
      <ability>L2_Punc</ability>
      <abilityName>标点符号检查</abilityName>
      <candidateList>
        <item>，</item>
      </candidateList>
      <explain/>
      <paraID>6A88C9CD</paraID>
      <start>14</start>
      <end>17</end>
      <status>ignored</status>
      <modifiedWord/>
      <trackRevisions>false</trackRevisions>
    </reviewItem>
    <reviewItem>
      <errorID>1a014638-ade7-46da-b31c-671e9d155a9d</errorID>
      <errorWord>，…，</errorWord>
      <group>L1_Punc</group>
      <groupName>标点问题</groupName>
      <ability>L2_Punc</ability>
      <abilityName>标点符号检查</abilityName>
      <candidateList>
        <item>，</item>
      </candidateList>
      <explain/>
      <paraID>3FFEFB13</paraID>
      <start>5</start>
      <end>8</end>
      <status>ignored</status>
      <modifiedWord/>
      <trackRevisions>false</trackRevisions>
    </reviewItem>
    <reviewItem>
      <errorID>b1e2a09d-aced-4186-8be1-07d68c0e5f07</errorID>
      <errorWord>第47条</errorWord>
      <group>L1_Knowledge</group>
      <groupName>知识性问题</groupName>
      <ability>L2_Knowledge</ability>
      <abilityName>其他知识</abilityName>
      <candidateList>
        <item>第四十七条</item>
      </candidateList>
      <explain/>
      <paraID>21762F2E</paraID>
      <start>21</start>
      <end>26</end>
      <status>modified</status>
      <modifiedWord>第四十七条</modifiedWord>
      <trackRevisions>false</trackRevisions>
    </reviewItem>
    <reviewItem>
      <errorID>49884c68-0e6e-469e-bd7a-c3f1a790b546</errorID>
      <errorWord>数额</errorWord>
      <group>L1_Word</group>
      <groupName>字词问题</groupName>
      <ability>L2_Typo</ability>
      <abilityName>字词错误</abilityName>
      <candidateList>
        <item>金额</item>
      </candidateList>
      <explain/>
      <paraID>21762F2E</paraID>
      <start>84</start>
      <end>86</end>
      <status>ignored</status>
      <modifiedWord/>
      <trackRevisions>false</trackRevisions>
    </reviewItem>
    <reviewItem>
      <errorID>6a124717-d247-4054-9328-beb4e52eb5e9</errorID>
      <errorWord>投标投标</errorWord>
      <group>L1_Word</group>
      <groupName>字词问题</groupName>
      <ability>L2_Typo</ability>
      <abilityName>字词错误</abilityName>
      <candidateList>
        <item>投标</item>
      </candidateList>
      <explain/>
      <paraID> E28C4A3</paraID>
      <start>17</start>
      <end>19</end>
      <status>modified</status>
      <modifiedWord>投标</modifiedWord>
      <trackRevisions>false</trackRevisions>
    </reviewItem>
    <reviewItem>
      <errorID>6ce0edfd-f82d-4ee8-bee2-c4f81fd704e8</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6243D7ED</paraID>
      <start>25</start>
      <end>27</end>
      <status>modified</status>
      <modifiedWord>规定</modifiedWord>
      <trackRevisions>false</trackRevisions>
    </reviewItem>
    <reviewItem>
      <errorID>aa403a28-f528-4e46-a9ec-b1b56c1eb3f0</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4A6EAD5B</paraID>
      <start>191</start>
      <end>193</end>
      <status>modified</status>
      <modifiedWord>可以</modifiedWord>
      <trackRevisions>false</trackRevisions>
    </reviewItem>
    <reviewItem>
      <errorID>d4af8ecc-42f2-4cba-a035-b4b4d6577e68</errorID>
      <errorWord>,</errorWord>
      <group>L1_Format</group>
      <groupName>格式问题</groupName>
      <ability>L2_HalfPunc</ability>
      <abilityName>全半角检查</abilityName>
      <candidateList>
        <item>，</item>
      </candidateList>
      <explain>文本全半角错误。</explain>
      <paraID>7BBC8A52</paraID>
      <start>28</start>
      <end>29</end>
      <status>modified</status>
      <modifiedWord>，</modifiedWord>
      <trackRevisions>false</trackRevisions>
    </reviewItem>
    <reviewItem>
      <errorID>5424fc44-4f00-4bd8-a7f9-ee86d57e03bb</errorID>
      <errorWord>)</errorWord>
      <group>L1_Format</group>
      <groupName>格式问题</groupName>
      <ability>L2_HalfPunc</ability>
      <abilityName>全半角检查</abilityName>
      <candidateList>
        <item>）</item>
      </candidateList>
      <explain>文本全半角错误。</explain>
      <paraID>38CBD200</paraID>
      <start>13</start>
      <end>14</end>
      <status>modified</status>
      <modifiedWord>）</modifiedWord>
      <trackRevisions>false</trackRevisions>
    </reviewItem>
    <reviewItem>
      <errorID>5c0304f2-e33d-4fd4-90c9-cd0c5284f2f3</errorID>
      <errorWord>(</errorWord>
      <group>L1_Format</group>
      <groupName>格式问题</groupName>
      <ability>L2_HalfPunc</ability>
      <abilityName>全半角检查</abilityName>
      <candidateList>
        <item>（</item>
      </candidateList>
      <explain>文本全半角错误。</explain>
      <paraID>136D8055</paraID>
      <start>16</start>
      <end>17</end>
      <status>modified</status>
      <modifiedWord>（</modifiedWord>
      <trackRevisions>false</trackRevisions>
    </reviewItem>
    <reviewItem>
      <errorID>425118a3-8322-4e27-a55f-f920fb2cfc18</errorID>
      <errorWord>)</errorWord>
      <group>L1_Format</group>
      <groupName>格式问题</groupName>
      <ability>L2_HalfPunc</ability>
      <abilityName>全半角检查</abilityName>
      <candidateList>
        <item>）</item>
      </candidateList>
      <explain>文本全半角错误。</explain>
      <paraID>136D8055</paraID>
      <start>21</start>
      <end>22</end>
      <status>modified</status>
      <modifiedWord>）</modifiedWord>
      <trackRevisions>false</trackRevisions>
    </reviewItem>
    <reviewItem>
      <errorID>f7ba7145-0d97-4c69-a781-46818ea1467f</errorID>
      <errorWord>(</errorWord>
      <group>L1_Format</group>
      <groupName>格式问题</groupName>
      <ability>L2_HalfPunc</ability>
      <abilityName>全半角检查</abilityName>
      <candidateList>
        <item>（</item>
      </candidateList>
      <explain>文本全半角错误。</explain>
      <paraID>397A795C</paraID>
      <start>14</start>
      <end>15</end>
      <status>modified</status>
      <modifiedWord>（</modifiedWord>
      <trackRevisions>false</trackRevisions>
    </reviewItem>
    <reviewItem>
      <errorID>4fc5c32f-5486-4c8e-bd68-0568ca6609d9</errorID>
      <errorWord>)</errorWord>
      <group>L1_Format</group>
      <groupName>格式问题</groupName>
      <ability>L2_HalfPunc</ability>
      <abilityName>全半角检查</abilityName>
      <candidateList>
        <item>）</item>
      </candidateList>
      <explain>文本全半角错误。</explain>
      <paraID>397A795C</paraID>
      <start>17</start>
      <end>18</end>
      <status>modified</status>
      <modifiedWord>）</modifiedWord>
      <trackRevisions>false</trackRevisions>
    </reviewItem>
    <reviewItem>
      <errorID>4a8f6ce1-5061-4ac6-b3fb-35a821f4d018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4364F29D</paraID>
      <start>53</start>
      <end>54</end>
      <status>modified</status>
      <modifiedWord>—</modifiedWord>
      <trackRevisions>false</trackRevisions>
    </reviewItem>
    <reviewItem>
      <errorID>5b9a9ba1-3db6-4ad5-9c1f-773c7409ecf8</errorID>
      <errorWord>;</errorWord>
      <group>L1_Format</group>
      <groupName>格式问题</groupName>
      <ability>L2_HalfPunc</ability>
      <abilityName>全半角检查</abilityName>
      <candidateList>
        <item>；</item>
      </candidateList>
      <explain>文本全半角错误。</explain>
      <paraID>62DFB221</paraID>
      <start>31</start>
      <end>32</end>
      <status>modified</status>
      <modifiedWord>；</modifiedWord>
      <trackRevisions>false</trackRevisions>
    </reviewItem>
    <reviewItem>
      <errorID>428280e0-6925-46d1-ac1b-814528b7991a</errorID>
      <errorWord>;</errorWord>
      <group>L1_Format</group>
      <groupName>格式问题</groupName>
      <ability>L2_HalfPunc</ability>
      <abilityName>全半角检查</abilityName>
      <candidateList>
        <item>；</item>
      </candidateList>
      <explain>文本全半角错误。</explain>
      <paraID>23390043</paraID>
      <start>19</start>
      <end>20</end>
      <status>modified</status>
      <modifiedWord>；</modifiedWord>
      <trackRevisions>false</trackRevisions>
    </reviewItem>
    <reviewItem>
      <errorID>f1c6e1b2-28bf-41a3-9a8f-5895e968e1fd</errorID>
      <errorWord>;</errorWord>
      <group>L1_Format</group>
      <groupName>格式问题</groupName>
      <ability>L2_HalfPunc</ability>
      <abilityName>全半角检查</abilityName>
      <candidateList>
        <item>；</item>
      </candidateList>
      <explain>文本全半角错误。</explain>
      <paraID>1D47ADF1</paraID>
      <start>17</start>
      <end>18</end>
      <status>modified</status>
      <modifiedWord>；</modifiedWord>
      <trackRevisions>false</trackRevisions>
    </reviewItem>
    <reviewItem>
      <errorID>46b4125d-edfe-4ec1-adb3-2686187c87ac</errorID>
      <errorWord>;</errorWord>
      <group>L1_Format</group>
      <groupName>格式问题</groupName>
      <ability>L2_HalfPunc</ability>
      <abilityName>全半角检查</abilityName>
      <candidateList>
        <item>；</item>
      </candidateList>
      <explain>文本全半角错误。</explain>
      <paraID>2F0F6B43</paraID>
      <start>26</start>
      <end>27</end>
      <status>modified</status>
      <modifiedWord>；</modifiedWord>
      <trackRevisions>false</trackRevisions>
    </reviewItem>
    <reviewItem>
      <errorID>1561dff8-41b9-4842-9011-20be9872027c</errorID>
      <errorWord>;</errorWord>
      <group>L1_Format</group>
      <groupName>格式问题</groupName>
      <ability>L2_HalfPunc</ability>
      <abilityName>全半角检查</abilityName>
      <candidateList>
        <item>；</item>
      </candidateList>
      <explain>文本全半角错误。</explain>
      <paraID>50CD15C9</paraID>
      <start>26</start>
      <end>27</end>
      <status>modified</status>
      <modifiedWord>；</modifiedWord>
      <trackRevisions>false</trackRevisions>
    </reviewItem>
    <reviewItem>
      <errorID>778a6c65-54b8-4689-9ac0-7b901cb68a5c</errorID>
      <errorWord>;</errorWord>
      <group>L1_Format</group>
      <groupName>格式问题</groupName>
      <ability>L2_HalfPunc</ability>
      <abilityName>全半角检查</abilityName>
      <candidateList>
        <item>；</item>
      </candidateList>
      <explain>文本全半角错误。</explain>
      <paraID>4C15822A</paraID>
      <start>12</start>
      <end>13</end>
      <status>modified</status>
      <modifiedWord>；</modifiedWord>
      <trackRevisions>false</trackRevisions>
    </reviewItem>
    <reviewItem>
      <errorID>b482887a-fdec-4d59-b214-308c78b9d5d2</errorID>
      <errorWord>;</errorWord>
      <group>L1_Format</group>
      <groupName>格式问题</groupName>
      <ability>L2_HalfPunc</ability>
      <abilityName>全半角检查</abilityName>
      <candidateList>
        <item>；</item>
      </candidateList>
      <explain>文本全半角错误。</explain>
      <paraID> 7025251</paraID>
      <start>15</start>
      <end>16</end>
      <status>modified</status>
      <modifiedWord>；</modifiedWord>
      <trackRevisions>false</trackRevisions>
    </reviewItem>
    <reviewItem>
      <errorID>060a419b-53df-476f-a0ed-5ddca437342c</errorID>
      <errorWord>;</errorWord>
      <group>L1_Format</group>
      <groupName>格式问题</groupName>
      <ability>L2_HalfPunc</ability>
      <abilityName>全半角检查</abilityName>
      <candidateList>
        <item>；</item>
      </candidateList>
      <explain>文本全半角错误。</explain>
      <paraID>1163023B</paraID>
      <start>13</start>
      <end>14</end>
      <status>modified</status>
      <modifiedWord>；</modifiedWord>
      <trackRevisions>false</trackRevisions>
    </reviewItem>
    <reviewItem>
      <errorID>ce0c2a07-c2b2-4857-8fd9-e512693c2f72</errorID>
      <errorWord>;</errorWord>
      <group>L1_Format</group>
      <groupName>格式问题</groupName>
      <ability>L2_HalfPunc</ability>
      <abilityName>全半角检查</abilityName>
      <candidateList>
        <item>；</item>
      </candidateList>
      <explain>文本全半角错误。</explain>
      <paraID> A2AF042</paraID>
      <start>18</start>
      <end>19</end>
      <status>modified</status>
      <modifiedWord>；</modifiedWord>
      <trackRevisions>false</trackRevisions>
    </reviewItem>
    <reviewItem>
      <errorID>c9447828-a85a-420f-a184-927b1fceb4b5</errorID>
      <errorWord>;</errorWord>
      <group>L1_Format</group>
      <groupName>格式问题</groupName>
      <ability>L2_HalfPunc</ability>
      <abilityName>全半角检查</abilityName>
      <candidateList>
        <item>；</item>
      </candidateList>
      <explain>文本全半角错误。</explain>
      <paraID>793551B5</paraID>
      <start>18</start>
      <end>19</end>
      <status>modified</status>
      <modifiedWord>；</modifiedWord>
      <trackRevisions>false</trackRevisions>
    </reviewItem>
    <reviewItem>
      <errorID>fa419ce0-f12f-4596-babb-6ddd2e429393</errorID>
      <errorWord>;</errorWord>
      <group>L1_Format</group>
      <groupName>格式问题</groupName>
      <ability>L2_HalfPunc</ability>
      <abilityName>全半角检查</abilityName>
      <candidateList>
        <item>；</item>
      </candidateList>
      <explain>文本全半角错误。</explain>
      <paraID>67F23766</paraID>
      <start>15</start>
      <end>16</end>
      <status>modified</status>
      <modifiedWord>；</modifiedWord>
      <trackRevisions>false</trackRevisions>
    </reviewItem>
    <reviewItem>
      <errorID>2fd15b94-d363-470d-aa68-f2ad6f88c167</errorID>
      <errorWord>试验</errorWord>
      <group>L1_Word</group>
      <groupName>字词问题</groupName>
      <ability>L2_Typo</ability>
      <abilityName>字词错误</abilityName>
      <candidateList>
        <item>实验</item>
      </candidateList>
      <explain/>
      <paraID>1B4B10C1</paraID>
      <start>34</start>
      <end>36</end>
      <status>ignored</status>
      <modifiedWord/>
      <trackRevisions>false</trackRevisions>
    </reviewItem>
    <reviewItem>
      <errorID>b16ef313-a08a-4faf-9c15-fdec97970ed5</errorID>
      <errorWord>链接</errorWord>
      <group>L1_Word</group>
      <groupName>字词问题</groupName>
      <ability>L2_Typo</ability>
      <abilityName>字词错误</abilityName>
      <candidateList>
        <item>连接</item>
      </candidateList>
      <explain>存在发音相同字词的误用。</explain>
      <paraID>285B8E20</paraID>
      <start>26</start>
      <end>28</end>
      <status>modified</status>
      <modifiedWord>连接</modifiedWord>
      <trackRevisions>false</trackRevisions>
    </reviewItem>
    <reviewItem>
      <errorID>99a77871-ece0-4902-94bc-065f16ebd7c8</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785537F2</paraID>
      <start>10</start>
      <end>14</end>
      <status>ignored</status>
      <modifiedWord/>
      <trackRevisions>false</trackRevisions>
    </reviewItem>
    <reviewItem>
      <errorID>c26ed4d8-faa0-44ee-a9dc-0dc08dd3fdd2</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785537F2</paraID>
      <start>19</start>
      <end>23</end>
      <status>ignored</status>
      <modifiedWord/>
      <trackRevisions>false</trackRevisions>
    </reviewItem>
    <reviewItem>
      <errorID>5d39cd7a-005b-49a4-8cdc-f5cf736112b3</errorID>
      <errorWord>毎</errorWord>
      <group>L1_Word</group>
      <groupName>字词问题</groupName>
      <ability>L2_Variant</ability>
      <abilityName>异形词</abilityName>
      <candidateList>
        <item>每</item>
      </candidateList>
      <explain>词汇[毎]的规范词形写作[每]。</explain>
      <paraID>24F809A7</paraID>
      <start>22</start>
      <end>23</end>
      <status>modified</status>
      <modifiedWord>每</modifiedWord>
      <trackRevisions>false</trackRevisions>
    </reviewItem>
    <reviewItem>
      <errorID>7c44e8ab-a487-4e6c-a7af-59f332a9a279</errorID>
      <errorWord>心输出量</errorWord>
      <group>L1_Knowledge</group>
      <groupName>知识性问题</groupName>
      <ability>L2_Term</ability>
      <abilityName>专业术语</abilityName>
      <candidateList>
        <item>心排血量</item>
      </candidateList>
      <explain>医学名词[心输出量]为不规范表述或旧称，其规范书面表述为[心排血量]。</explain>
      <paraID>24F809A7</paraID>
      <start>48</start>
      <end>52</end>
      <status>ignored</status>
      <modifiedWord/>
      <trackRevisions>false</trackRevisions>
    </reviewItem>
    <reviewItem>
      <errorID>8e21b359-87c0-4021-9671-ee3d49f2b340</errorID>
      <errorWord>;</errorWord>
      <group>L1_Format</group>
      <groupName>格式问题</groupName>
      <ability>L2_HalfPunc</ability>
      <abilityName>全半角检查</abilityName>
      <candidateList>
        <item>；</item>
      </candidateList>
      <explain>文本全半角错误。</explain>
      <paraID>24F809A7</paraID>
      <start>100</start>
      <end>101</end>
      <status>modified</status>
      <modifiedWord>；</modifiedWord>
      <trackRevisions>false</trackRevisions>
    </reviewItem>
    <reviewItem>
      <errorID>3c5c38e4-11d2-4d56-abdb-cd8f51742868</errorID>
      <errorWord>;</errorWord>
      <group>L1_Format</group>
      <groupName>格式问题</groupName>
      <ability>L2_HalfPunc</ability>
      <abilityName>全半角检查</abilityName>
      <candidateList>
        <item>；</item>
      </candidateList>
      <explain>文本全半角错误。</explain>
      <paraID>75472399</paraID>
      <start>51</start>
      <end>52</end>
      <status>modified</status>
      <modifiedWord>；</modifiedWord>
      <trackRevisions>false</trackRevisions>
    </reviewItem>
    <reviewItem>
      <errorID>d40af1d4-6f1f-4fd4-9dea-3e1526f54af0</errorID>
      <errorWord>（</errorWord>
      <group>L1_Punc</group>
      <groupName>标点问题</groupName>
      <ability>L2_Punc</ability>
      <abilityName>标点符号检查</abilityName>
      <candidateList/>
      <explain>同一形式括号套用。</explain>
      <paraID>46BD1BA3</paraID>
      <start>22</start>
      <end>23</end>
      <status>ignored</status>
      <modifiedWord/>
      <trackRevisions>false</trackRevisions>
    </reviewItem>
    <reviewItem>
      <errorID>ff967aaa-e0b3-4f04-a271-59d40968d546</errorID>
      <errorWord>）</errorWord>
      <group>L1_Punc</group>
      <groupName>标点问题</groupName>
      <ability>L2_Punc</ability>
      <abilityName>标点符号检查</abilityName>
      <candidateList/>
      <explain>同一形式括号套用。</explain>
      <paraID>46BD1BA3</paraID>
      <start>26</start>
      <end>27</end>
      <status>ignored</status>
      <modifiedWord/>
      <trackRevisions>false</trackRevisions>
    </reviewItem>
    <reviewItem>
      <errorID>7a21478d-72fa-4ac2-8da8-b57b8083154b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1F3BC77F</paraID>
      <start>0</start>
      <end>2</end>
      <status>modified</status>
      <modifiedWord>1.</modifiedWord>
      <trackRevisions>false</trackRevisions>
    </reviewItem>
    <reviewItem>
      <errorID>2f7f3c28-e198-4350-9577-a84af406a1e1</errorID>
      <errorWord>:</errorWord>
      <group>L1_Format</group>
      <groupName>格式问题</groupName>
      <ability>L2_HalfPunc</ability>
      <abilityName>全半角检查</abilityName>
      <candidateList>
        <item>：</item>
      </candidateList>
      <explain>文本全半角错误。</explain>
      <paraID>5F2D44ED</paraID>
      <start>13</start>
      <end>14</end>
      <status>modified</status>
      <modifiedWord>：</modifiedWord>
      <trackRevisions>false</trackRevisions>
    </reviewItem>
    <reviewItem>
      <errorID>32b966fb-f6a7-4be0-abbe-2f605c456c82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963A951</paraID>
      <start>0</start>
      <end>2</end>
      <status>modified</status>
      <modifiedWord>2.</modifiedWord>
      <trackRevisions>false</trackRevisions>
    </reviewItem>
    <reviewItem>
      <errorID>4e391fed-15db-4980-89ec-6088c96be570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1E0E74DE</paraID>
      <start>0</start>
      <end>2</end>
      <status>modified</status>
      <modifiedWord>3.</modifiedWord>
      <trackRevisions>false</trackRevisions>
    </reviewItem>
    <reviewItem>
      <errorID>158bdb1c-4f76-422a-b787-b21f931173e2</errorID>
      <errorWord>，</errorWord>
      <group>L1_Word</group>
      <groupName>字词问题</groupName>
      <ability>L2_Typo</ability>
      <abilityName>字词错误</abilityName>
      <candidateList>
        <item>，以</item>
      </candidateList>
      <explain/>
      <paraID>3A994624</paraID>
      <start>12</start>
      <end>14</end>
      <status>modified</status>
      <modifiedWord>，以</modifiedWord>
      <trackRevisions>false</trackRevisions>
    </reviewItem>
    <reviewItem>
      <errorID>a4cc1319-c360-499b-9376-eb02a4480eed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54FD42F</paraID>
      <start>0</start>
      <end>2</end>
      <status>modified</status>
      <modifiedWord>4.</modifiedWord>
      <trackRevisions>false</trackRevisions>
    </reviewItem>
    <reviewItem>
      <errorID>fe48f370-dff3-4e8f-9ce5-b64d28be8204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5072E9FD</paraID>
      <start>0</start>
      <end>2</end>
      <status>modified</status>
      <modifiedWord>5.</modifiedWord>
      <trackRevisions>false</trackRevisions>
    </reviewItem>
    <reviewItem>
      <errorID>8da322af-cef2-44be-8875-1ccad1099a59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6551AEF4</paraID>
      <start>0</start>
      <end>2</end>
      <status>modified</status>
      <modifiedWord>6.</modifiedWord>
      <trackRevisions>false</trackRevisions>
    </reviewItem>
    <reviewItem>
      <errorID>6feefa33-fc65-4138-8762-8fe8b2aab6b8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78B1999D</paraID>
      <start>0</start>
      <end>2</end>
      <status>modified</status>
      <modifiedWord>7.</modifiedWord>
      <trackRevisions>false</trackRevisions>
    </reviewItem>
    <reviewItem>
      <errorID>5d7f6914-b13d-4ce9-a37a-a8a29403fe57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55A8E395</paraID>
      <start>0</start>
      <end>2</end>
      <status>modified</status>
      <modifiedWord>1.</modifiedWord>
      <trackRevisions>false</trackRevisions>
    </reviewItem>
    <reviewItem>
      <errorID>571e29e8-6f2b-4ce5-8617-17e7183c30f2</errorID>
      <errorWord>:</errorWord>
      <group>L1_Format</group>
      <groupName>格式问题</groupName>
      <ability>L2_HalfPunc</ability>
      <abilityName>全半角检查</abilityName>
      <candidateList>
        <item>：</item>
      </candidateList>
      <explain>文本全半角错误。</explain>
      <paraID>7BBE56F5</paraID>
      <start>13</start>
      <end>14</end>
      <status>modified</status>
      <modifiedWord>：</modifiedWord>
      <trackRevisions>false</trackRevisions>
    </reviewItem>
    <reviewItem>
      <errorID>69788921-9e52-408a-af91-4d9cdb41d69c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26A6050E</paraID>
      <start>0</start>
      <end>2</end>
      <status>modified</status>
      <modifiedWord>2.</modifiedWord>
      <trackRevisions>false</trackRevisions>
    </reviewItem>
    <reviewItem>
      <errorID>f608685e-2fab-4228-9f53-c35e89ce3436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2468D1F1</paraID>
      <start>0</start>
      <end>2</end>
      <status>modified</status>
      <modifiedWord>3.</modifiedWord>
      <trackRevisions>false</trackRevisions>
    </reviewItem>
    <reviewItem>
      <errorID>6580345d-c069-4c4a-a943-73d15ab72fd5</errorID>
      <errorWord>，</errorWord>
      <group>L1_Word</group>
      <groupName>字词问题</groupName>
      <ability>L2_Typo</ability>
      <abilityName>字词错误</abilityName>
      <candidateList>
        <item>，以</item>
      </candidateList>
      <explain/>
      <paraID>71A1B084</paraID>
      <start>12</start>
      <end>14</end>
      <status>modified</status>
      <modifiedWord>，以</modifiedWord>
      <trackRevisions>false</trackRevisions>
    </reviewItem>
    <reviewItem>
      <errorID>5929699d-560d-4919-8cb7-89ee0ed7897d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69408962</paraID>
      <start>0</start>
      <end>2</end>
      <status>modified</status>
      <modifiedWord>4.</modifiedWord>
      <trackRevisions>false</trackRevisions>
    </reviewItem>
    <reviewItem>
      <errorID>612407df-4e2d-45f7-9e41-64cf7dadbd40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7CA694E0</paraID>
      <start>0</start>
      <end>2</end>
      <status>modified</status>
      <modifiedWord>5.</modifiedWord>
      <trackRevisions>false</trackRevisions>
    </reviewItem>
    <reviewItem>
      <errorID>d04fe2e4-05cd-4bae-b9c7-3e209e7f7920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5E457B0D</paraID>
      <start>0</start>
      <end>2</end>
      <status>modified</status>
      <modifiedWord>6.</modifiedWord>
      <trackRevisions>false</trackRevisions>
    </reviewItem>
    <reviewItem>
      <errorID>9ee48585-ef7f-41f9-80ca-7d898b8ffca0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60CF4ED3</paraID>
      <start>0</start>
      <end>2</end>
      <status>modified</status>
      <modifiedWord>7.</modifiedWord>
      <trackRevisions>false</trackRevisions>
    </reviewItem>
    <reviewItem>
      <errorID>f70afcc6-946e-4e79-a728-dca9ffe20eb0</errorID>
      <errorWord>监测仪</errorWord>
      <group>L1_Word</group>
      <groupName>字词问题</groupName>
      <ability>L2_Typo</ability>
      <abilityName>字词错误</abilityName>
      <candidateList>
        <item>检测仪</item>
      </candidateList>
      <explain/>
      <paraID>1646854F</paraID>
      <start>16</start>
      <end>19</end>
      <status>ignored</status>
      <modifiedWord/>
      <trackRevisions>false</trackRevisions>
    </reviewItem>
    <reviewItem>
      <errorID>5b2ef6d6-c3cb-466f-8c8d-1ae6adc4b103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5B477E86</paraID>
      <start>0</start>
      <end>2</end>
      <status>modified</status>
      <modifiedWord>1.</modifiedWord>
      <trackRevisions>false</trackRevisions>
    </reviewItem>
    <reviewItem>
      <errorID>c938c2bc-30ed-47a0-9ad7-e5d45235e8a3</errorID>
      <errorWord>:</errorWord>
      <group>L1_Format</group>
      <groupName>格式问题</groupName>
      <ability>L2_HalfPunc</ability>
      <abilityName>全半角检查</abilityName>
      <candidateList>
        <item>：</item>
      </candidateList>
      <explain>文本全半角错误。</explain>
      <paraID>10C5637F</paraID>
      <start>13</start>
      <end>14</end>
      <status>modified</status>
      <modifiedWord>：</modifiedWord>
      <trackRevisions>false</trackRevisions>
    </reviewItem>
    <reviewItem>
      <errorID>e41b6e1f-8d6f-4222-87fb-9a59b368a522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6F19D641</paraID>
      <start>0</start>
      <end>2</end>
      <status>modified</status>
      <modifiedWord>2.</modifiedWord>
      <trackRevisions>false</trackRevisions>
    </reviewItem>
    <reviewItem>
      <errorID>aeb8c934-de22-4209-b202-73f00fa891c0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6B9978AB</paraID>
      <start>0</start>
      <end>2</end>
      <status>modified</status>
      <modifiedWord>3.</modifiedWord>
      <trackRevisions>false</trackRevisions>
    </reviewItem>
    <reviewItem>
      <errorID>95334960-093c-452a-9803-c3d9c1e08684</errorID>
      <errorWord>，</errorWord>
      <group>L1_Word</group>
      <groupName>字词问题</groupName>
      <ability>L2_Typo</ability>
      <abilityName>字词错误</abilityName>
      <candidateList>
        <item>，以</item>
      </candidateList>
      <explain/>
      <paraID>31A6A1EC</paraID>
      <start>12</start>
      <end>14</end>
      <status>modified</status>
      <modifiedWord>，以</modifiedWord>
      <trackRevisions>false</trackRevisions>
    </reviewItem>
    <reviewItem>
      <errorID>01902839-5e2a-4f44-ad9f-401e9b49d0a1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473D5C39</paraID>
      <start>0</start>
      <end>2</end>
      <status>modified</status>
      <modifiedWord>4.</modifiedWord>
      <trackRevisions>false</trackRevisions>
    </reviewItem>
    <reviewItem>
      <errorID>f5f47eba-3b73-4906-99d0-01a566a8b041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30AD4FF5</paraID>
      <start>0</start>
      <end>2</end>
      <status>modified</status>
      <modifiedWord>5.</modifiedWord>
      <trackRevisions>false</trackRevisions>
    </reviewItem>
    <reviewItem>
      <errorID>48ed74fa-dfcf-4b98-b564-bb775f52ce9f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6632C805</paraID>
      <start>0</start>
      <end>2</end>
      <status>modified</status>
      <modifiedWord>6.</modifiedWord>
      <trackRevisions>false</trackRevisions>
    </reviewItem>
    <reviewItem>
      <errorID>0f2b7099-c4ad-4c59-a53a-f233b0c8d46f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147A4078</paraID>
      <start>0</start>
      <end>2</end>
      <status>modified</status>
      <modifiedWord>7.</modifiedWord>
      <trackRevisions>false</trackRevisions>
    </reviewItem>
    <reviewItem>
      <errorID>583942c4-cf96-45a7-a1a5-7f2e370ca682</errorID>
      <errorWord>。｝</errorWord>
      <group>L1_Punc</group>
      <groupName>标点问题</groupName>
      <ability>L2_Punc</ability>
      <abilityName>标点符号检查</abilityName>
      <candidateList>
        <item>｝</item>
      </candidateList>
      <explain/>
      <paraID>3DD4829B</paraID>
      <start>249</start>
      <end>250</end>
      <status>modified</status>
      <modifiedWord>｝</modifiedWord>
      <trackRevisions>false</trackRevisions>
    </reviewItem>
    <reviewItem>
      <errorID>a4b3c0dd-caf4-45ff-9323-eddf38eb9d3f</errorID>
      <errorWord>。</errorWord>
      <group>L1_Punc</group>
      <groupName>标点问题</groupName>
      <ability>L2_Punc</ability>
      <abilityName>标点符号检查</abilityName>
      <candidateList/>
      <explain/>
      <paraID>432689D6</paraID>
      <start>63</start>
      <end>64</end>
      <status>ignored</status>
      <modifiedWord/>
      <trackRevisions>false</trackRevisions>
    </reviewItem>
    <reviewItem>
      <errorID>f34a4a69-4551-4373-822b-daa570d05aee</errorID>
      <errorWord>股东大会</errorWord>
      <group>L1_Word</group>
      <groupName>字词问题</groupName>
      <ability>L2_Typo</ability>
      <abilityName>字词错误</abilityName>
      <candidateList>
        <item>股东会</item>
      </candidateList>
      <explain/>
      <paraID>55EB85FC</paraID>
      <start>129</start>
      <end>133</end>
      <status>ignored</status>
      <modifiedWord/>
      <trackRevisions>false</trackRevisions>
    </reviewItem>
    <reviewItem>
      <errorID>f0611ce3-19d0-47a0-999f-a7a000401b11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1755D4DF</paraID>
      <start>191</start>
      <end>193</end>
      <status>modified</status>
      <modifiedWord>可以</modifiedWord>
      <trackRevisions>false</trackRevisions>
    </reviewItem>
    <reviewItem>
      <errorID>58282aa1-5df9-4dcf-b5c1-7173656ae0ed</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18C46634</paraID>
      <start>36</start>
      <end>39</end>
      <status>ignored</status>
      <modifiedWord/>
      <trackRevisions>false</trackRevisions>
    </reviewItem>
    <reviewItem>
      <errorID>9c6de6c9-eefc-42e2-b538-895157e90163</errorID>
      <errorWord>文件中</errorWord>
      <group>L1_Word</group>
      <groupName>字词问题</groupName>
      <ability>L2_Typo</ability>
      <abilityName>字词错误</abilityName>
      <candidateList>
        <item>文件</item>
      </candidateList>
      <explain/>
      <paraID>2D9588F9</paraID>
      <start>8</start>
      <end>10</end>
      <status>modified</status>
      <modifiedWord>文件</modifiedWord>
      <trackRevisions>false</trackRevisions>
    </reviewItem>
    <reviewItem>
      <errorID>e1901c47-4d4a-4bb3-bc05-553ec2f81cf0</errorID>
      <errorWord>签定合同</errorWord>
      <group>L1_Word</group>
      <groupName>字词问题</groupName>
      <ability>L2_Typo</ability>
      <abilityName>字词错误</abilityName>
      <candidateList>
        <item>签订合同</item>
      </candidateList>
      <explain/>
      <paraID> 406F661</paraID>
      <start>36</start>
      <end>40</end>
      <status>modified</status>
      <modifiedWord>签订合同</modifiedWord>
      <trackRevisions>false</trackRevisions>
    </reviewItem>
    <reviewItem>
      <errorID>211e6443-b025-4bad-b8ea-48f9c4ec483a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525896D2</paraID>
      <start>0</start>
      <end>2</end>
      <status>modified</status>
      <modifiedWord>1.</modifiedWord>
      <trackRevisions>false</trackRevisions>
    </reviewItem>
    <reviewItem>
      <errorID>29d436b5-970c-4dda-af64-480bc4a811b0</errorID>
      <errorWord>注效期</errorWord>
      <group>L1_Word</group>
      <groupName>字词问题</groupName>
      <ability>L2_Typo</ability>
      <abilityName>字词错误</abilityName>
      <candidateList>
        <item>有效期</item>
      </candidateList>
      <explain/>
      <paraID>525896D2</paraID>
      <start>59</start>
      <end>62</end>
      <status>ignored</status>
      <modifiedWord/>
      <trackRevisions>false</trackRevisions>
    </reviewItem>
    <reviewItem>
      <errorID>ae7dbdb8-1b3a-43e2-a393-3af4af85b645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61183360</paraID>
      <start>0</start>
      <end>2</end>
      <status>modified</status>
      <modifiedWord>2.</modifiedWord>
      <trackRevisions>false</trackRevisions>
    </reviewItem>
    <reviewItem>
      <errorID>f06eab5f-c6a7-4d89-acf7-b2a04578e99e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72DC418F</paraID>
      <start>0</start>
      <end>2</end>
      <status>modified</status>
      <modifiedWord>3.</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ec8afc-e152-47d6-80dd-a68d80fe862d}">
  <ds:schemaRefs/>
</ds:datastoreItem>
</file>

<file path=docProps/app.xml><?xml version="1.0" encoding="utf-8"?>
<Properties xmlns="http://schemas.openxmlformats.org/officeDocument/2006/extended-properties" xmlns:vt="http://schemas.openxmlformats.org/officeDocument/2006/docPropsVTypes">
  <Template>Normal.dotm</Template>
  <Pages>100</Pages>
  <Words>25509</Words>
  <Characters>27214</Characters>
  <Lines>0</Lines>
  <Paragraphs>0</Paragraphs>
  <TotalTime>166</TotalTime>
  <ScaleCrop>false</ScaleCrop>
  <LinksUpToDate>false</LinksUpToDate>
  <CharactersWithSpaces>27655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2025-10-17T00:55:00Z</dcterms:created>
  <dc:creator>原生SaMa</dc:creator>
  <cp:lastModifiedBy>杨泽</cp:lastModifiedBy>
  <cp:lastPrinted>2026-02-12T07:11:00Z</cp:lastPrinted>
  <dcterms:modified xsi:type="dcterms:W3CDTF">2026-04-24T03:12:29Z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6315DDA456CF4ADBB0D3F1986E07FB1D_13</vt:lpwstr>
  </property>
  <property fmtid="{D5CDD505-2E9C-101B-9397-08002B2CF9AE}" pid="4" name="KSOTemplateDocerSaveRecord">
    <vt:lpwstr>eyJoZGlkIjoiZjMzYjZmNjE0ZTQ2Y2MxNDM1YmU2YjhkYTA2M2Q1NWUiLCJ1c2VySWQiOiI0MDg0NTQ1MDAifQ==</vt:lpwstr>
  </property>
</Properties>
</file>